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568960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132715</wp:posOffset>
            </wp:positionV>
            <wp:extent cx="14230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165100</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06,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217170</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Xometry, Inc.</w:t>
      </w:r>
    </w:p>
    <w:p>
      <w:pPr>
        <w:spacing w:after="0" w:line="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250190</wp:posOffset>
            </wp:positionV>
            <wp:extent cx="14230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tbl>
      <w:tblPr>
        <w:tblLayout w:type="fixed"/>
        <w:tblInd w:w="1140" w:type="dxa"/>
        <w:tblCellMar>
          <w:top w:w="0" w:type="dxa"/>
          <w:left w:w="0" w:type="dxa"/>
          <w:bottom w:w="0" w:type="dxa"/>
          <w:right w:w="0" w:type="dxa"/>
        </w:tblCellMar>
      </w:tblPr>
      <w:tr>
        <w:trPr>
          <w:trHeight w:val="222"/>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4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001-40546</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32-0415449</w:t>
            </w:r>
          </w:p>
        </w:tc>
      </w:tr>
      <w:tr>
        <w:trPr>
          <w:trHeight w:val="148"/>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40" w:type="dxa"/>
            <w:vAlign w:val="bottom"/>
          </w:tcPr>
          <w:p>
            <w:pPr>
              <w:jc w:val="center"/>
              <w:ind w:right="261"/>
              <w:spacing w:after="0"/>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40" w:type="dxa"/>
            <w:vAlign w:val="bottom"/>
          </w:tcPr>
          <w:p>
            <w:pPr>
              <w:spacing w:after="0"/>
              <w:rPr>
                <w:sz w:val="15"/>
                <w:szCs w:val="15"/>
                <w:color w:val="auto"/>
              </w:rPr>
            </w:pPr>
          </w:p>
        </w:tc>
        <w:tc>
          <w:tcPr>
            <w:tcW w:w="2040" w:type="dxa"/>
            <w:vAlign w:val="bottom"/>
          </w:tcPr>
          <w:p>
            <w:pPr>
              <w:jc w:val="center"/>
              <w:ind w:left="90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397"/>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6116 Executive Blvd, Suite 800</w:t>
            </w:r>
          </w:p>
        </w:tc>
        <w:tc>
          <w:tcPr>
            <w:tcW w:w="32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22"/>
        </w:trPr>
        <w:tc>
          <w:tcPr>
            <w:tcW w:w="3040" w:type="dxa"/>
            <w:vAlign w:val="bottom"/>
          </w:tcPr>
          <w:p>
            <w:pPr>
              <w:jc w:val="center"/>
              <w:ind w:right="621"/>
              <w:spacing w:after="0"/>
              <w:rPr>
                <w:sz w:val="20"/>
                <w:szCs w:val="20"/>
                <w:color w:val="auto"/>
              </w:rPr>
            </w:pPr>
            <w:r>
              <w:rPr>
                <w:rFonts w:ascii="Times New Roman" w:cs="Times New Roman" w:eastAsia="Times New Roman" w:hAnsi="Times New Roman"/>
                <w:sz w:val="18"/>
                <w:szCs w:val="18"/>
                <w:b w:val="1"/>
                <w:bCs w:val="1"/>
                <w:color w:val="auto"/>
                <w:w w:val="99"/>
              </w:rPr>
              <w:t>North Bethesda, Maryland</w:t>
            </w:r>
          </w:p>
        </w:tc>
        <w:tc>
          <w:tcPr>
            <w:tcW w:w="3240" w:type="dxa"/>
            <w:vAlign w:val="bottom"/>
          </w:tcPr>
          <w:p>
            <w:pPr>
              <w:spacing w:after="0"/>
              <w:rPr>
                <w:sz w:val="19"/>
                <w:szCs w:val="19"/>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20852</w:t>
            </w:r>
          </w:p>
        </w:tc>
      </w:tr>
      <w:tr>
        <w:trPr>
          <w:trHeight w:val="178"/>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4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1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(240) 252-1138</w:t>
      </w:r>
    </w:p>
    <w:p>
      <w:pPr>
        <w:spacing w:after="0" w:line="3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248285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0" w:lineRule="exact"/>
        <w:rPr>
          <w:sz w:val="24"/>
          <w:szCs w:val="24"/>
          <w:color w:val="auto"/>
        </w:rPr>
      </w:pPr>
    </w:p>
    <w:p>
      <w:pPr>
        <w:spacing w:after="0" w:line="32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54"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38"/>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0"/>
                <w:szCs w:val="20"/>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A common stock, par value $0.000001 per share</w:t>
            </w:r>
          </w:p>
        </w:tc>
        <w:tc>
          <w:tcPr>
            <w:tcW w:w="120" w:type="dxa"/>
            <w:vAlign w:val="bottom"/>
          </w:tcPr>
          <w:p>
            <w:pPr>
              <w:spacing w:after="0"/>
              <w:rPr>
                <w:sz w:val="19"/>
                <w:szCs w:val="19"/>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XMTR</w:t>
            </w:r>
          </w:p>
        </w:tc>
        <w:tc>
          <w:tcPr>
            <w:tcW w:w="120" w:type="dxa"/>
            <w:vAlign w:val="bottom"/>
          </w:tcPr>
          <w:p>
            <w:pPr>
              <w:spacing w:after="0"/>
              <w:rPr>
                <w:sz w:val="19"/>
                <w:szCs w:val="19"/>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612775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2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337" w:lineRule="exact"/>
        <w:rPr>
          <w:sz w:val="20"/>
          <w:szCs w:val="20"/>
          <w:color w:val="auto"/>
        </w:rPr>
      </w:pPr>
    </w:p>
    <w:p>
      <w:pPr>
        <w:ind w:right="80" w:firstLine="644"/>
        <w:spacing w:after="0" w:line="282" w:lineRule="auto"/>
        <w:rPr>
          <w:sz w:val="20"/>
          <w:szCs w:val="20"/>
          <w:color w:val="auto"/>
        </w:rPr>
      </w:pPr>
      <w:r>
        <w:rPr>
          <w:rFonts w:ascii="Times New Roman" w:cs="Times New Roman" w:eastAsia="Times New Roman" w:hAnsi="Times New Roman"/>
          <w:sz w:val="18"/>
          <w:szCs w:val="18"/>
          <w:color w:val="auto"/>
        </w:rPr>
        <w:t>On May 6, 2025, Xometry, Inc. (the “Company”) issued a press release announcing its first quarter financial results for the quarterly period ended March 31, 2025. A copy of the press release is furnished as Exhibit 99.1 to this report.</w:t>
      </w:r>
    </w:p>
    <w:p>
      <w:pPr>
        <w:spacing w:after="0" w:line="162" w:lineRule="exact"/>
        <w:rPr>
          <w:sz w:val="20"/>
          <w:szCs w:val="20"/>
          <w:color w:val="auto"/>
        </w:rPr>
      </w:pPr>
    </w:p>
    <w:p>
      <w:pPr>
        <w:ind w:right="80" w:firstLine="644"/>
        <w:spacing w:after="0" w:line="261" w:lineRule="auto"/>
        <w:rPr>
          <w:sz w:val="20"/>
          <w:szCs w:val="20"/>
          <w:color w:val="auto"/>
        </w:rPr>
      </w:pPr>
      <w:r>
        <w:rPr>
          <w:rFonts w:ascii="Times New Roman" w:cs="Times New Roman" w:eastAsia="Times New Roman" w:hAnsi="Times New Roman"/>
          <w:sz w:val="18"/>
          <w:szCs w:val="18"/>
          <w:color w:val="auto"/>
        </w:rPr>
        <w:t>The information set forth under this Item 2.02 and in the accompanying Exhibit 99.1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 except as otherwise expressly stated in such filing.</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200" w:type="dxa"/>
            <w:vAlign w:val="bottom"/>
          </w:tcPr>
          <w:p>
            <w:pPr>
              <w:spacing w:after="0"/>
              <w:rPr>
                <w:sz w:val="20"/>
                <w:szCs w:val="20"/>
                <w:color w:val="auto"/>
              </w:rPr>
            </w:pPr>
          </w:p>
        </w:tc>
        <w:tc>
          <w:tcPr>
            <w:tcW w:w="3960" w:type="dxa"/>
            <w:vAlign w:val="bottom"/>
          </w:tcPr>
          <w:p>
            <w:pPr>
              <w:spacing w:after="0"/>
              <w:rPr>
                <w:sz w:val="20"/>
                <w:szCs w:val="20"/>
                <w:color w:val="auto"/>
              </w:rPr>
            </w:pPr>
          </w:p>
        </w:tc>
        <w:tc>
          <w:tcPr>
            <w:tcW w:w="3400" w:type="dxa"/>
            <w:vAlign w:val="bottom"/>
          </w:tcPr>
          <w:p>
            <w:pPr>
              <w:spacing w:after="0"/>
              <w:rPr>
                <w:sz w:val="20"/>
                <w:szCs w:val="20"/>
                <w:color w:val="auto"/>
              </w:rPr>
            </w:pPr>
          </w:p>
        </w:tc>
      </w:tr>
      <w:tr>
        <w:trPr>
          <w:trHeight w:val="306"/>
        </w:trPr>
        <w:tc>
          <w:tcPr>
            <w:tcW w:w="180" w:type="dxa"/>
            <w:vAlign w:val="bottom"/>
          </w:tcPr>
          <w:p>
            <w:pPr>
              <w:spacing w:after="0"/>
              <w:rPr>
                <w:sz w:val="24"/>
                <w:szCs w:val="24"/>
                <w:color w:val="auto"/>
              </w:rPr>
            </w:pPr>
          </w:p>
        </w:tc>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756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3680" w:type="dxa"/>
            <w:vAlign w:val="bottom"/>
            <w:gridSpan w:val="3"/>
          </w:tcPr>
          <w:p>
            <w:pPr>
              <w:ind w:left="180"/>
              <w:spacing w:after="0" w:line="194"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7560" w:type="dxa"/>
            <w:vAlign w:val="bottom"/>
            <w:gridSpan w:val="3"/>
          </w:tcPr>
          <w:p>
            <w:pPr>
              <w:ind w:left="200"/>
              <w:spacing w:after="0" w:line="194" w:lineRule="exact"/>
              <w:rPr>
                <w:sz w:val="20"/>
                <w:szCs w:val="20"/>
                <w:color w:val="auto"/>
              </w:rPr>
            </w:pPr>
            <w:r>
              <w:rPr>
                <w:rFonts w:ascii="Times New Roman" w:cs="Times New Roman" w:eastAsia="Times New Roman" w:hAnsi="Times New Roman"/>
                <w:sz w:val="18"/>
                <w:szCs w:val="18"/>
                <w:color w:val="0000FF"/>
              </w:rPr>
              <w:t>Press Release of Xometry, Inc. issued on May 6, 2025.</w:t>
            </w:r>
          </w:p>
        </w:tc>
      </w:tr>
      <w:tr>
        <w:trPr>
          <w:trHeight w:val="20"/>
        </w:trPr>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960" w:type="dxa"/>
            <w:vAlign w:val="bottom"/>
            <w:shd w:val="clear" w:color="auto" w:fill="0000FF"/>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237"/>
        </w:trPr>
        <w:tc>
          <w:tcPr>
            <w:tcW w:w="5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104</w:t>
            </w:r>
          </w:p>
        </w:tc>
        <w:tc>
          <w:tcPr>
            <w:tcW w:w="3180" w:type="dxa"/>
            <w:vAlign w:val="bottom"/>
          </w:tcPr>
          <w:p>
            <w:pPr>
              <w:spacing w:after="0"/>
              <w:rPr>
                <w:sz w:val="20"/>
                <w:szCs w:val="20"/>
                <w:color w:val="auto"/>
              </w:rPr>
            </w:pPr>
          </w:p>
        </w:tc>
        <w:tc>
          <w:tcPr>
            <w:tcW w:w="756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979"/>
        </w:trPr>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c>
          <w:tcPr>
            <w:tcW w:w="34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8"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XOMETRY, INC.</w:t>
      </w:r>
    </w:p>
    <w:p>
      <w:pPr>
        <w:spacing w:after="0" w:line="378" w:lineRule="exact"/>
        <w:rPr>
          <w:sz w:val="20"/>
          <w:szCs w:val="20"/>
          <w:color w:val="auto"/>
        </w:rPr>
      </w:pPr>
    </w:p>
    <w:p>
      <w:pPr>
        <w:spacing w:after="0"/>
        <w:tabs>
          <w:tab w:leader="none" w:pos="66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May 6,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3862705</wp:posOffset>
            </wp:positionH>
            <wp:positionV relativeFrom="paragraph">
              <wp:posOffset>17145</wp:posOffset>
            </wp:positionV>
            <wp:extent cx="32746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4695" cy="8890"/>
                    </a:xfrm>
                    <a:prstGeom prst="rect">
                      <a:avLst/>
                    </a:prstGeom>
                    <a:noFill/>
                  </pic:spPr>
                </pic:pic>
              </a:graphicData>
            </a:graphic>
          </wp:anchor>
        </w:drawing>
      </w:r>
    </w:p>
    <w:p>
      <w:pPr>
        <w:spacing w:after="0" w:line="16"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Randolph Altschuler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713105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Xometry Reports First Quarter 2025 Results</w:t>
      </w:r>
    </w:p>
    <w:p>
      <w:pPr>
        <w:spacing w:after="0" w:line="198"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Q1 revenue increased 23% year-over-year to a record $151 million driven by robust marketplace growth.</w:t>
      </w:r>
    </w:p>
    <w:p>
      <w:pPr>
        <w:spacing w:after="0" w:line="106" w:lineRule="exact"/>
        <w:rPr>
          <w:rFonts w:ascii="Times New Roman" w:cs="Times New Roman" w:eastAsia="Times New Roman" w:hAnsi="Times New Roman"/>
          <w:sz w:val="20"/>
          <w:szCs w:val="20"/>
          <w:color w:val="auto"/>
        </w:rPr>
      </w:pPr>
    </w:p>
    <w:p>
      <w:pPr>
        <w:ind w:left="1020" w:right="440" w:hanging="503"/>
        <w:spacing w:after="0" w:line="256" w:lineRule="auto"/>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Q1 marketplace revenue increased 27% year-over-year, a 700 basis point acceleration from Q4 2024, driven by strong U.S. enterprise growth.</w:t>
      </w:r>
    </w:p>
    <w:p>
      <w:pPr>
        <w:spacing w:after="0" w:line="48"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Q1 gross profit increased 18% year-over-year to $56.3 million.</w:t>
      </w:r>
    </w:p>
    <w:p>
      <w:pPr>
        <w:spacing w:after="0" w:line="10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Q1 marketplace gross profit increased 26% year-over-year.</w:t>
      </w:r>
    </w:p>
    <w:p>
      <w:pPr>
        <w:spacing w:after="0" w:line="10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Q1 Adjusted EBITDA improved $7.5 million year-over-year to Adjusted EBITDA of $0.1 million.</w:t>
      </w:r>
    </w:p>
    <w:p>
      <w:pPr>
        <w:spacing w:after="0" w:line="106" w:lineRule="exact"/>
        <w:rPr>
          <w:rFonts w:ascii="Times New Roman" w:cs="Times New Roman" w:eastAsia="Times New Roman" w:hAnsi="Times New Roman"/>
          <w:sz w:val="20"/>
          <w:szCs w:val="20"/>
          <w:color w:val="auto"/>
        </w:rPr>
      </w:pPr>
    </w:p>
    <w:p>
      <w:pPr>
        <w:ind w:left="1020" w:right="520" w:hanging="503"/>
        <w:spacing w:after="0" w:line="283" w:lineRule="auto"/>
        <w:tabs>
          <w:tab w:leader="none" w:pos="1020" w:val="left"/>
        </w:tabs>
        <w:numPr>
          <w:ilvl w:val="0"/>
          <w:numId w:val="2"/>
        </w:numPr>
        <w:rPr>
          <w:rFonts w:ascii="Times New Roman" w:cs="Times New Roman" w:eastAsia="Times New Roman" w:hAnsi="Times New Roman"/>
          <w:sz w:val="19"/>
          <w:szCs w:val="19"/>
          <w:color w:val="auto"/>
        </w:rPr>
      </w:pPr>
      <w:r>
        <w:rPr>
          <w:rFonts w:ascii="Arial" w:cs="Arial" w:eastAsia="Arial" w:hAnsi="Arial"/>
          <w:sz w:val="19"/>
          <w:szCs w:val="19"/>
          <w:color w:val="auto"/>
        </w:rPr>
        <w:t>2025 growth initiatives include: expanding buyer and supplier networks; driving deeper enterprise engagement; further expanding the marketplace platform; growing internationally and enhancing supplier services.</w:t>
      </w:r>
    </w:p>
    <w:p>
      <w:pPr>
        <w:spacing w:after="0" w:line="89" w:lineRule="exact"/>
        <w:rPr>
          <w:sz w:val="20"/>
          <w:szCs w:val="20"/>
          <w:color w:val="auto"/>
        </w:rPr>
      </w:pPr>
    </w:p>
    <w:p>
      <w:pPr>
        <w:ind w:right="240"/>
        <w:spacing w:after="0" w:line="242" w:lineRule="auto"/>
        <w:rPr>
          <w:sz w:val="20"/>
          <w:szCs w:val="20"/>
          <w:color w:val="auto"/>
        </w:rPr>
      </w:pPr>
      <w:r>
        <w:rPr>
          <w:rFonts w:ascii="Arial" w:cs="Arial" w:eastAsia="Arial" w:hAnsi="Arial"/>
          <w:sz w:val="20"/>
          <w:szCs w:val="20"/>
          <w:b w:val="1"/>
          <w:bCs w:val="1"/>
          <w:color w:val="auto"/>
        </w:rPr>
        <w:t>NORTH BETHESDA, MD., May 6, 2025 /Globe Newswire/</w:t>
      </w:r>
      <w:r>
        <w:rPr>
          <w:rFonts w:ascii="Arial" w:cs="Arial" w:eastAsia="Arial" w:hAnsi="Arial"/>
          <w:sz w:val="20"/>
          <w:szCs w:val="20"/>
          <w:color w:val="auto"/>
        </w:rPr>
        <w:t>-- Xometry, Inc. (NASDAQ:XMTR),</w:t>
      </w:r>
      <w:r>
        <w:rPr>
          <w:rFonts w:ascii="Arial" w:cs="Arial" w:eastAsia="Arial" w:hAnsi="Arial"/>
          <w:sz w:val="20"/>
          <w:szCs w:val="20"/>
          <w:b w:val="1"/>
          <w:bCs w:val="1"/>
          <w:color w:val="auto"/>
        </w:rPr>
        <w:t xml:space="preserve"> </w:t>
      </w:r>
      <w:r>
        <w:rPr>
          <w:rFonts w:ascii="Arial" w:cs="Arial" w:eastAsia="Arial" w:hAnsi="Arial"/>
          <w:sz w:val="20"/>
          <w:szCs w:val="20"/>
          <w:color w:val="1D1C1D"/>
        </w:rPr>
        <w:t>the global AI-powered</w:t>
      </w:r>
      <w:r>
        <w:rPr>
          <w:rFonts w:ascii="Arial" w:cs="Arial" w:eastAsia="Arial" w:hAnsi="Arial"/>
          <w:sz w:val="20"/>
          <w:szCs w:val="20"/>
          <w:b w:val="1"/>
          <w:bCs w:val="1"/>
          <w:color w:val="auto"/>
        </w:rPr>
        <w:t xml:space="preserve"> </w:t>
      </w:r>
      <w:r>
        <w:rPr>
          <w:rFonts w:ascii="Arial" w:cs="Arial" w:eastAsia="Arial" w:hAnsi="Arial"/>
          <w:sz w:val="20"/>
          <w:szCs w:val="20"/>
          <w:color w:val="1D1C1D"/>
        </w:rPr>
        <w:t xml:space="preserve">marketplace digitizing manufacturing and driving greater supply chain resiliency, today announced </w:t>
      </w:r>
      <w:r>
        <w:rPr>
          <w:rFonts w:ascii="Arial" w:cs="Arial" w:eastAsia="Arial" w:hAnsi="Arial"/>
          <w:sz w:val="20"/>
          <w:szCs w:val="20"/>
          <w:color w:val="000000"/>
        </w:rPr>
        <w:t>financial results for the first</w:t>
      </w:r>
      <w:r>
        <w:rPr>
          <w:rFonts w:ascii="Arial" w:cs="Arial" w:eastAsia="Arial" w:hAnsi="Arial"/>
          <w:sz w:val="20"/>
          <w:szCs w:val="20"/>
          <w:color w:val="1D1C1D"/>
        </w:rPr>
        <w:t xml:space="preserve"> </w:t>
      </w:r>
      <w:r>
        <w:rPr>
          <w:rFonts w:ascii="Arial" w:cs="Arial" w:eastAsia="Arial" w:hAnsi="Arial"/>
          <w:sz w:val="20"/>
          <w:szCs w:val="20"/>
          <w:color w:val="000000"/>
        </w:rPr>
        <w:t>quarter ended March 31, 2025.</w:t>
      </w:r>
    </w:p>
    <w:p>
      <w:pPr>
        <w:spacing w:after="0" w:line="170" w:lineRule="exact"/>
        <w:rPr>
          <w:sz w:val="20"/>
          <w:szCs w:val="20"/>
          <w:color w:val="auto"/>
        </w:rPr>
      </w:pPr>
    </w:p>
    <w:p>
      <w:pPr>
        <w:ind w:right="20"/>
        <w:spacing w:after="0" w:line="241" w:lineRule="auto"/>
        <w:rPr>
          <w:sz w:val="20"/>
          <w:szCs w:val="20"/>
          <w:color w:val="auto"/>
        </w:rPr>
      </w:pPr>
      <w:r>
        <w:rPr>
          <w:rFonts w:ascii="Arial" w:cs="Arial" w:eastAsia="Arial" w:hAnsi="Arial"/>
          <w:sz w:val="20"/>
          <w:szCs w:val="20"/>
          <w:color w:val="auto"/>
        </w:rPr>
        <w:t>“Our AI powered marketplace continues to gain significant share, deliver record revenue and strong enterprise growth,” said Randy Altschuler, Xometry’s CEO. “Customers are increasingly turning to Xometry to procure manufacturing as our marketplace was purpose-built to provide sourcing options domestically and in 50 countries across the world.”</w:t>
      </w:r>
    </w:p>
    <w:p>
      <w:pPr>
        <w:spacing w:after="0" w:line="171" w:lineRule="exact"/>
        <w:rPr>
          <w:sz w:val="20"/>
          <w:szCs w:val="20"/>
          <w:color w:val="auto"/>
        </w:rPr>
      </w:pPr>
    </w:p>
    <w:p>
      <w:pPr>
        <w:ind w:right="140"/>
        <w:spacing w:after="0" w:line="241" w:lineRule="auto"/>
        <w:rPr>
          <w:sz w:val="20"/>
          <w:szCs w:val="20"/>
          <w:color w:val="auto"/>
        </w:rPr>
      </w:pPr>
      <w:r>
        <w:rPr>
          <w:rFonts w:ascii="Arial" w:cs="Arial" w:eastAsia="Arial" w:hAnsi="Arial"/>
          <w:sz w:val="20"/>
          <w:szCs w:val="20"/>
          <w:color w:val="auto"/>
        </w:rPr>
        <w:t>“In Q1, we delivered strong marketplace revenue growth and positive Adjusted EBITDA,” said James Miln, Xometry’s CFO. “As our marketplace continues to grow, it drives increasing operating leverage demonstrated by our $7.5 million year-over-year improvement in Adjusted EBITDA.”</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First Quarter 2025 Financial Highlights</w:t>
      </w:r>
    </w:p>
    <w:p>
      <w:pPr>
        <w:spacing w:after="0" w:line="96" w:lineRule="exact"/>
        <w:rPr>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Marketplace revenue for the first quarter of 2025 was $136 million, an increase of 27% year-over-year.</w:t>
      </w:r>
    </w:p>
    <w:p>
      <w:pPr>
        <w:spacing w:after="0" w:line="106"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Marketplace Active Buyers increased 22% from 58,504 as of March 31, 2024 to 71,454 as of March 31, 2025.</w:t>
      </w:r>
    </w:p>
    <w:p>
      <w:pPr>
        <w:spacing w:after="0" w:line="106" w:lineRule="exact"/>
        <w:rPr>
          <w:rFonts w:ascii="Times New Roman" w:cs="Times New Roman" w:eastAsia="Times New Roman" w:hAnsi="Times New Roman"/>
          <w:sz w:val="20"/>
          <w:szCs w:val="20"/>
          <w:color w:val="auto"/>
        </w:rPr>
      </w:pPr>
    </w:p>
    <w:p>
      <w:pPr>
        <w:ind w:left="1020" w:right="280" w:hanging="503"/>
        <w:spacing w:after="0" w:line="256"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Marketplace Accounts with Last Twelve-Months Spend of at least $50,000 increased 12% from 1,381 as of March 31, 2024 to 1,545 as of March 31, 2025.</w:t>
      </w:r>
    </w:p>
    <w:p>
      <w:pPr>
        <w:spacing w:after="0" w:line="48"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Supplier services revenue for the first quarter of 2025 was $14.6 million, a decrease of 6% year-over-year.</w:t>
      </w:r>
    </w:p>
    <w:p>
      <w:pPr>
        <w:spacing w:after="0" w:line="106" w:lineRule="exact"/>
        <w:rPr>
          <w:rFonts w:ascii="Times New Roman" w:cs="Times New Roman" w:eastAsia="Times New Roman" w:hAnsi="Times New Roman"/>
          <w:sz w:val="20"/>
          <w:szCs w:val="20"/>
          <w:color w:val="auto"/>
        </w:rPr>
      </w:pPr>
    </w:p>
    <w:p>
      <w:pPr>
        <w:ind w:left="1020" w:right="120" w:hanging="503"/>
        <w:spacing w:after="0" w:line="236"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Net loss attributable to common stockholders for the first quarter of 2025 was $15.1 million, a decrease of $1.5 million year-over-year. Net loss for the first quarter of 2025 included $7.3 million of stock-based compensation, $1.5 million of payroll tax expense related to stock-based compensation, $4.2 million of depreciation and amortization expense and $1.5 million in restructuring charges.</w:t>
      </w:r>
    </w:p>
    <w:p>
      <w:pPr>
        <w:spacing w:after="0" w:line="66" w:lineRule="exact"/>
        <w:rPr>
          <w:rFonts w:ascii="Times New Roman" w:cs="Times New Roman" w:eastAsia="Times New Roman" w:hAnsi="Times New Roman"/>
          <w:sz w:val="20"/>
          <w:szCs w:val="20"/>
          <w:color w:val="auto"/>
        </w:rPr>
      </w:pPr>
    </w:p>
    <w:p>
      <w:pPr>
        <w:ind w:left="1020" w:right="280" w:hanging="503"/>
        <w:spacing w:after="0" w:line="256"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Adjusted EBITDA for the first quarter of 2025 was a profit of $0.1 million, reflecting an improvement of $7.5 million year-over-year.</w:t>
      </w:r>
    </w:p>
    <w:p>
      <w:pPr>
        <w:spacing w:after="0" w:line="48" w:lineRule="exact"/>
        <w:rPr>
          <w:rFonts w:ascii="Times New Roman" w:cs="Times New Roman" w:eastAsia="Times New Roman" w:hAnsi="Times New Roman"/>
          <w:sz w:val="20"/>
          <w:szCs w:val="20"/>
          <w:color w:val="auto"/>
        </w:rPr>
      </w:pPr>
    </w:p>
    <w:p>
      <w:pPr>
        <w:ind w:left="1020" w:right="300" w:hanging="503"/>
        <w:spacing w:after="0" w:line="256"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Non-GAAP net income for the first quarter of 2025 was $0.8 million, as compared to a Non-GAAP net loss of $5.7 million in the first quarter of 2024.</w:t>
      </w:r>
    </w:p>
    <w:p>
      <w:pPr>
        <w:spacing w:after="0" w:line="48" w:lineRule="exact"/>
        <w:rPr>
          <w:rFonts w:ascii="Times New Roman" w:cs="Times New Roman" w:eastAsia="Times New Roman" w:hAnsi="Times New Roman"/>
          <w:sz w:val="20"/>
          <w:szCs w:val="20"/>
          <w:color w:val="auto"/>
        </w:rPr>
      </w:pPr>
    </w:p>
    <w:p>
      <w:pPr>
        <w:ind w:left="1020" w:hanging="503"/>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Cash, cash equivalents and marketable securities were $231 million as of March 31, 2025.</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First Quarter 2025 Business Highlights</w:t>
      </w:r>
    </w:p>
    <w:p>
      <w:pPr>
        <w:spacing w:after="0" w:line="96" w:lineRule="exact"/>
        <w:rPr>
          <w:sz w:val="20"/>
          <w:szCs w:val="20"/>
          <w:color w:val="auto"/>
        </w:rPr>
      </w:pPr>
    </w:p>
    <w:p>
      <w:pPr>
        <w:ind w:left="1020" w:right="400" w:hanging="503"/>
        <w:spacing w:after="0" w:line="256" w:lineRule="auto"/>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Xometry EU launched Instant Quoting for Injection Molding, making it easier for customers to source high quality parts across dozens of materials and finishes.</w:t>
      </w:r>
    </w:p>
    <w:p>
      <w:pPr>
        <w:spacing w:after="0" w:line="48" w:lineRule="exact"/>
        <w:rPr>
          <w:rFonts w:ascii="Times New Roman" w:cs="Times New Roman" w:eastAsia="Times New Roman" w:hAnsi="Times New Roman"/>
          <w:sz w:val="20"/>
          <w:szCs w:val="20"/>
          <w:color w:val="auto"/>
        </w:rPr>
      </w:pPr>
    </w:p>
    <w:p>
      <w:pPr>
        <w:ind w:left="1020" w:right="200" w:hanging="503"/>
        <w:spacing w:after="0" w:line="236" w:lineRule="auto"/>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Achieved Cybersecurity Maturity Model Certification (CMMC Level 2), for adherence to cybersecurity and information security standards for the aerospace and defense industries. CMMC Level 2 certification demonstrates Xometry’s industry leadership, and reinforces our position as a trusted partner for domestic aerospace companies, defense agencies, and other organizations.</w:t>
      </w:r>
    </w:p>
    <w:p>
      <w:pPr>
        <w:spacing w:after="0" w:line="66" w:lineRule="exact"/>
        <w:rPr>
          <w:rFonts w:ascii="Times New Roman" w:cs="Times New Roman" w:eastAsia="Times New Roman" w:hAnsi="Times New Roman"/>
          <w:sz w:val="20"/>
          <w:szCs w:val="20"/>
          <w:color w:val="auto"/>
        </w:rPr>
      </w:pPr>
    </w:p>
    <w:p>
      <w:pPr>
        <w:ind w:left="1020" w:right="680" w:hanging="503"/>
        <w:spacing w:after="0" w:line="283" w:lineRule="auto"/>
        <w:tabs>
          <w:tab w:leader="none" w:pos="1020" w:val="left"/>
        </w:tabs>
        <w:numPr>
          <w:ilvl w:val="0"/>
          <w:numId w:val="4"/>
        </w:numPr>
        <w:rPr>
          <w:rFonts w:ascii="Times New Roman" w:cs="Times New Roman" w:eastAsia="Times New Roman" w:hAnsi="Times New Roman"/>
          <w:sz w:val="19"/>
          <w:szCs w:val="19"/>
          <w:color w:val="auto"/>
        </w:rPr>
      </w:pPr>
      <w:r>
        <w:rPr>
          <w:rFonts w:ascii="Arial" w:cs="Arial" w:eastAsia="Arial" w:hAnsi="Arial"/>
          <w:sz w:val="19"/>
          <w:szCs w:val="19"/>
          <w:color w:val="auto"/>
        </w:rPr>
        <w:t>Launched Partner Success Score (PSS) 3.0, enhancing our sourcing algorithm by integrating comprehensive performance data, enabling automated job access controls and driving greater supplier engagement.</w:t>
      </w:r>
    </w:p>
    <w:p>
      <w:pPr>
        <w:spacing w:after="0" w:line="23" w:lineRule="exact"/>
        <w:rPr>
          <w:rFonts w:ascii="Times New Roman" w:cs="Times New Roman" w:eastAsia="Times New Roman" w:hAnsi="Times New Roman"/>
          <w:sz w:val="19"/>
          <w:szCs w:val="19"/>
          <w:color w:val="auto"/>
        </w:rPr>
      </w:pPr>
    </w:p>
    <w:p>
      <w:pPr>
        <w:ind w:left="1020" w:right="100" w:hanging="503"/>
        <w:spacing w:after="0" w:line="256" w:lineRule="auto"/>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Significantly improved Workcenter’s speed and usability. Key updates include streamlined navigation and enhanced job board experience, leading to a smoother workflow for our suppliers.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250190</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77" w:lineRule="exact"/>
        <w:rPr>
          <w:sz w:val="20"/>
          <w:szCs w:val="20"/>
          <w:color w:val="auto"/>
        </w:rPr>
      </w:pPr>
    </w:p>
    <w:p>
      <w:pPr>
        <w:jc w:val="center"/>
        <w:ind w:right="-59"/>
        <w:spacing w:after="0"/>
        <w:rPr>
          <w:sz w:val="20"/>
          <w:szCs w:val="20"/>
          <w:color w:val="auto"/>
        </w:rPr>
      </w:pPr>
      <w:r>
        <w:rPr>
          <w:rFonts w:ascii="Arial" w:cs="Arial" w:eastAsia="Arial" w:hAnsi="Arial"/>
          <w:sz w:val="20"/>
          <w:szCs w:val="20"/>
          <w:b w:val="1"/>
          <w:bCs w:val="1"/>
          <w:color w:val="auto"/>
        </w:rPr>
        <w:t>Financial Summary</w:t>
      </w:r>
    </w:p>
    <w:p>
      <w:pPr>
        <w:jc w:val="center"/>
        <w:spacing w:after="0" w:line="231" w:lineRule="auto"/>
        <w:rPr>
          <w:sz w:val="20"/>
          <w:szCs w:val="20"/>
          <w:color w:val="auto"/>
        </w:rPr>
      </w:pPr>
      <w:r>
        <w:rPr>
          <w:rFonts w:ascii="Arial" w:cs="Arial" w:eastAsia="Arial" w:hAnsi="Arial"/>
          <w:sz w:val="20"/>
          <w:szCs w:val="20"/>
          <w:b w:val="1"/>
          <w:bCs w:val="1"/>
          <w:color w:val="auto"/>
        </w:rPr>
        <w:t>(In thousands, except per share amounts)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(Unaudited)</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5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40" w:type="dxa"/>
            <w:vAlign w:val="bottom"/>
            <w:gridSpan w:val="5"/>
          </w:tcPr>
          <w:p>
            <w:pPr>
              <w:jc w:val="right"/>
              <w:ind w:right="380"/>
              <w:spacing w:after="0"/>
              <w:rPr>
                <w:sz w:val="20"/>
                <w:szCs w:val="20"/>
                <w:color w:val="auto"/>
              </w:rPr>
            </w:pPr>
            <w:r>
              <w:rPr>
                <w:rFonts w:ascii="Arial" w:cs="Arial" w:eastAsia="Arial" w:hAnsi="Arial"/>
                <w:sz w:val="16"/>
                <w:szCs w:val="16"/>
                <w:b w:val="1"/>
                <w:bCs w:val="1"/>
                <w:color w:val="auto"/>
              </w:rPr>
              <w:t>For the Three Months</w:t>
            </w:r>
          </w:p>
        </w:tc>
        <w:tc>
          <w:tcPr>
            <w:tcW w:w="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5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1960" w:type="dxa"/>
            <w:vAlign w:val="bottom"/>
            <w:tcBorders>
              <w:bottom w:val="single" w:sz="8" w:color="auto"/>
            </w:tcBorders>
            <w:gridSpan w:val="4"/>
          </w:tcPr>
          <w:p>
            <w:pPr>
              <w:jc w:val="right"/>
              <w:ind w:right="560"/>
              <w:spacing w:after="0"/>
              <w:rPr>
                <w:sz w:val="20"/>
                <w:szCs w:val="20"/>
                <w:color w:val="auto"/>
              </w:rPr>
            </w:pPr>
            <w:r>
              <w:rPr>
                <w:rFonts w:ascii="Arial" w:cs="Arial" w:eastAsia="Arial" w:hAnsi="Arial"/>
                <w:sz w:val="16"/>
                <w:szCs w:val="16"/>
                <w:b w:val="1"/>
                <w:bCs w:val="1"/>
                <w:color w:val="auto"/>
              </w:rPr>
              <w:t>Ended March 31,</w:t>
            </w:r>
          </w:p>
        </w:tc>
        <w:tc>
          <w:tcPr>
            <w:tcW w:w="640" w:type="dxa"/>
            <w:vAlign w:val="bottom"/>
            <w:tcBorders>
              <w:bottom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1360" w:type="dxa"/>
            <w:vAlign w:val="bottom"/>
            <w:gridSpan w:val="2"/>
            <w:vMerge w:val="restart"/>
          </w:tcPr>
          <w:p>
            <w:pPr>
              <w:jc w:val="right"/>
              <w:ind w:right="400"/>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183"/>
        </w:trPr>
        <w:tc>
          <w:tcPr>
            <w:tcW w:w="5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2025</w:t>
            </w: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right"/>
              <w:ind w:right="40"/>
              <w:spacing w:after="0" w:line="183" w:lineRule="exact"/>
              <w:rPr>
                <w:sz w:val="20"/>
                <w:szCs w:val="20"/>
                <w:color w:val="auto"/>
              </w:rPr>
            </w:pPr>
            <w:r>
              <w:rPr>
                <w:rFonts w:ascii="Arial" w:cs="Arial" w:eastAsia="Arial" w:hAnsi="Arial"/>
                <w:sz w:val="16"/>
                <w:szCs w:val="16"/>
                <w:b w:val="1"/>
                <w:bCs w:val="1"/>
                <w:color w:val="auto"/>
              </w:rPr>
              <w:t>2024</w:t>
            </w: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7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7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Consolidated</w:t>
            </w:r>
          </w:p>
        </w:tc>
        <w:tc>
          <w:tcPr>
            <w:tcW w:w="24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tcPr>
          <w:p>
            <w:pPr>
              <w:spacing w:after="0"/>
              <w:rPr>
                <w:sz w:val="20"/>
                <w:szCs w:val="20"/>
                <w:color w:val="auto"/>
              </w:rPr>
            </w:pPr>
            <w:r>
              <w:rPr>
                <w:rFonts w:ascii="Arial" w:cs="Arial" w:eastAsia="Arial" w:hAnsi="Arial"/>
                <w:sz w:val="16"/>
                <w:szCs w:val="16"/>
                <w:color w:val="auto"/>
              </w:rPr>
              <w:t>Revenue</w:t>
            </w:r>
          </w:p>
        </w:tc>
        <w:tc>
          <w:tcPr>
            <w:tcW w:w="1320" w:type="dxa"/>
            <w:vAlign w:val="bottom"/>
            <w:gridSpan w:val="2"/>
          </w:tcPr>
          <w:p>
            <w:pPr>
              <w:jc w:val="right"/>
              <w:ind w:right="91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150,971</w:t>
            </w:r>
          </w:p>
        </w:tc>
        <w:tc>
          <w:tcPr>
            <w:tcW w:w="200" w:type="dxa"/>
            <w:vAlign w:val="bottom"/>
          </w:tcPr>
          <w:p>
            <w:pPr>
              <w:spacing w:after="0"/>
              <w:rPr>
                <w:sz w:val="16"/>
                <w:szCs w:val="16"/>
                <w:color w:val="auto"/>
              </w:rPr>
            </w:pPr>
          </w:p>
        </w:tc>
        <w:tc>
          <w:tcPr>
            <w:tcW w:w="1120" w:type="dxa"/>
            <w:vAlign w:val="bottom"/>
            <w:gridSpan w:val="2"/>
          </w:tcPr>
          <w:p>
            <w:pPr>
              <w:jc w:val="right"/>
              <w:ind w:right="96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122,690</w:t>
            </w:r>
          </w:p>
        </w:tc>
        <w:tc>
          <w:tcPr>
            <w:tcW w:w="260" w:type="dxa"/>
            <w:vAlign w:val="bottom"/>
          </w:tcPr>
          <w:p>
            <w:pPr>
              <w:spacing w:after="0"/>
              <w:rPr>
                <w:sz w:val="16"/>
                <w:szCs w:val="16"/>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89"/>
        </w:trPr>
        <w:tc>
          <w:tcPr>
            <w:tcW w:w="5700" w:type="dxa"/>
            <w:vAlign w:val="bottom"/>
            <w:shd w:val="clear" w:color="auto" w:fill="CFF0FC"/>
          </w:tcPr>
          <w:p>
            <w:pPr>
              <w:spacing w:after="0"/>
              <w:rPr>
                <w:sz w:val="20"/>
                <w:szCs w:val="20"/>
                <w:color w:val="auto"/>
              </w:rPr>
            </w:pPr>
            <w:r>
              <w:rPr>
                <w:rFonts w:ascii="Arial" w:cs="Arial" w:eastAsia="Arial" w:hAnsi="Arial"/>
                <w:sz w:val="16"/>
                <w:szCs w:val="16"/>
                <w:color w:val="auto"/>
              </w:rPr>
              <w:t>Gross profit</w:t>
            </w:r>
          </w:p>
        </w:tc>
        <w:tc>
          <w:tcPr>
            <w:tcW w:w="24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56,331</w:t>
            </w: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47,902</w:t>
            </w:r>
          </w:p>
        </w:tc>
        <w:tc>
          <w:tcPr>
            <w:tcW w:w="26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18%</w:t>
            </w:r>
          </w:p>
        </w:tc>
        <w:tc>
          <w:tcPr>
            <w:tcW w:w="0" w:type="dxa"/>
            <w:vAlign w:val="bottom"/>
          </w:tcPr>
          <w:p>
            <w:pPr>
              <w:spacing w:after="0"/>
              <w:rPr>
                <w:sz w:val="1"/>
                <w:szCs w:val="1"/>
                <w:color w:val="auto"/>
              </w:rPr>
            </w:pPr>
          </w:p>
        </w:tc>
      </w:tr>
      <w:tr>
        <w:trPr>
          <w:trHeight w:val="189"/>
        </w:trPr>
        <w:tc>
          <w:tcPr>
            <w:tcW w:w="5700" w:type="dxa"/>
            <w:vAlign w:val="bottom"/>
          </w:tcPr>
          <w:p>
            <w:pPr>
              <w:spacing w:after="0"/>
              <w:rPr>
                <w:sz w:val="20"/>
                <w:szCs w:val="20"/>
                <w:color w:val="auto"/>
              </w:rPr>
            </w:pPr>
            <w:r>
              <w:rPr>
                <w:rFonts w:ascii="Arial" w:cs="Arial" w:eastAsia="Arial" w:hAnsi="Arial"/>
                <w:sz w:val="16"/>
                <w:szCs w:val="16"/>
                <w:color w:val="auto"/>
              </w:rPr>
              <w:t>Net loss attributable to common stockholders</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6"/>
                <w:szCs w:val="16"/>
                <w:color w:val="auto"/>
              </w:rPr>
              <w:t>(15,078)</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(16,616)</w:t>
            </w: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89"/>
        </w:trPr>
        <w:tc>
          <w:tcPr>
            <w:tcW w:w="5700" w:type="dxa"/>
            <w:vAlign w:val="bottom"/>
            <w:shd w:val="clear" w:color="auto" w:fill="CFF0FC"/>
          </w:tcPr>
          <w:p>
            <w:pPr>
              <w:spacing w:after="0"/>
              <w:rPr>
                <w:sz w:val="20"/>
                <w:szCs w:val="20"/>
                <w:color w:val="auto"/>
              </w:rPr>
            </w:pPr>
            <w:r>
              <w:rPr>
                <w:rFonts w:ascii="Arial" w:cs="Arial" w:eastAsia="Arial" w:hAnsi="Arial"/>
                <w:sz w:val="16"/>
                <w:szCs w:val="16"/>
                <w:color w:val="auto"/>
              </w:rPr>
              <w:t>EPS, basic and diluted, of Class A and Class B common stock</w:t>
            </w:r>
          </w:p>
        </w:tc>
        <w:tc>
          <w:tcPr>
            <w:tcW w:w="24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40"/>
              <w:spacing w:after="0"/>
              <w:rPr>
                <w:sz w:val="20"/>
                <w:szCs w:val="20"/>
                <w:color w:val="auto"/>
              </w:rPr>
            </w:pPr>
            <w:r>
              <w:rPr>
                <w:rFonts w:ascii="Arial" w:cs="Arial" w:eastAsia="Arial" w:hAnsi="Arial"/>
                <w:sz w:val="16"/>
                <w:szCs w:val="16"/>
                <w:color w:val="auto"/>
              </w:rPr>
              <w:t>(0.30)</w:t>
            </w:r>
          </w:p>
        </w:tc>
        <w:tc>
          <w:tcPr>
            <w:tcW w:w="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(0.34)</w:t>
            </w: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r>
        <w:trPr>
          <w:trHeight w:val="189"/>
        </w:trPr>
        <w:tc>
          <w:tcPr>
            <w:tcW w:w="5700" w:type="dxa"/>
            <w:vAlign w:val="bottom"/>
          </w:tcPr>
          <w:p>
            <w:pPr>
              <w:spacing w:after="0" w:line="189" w:lineRule="exact"/>
              <w:rPr>
                <w:sz w:val="20"/>
                <w:szCs w:val="20"/>
                <w:color w:val="auto"/>
              </w:rPr>
            </w:pPr>
            <w:r>
              <w:rPr>
                <w:rFonts w:ascii="Arial" w:cs="Arial" w:eastAsia="Arial" w:hAnsi="Arial"/>
                <w:sz w:val="16"/>
                <w:szCs w:val="16"/>
                <w:color w:val="auto"/>
              </w:rPr>
              <w:t>Adjusted EBITDA</w:t>
            </w:r>
            <w:r>
              <w:rPr>
                <w:rFonts w:ascii="Arial" w:cs="Arial" w:eastAsia="Arial" w:hAnsi="Arial"/>
                <w:sz w:val="21"/>
                <w:szCs w:val="21"/>
                <w:color w:val="auto"/>
                <w:vertAlign w:val="superscript"/>
              </w:rPr>
              <w:t>(1)</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78</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(7,459)</w:t>
            </w: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101%</w:t>
            </w:r>
          </w:p>
        </w:tc>
        <w:tc>
          <w:tcPr>
            <w:tcW w:w="0" w:type="dxa"/>
            <w:vAlign w:val="bottom"/>
          </w:tcPr>
          <w:p>
            <w:pPr>
              <w:spacing w:after="0"/>
              <w:rPr>
                <w:sz w:val="1"/>
                <w:szCs w:val="1"/>
                <w:color w:val="auto"/>
              </w:rPr>
            </w:pPr>
          </w:p>
        </w:tc>
      </w:tr>
      <w:tr>
        <w:trPr>
          <w:trHeight w:val="189"/>
        </w:trPr>
        <w:tc>
          <w:tcPr>
            <w:tcW w:w="5700" w:type="dxa"/>
            <w:vAlign w:val="bottom"/>
            <w:shd w:val="clear" w:color="auto" w:fill="CFF0FC"/>
          </w:tcPr>
          <w:p>
            <w:pPr>
              <w:spacing w:after="0" w:line="189" w:lineRule="exact"/>
              <w:rPr>
                <w:sz w:val="20"/>
                <w:szCs w:val="20"/>
                <w:color w:val="auto"/>
              </w:rPr>
            </w:pPr>
            <w:r>
              <w:rPr>
                <w:rFonts w:ascii="Arial" w:cs="Arial" w:eastAsia="Arial" w:hAnsi="Arial"/>
                <w:sz w:val="16"/>
                <w:szCs w:val="16"/>
                <w:color w:val="auto"/>
              </w:rPr>
              <w:t>Non-GAAP net income (loss)</w:t>
            </w:r>
            <w:r>
              <w:rPr>
                <w:rFonts w:ascii="Arial" w:cs="Arial" w:eastAsia="Arial" w:hAnsi="Arial"/>
                <w:sz w:val="21"/>
                <w:szCs w:val="21"/>
                <w:color w:val="auto"/>
                <w:vertAlign w:val="superscript"/>
              </w:rPr>
              <w:t>(1)</w:t>
            </w:r>
          </w:p>
        </w:tc>
        <w:tc>
          <w:tcPr>
            <w:tcW w:w="24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828</w:t>
            </w: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200"/>
              <w:spacing w:after="0"/>
              <w:rPr>
                <w:sz w:val="20"/>
                <w:szCs w:val="20"/>
                <w:color w:val="auto"/>
              </w:rPr>
            </w:pPr>
            <w:r>
              <w:rPr>
                <w:rFonts w:ascii="Arial" w:cs="Arial" w:eastAsia="Arial" w:hAnsi="Arial"/>
                <w:sz w:val="16"/>
                <w:szCs w:val="16"/>
                <w:color w:val="auto"/>
              </w:rPr>
              <w:t>(5,742)</w:t>
            </w:r>
          </w:p>
        </w:tc>
        <w:tc>
          <w:tcPr>
            <w:tcW w:w="136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114%</w:t>
            </w:r>
          </w:p>
        </w:tc>
        <w:tc>
          <w:tcPr>
            <w:tcW w:w="0" w:type="dxa"/>
            <w:vAlign w:val="bottom"/>
          </w:tcPr>
          <w:p>
            <w:pPr>
              <w:spacing w:after="0"/>
              <w:rPr>
                <w:sz w:val="1"/>
                <w:szCs w:val="1"/>
                <w:color w:val="auto"/>
              </w:rPr>
            </w:pPr>
          </w:p>
        </w:tc>
      </w:tr>
      <w:tr>
        <w:trPr>
          <w:trHeight w:val="290"/>
        </w:trPr>
        <w:tc>
          <w:tcPr>
            <w:tcW w:w="5700" w:type="dxa"/>
            <w:vAlign w:val="bottom"/>
          </w:tcPr>
          <w:p>
            <w:pPr>
              <w:spacing w:after="0"/>
              <w:rPr>
                <w:sz w:val="20"/>
                <w:szCs w:val="20"/>
                <w:color w:val="auto"/>
              </w:rPr>
            </w:pPr>
            <w:r>
              <w:rPr>
                <w:rFonts w:ascii="Arial" w:cs="Arial" w:eastAsia="Arial" w:hAnsi="Arial"/>
                <w:sz w:val="16"/>
                <w:szCs w:val="16"/>
                <w:color w:val="auto"/>
              </w:rPr>
              <w:t>Non-GAAP EPS, basic and diluted</w:t>
            </w:r>
            <w:r>
              <w:rPr>
                <w:rFonts w:ascii="Arial" w:cs="Arial" w:eastAsia="Arial" w:hAnsi="Arial"/>
                <w:sz w:val="21"/>
                <w:szCs w:val="21"/>
                <w:color w:val="auto"/>
                <w:vertAlign w:val="superscript"/>
              </w:rPr>
              <w:t>(1)</w:t>
            </w:r>
            <w:r>
              <w:rPr>
                <w:rFonts w:ascii="Arial" w:cs="Arial" w:eastAsia="Arial" w:hAnsi="Arial"/>
                <w:sz w:val="16"/>
                <w:szCs w:val="16"/>
                <w:color w:val="auto"/>
              </w:rPr>
              <w:t>, of Class A and Class B common stock</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0.02</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(0.12)</w:t>
            </w: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117%</w:t>
            </w:r>
          </w:p>
        </w:tc>
        <w:tc>
          <w:tcPr>
            <w:tcW w:w="0" w:type="dxa"/>
            <w:vAlign w:val="bottom"/>
          </w:tcPr>
          <w:p>
            <w:pPr>
              <w:spacing w:after="0"/>
              <w:rPr>
                <w:sz w:val="1"/>
                <w:szCs w:val="1"/>
                <w:color w:val="auto"/>
              </w:rPr>
            </w:pPr>
          </w:p>
        </w:tc>
      </w:tr>
      <w:tr>
        <w:trPr>
          <w:trHeight w:val="88"/>
        </w:trPr>
        <w:tc>
          <w:tcPr>
            <w:tcW w:w="5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57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Marketplace</w:t>
            </w:r>
          </w:p>
        </w:tc>
        <w:tc>
          <w:tcPr>
            <w:tcW w:w="240" w:type="dxa"/>
            <w:vAlign w:val="bottom"/>
            <w:shd w:val="clear" w:color="auto" w:fill="CFF0FC"/>
          </w:tcPr>
          <w:p>
            <w:pPr>
              <w:spacing w:after="0"/>
              <w:rPr>
                <w:sz w:val="16"/>
                <w:szCs w:val="16"/>
                <w:color w:val="auto"/>
              </w:rPr>
            </w:pPr>
          </w:p>
        </w:tc>
        <w:tc>
          <w:tcPr>
            <w:tcW w:w="10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tcPr>
          <w:p>
            <w:pPr>
              <w:spacing w:after="0"/>
              <w:rPr>
                <w:sz w:val="20"/>
                <w:szCs w:val="20"/>
                <w:color w:val="auto"/>
              </w:rPr>
            </w:pPr>
            <w:r>
              <w:rPr>
                <w:rFonts w:ascii="Arial" w:cs="Arial" w:eastAsia="Arial" w:hAnsi="Arial"/>
                <w:sz w:val="16"/>
                <w:szCs w:val="16"/>
                <w:color w:val="auto"/>
              </w:rPr>
              <w:t>Revenue</w:t>
            </w:r>
          </w:p>
        </w:tc>
        <w:tc>
          <w:tcPr>
            <w:tcW w:w="1320" w:type="dxa"/>
            <w:vAlign w:val="bottom"/>
            <w:gridSpan w:val="2"/>
          </w:tcPr>
          <w:p>
            <w:pPr>
              <w:jc w:val="right"/>
              <w:ind w:right="91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136,353</w:t>
            </w:r>
          </w:p>
        </w:tc>
        <w:tc>
          <w:tcPr>
            <w:tcW w:w="200" w:type="dxa"/>
            <w:vAlign w:val="bottom"/>
          </w:tcPr>
          <w:p>
            <w:pPr>
              <w:spacing w:after="0"/>
              <w:rPr>
                <w:sz w:val="16"/>
                <w:szCs w:val="16"/>
                <w:color w:val="auto"/>
              </w:rPr>
            </w:pPr>
          </w:p>
        </w:tc>
        <w:tc>
          <w:tcPr>
            <w:tcW w:w="1120" w:type="dxa"/>
            <w:vAlign w:val="bottom"/>
            <w:gridSpan w:val="2"/>
          </w:tcPr>
          <w:p>
            <w:pPr>
              <w:jc w:val="right"/>
              <w:ind w:right="96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107,186</w:t>
            </w:r>
          </w:p>
        </w:tc>
        <w:tc>
          <w:tcPr>
            <w:tcW w:w="260" w:type="dxa"/>
            <w:vAlign w:val="bottom"/>
          </w:tcPr>
          <w:p>
            <w:pPr>
              <w:spacing w:after="0"/>
              <w:rPr>
                <w:sz w:val="16"/>
                <w:szCs w:val="16"/>
                <w:color w:val="auto"/>
              </w:rPr>
            </w:pP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189"/>
        </w:trPr>
        <w:tc>
          <w:tcPr>
            <w:tcW w:w="57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6"/>
                <w:szCs w:val="16"/>
                <w:color w:val="auto"/>
              </w:rPr>
              <w:t>Cost of revenue</w:t>
            </w:r>
          </w:p>
        </w:tc>
        <w:tc>
          <w:tcPr>
            <w:tcW w:w="240" w:type="dxa"/>
            <w:vAlign w:val="bottom"/>
            <w:tcBorders>
              <w:bottom w:val="single" w:sz="8" w:color="CFF0FC"/>
            </w:tcBorders>
            <w:shd w:val="clear" w:color="auto" w:fill="CFF0FC"/>
          </w:tcPr>
          <w:p>
            <w:pPr>
              <w:spacing w:after="0"/>
              <w:rPr>
                <w:sz w:val="16"/>
                <w:szCs w:val="16"/>
                <w:color w:val="auto"/>
              </w:rPr>
            </w:pPr>
          </w:p>
        </w:tc>
        <w:tc>
          <w:tcPr>
            <w:tcW w:w="108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93,046</w:t>
            </w:r>
          </w:p>
        </w:tc>
        <w:tc>
          <w:tcPr>
            <w:tcW w:w="200" w:type="dxa"/>
            <w:vAlign w:val="bottom"/>
            <w:tcBorders>
              <w:bottom w:val="single" w:sz="8" w:color="CFF0FC"/>
            </w:tcBorders>
            <w:shd w:val="clear" w:color="auto" w:fill="CFF0FC"/>
          </w:tcPr>
          <w:p>
            <w:pPr>
              <w:spacing w:after="0"/>
              <w:rPr>
                <w:sz w:val="16"/>
                <w:szCs w:val="16"/>
                <w:color w:val="auto"/>
              </w:rPr>
            </w:pPr>
          </w:p>
        </w:tc>
        <w:tc>
          <w:tcPr>
            <w:tcW w:w="80" w:type="dxa"/>
            <w:vAlign w:val="bottom"/>
            <w:tcBorders>
              <w:bottom w:val="single" w:sz="8" w:color="CFF0FC"/>
            </w:tcBorders>
            <w:shd w:val="clear" w:color="auto" w:fill="CFF0FC"/>
          </w:tcPr>
          <w:p>
            <w:pPr>
              <w:spacing w:after="0"/>
              <w:rPr>
                <w:sz w:val="16"/>
                <w:szCs w:val="16"/>
                <w:color w:val="auto"/>
              </w:rPr>
            </w:pPr>
          </w:p>
        </w:tc>
        <w:tc>
          <w:tcPr>
            <w:tcW w:w="1040" w:type="dxa"/>
            <w:vAlign w:val="bottom"/>
            <w:tcBorders>
              <w:bottom w:val="single" w:sz="8" w:color="auto"/>
            </w:tcBorders>
            <w:shd w:val="clear" w:color="auto" w:fill="CFF0FC"/>
          </w:tcPr>
          <w:p>
            <w:pPr>
              <w:spacing w:after="0"/>
              <w:rPr>
                <w:sz w:val="16"/>
                <w:szCs w:val="16"/>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72,907</w:t>
            </w:r>
          </w:p>
        </w:tc>
        <w:tc>
          <w:tcPr>
            <w:tcW w:w="260" w:type="dxa"/>
            <w:vAlign w:val="bottom"/>
            <w:tcBorders>
              <w:bottom w:val="single" w:sz="8" w:color="CFF0FC"/>
            </w:tcBorders>
            <w:shd w:val="clear" w:color="auto" w:fill="CFF0FC"/>
          </w:tcPr>
          <w:p>
            <w:pPr>
              <w:spacing w:after="0"/>
              <w:rPr>
                <w:sz w:val="16"/>
                <w:szCs w:val="16"/>
                <w:color w:val="auto"/>
              </w:rPr>
            </w:pPr>
          </w:p>
        </w:tc>
        <w:tc>
          <w:tcPr>
            <w:tcW w:w="136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28%</w:t>
            </w:r>
          </w:p>
        </w:tc>
        <w:tc>
          <w:tcPr>
            <w:tcW w:w="0" w:type="dxa"/>
            <w:vAlign w:val="bottom"/>
          </w:tcPr>
          <w:p>
            <w:pPr>
              <w:spacing w:after="0"/>
              <w:rPr>
                <w:sz w:val="1"/>
                <w:szCs w:val="1"/>
                <w:color w:val="auto"/>
              </w:rPr>
            </w:pPr>
          </w:p>
        </w:tc>
      </w:tr>
      <w:tr>
        <w:trPr>
          <w:trHeight w:val="183"/>
        </w:trPr>
        <w:tc>
          <w:tcPr>
            <w:tcW w:w="5700" w:type="dxa"/>
            <w:vAlign w:val="bottom"/>
          </w:tcPr>
          <w:p>
            <w:pPr>
              <w:spacing w:after="0" w:line="169" w:lineRule="exact"/>
              <w:rPr>
                <w:sz w:val="20"/>
                <w:szCs w:val="20"/>
                <w:color w:val="auto"/>
              </w:rPr>
            </w:pPr>
            <w:r>
              <w:rPr>
                <w:rFonts w:ascii="Arial" w:cs="Arial" w:eastAsia="Arial" w:hAnsi="Arial"/>
                <w:sz w:val="16"/>
                <w:szCs w:val="16"/>
                <w:color w:val="auto"/>
              </w:rPr>
              <w:t>Gross Profit</w:t>
            </w:r>
          </w:p>
        </w:tc>
        <w:tc>
          <w:tcPr>
            <w:tcW w:w="1320" w:type="dxa"/>
            <w:vAlign w:val="bottom"/>
            <w:gridSpan w:val="2"/>
          </w:tcPr>
          <w:p>
            <w:pPr>
              <w:jc w:val="right"/>
              <w:ind w:right="919"/>
              <w:spacing w:after="0" w:line="169" w:lineRule="exact"/>
              <w:rPr>
                <w:sz w:val="20"/>
                <w:szCs w:val="20"/>
                <w:color w:val="auto"/>
              </w:rPr>
            </w:pPr>
            <w:r>
              <w:rPr>
                <w:rFonts w:ascii="Arial" w:cs="Arial" w:eastAsia="Arial" w:hAnsi="Arial"/>
                <w:sz w:val="16"/>
                <w:szCs w:val="16"/>
                <w:color w:val="auto"/>
              </w:rPr>
              <w:t>$</w:t>
            </w:r>
          </w:p>
        </w:tc>
        <w:tc>
          <w:tcPr>
            <w:tcW w:w="640" w:type="dxa"/>
            <w:vAlign w:val="bottom"/>
          </w:tcPr>
          <w:p>
            <w:pPr>
              <w:jc w:val="right"/>
              <w:spacing w:after="0" w:line="169" w:lineRule="exact"/>
              <w:rPr>
                <w:sz w:val="20"/>
                <w:szCs w:val="20"/>
                <w:color w:val="auto"/>
              </w:rPr>
            </w:pPr>
            <w:r>
              <w:rPr>
                <w:rFonts w:ascii="Arial" w:cs="Arial" w:eastAsia="Arial" w:hAnsi="Arial"/>
                <w:sz w:val="16"/>
                <w:szCs w:val="16"/>
                <w:color w:val="auto"/>
              </w:rPr>
              <w:t>43,307</w:t>
            </w:r>
          </w:p>
        </w:tc>
        <w:tc>
          <w:tcPr>
            <w:tcW w:w="200" w:type="dxa"/>
            <w:vAlign w:val="bottom"/>
          </w:tcPr>
          <w:p>
            <w:pPr>
              <w:spacing w:after="0"/>
              <w:rPr>
                <w:sz w:val="15"/>
                <w:szCs w:val="15"/>
                <w:color w:val="auto"/>
              </w:rPr>
            </w:pPr>
          </w:p>
        </w:tc>
        <w:tc>
          <w:tcPr>
            <w:tcW w:w="1120" w:type="dxa"/>
            <w:vAlign w:val="bottom"/>
            <w:gridSpan w:val="2"/>
          </w:tcPr>
          <w:p>
            <w:pPr>
              <w:jc w:val="right"/>
              <w:ind w:right="960"/>
              <w:spacing w:after="0" w:line="169" w:lineRule="exact"/>
              <w:rPr>
                <w:sz w:val="20"/>
                <w:szCs w:val="20"/>
                <w:color w:val="auto"/>
              </w:rPr>
            </w:pPr>
            <w:r>
              <w:rPr>
                <w:rFonts w:ascii="Arial" w:cs="Arial" w:eastAsia="Arial" w:hAnsi="Arial"/>
                <w:sz w:val="16"/>
                <w:szCs w:val="16"/>
                <w:color w:val="auto"/>
              </w:rPr>
              <w:t>$</w:t>
            </w:r>
          </w:p>
        </w:tc>
        <w:tc>
          <w:tcPr>
            <w:tcW w:w="640" w:type="dxa"/>
            <w:vAlign w:val="bottom"/>
          </w:tcPr>
          <w:p>
            <w:pPr>
              <w:jc w:val="right"/>
              <w:spacing w:after="0" w:line="169" w:lineRule="exact"/>
              <w:rPr>
                <w:sz w:val="20"/>
                <w:szCs w:val="20"/>
                <w:color w:val="auto"/>
              </w:rPr>
            </w:pPr>
            <w:r>
              <w:rPr>
                <w:rFonts w:ascii="Arial" w:cs="Arial" w:eastAsia="Arial" w:hAnsi="Arial"/>
                <w:sz w:val="16"/>
                <w:szCs w:val="16"/>
                <w:color w:val="auto"/>
              </w:rPr>
              <w:t>34,279</w:t>
            </w:r>
          </w:p>
        </w:tc>
        <w:tc>
          <w:tcPr>
            <w:tcW w:w="260" w:type="dxa"/>
            <w:vAlign w:val="bottom"/>
          </w:tcPr>
          <w:p>
            <w:pPr>
              <w:spacing w:after="0"/>
              <w:rPr>
                <w:sz w:val="15"/>
                <w:szCs w:val="15"/>
                <w:color w:val="auto"/>
              </w:rPr>
            </w:pPr>
          </w:p>
        </w:tc>
        <w:tc>
          <w:tcPr>
            <w:tcW w:w="1360" w:type="dxa"/>
            <w:vAlign w:val="bottom"/>
            <w:gridSpan w:val="2"/>
          </w:tcPr>
          <w:p>
            <w:pPr>
              <w:jc w:val="right"/>
              <w:ind w:right="80"/>
              <w:spacing w:after="0" w:line="169" w:lineRule="exact"/>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700" w:type="dxa"/>
            <w:vAlign w:val="bottom"/>
            <w:shd w:val="clear" w:color="auto" w:fill="CFF0FC"/>
          </w:tcPr>
          <w:p>
            <w:pPr>
              <w:spacing w:after="0" w:line="170" w:lineRule="exact"/>
              <w:rPr>
                <w:sz w:val="20"/>
                <w:szCs w:val="20"/>
                <w:color w:val="auto"/>
              </w:rPr>
            </w:pPr>
            <w:r>
              <w:rPr>
                <w:rFonts w:ascii="Arial" w:cs="Arial" w:eastAsia="Arial" w:hAnsi="Arial"/>
                <w:sz w:val="16"/>
                <w:szCs w:val="16"/>
                <w:color w:val="auto"/>
              </w:rPr>
              <w:t>Gross Margin</w:t>
            </w:r>
          </w:p>
        </w:tc>
        <w:tc>
          <w:tcPr>
            <w:tcW w:w="240" w:type="dxa"/>
            <w:vAlign w:val="bottom"/>
            <w:shd w:val="clear" w:color="auto" w:fill="CFF0FC"/>
          </w:tcPr>
          <w:p>
            <w:pPr>
              <w:spacing w:after="0"/>
              <w:rPr>
                <w:sz w:val="14"/>
                <w:szCs w:val="14"/>
                <w:color w:val="auto"/>
              </w:rPr>
            </w:pPr>
          </w:p>
        </w:tc>
        <w:tc>
          <w:tcPr>
            <w:tcW w:w="1080" w:type="dxa"/>
            <w:vAlign w:val="bottom"/>
            <w:shd w:val="clear" w:color="auto" w:fill="CFF0FC"/>
          </w:tcPr>
          <w:p>
            <w:pPr>
              <w:spacing w:after="0"/>
              <w:rPr>
                <w:sz w:val="14"/>
                <w:szCs w:val="14"/>
                <w:color w:val="auto"/>
              </w:rPr>
            </w:pPr>
          </w:p>
        </w:tc>
        <w:tc>
          <w:tcPr>
            <w:tcW w:w="840" w:type="dxa"/>
            <w:vAlign w:val="bottom"/>
            <w:gridSpan w:val="2"/>
            <w:shd w:val="clear" w:color="auto" w:fill="CFF0FC"/>
          </w:tcPr>
          <w:p>
            <w:pPr>
              <w:jc w:val="right"/>
              <w:ind w:right="60"/>
              <w:spacing w:after="0" w:line="170" w:lineRule="exact"/>
              <w:rPr>
                <w:sz w:val="20"/>
                <w:szCs w:val="20"/>
                <w:color w:val="auto"/>
              </w:rPr>
            </w:pPr>
            <w:r>
              <w:rPr>
                <w:rFonts w:ascii="Arial" w:cs="Arial" w:eastAsia="Arial" w:hAnsi="Arial"/>
                <w:sz w:val="16"/>
                <w:szCs w:val="16"/>
                <w:color w:val="auto"/>
              </w:rPr>
              <w:t>31.8%</w:t>
            </w:r>
          </w:p>
        </w:tc>
        <w:tc>
          <w:tcPr>
            <w:tcW w:w="80" w:type="dxa"/>
            <w:vAlign w:val="bottom"/>
            <w:shd w:val="clear" w:color="auto" w:fill="CFF0FC"/>
          </w:tcPr>
          <w:p>
            <w:pPr>
              <w:spacing w:after="0"/>
              <w:rPr>
                <w:sz w:val="14"/>
                <w:szCs w:val="14"/>
                <w:color w:val="auto"/>
              </w:rPr>
            </w:pPr>
          </w:p>
        </w:tc>
        <w:tc>
          <w:tcPr>
            <w:tcW w:w="1040" w:type="dxa"/>
            <w:vAlign w:val="bottom"/>
            <w:shd w:val="clear" w:color="auto" w:fill="CFF0FC"/>
          </w:tcPr>
          <w:p>
            <w:pPr>
              <w:spacing w:after="0"/>
              <w:rPr>
                <w:sz w:val="14"/>
                <w:szCs w:val="14"/>
                <w:color w:val="auto"/>
              </w:rPr>
            </w:pPr>
          </w:p>
        </w:tc>
        <w:tc>
          <w:tcPr>
            <w:tcW w:w="900" w:type="dxa"/>
            <w:vAlign w:val="bottom"/>
            <w:gridSpan w:val="2"/>
            <w:shd w:val="clear" w:color="auto" w:fill="CFF0FC"/>
          </w:tcPr>
          <w:p>
            <w:pPr>
              <w:jc w:val="right"/>
              <w:ind w:right="120"/>
              <w:spacing w:after="0" w:line="170" w:lineRule="exact"/>
              <w:rPr>
                <w:sz w:val="20"/>
                <w:szCs w:val="20"/>
                <w:color w:val="auto"/>
              </w:rPr>
            </w:pPr>
            <w:r>
              <w:rPr>
                <w:rFonts w:ascii="Arial" w:cs="Arial" w:eastAsia="Arial" w:hAnsi="Arial"/>
                <w:sz w:val="16"/>
                <w:szCs w:val="16"/>
                <w:color w:val="auto"/>
              </w:rPr>
              <w:t>32.0%</w:t>
            </w:r>
          </w:p>
        </w:tc>
        <w:tc>
          <w:tcPr>
            <w:tcW w:w="1360" w:type="dxa"/>
            <w:vAlign w:val="bottom"/>
            <w:gridSpan w:val="2"/>
            <w:shd w:val="clear" w:color="auto" w:fill="CFF0FC"/>
          </w:tcPr>
          <w:p>
            <w:pPr>
              <w:jc w:val="right"/>
              <w:ind w:right="20"/>
              <w:spacing w:after="0" w:line="170" w:lineRule="exact"/>
              <w:rPr>
                <w:sz w:val="20"/>
                <w:szCs w:val="20"/>
                <w:color w:val="auto"/>
              </w:rPr>
            </w:pPr>
            <w:r>
              <w:rPr>
                <w:rFonts w:ascii="Arial" w:cs="Arial" w:eastAsia="Arial" w:hAnsi="Arial"/>
                <w:sz w:val="16"/>
                <w:szCs w:val="16"/>
                <w:color w:val="auto"/>
              </w:rPr>
              <w:t>(0.2)%</w:t>
            </w:r>
          </w:p>
        </w:tc>
        <w:tc>
          <w:tcPr>
            <w:tcW w:w="0" w:type="dxa"/>
            <w:vAlign w:val="bottom"/>
          </w:tcPr>
          <w:p>
            <w:pPr>
              <w:spacing w:after="0"/>
              <w:rPr>
                <w:sz w:val="1"/>
                <w:szCs w:val="1"/>
                <w:color w:val="auto"/>
              </w:rPr>
            </w:pPr>
          </w:p>
        </w:tc>
      </w:tr>
      <w:tr>
        <w:trPr>
          <w:trHeight w:val="378"/>
        </w:trPr>
        <w:tc>
          <w:tcPr>
            <w:tcW w:w="5700" w:type="dxa"/>
            <w:vAlign w:val="bottom"/>
          </w:tcPr>
          <w:p>
            <w:pPr>
              <w:spacing w:after="0"/>
              <w:rPr>
                <w:sz w:val="20"/>
                <w:szCs w:val="20"/>
                <w:color w:val="auto"/>
              </w:rPr>
            </w:pPr>
            <w:r>
              <w:rPr>
                <w:rFonts w:ascii="Arial" w:cs="Arial" w:eastAsia="Arial" w:hAnsi="Arial"/>
                <w:sz w:val="16"/>
                <w:szCs w:val="16"/>
                <w:b w:val="1"/>
                <w:bCs w:val="1"/>
                <w:color w:val="auto"/>
              </w:rPr>
              <w:t>Supplier services</w:t>
            </w: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700" w:type="dxa"/>
            <w:vAlign w:val="bottom"/>
            <w:shd w:val="clear" w:color="auto" w:fill="CFF0FC"/>
          </w:tcPr>
          <w:p>
            <w:pPr>
              <w:spacing w:after="0"/>
              <w:rPr>
                <w:sz w:val="20"/>
                <w:szCs w:val="20"/>
                <w:color w:val="auto"/>
              </w:rPr>
            </w:pPr>
            <w:r>
              <w:rPr>
                <w:rFonts w:ascii="Arial" w:cs="Arial" w:eastAsia="Arial" w:hAnsi="Arial"/>
                <w:sz w:val="16"/>
                <w:szCs w:val="16"/>
                <w:color w:val="auto"/>
              </w:rPr>
              <w:t>Revenue</w:t>
            </w:r>
          </w:p>
        </w:tc>
        <w:tc>
          <w:tcPr>
            <w:tcW w:w="1320" w:type="dxa"/>
            <w:vAlign w:val="bottom"/>
            <w:gridSpan w:val="2"/>
            <w:shd w:val="clear" w:color="auto" w:fill="CFF0FC"/>
          </w:tcPr>
          <w:p>
            <w:pPr>
              <w:jc w:val="right"/>
              <w:ind w:right="919"/>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14,618</w:t>
            </w:r>
          </w:p>
        </w:tc>
        <w:tc>
          <w:tcPr>
            <w:tcW w:w="200" w:type="dxa"/>
            <w:vAlign w:val="bottom"/>
            <w:shd w:val="clear" w:color="auto" w:fill="CFF0FC"/>
          </w:tcPr>
          <w:p>
            <w:pPr>
              <w:spacing w:after="0"/>
              <w:rPr>
                <w:sz w:val="16"/>
                <w:szCs w:val="16"/>
                <w:color w:val="auto"/>
              </w:rPr>
            </w:pPr>
          </w:p>
        </w:tc>
        <w:tc>
          <w:tcPr>
            <w:tcW w:w="1120" w:type="dxa"/>
            <w:vAlign w:val="bottom"/>
            <w:gridSpan w:val="2"/>
            <w:shd w:val="clear" w:color="auto" w:fill="CFF0FC"/>
          </w:tcPr>
          <w:p>
            <w:pPr>
              <w:jc w:val="right"/>
              <w:ind w:right="960"/>
              <w:spacing w:after="0"/>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15,504</w:t>
            </w:r>
          </w:p>
        </w:tc>
        <w:tc>
          <w:tcPr>
            <w:tcW w:w="260" w:type="dxa"/>
            <w:vAlign w:val="bottom"/>
            <w:shd w:val="clear" w:color="auto" w:fill="CFF0FC"/>
          </w:tcPr>
          <w:p>
            <w:pPr>
              <w:spacing w:after="0"/>
              <w:rPr>
                <w:sz w:val="16"/>
                <w:szCs w:val="16"/>
                <w:color w:val="auto"/>
              </w:rPr>
            </w:pPr>
          </w:p>
        </w:tc>
        <w:tc>
          <w:tcPr>
            <w:tcW w:w="136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9"/>
        </w:trPr>
        <w:tc>
          <w:tcPr>
            <w:tcW w:w="5700" w:type="dxa"/>
            <w:vAlign w:val="bottom"/>
          </w:tcPr>
          <w:p>
            <w:pPr>
              <w:spacing w:after="0"/>
              <w:rPr>
                <w:sz w:val="20"/>
                <w:szCs w:val="20"/>
                <w:color w:val="auto"/>
              </w:rPr>
            </w:pPr>
            <w:r>
              <w:rPr>
                <w:rFonts w:ascii="Arial" w:cs="Arial" w:eastAsia="Arial" w:hAnsi="Arial"/>
                <w:sz w:val="16"/>
                <w:szCs w:val="16"/>
                <w:color w:val="auto"/>
              </w:rPr>
              <w:t>Cost of revenue</w:t>
            </w:r>
          </w:p>
        </w:tc>
        <w:tc>
          <w:tcPr>
            <w:tcW w:w="240" w:type="dxa"/>
            <w:vAlign w:val="bottom"/>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1,594</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1,881</w:t>
            </w:r>
          </w:p>
        </w:tc>
        <w:tc>
          <w:tcPr>
            <w:tcW w:w="260" w:type="dxa"/>
            <w:vAlign w:val="bottom"/>
          </w:tcPr>
          <w:p>
            <w:pPr>
              <w:spacing w:after="0"/>
              <w:rPr>
                <w:sz w:val="16"/>
                <w:szCs w:val="16"/>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203"/>
        </w:trPr>
        <w:tc>
          <w:tcPr>
            <w:tcW w:w="5700" w:type="dxa"/>
            <w:vAlign w:val="bottom"/>
            <w:shd w:val="clear" w:color="auto" w:fill="CFF0FC"/>
          </w:tcPr>
          <w:p>
            <w:pPr>
              <w:spacing w:after="0" w:line="169" w:lineRule="exact"/>
              <w:rPr>
                <w:sz w:val="20"/>
                <w:szCs w:val="20"/>
                <w:color w:val="auto"/>
              </w:rPr>
            </w:pPr>
            <w:r>
              <w:rPr>
                <w:rFonts w:ascii="Arial" w:cs="Arial" w:eastAsia="Arial" w:hAnsi="Arial"/>
                <w:sz w:val="16"/>
                <w:szCs w:val="16"/>
                <w:color w:val="auto"/>
              </w:rPr>
              <w:t>Gross Profit</w:t>
            </w:r>
          </w:p>
        </w:tc>
        <w:tc>
          <w:tcPr>
            <w:tcW w:w="1320" w:type="dxa"/>
            <w:vAlign w:val="bottom"/>
            <w:gridSpan w:val="2"/>
            <w:shd w:val="clear" w:color="auto" w:fill="CFF0FC"/>
          </w:tcPr>
          <w:p>
            <w:pPr>
              <w:jc w:val="right"/>
              <w:ind w:right="919"/>
              <w:spacing w:after="0" w:line="169" w:lineRule="exact"/>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13,024</w:t>
            </w:r>
          </w:p>
        </w:tc>
        <w:tc>
          <w:tcPr>
            <w:tcW w:w="20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960"/>
              <w:spacing w:after="0" w:line="169" w:lineRule="exact"/>
              <w:rPr>
                <w:sz w:val="20"/>
                <w:szCs w:val="20"/>
                <w:color w:val="auto"/>
              </w:rPr>
            </w:pPr>
            <w:r>
              <w:rPr>
                <w:rFonts w:ascii="Arial" w:cs="Arial" w:eastAsia="Arial" w:hAnsi="Arial"/>
                <w:sz w:val="16"/>
                <w:szCs w:val="16"/>
                <w:color w:val="auto"/>
              </w:rPr>
              <w:t>$</w:t>
            </w:r>
          </w:p>
        </w:tc>
        <w:tc>
          <w:tcPr>
            <w:tcW w:w="640" w:type="dxa"/>
            <w:vAlign w:val="bottom"/>
            <w:shd w:val="clear" w:color="auto" w:fill="CFF0FC"/>
          </w:tcPr>
          <w:p>
            <w:pPr>
              <w:jc w:val="right"/>
              <w:spacing w:after="0" w:line="169" w:lineRule="exact"/>
              <w:rPr>
                <w:sz w:val="20"/>
                <w:szCs w:val="20"/>
                <w:color w:val="auto"/>
              </w:rPr>
            </w:pPr>
            <w:r>
              <w:rPr>
                <w:rFonts w:ascii="Arial" w:cs="Arial" w:eastAsia="Arial" w:hAnsi="Arial"/>
                <w:sz w:val="16"/>
                <w:szCs w:val="16"/>
                <w:color w:val="auto"/>
              </w:rPr>
              <w:t>13,623</w:t>
            </w:r>
          </w:p>
        </w:tc>
        <w:tc>
          <w:tcPr>
            <w:tcW w:w="26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20"/>
              <w:spacing w:after="0" w:line="169" w:lineRule="exact"/>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0"/>
        </w:trPr>
        <w:tc>
          <w:tcPr>
            <w:tcW w:w="57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5700" w:type="dxa"/>
            <w:vAlign w:val="bottom"/>
          </w:tcPr>
          <w:p>
            <w:pPr>
              <w:spacing w:after="0"/>
              <w:rPr>
                <w:sz w:val="20"/>
                <w:szCs w:val="20"/>
                <w:color w:val="auto"/>
              </w:rPr>
            </w:pPr>
            <w:r>
              <w:rPr>
                <w:rFonts w:ascii="Arial" w:cs="Arial" w:eastAsia="Arial" w:hAnsi="Arial"/>
                <w:sz w:val="16"/>
                <w:szCs w:val="16"/>
                <w:color w:val="auto"/>
              </w:rPr>
              <w:t>Gross Margin</w:t>
            </w:r>
          </w:p>
        </w:tc>
        <w:tc>
          <w:tcPr>
            <w:tcW w:w="2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89.1%</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6"/>
                <w:szCs w:val="16"/>
                <w:color w:val="auto"/>
              </w:rPr>
              <w:t>87.9%</w:t>
            </w:r>
          </w:p>
        </w:tc>
        <w:tc>
          <w:tcPr>
            <w:tcW w:w="1360" w:type="dxa"/>
            <w:vAlign w:val="bottom"/>
            <w:gridSpan w:val="2"/>
          </w:tcPr>
          <w:p>
            <w:pPr>
              <w:jc w:val="right"/>
              <w:ind w:right="80"/>
              <w:spacing w:after="0"/>
              <w:rPr>
                <w:sz w:val="20"/>
                <w:szCs w:val="20"/>
                <w:color w:val="auto"/>
              </w:rPr>
            </w:pPr>
            <w:r>
              <w:rPr>
                <w:rFonts w:ascii="Arial" w:cs="Arial" w:eastAsia="Arial" w:hAnsi="Arial"/>
                <w:sz w:val="16"/>
                <w:szCs w:val="16"/>
                <w:color w:val="auto"/>
              </w:rPr>
              <w:t>1.2%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-1044575</wp:posOffset>
            </wp:positionV>
            <wp:extent cx="1028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-1044575</wp:posOffset>
            </wp:positionV>
            <wp:extent cx="1028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-161290</wp:posOffset>
            </wp:positionV>
            <wp:extent cx="10287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-144145</wp:posOffset>
            </wp:positionV>
            <wp:extent cx="1028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-161290</wp:posOffset>
            </wp:positionV>
            <wp:extent cx="10287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-144145</wp:posOffset>
            </wp:positionV>
            <wp:extent cx="10287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107" w:lineRule="exact"/>
        <w:rPr>
          <w:sz w:val="20"/>
          <w:szCs w:val="20"/>
          <w:color w:val="auto"/>
        </w:rPr>
      </w:pPr>
    </w:p>
    <w:p>
      <w:pPr>
        <w:ind w:left="380" w:right="160" w:hanging="372"/>
        <w:spacing w:after="0" w:line="285" w:lineRule="auto"/>
        <w:tabs>
          <w:tab w:leader="none" w:pos="380" w:val="left"/>
        </w:tabs>
        <w:numPr>
          <w:ilvl w:val="0"/>
          <w:numId w:val="5"/>
        </w:numPr>
        <w:rPr>
          <w:rFonts w:ascii="Arial" w:cs="Arial" w:eastAsia="Arial" w:hAnsi="Arial"/>
          <w:sz w:val="14"/>
          <w:szCs w:val="14"/>
          <w:color w:val="auto"/>
        </w:rPr>
      </w:pPr>
      <w:r>
        <w:rPr>
          <w:rFonts w:ascii="Arial" w:cs="Arial" w:eastAsia="Arial" w:hAnsi="Arial"/>
          <w:sz w:val="14"/>
          <w:szCs w:val="14"/>
          <w:color w:val="auto"/>
        </w:rPr>
        <w:t>These non-GAAP financial measures, and the reasons why we believe these non-GAAP financial measures are useful, are described below and reconciled to their most directly comparable GAAP measures in the accompanying tables.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t>Key Operating Metrics</w:t>
      </w:r>
      <w:r>
        <w:rPr>
          <w:rFonts w:ascii="Arial" w:cs="Arial" w:eastAsia="Arial" w:hAnsi="Arial"/>
          <w:sz w:val="26"/>
          <w:szCs w:val="26"/>
          <w:b w:val="1"/>
          <w:bCs w:val="1"/>
          <w:color w:val="auto"/>
          <w:vertAlign w:val="superscript"/>
        </w:rPr>
        <w:t>(2)</w:t>
      </w:r>
      <w:r>
        <w:rPr>
          <w:rFonts w:ascii="Arial" w:cs="Arial" w:eastAsia="Arial" w:hAnsi="Arial"/>
          <w:sz w:val="20"/>
          <w:szCs w:val="20"/>
          <w:b w:val="1"/>
          <w:bCs w:val="1"/>
          <w:color w:val="auto"/>
        </w:rPr>
        <w:t>:</w:t>
      </w:r>
    </w:p>
    <w:tbl>
      <w:tblPr>
        <w:tblLayout w:type="fixed"/>
        <w:tblInd w:w="0" w:type="dxa"/>
        <w:tblCellMar>
          <w:top w:w="0" w:type="dxa"/>
          <w:left w:w="0" w:type="dxa"/>
          <w:bottom w:w="0" w:type="dxa"/>
          <w:right w:w="0" w:type="dxa"/>
        </w:tblCellMar>
      </w:tblPr>
      <w:tr>
        <w:trPr>
          <w:trHeight w:val="203"/>
        </w:trPr>
        <w:tc>
          <w:tcPr>
            <w:tcW w:w="6360" w:type="dxa"/>
            <w:vAlign w:val="bottom"/>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80" w:type="dxa"/>
            <w:vAlign w:val="bottom"/>
            <w:tcBorders>
              <w:bottom w:val="single" w:sz="8" w:color="auto"/>
            </w:tcBorders>
            <w:gridSpan w:val="2"/>
          </w:tcPr>
          <w:p>
            <w:pPr>
              <w:jc w:val="right"/>
              <w:ind w:right="380"/>
              <w:spacing w:after="0" w:line="203" w:lineRule="exact"/>
              <w:rPr>
                <w:sz w:val="20"/>
                <w:szCs w:val="20"/>
                <w:color w:val="auto"/>
              </w:rPr>
            </w:pPr>
            <w:r>
              <w:rPr>
                <w:rFonts w:ascii="Arial" w:cs="Arial" w:eastAsia="Arial" w:hAnsi="Arial"/>
                <w:sz w:val="18"/>
                <w:szCs w:val="18"/>
                <w:b w:val="1"/>
                <w:bCs w:val="1"/>
                <w:color w:val="auto"/>
              </w:rPr>
              <w:t>As of March 31,</w:t>
            </w:r>
          </w:p>
        </w:tc>
        <w:tc>
          <w:tcPr>
            <w:tcW w:w="13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177"/>
        </w:trPr>
        <w:tc>
          <w:tcPr>
            <w:tcW w:w="63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jc w:val="right"/>
              <w:ind w:right="510"/>
              <w:spacing w:after="0" w:line="177" w:lineRule="exact"/>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5"/>
                <w:szCs w:val="15"/>
                <w:color w:val="auto"/>
              </w:rPr>
            </w:pPr>
          </w:p>
        </w:tc>
      </w:tr>
      <w:tr>
        <w:trPr>
          <w:trHeight w:val="221"/>
        </w:trPr>
        <w:tc>
          <w:tcPr>
            <w:tcW w:w="6360" w:type="dxa"/>
            <w:vAlign w:val="bottom"/>
          </w:tcPr>
          <w:p>
            <w:pPr>
              <w:spacing w:after="0"/>
              <w:rPr>
                <w:sz w:val="19"/>
                <w:szCs w:val="19"/>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2025</w:t>
            </w:r>
          </w:p>
        </w:tc>
        <w:tc>
          <w:tcPr>
            <w:tcW w:w="280" w:type="dxa"/>
            <w:vAlign w:val="bottom"/>
          </w:tcPr>
          <w:p>
            <w:pPr>
              <w:spacing w:after="0"/>
              <w:rPr>
                <w:sz w:val="19"/>
                <w:szCs w:val="19"/>
                <w:color w:val="auto"/>
              </w:rPr>
            </w:pPr>
          </w:p>
        </w:tc>
        <w:tc>
          <w:tcPr>
            <w:tcW w:w="1500" w:type="dxa"/>
            <w:vAlign w:val="bottom"/>
          </w:tcPr>
          <w:p>
            <w:pPr>
              <w:jc w:val="right"/>
              <w:ind w:right="470"/>
              <w:spacing w:after="0"/>
              <w:rPr>
                <w:sz w:val="20"/>
                <w:szCs w:val="20"/>
                <w:color w:val="auto"/>
              </w:rPr>
            </w:pPr>
            <w:r>
              <w:rPr>
                <w:rFonts w:ascii="Arial" w:cs="Arial" w:eastAsia="Arial" w:hAnsi="Arial"/>
                <w:sz w:val="18"/>
                <w:szCs w:val="18"/>
                <w:b w:val="1"/>
                <w:bCs w:val="1"/>
                <w:color w:val="auto"/>
              </w:rPr>
              <w:t>2024</w:t>
            </w:r>
          </w:p>
        </w:tc>
        <w:tc>
          <w:tcPr>
            <w:tcW w:w="280" w:type="dxa"/>
            <w:vAlign w:val="bottom"/>
          </w:tcPr>
          <w:p>
            <w:pPr>
              <w:spacing w:after="0"/>
              <w:rPr>
                <w:sz w:val="19"/>
                <w:szCs w:val="19"/>
                <w:color w:val="auto"/>
              </w:rPr>
            </w:pPr>
          </w:p>
        </w:tc>
        <w:tc>
          <w:tcPr>
            <w:tcW w:w="15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9"/>
              </w:rPr>
              <w:t>Change</w:t>
            </w:r>
          </w:p>
        </w:tc>
      </w:tr>
      <w:tr>
        <w:trPr>
          <w:trHeight w:val="196"/>
        </w:trPr>
        <w:tc>
          <w:tcPr>
            <w:tcW w:w="636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50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6360" w:type="dxa"/>
            <w:vAlign w:val="bottom"/>
            <w:shd w:val="clear" w:color="auto" w:fill="CFF0FC"/>
          </w:tcPr>
          <w:p>
            <w:pPr>
              <w:spacing w:after="0" w:line="202" w:lineRule="exact"/>
              <w:rPr>
                <w:sz w:val="20"/>
                <w:szCs w:val="20"/>
                <w:color w:val="auto"/>
              </w:rPr>
            </w:pPr>
            <w:r>
              <w:rPr>
                <w:rFonts w:ascii="Arial" w:cs="Arial" w:eastAsia="Arial" w:hAnsi="Arial"/>
                <w:sz w:val="17"/>
                <w:szCs w:val="17"/>
                <w:color w:val="auto"/>
              </w:rPr>
              <w:t>Active Buyers</w:t>
            </w:r>
            <w:r>
              <w:rPr>
                <w:rFonts w:ascii="Arial" w:cs="Arial" w:eastAsia="Arial" w:hAnsi="Arial"/>
                <w:sz w:val="23"/>
                <w:szCs w:val="23"/>
                <w:color w:val="auto"/>
                <w:vertAlign w:val="superscript"/>
              </w:rPr>
              <w:t>(3)</w:t>
            </w: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71,454</w:t>
            </w: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58,504</w:t>
            </w:r>
          </w:p>
        </w:tc>
        <w:tc>
          <w:tcPr>
            <w:tcW w:w="2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22%</w:t>
            </w:r>
          </w:p>
        </w:tc>
      </w:tr>
      <w:tr>
        <w:trPr>
          <w:trHeight w:val="203"/>
        </w:trPr>
        <w:tc>
          <w:tcPr>
            <w:tcW w:w="6360" w:type="dxa"/>
            <w:vAlign w:val="bottom"/>
          </w:tcPr>
          <w:p>
            <w:pPr>
              <w:spacing w:after="0" w:line="202" w:lineRule="exact"/>
              <w:rPr>
                <w:sz w:val="20"/>
                <w:szCs w:val="20"/>
                <w:color w:val="auto"/>
              </w:rPr>
            </w:pPr>
            <w:r>
              <w:rPr>
                <w:rFonts w:ascii="Arial" w:cs="Arial" w:eastAsia="Arial" w:hAnsi="Arial"/>
                <w:sz w:val="17"/>
                <w:szCs w:val="17"/>
                <w:color w:val="auto"/>
              </w:rPr>
              <w:t>Percentage of Revenue from Existing Accounts</w:t>
            </w:r>
            <w:r>
              <w:rPr>
                <w:rFonts w:ascii="Arial" w:cs="Arial" w:eastAsia="Arial" w:hAnsi="Arial"/>
                <w:sz w:val="23"/>
                <w:szCs w:val="23"/>
                <w:color w:val="auto"/>
                <w:vertAlign w:val="superscript"/>
              </w:rPr>
              <w:t>(3)</w:t>
            </w:r>
          </w:p>
        </w:tc>
        <w:tc>
          <w:tcPr>
            <w:tcW w:w="160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98%</w:t>
            </w:r>
          </w:p>
        </w:tc>
        <w:tc>
          <w:tcPr>
            <w:tcW w:w="1780" w:type="dxa"/>
            <w:vAlign w:val="bottom"/>
            <w:gridSpan w:val="2"/>
          </w:tcPr>
          <w:p>
            <w:pPr>
              <w:jc w:val="right"/>
              <w:ind w:right="120"/>
              <w:spacing w:after="0" w:line="202" w:lineRule="exact"/>
              <w:rPr>
                <w:sz w:val="20"/>
                <w:szCs w:val="20"/>
                <w:color w:val="auto"/>
              </w:rPr>
            </w:pPr>
            <w:r>
              <w:rPr>
                <w:rFonts w:ascii="Arial" w:cs="Arial" w:eastAsia="Arial" w:hAnsi="Arial"/>
                <w:sz w:val="18"/>
                <w:szCs w:val="18"/>
                <w:color w:val="auto"/>
              </w:rPr>
              <w:t>95%</w:t>
            </w:r>
          </w:p>
        </w:tc>
        <w:tc>
          <w:tcPr>
            <w:tcW w:w="13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03"/>
        </w:trPr>
        <w:tc>
          <w:tcPr>
            <w:tcW w:w="6360" w:type="dxa"/>
            <w:vAlign w:val="bottom"/>
            <w:shd w:val="clear" w:color="auto" w:fill="CFF0FC"/>
          </w:tcPr>
          <w:p>
            <w:pPr>
              <w:spacing w:after="0" w:line="202" w:lineRule="exact"/>
              <w:rPr>
                <w:sz w:val="20"/>
                <w:szCs w:val="20"/>
                <w:color w:val="auto"/>
              </w:rPr>
            </w:pPr>
            <w:r>
              <w:rPr>
                <w:rFonts w:ascii="Arial" w:cs="Arial" w:eastAsia="Arial" w:hAnsi="Arial"/>
                <w:sz w:val="17"/>
                <w:szCs w:val="17"/>
                <w:color w:val="auto"/>
              </w:rPr>
              <w:t>Accounts with Last Twelve-Months Spend of at Least $50,000</w:t>
            </w:r>
            <w:r>
              <w:rPr>
                <w:rFonts w:ascii="Arial" w:cs="Arial" w:eastAsia="Arial" w:hAnsi="Arial"/>
                <w:sz w:val="23"/>
                <w:szCs w:val="23"/>
                <w:color w:val="auto"/>
                <w:vertAlign w:val="superscript"/>
              </w:rPr>
              <w:t>(3)</w:t>
            </w:r>
          </w:p>
        </w:tc>
        <w:tc>
          <w:tcPr>
            <w:tcW w:w="132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1,545</w:t>
            </w:r>
          </w:p>
        </w:tc>
        <w:tc>
          <w:tcPr>
            <w:tcW w:w="280" w:type="dxa"/>
            <w:vAlign w:val="bottom"/>
            <w:shd w:val="clear" w:color="auto" w:fill="CFF0FC"/>
          </w:tcPr>
          <w:p>
            <w:pPr>
              <w:spacing w:after="0"/>
              <w:rPr>
                <w:sz w:val="17"/>
                <w:szCs w:val="17"/>
                <w:color w:val="auto"/>
              </w:rPr>
            </w:pPr>
          </w:p>
        </w:tc>
        <w:tc>
          <w:tcPr>
            <w:tcW w:w="15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1,381</w:t>
            </w:r>
          </w:p>
        </w:tc>
        <w:tc>
          <w:tcPr>
            <w:tcW w:w="280" w:type="dxa"/>
            <w:vAlign w:val="bottom"/>
            <w:shd w:val="clear" w:color="auto" w:fill="CFF0FC"/>
          </w:tcPr>
          <w:p>
            <w:pPr>
              <w:spacing w:after="0"/>
              <w:rPr>
                <w:sz w:val="17"/>
                <w:szCs w:val="17"/>
                <w:color w:val="auto"/>
              </w:rPr>
            </w:pPr>
          </w:p>
        </w:tc>
        <w:tc>
          <w:tcPr>
            <w:tcW w:w="15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12%</w:t>
            </w:r>
          </w:p>
        </w:tc>
      </w:tr>
    </w:tbl>
    <w:p>
      <w:pPr>
        <w:spacing w:after="0" w:line="207" w:lineRule="exact"/>
        <w:rPr>
          <w:sz w:val="20"/>
          <w:szCs w:val="20"/>
          <w:color w:val="auto"/>
        </w:rPr>
      </w:pPr>
    </w:p>
    <w:p>
      <w:pPr>
        <w:ind w:left="380" w:right="120" w:hanging="372"/>
        <w:spacing w:after="0" w:line="251" w:lineRule="auto"/>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These key operating metrics are for Marketplace and Supplier Services. See “Key Terms for our Key Metrics and Non-GAAP Financial Measures” below for definitions of these metrics.</w:t>
      </w:r>
    </w:p>
    <w:p>
      <w:pPr>
        <w:spacing w:after="0" w:line="1" w:lineRule="exact"/>
        <w:rPr>
          <w:rFonts w:ascii="Arial" w:cs="Arial" w:eastAsia="Arial" w:hAnsi="Arial"/>
          <w:sz w:val="14"/>
          <w:szCs w:val="14"/>
          <w:color w:val="auto"/>
        </w:rPr>
      </w:pPr>
    </w:p>
    <w:p>
      <w:pPr>
        <w:ind w:left="380" w:right="80" w:hanging="372"/>
        <w:spacing w:after="0" w:line="324" w:lineRule="auto"/>
        <w:tabs>
          <w:tab w:leader="none" w:pos="380" w:val="left"/>
        </w:tabs>
        <w:numPr>
          <w:ilvl w:val="0"/>
          <w:numId w:val="6"/>
        </w:numPr>
        <w:rPr>
          <w:rFonts w:ascii="Arial" w:cs="Arial" w:eastAsia="Arial" w:hAnsi="Arial"/>
          <w:sz w:val="14"/>
          <w:szCs w:val="14"/>
          <w:color w:val="auto"/>
        </w:rPr>
      </w:pPr>
      <w:r>
        <w:rPr>
          <w:rFonts w:ascii="Arial" w:cs="Arial" w:eastAsia="Arial" w:hAnsi="Arial"/>
          <w:sz w:val="14"/>
          <w:szCs w:val="14"/>
          <w:color w:val="auto"/>
        </w:rPr>
        <w:t>Amounts shown for Active Buyers, Accounts with Last Twelve-Months Spend of at Least $50,000 and Percentage of Revenue from Existing Accounts is presented for the quarters ended March 31, 2025 and 2024.</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Guidance and Outlook:</w:t>
      </w:r>
    </w:p>
    <w:p>
      <w:pPr>
        <w:spacing w:after="0" w:line="166" w:lineRule="exact"/>
        <w:rPr>
          <w:sz w:val="20"/>
          <w:szCs w:val="20"/>
          <w:color w:val="auto"/>
        </w:rPr>
      </w:pPr>
    </w:p>
    <w:p>
      <w:pPr>
        <w:jc w:val="center"/>
        <w:ind w:left="7420"/>
        <w:spacing w:after="0"/>
        <w:rPr>
          <w:sz w:val="20"/>
          <w:szCs w:val="20"/>
          <w:color w:val="auto"/>
        </w:rPr>
      </w:pPr>
      <w:r>
        <w:rPr>
          <w:rFonts w:ascii="Arial" w:cs="Arial" w:eastAsia="Arial" w:hAnsi="Arial"/>
          <w:sz w:val="18"/>
          <w:szCs w:val="18"/>
          <w:b w:val="1"/>
          <w:bCs w:val="1"/>
          <w:color w:val="auto"/>
        </w:rPr>
        <w:t>Q2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8890</wp:posOffset>
            </wp:positionV>
            <wp:extent cx="227139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7" w:lineRule="exact"/>
        <w:rPr>
          <w:sz w:val="20"/>
          <w:szCs w:val="20"/>
          <w:color w:val="auto"/>
        </w:rPr>
      </w:pPr>
    </w:p>
    <w:p>
      <w:pPr>
        <w:jc w:val="center"/>
        <w:ind w:left="7420"/>
        <w:spacing w:after="0"/>
        <w:rPr>
          <w:sz w:val="20"/>
          <w:szCs w:val="20"/>
          <w:color w:val="auto"/>
        </w:rPr>
      </w:pPr>
      <w:r>
        <w:rPr>
          <w:rFonts w:ascii="Arial" w:cs="Arial" w:eastAsia="Arial" w:hAnsi="Arial"/>
          <w:sz w:val="18"/>
          <w:szCs w:val="18"/>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4796790</wp:posOffset>
            </wp:positionH>
            <wp:positionV relativeFrom="paragraph">
              <wp:posOffset>-1905</wp:posOffset>
            </wp:positionV>
            <wp:extent cx="227139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ind w:left="8200"/>
        <w:spacing w:after="0"/>
        <w:tabs>
          <w:tab w:leader="none" w:pos="10080" w:val="left"/>
        </w:tabs>
        <w:rPr>
          <w:sz w:val="20"/>
          <w:szCs w:val="20"/>
          <w:color w:val="auto"/>
        </w:rPr>
      </w:pPr>
      <w:r>
        <w:rPr>
          <w:rFonts w:ascii="Arial" w:cs="Arial" w:eastAsia="Arial" w:hAnsi="Arial"/>
          <w:sz w:val="18"/>
          <w:szCs w:val="18"/>
          <w:b w:val="1"/>
          <w:bCs w:val="1"/>
          <w:color w:val="auto"/>
        </w:rPr>
        <w:t>Low</w:t>
      </w:r>
      <w:r>
        <w:rPr>
          <w:sz w:val="20"/>
          <w:szCs w:val="20"/>
          <w:color w:val="auto"/>
        </w:rPr>
        <w:tab/>
      </w:r>
      <w:r>
        <w:rPr>
          <w:rFonts w:ascii="Arial" w:cs="Arial" w:eastAsia="Arial" w:hAnsi="Arial"/>
          <w:sz w:val="18"/>
          <w:szCs w:val="18"/>
          <w:b w:val="1"/>
          <w:bCs w:val="1"/>
          <w:color w:val="auto"/>
        </w:rPr>
        <w:t>High</w:t>
      </w:r>
    </w:p>
    <w:p>
      <w:pPr>
        <w:spacing w:after="0"/>
        <w:tabs>
          <w:tab w:leader="none" w:pos="7540" w:val="left"/>
          <w:tab w:leader="none" w:pos="8860" w:val="left"/>
          <w:tab w:leader="none" w:pos="9460" w:val="left"/>
          <w:tab w:leader="none" w:pos="10800" w:val="left"/>
        </w:tabs>
        <w:rPr>
          <w:sz w:val="20"/>
          <w:szCs w:val="20"/>
          <w:color w:val="auto"/>
        </w:rPr>
      </w:pPr>
      <w:r>
        <w:rPr>
          <w:rFonts w:ascii="Arial" w:cs="Arial" w:eastAsia="Arial" w:hAnsi="Arial"/>
          <w:sz w:val="18"/>
          <w:szCs w:val="18"/>
          <w:color w:val="auto"/>
        </w:rPr>
        <w:t>Revenue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155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28905"/>
                    </a:xfrm>
                    <a:prstGeom prst="rect">
                      <a:avLst/>
                    </a:prstGeom>
                    <a:noFill/>
                  </pic:spPr>
                </pic:pic>
              </a:graphicData>
            </a:graphic>
          </wp:anchor>
        </w:drawing>
      </w:r>
    </w:p>
    <w:p>
      <w:pPr>
        <w:spacing w:after="0" w:line="279" w:lineRule="exact"/>
        <w:rPr>
          <w:sz w:val="20"/>
          <w:szCs w:val="20"/>
          <w:color w:val="auto"/>
        </w:rPr>
      </w:pPr>
    </w:p>
    <w:p>
      <w:pPr>
        <w:ind w:left="1020" w:hanging="503"/>
        <w:spacing w:after="0"/>
        <w:tabs>
          <w:tab w:leader="none" w:pos="1020" w:val="left"/>
        </w:tabs>
        <w:numPr>
          <w:ilvl w:val="0"/>
          <w:numId w:val="7"/>
        </w:numPr>
        <w:rPr>
          <w:rFonts w:ascii="Times New Roman" w:cs="Times New Roman" w:eastAsia="Times New Roman" w:hAnsi="Times New Roman"/>
          <w:sz w:val="20"/>
          <w:szCs w:val="20"/>
          <w:color w:val="1D1C1D"/>
        </w:rPr>
      </w:pPr>
      <w:r>
        <w:rPr>
          <w:rFonts w:ascii="Arial" w:cs="Arial" w:eastAsia="Arial" w:hAnsi="Arial"/>
          <w:sz w:val="20"/>
          <w:szCs w:val="20"/>
          <w:color w:val="1D1C1D"/>
        </w:rPr>
        <w:t>For Q2 2025, expect revenue of $155-$157 million, representing 17-18% growth year-over-year.</w:t>
      </w:r>
    </w:p>
    <w:p>
      <w:pPr>
        <w:spacing w:after="0" w:line="106" w:lineRule="exact"/>
        <w:rPr>
          <w:rFonts w:ascii="Times New Roman" w:cs="Times New Roman" w:eastAsia="Times New Roman" w:hAnsi="Times New Roman"/>
          <w:sz w:val="20"/>
          <w:szCs w:val="20"/>
          <w:color w:val="1D1C1D"/>
        </w:rPr>
      </w:pPr>
    </w:p>
    <w:p>
      <w:pPr>
        <w:ind w:left="1020" w:hanging="503"/>
        <w:spacing w:after="0" w:line="256" w:lineRule="auto"/>
        <w:tabs>
          <w:tab w:leader="none" w:pos="1020" w:val="left"/>
        </w:tabs>
        <w:numPr>
          <w:ilvl w:val="0"/>
          <w:numId w:val="7"/>
        </w:numPr>
        <w:rPr>
          <w:rFonts w:ascii="Times New Roman" w:cs="Times New Roman" w:eastAsia="Times New Roman" w:hAnsi="Times New Roman"/>
          <w:sz w:val="20"/>
          <w:szCs w:val="20"/>
          <w:color w:val="1D1C1D"/>
        </w:rPr>
      </w:pPr>
      <w:r>
        <w:rPr>
          <w:rFonts w:ascii="Arial" w:cs="Arial" w:eastAsia="Arial" w:hAnsi="Arial"/>
          <w:sz w:val="20"/>
          <w:szCs w:val="20"/>
          <w:color w:val="1D1C1D"/>
        </w:rPr>
        <w:t>For Q2 2025, expect Adjusted EBITDA of approximately $1.0-2.0 million, an improvement from an Adjusted EBITDA loss of $2.6 million in Q2 2024.</w:t>
      </w:r>
    </w:p>
    <w:p>
      <w:pPr>
        <w:spacing w:after="0" w:line="48" w:lineRule="exact"/>
        <w:rPr>
          <w:rFonts w:ascii="Times New Roman" w:cs="Times New Roman" w:eastAsia="Times New Roman" w:hAnsi="Times New Roman"/>
          <w:sz w:val="20"/>
          <w:szCs w:val="20"/>
          <w:color w:val="1D1C1D"/>
        </w:rPr>
      </w:pPr>
    </w:p>
    <w:p>
      <w:pPr>
        <w:ind w:left="1020" w:right="160" w:hanging="503"/>
        <w:spacing w:after="0" w:line="256" w:lineRule="auto"/>
        <w:tabs>
          <w:tab w:leader="none" w:pos="1020" w:val="left"/>
        </w:tabs>
        <w:numPr>
          <w:ilvl w:val="0"/>
          <w:numId w:val="7"/>
        </w:numPr>
        <w:rPr>
          <w:rFonts w:ascii="Times New Roman" w:cs="Times New Roman" w:eastAsia="Times New Roman" w:hAnsi="Times New Roman"/>
          <w:sz w:val="20"/>
          <w:szCs w:val="20"/>
          <w:color w:val="1D1C1D"/>
        </w:rPr>
      </w:pPr>
      <w:r>
        <w:rPr>
          <w:rFonts w:ascii="Arial" w:cs="Arial" w:eastAsia="Arial" w:hAnsi="Arial"/>
          <w:sz w:val="20"/>
          <w:szCs w:val="20"/>
          <w:color w:val="1D1C1D"/>
        </w:rPr>
        <w:t>For the full year 2025, we are raising our marketplace growth outlook from our previous guidance of at least 20% to at least 22% growth and expect supplier services revenue to be down approximately 5% year-over-year.</w:t>
      </w:r>
    </w:p>
    <w:p>
      <w:pPr>
        <w:spacing w:after="0" w:line="48" w:lineRule="exact"/>
        <w:rPr>
          <w:rFonts w:ascii="Times New Roman" w:cs="Times New Roman" w:eastAsia="Times New Roman" w:hAnsi="Times New Roman"/>
          <w:sz w:val="20"/>
          <w:szCs w:val="20"/>
          <w:color w:val="1D1C1D"/>
        </w:rPr>
      </w:pPr>
    </w:p>
    <w:p>
      <w:pPr>
        <w:ind w:left="1020" w:hanging="503"/>
        <w:spacing w:after="0"/>
        <w:tabs>
          <w:tab w:leader="none" w:pos="1020" w:val="left"/>
        </w:tabs>
        <w:numPr>
          <w:ilvl w:val="0"/>
          <w:numId w:val="7"/>
        </w:numPr>
        <w:rPr>
          <w:rFonts w:ascii="Times New Roman" w:cs="Times New Roman" w:eastAsia="Times New Roman" w:hAnsi="Times New Roman"/>
          <w:sz w:val="20"/>
          <w:szCs w:val="20"/>
          <w:color w:val="1D1C1D"/>
        </w:rPr>
      </w:pPr>
      <w:r>
        <w:rPr>
          <w:rFonts w:ascii="Arial" w:cs="Arial" w:eastAsia="Arial" w:hAnsi="Arial"/>
          <w:sz w:val="20"/>
          <w:szCs w:val="20"/>
          <w:color w:val="1D1C1D"/>
        </w:rPr>
        <w:t>For FY 2025, expect to be Adjusted EBITDA positive for the full year.</w:t>
      </w:r>
    </w:p>
    <w:p>
      <w:pPr>
        <w:spacing w:after="0" w:line="215" w:lineRule="exact"/>
        <w:rPr>
          <w:sz w:val="20"/>
          <w:szCs w:val="20"/>
          <w:color w:val="auto"/>
        </w:rPr>
      </w:pPr>
    </w:p>
    <w:p>
      <w:pPr>
        <w:ind w:right="120"/>
        <w:spacing w:after="0" w:line="241" w:lineRule="auto"/>
        <w:rPr>
          <w:sz w:val="20"/>
          <w:szCs w:val="20"/>
          <w:color w:val="auto"/>
        </w:rPr>
      </w:pPr>
      <w:r>
        <w:rPr>
          <w:rFonts w:ascii="Arial" w:cs="Arial" w:eastAsia="Arial" w:hAnsi="Arial"/>
          <w:sz w:val="20"/>
          <w:szCs w:val="20"/>
          <w:color w:val="auto"/>
        </w:rPr>
        <w:t>Xometry’s second quarter 2025 and full year 2025 financial outlook is based on a number of assumptions that are subject to change and many of which are outside of its control. If actual results vary from these assumptions, Xometry’s expectations may change. There can be no assurance that Xometry will achieve these results.</w:t>
      </w:r>
    </w:p>
    <w:p>
      <w:pPr>
        <w:spacing w:after="0" w:line="171" w:lineRule="exact"/>
        <w:rPr>
          <w:sz w:val="20"/>
          <w:szCs w:val="20"/>
          <w:color w:val="auto"/>
        </w:rPr>
      </w:pPr>
    </w:p>
    <w:p>
      <w:pPr>
        <w:ind w:right="40"/>
        <w:spacing w:after="0" w:line="234" w:lineRule="auto"/>
        <w:rPr>
          <w:sz w:val="20"/>
          <w:szCs w:val="20"/>
          <w:color w:val="auto"/>
        </w:rPr>
      </w:pPr>
      <w:r>
        <w:rPr>
          <w:rFonts w:ascii="Arial" w:cs="Arial" w:eastAsia="Arial" w:hAnsi="Arial"/>
          <w:sz w:val="20"/>
          <w:szCs w:val="20"/>
          <w:color w:val="auto"/>
        </w:rPr>
        <w:t>Reconciliation of Adjusted EBITDA on a forward-looking basis to net loss, the most directly comparable GAAP measure, is not available without unreasonable efforts due to the high variability and complexity and low visibility with respect to certain charges excluded from this non-GAAP measure, including interest and dividend income, benefit for income taxes, charitable contributions of common stock and impairment of assets. Xometry expects the variability of these items could have a significant, and potentially unpredictable, impact on its future GAAP financial results.</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Use of Non-GAAP Financial Measures</w:t>
      </w:r>
    </w:p>
    <w:p>
      <w:pPr>
        <w:spacing w:after="0" w:line="6" w:lineRule="exact"/>
        <w:rPr>
          <w:sz w:val="20"/>
          <w:szCs w:val="20"/>
          <w:color w:val="auto"/>
        </w:rPr>
      </w:pPr>
    </w:p>
    <w:p>
      <w:pPr>
        <w:ind w:right="100"/>
        <w:spacing w:after="0" w:line="228" w:lineRule="auto"/>
        <w:rPr>
          <w:sz w:val="20"/>
          <w:szCs w:val="20"/>
          <w:color w:val="auto"/>
        </w:rPr>
      </w:pPr>
      <w:r>
        <w:rPr>
          <w:rFonts w:ascii="Arial" w:cs="Arial" w:eastAsia="Arial" w:hAnsi="Arial"/>
          <w:sz w:val="20"/>
          <w:szCs w:val="20"/>
          <w:color w:val="auto"/>
        </w:rPr>
        <w:t>To supplement its consolidated financial statements, which are prepared and presented in accordance with generally accepted accounting principles in the United States of America (“GAAP”), Xometry, Inc. (“Xometry”, the “Company”, “we” or “our”) uses Adjusted EBITDA, non-GAAP net income (loss) and non-GAAP Earnings Per Share basic and diluted, which are considered non-GAAP financial measures, as described below. These non-GAAP financial measures are presented to enhance the user’s overall understanding of Xometry’s financial performance and should not be considered a substitute for, nor superior to, the financial information prepared and presented in accordance with GAAP. The non-GAAP financial measures presented in this release, together with the GAAP financial results, are the primary measures used by the Company’s management and board of directors to understand and evaluate the Company’s financial performance and operating trends, including period-to-period comparisons, because they exclude certain expenses and gains that management believes are not indicative of the Company’s core operating results. Management also uses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49" w:right="339" w:bottom="1440" w:gutter="0" w:footer="0" w:header="0"/>
        </w:sectPr>
      </w:pPr>
    </w:p>
    <w:bookmarkStart w:id="6" w:name="page7"/>
    <w:bookmarkEnd w:id="6"/>
    <w:p>
      <w:pPr>
        <w:ind w:right="20"/>
        <w:spacing w:after="0" w:line="232" w:lineRule="auto"/>
        <w:rPr>
          <w:sz w:val="20"/>
          <w:szCs w:val="20"/>
          <w:color w:val="auto"/>
        </w:rPr>
      </w:pPr>
      <w:r>
        <w:rPr>
          <w:rFonts w:ascii="Arial" w:cs="Arial" w:eastAsia="Arial" w:hAnsi="Arial"/>
          <w:sz w:val="20"/>
          <w:szCs w:val="20"/>
          <w:color w:val="auto"/>
        </w:rPr>
        <w:t>these measures to prepare and update the Company’s short and long term financial and operational plans, to evaluate investment decisions, and in its discussions with investors, commercial bankers, equity research analysts and other users of the Company’s financial statements. Accordingly, the Company believes that these non-GAAP financial measures provide useful information to investors and others in understanding and evaluating the Company’s operating results in the same manner as the Company’s management and in comparing operating results across periods and to those of Xometry’s peer companies. In addition, from time to time we may present adjusted information (for example, revenue growth) to exclude the impact of certain gains, losses or other changes that affect period-to-period comparability of our operating performance.</w:t>
      </w:r>
    </w:p>
    <w:p>
      <w:pPr>
        <w:spacing w:after="0" w:line="172" w:lineRule="exact"/>
        <w:rPr>
          <w:sz w:val="20"/>
          <w:szCs w:val="20"/>
          <w:color w:val="auto"/>
        </w:rPr>
      </w:pPr>
    </w:p>
    <w:p>
      <w:pPr>
        <w:ind w:right="20"/>
        <w:spacing w:after="0" w:line="232" w:lineRule="auto"/>
        <w:rPr>
          <w:sz w:val="20"/>
          <w:szCs w:val="20"/>
          <w:color w:val="auto"/>
        </w:rPr>
      </w:pPr>
      <w:r>
        <w:rPr>
          <w:rFonts w:ascii="Arial" w:cs="Arial" w:eastAsia="Arial" w:hAnsi="Arial"/>
          <w:sz w:val="20"/>
          <w:szCs w:val="20"/>
          <w:color w:val="auto"/>
        </w:rPr>
        <w:t>The use of non-GAAP financial measures has certain limitations because they do not reflect all items of income and expense, or cash flows, that affect the Company’s financial performance and operations. Additionally, non-GAAP financial measures do not have standardized meanings, and therefore other companies, including peer companies, may use the same or similarly named measures but exclude or include different items or use different computations. Management compensates for these limitations by reconciling these non-GAAP financial measures to their most comparable GAAP financial measures in the tables captioned “Reconciliations of Non-GAAP Financial Measures” included at the end of this release. Investors and others are encouraged to review the Company’s financial information in its entirety and not rely on a single financial measure.</w:t>
      </w:r>
    </w:p>
    <w:p>
      <w:pPr>
        <w:spacing w:after="0" w:line="170" w:lineRule="exact"/>
        <w:rPr>
          <w:sz w:val="20"/>
          <w:szCs w:val="20"/>
          <w:color w:val="auto"/>
        </w:rPr>
      </w:pPr>
    </w:p>
    <w:p>
      <w:pPr>
        <w:ind w:right="4080"/>
        <w:spacing w:after="0" w:line="326" w:lineRule="auto"/>
        <w:rPr>
          <w:sz w:val="20"/>
          <w:szCs w:val="20"/>
          <w:color w:val="auto"/>
        </w:rPr>
      </w:pPr>
      <w:r>
        <w:rPr>
          <w:rFonts w:ascii="Arial" w:cs="Arial" w:eastAsia="Arial" w:hAnsi="Arial"/>
          <w:sz w:val="19"/>
          <w:szCs w:val="19"/>
          <w:b w:val="1"/>
          <w:bCs w:val="1"/>
          <w:color w:val="auto"/>
        </w:rPr>
        <w:t xml:space="preserve">Key Terms for our Key Metrics and Non-GAAP Financial Measures Marketplace revenue: </w:t>
      </w:r>
      <w:r>
        <w:rPr>
          <w:rFonts w:ascii="Arial" w:cs="Arial" w:eastAsia="Arial" w:hAnsi="Arial"/>
          <w:sz w:val="19"/>
          <w:szCs w:val="19"/>
          <w:color w:val="auto"/>
        </w:rPr>
        <w:t>includes the sale of parts and assemblies on our platform.</w:t>
      </w:r>
    </w:p>
    <w:p>
      <w:pPr>
        <w:ind w:right="340"/>
        <w:spacing w:after="0" w:line="259" w:lineRule="auto"/>
        <w:rPr>
          <w:sz w:val="20"/>
          <w:szCs w:val="20"/>
          <w:color w:val="auto"/>
        </w:rPr>
      </w:pPr>
      <w:r>
        <w:rPr>
          <w:rFonts w:ascii="Arial" w:cs="Arial" w:eastAsia="Arial" w:hAnsi="Arial"/>
          <w:sz w:val="20"/>
          <w:szCs w:val="20"/>
          <w:b w:val="1"/>
          <w:bCs w:val="1"/>
          <w:color w:val="auto"/>
        </w:rPr>
        <w:t xml:space="preserve">Supplier service revenue: </w:t>
      </w:r>
      <w:r>
        <w:rPr>
          <w:rFonts w:ascii="Arial" w:cs="Arial" w:eastAsia="Arial" w:hAnsi="Arial"/>
          <w:sz w:val="20"/>
          <w:szCs w:val="20"/>
          <w:color w:val="auto"/>
        </w:rPr>
        <w:t>includes the sales of marketing and advertising services and, to a lesser extent, financial service</w:t>
      </w:r>
      <w:r>
        <w:rPr>
          <w:rFonts w:ascii="Arial" w:cs="Arial" w:eastAsia="Arial" w:hAnsi="Arial"/>
          <w:sz w:val="20"/>
          <w:szCs w:val="20"/>
          <w:b w:val="1"/>
          <w:bCs w:val="1"/>
          <w:color w:val="auto"/>
        </w:rPr>
        <w:t xml:space="preserve"> </w:t>
      </w:r>
      <w:r>
        <w:rPr>
          <w:rFonts w:ascii="Arial" w:cs="Arial" w:eastAsia="Arial" w:hAnsi="Arial"/>
          <w:sz w:val="20"/>
          <w:szCs w:val="20"/>
          <w:color w:val="auto"/>
        </w:rPr>
        <w:t>products and SaaS-based solutions.</w:t>
      </w:r>
    </w:p>
    <w:p>
      <w:pPr>
        <w:spacing w:after="0" w:line="17" w:lineRule="exact"/>
        <w:rPr>
          <w:sz w:val="20"/>
          <w:szCs w:val="20"/>
          <w:color w:val="auto"/>
        </w:rPr>
      </w:pPr>
    </w:p>
    <w:p>
      <w:pPr>
        <w:ind w:right="440"/>
        <w:spacing w:after="0" w:line="242" w:lineRule="auto"/>
        <w:rPr>
          <w:sz w:val="20"/>
          <w:szCs w:val="20"/>
          <w:color w:val="auto"/>
        </w:rPr>
      </w:pPr>
      <w:r>
        <w:rPr>
          <w:rFonts w:ascii="Arial" w:cs="Arial" w:eastAsia="Arial" w:hAnsi="Arial"/>
          <w:sz w:val="20"/>
          <w:szCs w:val="20"/>
          <w:b w:val="1"/>
          <w:bCs w:val="1"/>
          <w:color w:val="auto"/>
        </w:rPr>
        <w:t xml:space="preserve">Active Buyers: </w:t>
      </w:r>
      <w:r>
        <w:rPr>
          <w:rFonts w:ascii="Arial" w:cs="Arial" w:eastAsia="Arial" w:hAnsi="Arial"/>
          <w:sz w:val="20"/>
          <w:szCs w:val="20"/>
          <w:color w:val="auto"/>
        </w:rPr>
        <w:t>The Company defines “buyers” as individuals who have placed an order to purchase on-demand parts or</w:t>
      </w:r>
      <w:r>
        <w:rPr>
          <w:rFonts w:ascii="Arial" w:cs="Arial" w:eastAsia="Arial" w:hAnsi="Arial"/>
          <w:sz w:val="20"/>
          <w:szCs w:val="20"/>
          <w:b w:val="1"/>
          <w:bCs w:val="1"/>
          <w:color w:val="auto"/>
        </w:rPr>
        <w:t xml:space="preserve"> </w:t>
      </w:r>
      <w:r>
        <w:rPr>
          <w:rFonts w:ascii="Arial" w:cs="Arial" w:eastAsia="Arial" w:hAnsi="Arial"/>
          <w:sz w:val="20"/>
          <w:szCs w:val="20"/>
          <w:color w:val="auto"/>
        </w:rPr>
        <w:t>assemblies on our marketplace. The Company defines Active Buyers as the number of buyers who have made at least one purchase on our marketplace during the last twelve months.</w:t>
      </w:r>
    </w:p>
    <w:p>
      <w:pPr>
        <w:spacing w:after="0" w:line="33" w:lineRule="exact"/>
        <w:rPr>
          <w:sz w:val="20"/>
          <w:szCs w:val="20"/>
          <w:color w:val="auto"/>
        </w:rPr>
      </w:pPr>
    </w:p>
    <w:p>
      <w:pPr>
        <w:ind w:right="20"/>
        <w:spacing w:after="0" w:line="237" w:lineRule="auto"/>
        <w:rPr>
          <w:sz w:val="20"/>
          <w:szCs w:val="20"/>
          <w:color w:val="auto"/>
        </w:rPr>
      </w:pPr>
      <w:r>
        <w:rPr>
          <w:rFonts w:ascii="Arial" w:cs="Arial" w:eastAsia="Arial" w:hAnsi="Arial"/>
          <w:sz w:val="20"/>
          <w:szCs w:val="20"/>
          <w:b w:val="1"/>
          <w:bCs w:val="1"/>
          <w:color w:val="auto"/>
        </w:rPr>
        <w:t xml:space="preserve">Active Suppliers: </w:t>
      </w:r>
      <w:r>
        <w:rPr>
          <w:rFonts w:ascii="Arial" w:cs="Arial" w:eastAsia="Arial" w:hAnsi="Arial"/>
          <w:sz w:val="20"/>
          <w:szCs w:val="20"/>
          <w:color w:val="auto"/>
        </w:rPr>
        <w:t>The Company defines “suppliers” as individuals or businesses that have been approved by us to either</w:t>
      </w:r>
      <w:r>
        <w:rPr>
          <w:rFonts w:ascii="Arial" w:cs="Arial" w:eastAsia="Arial" w:hAnsi="Arial"/>
          <w:sz w:val="20"/>
          <w:szCs w:val="20"/>
          <w:b w:val="1"/>
          <w:bCs w:val="1"/>
          <w:color w:val="auto"/>
        </w:rPr>
        <w:t xml:space="preserve"> </w:t>
      </w:r>
      <w:r>
        <w:rPr>
          <w:rFonts w:ascii="Arial" w:cs="Arial" w:eastAsia="Arial" w:hAnsi="Arial"/>
          <w:sz w:val="20"/>
          <w:szCs w:val="20"/>
          <w:color w:val="auto"/>
        </w:rPr>
        <w:t>manufacture a product on our platform for a buyer or have utilized our supplier services, including our digital marketing services, data services, financial services or tools and materials. The Company defines Active Suppliers as suppliers that have used our platform at least once during the last twelve months to manufacture a product.</w:t>
      </w:r>
    </w:p>
    <w:p>
      <w:pPr>
        <w:spacing w:after="0" w:line="37" w:lineRule="exact"/>
        <w:rPr>
          <w:sz w:val="20"/>
          <w:szCs w:val="20"/>
          <w:color w:val="auto"/>
        </w:rPr>
      </w:pPr>
    </w:p>
    <w:p>
      <w:pPr>
        <w:jc w:val="both"/>
        <w:ind w:right="120"/>
        <w:spacing w:after="0" w:line="261" w:lineRule="auto"/>
        <w:rPr>
          <w:sz w:val="20"/>
          <w:szCs w:val="20"/>
          <w:color w:val="auto"/>
        </w:rPr>
      </w:pPr>
      <w:r>
        <w:rPr>
          <w:rFonts w:ascii="Arial" w:cs="Arial" w:eastAsia="Arial" w:hAnsi="Arial"/>
          <w:sz w:val="19"/>
          <w:szCs w:val="19"/>
          <w:b w:val="1"/>
          <w:bCs w:val="1"/>
          <w:color w:val="auto"/>
        </w:rPr>
        <w:t xml:space="preserve">Percentage of Revenue from Existing Accounts: </w:t>
      </w:r>
      <w:r>
        <w:rPr>
          <w:rFonts w:ascii="Arial" w:cs="Arial" w:eastAsia="Arial" w:hAnsi="Arial"/>
          <w:sz w:val="19"/>
          <w:szCs w:val="19"/>
          <w:color w:val="auto"/>
        </w:rPr>
        <w:t>The Company defines an “account” as an individual entity, such as a sole</w:t>
      </w:r>
      <w:r>
        <w:rPr>
          <w:rFonts w:ascii="Arial" w:cs="Arial" w:eastAsia="Arial" w:hAnsi="Arial"/>
          <w:sz w:val="19"/>
          <w:szCs w:val="19"/>
          <w:b w:val="1"/>
          <w:bCs w:val="1"/>
          <w:color w:val="auto"/>
        </w:rPr>
        <w:t xml:space="preserve"> </w:t>
      </w:r>
      <w:r>
        <w:rPr>
          <w:rFonts w:ascii="Arial" w:cs="Arial" w:eastAsia="Arial" w:hAnsi="Arial"/>
          <w:sz w:val="19"/>
          <w:szCs w:val="19"/>
          <w:color w:val="auto"/>
        </w:rPr>
        <w:t>proprietor with a single buyer or corporate entities with multiple buyers, having purchased at least one part on our marketplace. The Company defines an existing account as an account where at least one buyer has made a purchase on our marketplace.</w:t>
      </w:r>
    </w:p>
    <w:p>
      <w:pPr>
        <w:spacing w:after="0" w:line="16" w:lineRule="exact"/>
        <w:rPr>
          <w:sz w:val="20"/>
          <w:szCs w:val="20"/>
          <w:color w:val="auto"/>
        </w:rPr>
      </w:pPr>
    </w:p>
    <w:p>
      <w:pPr>
        <w:ind w:right="220"/>
        <w:spacing w:after="0" w:line="242" w:lineRule="auto"/>
        <w:rPr>
          <w:sz w:val="20"/>
          <w:szCs w:val="20"/>
          <w:color w:val="auto"/>
        </w:rPr>
      </w:pPr>
      <w:r>
        <w:rPr>
          <w:rFonts w:ascii="Arial" w:cs="Arial" w:eastAsia="Arial" w:hAnsi="Arial"/>
          <w:sz w:val="20"/>
          <w:szCs w:val="20"/>
          <w:b w:val="1"/>
          <w:bCs w:val="1"/>
          <w:color w:val="auto"/>
        </w:rPr>
        <w:t xml:space="preserve">Accounts with Last Twelve-Month Spend of At Least $50,000: </w:t>
      </w:r>
      <w:r>
        <w:rPr>
          <w:rFonts w:ascii="Arial" w:cs="Arial" w:eastAsia="Arial" w:hAnsi="Arial"/>
          <w:sz w:val="20"/>
          <w:szCs w:val="20"/>
          <w:color w:val="auto"/>
        </w:rPr>
        <w:t>The Company defines Accounts with Last Twelve-Month</w:t>
      </w:r>
      <w:r>
        <w:rPr>
          <w:rFonts w:ascii="Arial" w:cs="Arial" w:eastAsia="Arial" w:hAnsi="Arial"/>
          <w:sz w:val="20"/>
          <w:szCs w:val="20"/>
          <w:b w:val="1"/>
          <w:bCs w:val="1"/>
          <w:color w:val="auto"/>
        </w:rPr>
        <w:t xml:space="preserve"> </w:t>
      </w:r>
      <w:r>
        <w:rPr>
          <w:rFonts w:ascii="Arial" w:cs="Arial" w:eastAsia="Arial" w:hAnsi="Arial"/>
          <w:sz w:val="20"/>
          <w:szCs w:val="20"/>
          <w:color w:val="auto"/>
        </w:rPr>
        <w:t>Spend of At Least $50,000 as an account that has spent at least $50,000 on our marketplace in the most recent twelve-month period.</w:t>
      </w:r>
    </w:p>
    <w:p>
      <w:pPr>
        <w:spacing w:after="0" w:line="114" w:lineRule="exact"/>
        <w:rPr>
          <w:sz w:val="20"/>
          <w:szCs w:val="20"/>
          <w:color w:val="auto"/>
        </w:rPr>
      </w:pPr>
    </w:p>
    <w:p>
      <w:pPr>
        <w:spacing w:after="0" w:line="245" w:lineRule="auto"/>
        <w:rPr>
          <w:sz w:val="20"/>
          <w:szCs w:val="20"/>
          <w:color w:val="auto"/>
        </w:rPr>
      </w:pPr>
      <w:r>
        <w:rPr>
          <w:rFonts w:ascii="Arial" w:cs="Arial" w:eastAsia="Arial" w:hAnsi="Arial"/>
          <w:sz w:val="19"/>
          <w:szCs w:val="19"/>
          <w:b w:val="1"/>
          <w:bCs w:val="1"/>
          <w:color w:val="auto"/>
        </w:rPr>
        <w:t>Adjusted earnings before interest, taxes, depreciation and amortization (Adjusted EBITDA)</w:t>
      </w:r>
      <w:r>
        <w:rPr>
          <w:rFonts w:ascii="Arial" w:cs="Arial" w:eastAsia="Arial" w:hAnsi="Arial"/>
          <w:sz w:val="19"/>
          <w:szCs w:val="19"/>
          <w:color w:val="auto"/>
        </w:rPr>
        <w:t>: The Company defines</w:t>
      </w:r>
      <w:r>
        <w:rPr>
          <w:rFonts w:ascii="Arial" w:cs="Arial" w:eastAsia="Arial" w:hAnsi="Arial"/>
          <w:sz w:val="19"/>
          <w:szCs w:val="19"/>
          <w:b w:val="1"/>
          <w:bCs w:val="1"/>
          <w:color w:val="auto"/>
        </w:rPr>
        <w:t xml:space="preserve"> </w:t>
      </w:r>
      <w:r>
        <w:rPr>
          <w:rFonts w:ascii="Arial" w:cs="Arial" w:eastAsia="Arial" w:hAnsi="Arial"/>
          <w:sz w:val="19"/>
          <w:szCs w:val="19"/>
          <w:color w:val="auto"/>
        </w:rPr>
        <w:t>Adjusted EBITDA as net loss, adjusted for interest expense, interest and dividend income and other expenses, and certain other non-cash or non-recurring items impacting net loss from time to time, principally comprised of depreciation and amortization, amortization of lease intangible, stock-based compensation, payroll tax expense related to stock-based compensation, lease termination, charitable contributions of common stock, income from unconsolidated joint venture, restructuring charges and acquisition and other adjustments not reflective of the Company’s ongoing business, such as adjustments related to purchase accounting, the revaluation of contingent consideration, transaction costs and executive severance.</w:t>
      </w:r>
    </w:p>
    <w:p>
      <w:pPr>
        <w:spacing w:after="0" w:line="32" w:lineRule="exact"/>
        <w:rPr>
          <w:sz w:val="20"/>
          <w:szCs w:val="20"/>
          <w:color w:val="auto"/>
        </w:rPr>
      </w:pPr>
    </w:p>
    <w:p>
      <w:pPr>
        <w:ind w:right="280"/>
        <w:spacing w:after="0" w:line="242" w:lineRule="auto"/>
        <w:rPr>
          <w:sz w:val="20"/>
          <w:szCs w:val="20"/>
          <w:color w:val="auto"/>
        </w:rPr>
      </w:pPr>
      <w:r>
        <w:rPr>
          <w:rFonts w:ascii="Arial" w:cs="Arial" w:eastAsia="Arial" w:hAnsi="Arial"/>
          <w:sz w:val="20"/>
          <w:szCs w:val="20"/>
          <w:b w:val="1"/>
          <w:bCs w:val="1"/>
          <w:color w:val="auto"/>
        </w:rPr>
        <w:t xml:space="preserve">Non-GAAP net income (loss): </w:t>
      </w:r>
      <w:r>
        <w:rPr>
          <w:rFonts w:ascii="Arial" w:cs="Arial" w:eastAsia="Arial" w:hAnsi="Arial"/>
          <w:sz w:val="20"/>
          <w:szCs w:val="20"/>
          <w:color w:val="auto"/>
        </w:rPr>
        <w:t>The Company defines non-GAAP net income (loss) as net loss adjusted for depreciation and</w:t>
      </w:r>
      <w:r>
        <w:rPr>
          <w:rFonts w:ascii="Arial" w:cs="Arial" w:eastAsia="Arial" w:hAnsi="Arial"/>
          <w:sz w:val="20"/>
          <w:szCs w:val="20"/>
          <w:b w:val="1"/>
          <w:bCs w:val="1"/>
          <w:color w:val="auto"/>
        </w:rPr>
        <w:t xml:space="preserve"> </w:t>
      </w:r>
      <w:r>
        <w:rPr>
          <w:rFonts w:ascii="Arial" w:cs="Arial" w:eastAsia="Arial" w:hAnsi="Arial"/>
          <w:sz w:val="20"/>
          <w:szCs w:val="20"/>
          <w:color w:val="auto"/>
        </w:rPr>
        <w:t>amortization, stock-based compensation, payroll tax expense related to stock-based compensation, amortization of lease intangible, amortization of deferred costs on convertible notes, charitable</w:t>
      </w:r>
    </w:p>
    <w:p>
      <w:pPr>
        <w:spacing w:after="0" w:line="1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2" w:right="359" w:bottom="1440" w:gutter="0" w:footer="0" w:header="0"/>
        </w:sectPr>
      </w:pPr>
    </w:p>
    <w:bookmarkStart w:id="7" w:name="page8"/>
    <w:bookmarkEnd w:id="7"/>
    <w:p>
      <w:pPr>
        <w:ind w:right="160"/>
        <w:spacing w:after="0" w:line="241" w:lineRule="auto"/>
        <w:rPr>
          <w:sz w:val="20"/>
          <w:szCs w:val="20"/>
          <w:color w:val="auto"/>
        </w:rPr>
      </w:pPr>
      <w:r>
        <w:rPr>
          <w:rFonts w:ascii="Arial" w:cs="Arial" w:eastAsia="Arial" w:hAnsi="Arial"/>
          <w:sz w:val="20"/>
          <w:szCs w:val="20"/>
          <w:color w:val="auto"/>
        </w:rPr>
        <w:t>contributions of common stock, lease termination, restructuring charges and acquisition and other adjustments not reflective of the Company’s ongoing business, such as adjustments related to purchase accounting, the revaluation of contingent consideration, transaction costs and executive severance.</w:t>
      </w:r>
    </w:p>
    <w:p>
      <w:pPr>
        <w:spacing w:after="0" w:line="34" w:lineRule="exact"/>
        <w:rPr>
          <w:sz w:val="20"/>
          <w:szCs w:val="20"/>
          <w:color w:val="auto"/>
        </w:rPr>
      </w:pPr>
    </w:p>
    <w:p>
      <w:pPr>
        <w:ind w:right="280"/>
        <w:spacing w:after="0" w:line="242" w:lineRule="auto"/>
        <w:rPr>
          <w:sz w:val="20"/>
          <w:szCs w:val="20"/>
          <w:color w:val="auto"/>
        </w:rPr>
      </w:pPr>
      <w:r>
        <w:rPr>
          <w:rFonts w:ascii="Arial" w:cs="Arial" w:eastAsia="Arial" w:hAnsi="Arial"/>
          <w:sz w:val="20"/>
          <w:szCs w:val="20"/>
          <w:b w:val="1"/>
          <w:bCs w:val="1"/>
          <w:color w:val="auto"/>
        </w:rPr>
        <w:t xml:space="preserve">Non-GAAP Earnings Per Share, basic and diluted (Non-GAAP EPS, basic and diluted): </w:t>
      </w:r>
      <w:r>
        <w:rPr>
          <w:rFonts w:ascii="Arial" w:cs="Arial" w:eastAsia="Arial" w:hAnsi="Arial"/>
          <w:sz w:val="20"/>
          <w:szCs w:val="20"/>
          <w:color w:val="auto"/>
        </w:rPr>
        <w:t>The Company calculates non-GAAP earnings per share, basic and diluted as non-GAAP net income (loss) divided by weighted average number of basic or dilutive shares of common stock outstanding.</w:t>
      </w:r>
    </w:p>
    <w:p>
      <w:pPr>
        <w:spacing w:after="0" w:line="251" w:lineRule="exact"/>
        <w:rPr>
          <w:sz w:val="20"/>
          <w:szCs w:val="20"/>
          <w:color w:val="auto"/>
        </w:rPr>
      </w:pPr>
    </w:p>
    <w:p>
      <w:pPr>
        <w:spacing w:after="0" w:line="233" w:lineRule="auto"/>
        <w:rPr>
          <w:sz w:val="20"/>
          <w:szCs w:val="20"/>
          <w:color w:val="auto"/>
        </w:rPr>
      </w:pPr>
      <w:r>
        <w:rPr>
          <w:rFonts w:ascii="Arial" w:cs="Arial" w:eastAsia="Arial" w:hAnsi="Arial"/>
          <w:sz w:val="20"/>
          <w:szCs w:val="20"/>
          <w:color w:val="auto"/>
        </w:rPr>
        <w:t>Management believes that the exclusion of certain expenses and gains in calculating Adjusted EBITDA, non-GAAP net income (loss) and non-GAAP EPS, basic and diluted, provides a useful measure for period-to-period comparisons of the Company’s underlying core revenue and operating costs that is focused more closely on the current costs necessary to operate the Company’s businesses and reflects its ongoing business in a manner that allows for meaningful analysis of trends. Management also believes that excluding certain non-cash charges can be useful because the amount of such expenses is the result of long-term investment decisions made in previous periods rather than day-to-day operating decisions.</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82" w:right="359" w:bottom="1440" w:gutter="0" w:footer="0" w:header="0"/>
        </w:sectPr>
      </w:pPr>
    </w:p>
    <w:bookmarkStart w:id="8" w:name="page9"/>
    <w:bookmarkEnd w:id="8"/>
    <w:p>
      <w:pPr>
        <w:spacing w:after="0"/>
        <w:rPr>
          <w:sz w:val="20"/>
          <w:szCs w:val="20"/>
          <w:color w:val="auto"/>
        </w:rPr>
      </w:pPr>
      <w:r>
        <w:rPr>
          <w:rFonts w:ascii="Arial" w:cs="Arial" w:eastAsia="Arial" w:hAnsi="Arial"/>
          <w:sz w:val="20"/>
          <w:szCs w:val="20"/>
          <w:b w:val="1"/>
          <w:bCs w:val="1"/>
          <w:color w:val="auto"/>
        </w:rPr>
        <w:t>About Xometry</w:t>
      </w:r>
    </w:p>
    <w:p>
      <w:pPr>
        <w:spacing w:after="0" w:line="6" w:lineRule="exact"/>
        <w:rPr>
          <w:sz w:val="20"/>
          <w:szCs w:val="20"/>
          <w:color w:val="auto"/>
        </w:rPr>
      </w:pPr>
    </w:p>
    <w:p>
      <w:pPr>
        <w:spacing w:after="0" w:line="230" w:lineRule="auto"/>
        <w:rPr>
          <w:sz w:val="20"/>
          <w:szCs w:val="20"/>
          <w:color w:val="auto"/>
        </w:rPr>
      </w:pPr>
      <w:r>
        <w:rPr>
          <w:rFonts w:ascii="Arial" w:cs="Arial" w:eastAsia="Arial" w:hAnsi="Arial"/>
          <w:sz w:val="20"/>
          <w:szCs w:val="20"/>
          <w:color w:val="auto"/>
        </w:rPr>
        <w:t xml:space="preserve">Xometry’s </w:t>
      </w:r>
      <w:r>
        <w:rPr>
          <w:rFonts w:ascii="Arial" w:cs="Arial" w:eastAsia="Arial" w:hAnsi="Arial"/>
          <w:sz w:val="20"/>
          <w:szCs w:val="20"/>
          <w:color w:val="1D1C1D"/>
        </w:rPr>
        <w:t>(NASDAQ: XMTR)</w:t>
      </w:r>
      <w:r>
        <w:rPr>
          <w:rFonts w:ascii="Arial" w:cs="Arial" w:eastAsia="Arial" w:hAnsi="Arial"/>
          <w:sz w:val="20"/>
          <w:szCs w:val="20"/>
          <w:color w:val="auto"/>
        </w:rPr>
        <w:t xml:space="preserve"> AI-powered marketplace</w:t>
      </w:r>
      <w:r>
        <w:rPr>
          <w:rFonts w:ascii="Arial" w:cs="Arial" w:eastAsia="Arial" w:hAnsi="Arial"/>
          <w:sz w:val="20"/>
          <w:szCs w:val="20"/>
          <w:color w:val="1D1C1D"/>
        </w:rPr>
        <w:t>, popular</w:t>
      </w:r>
      <w:r>
        <w:rPr>
          <w:rFonts w:ascii="Arial" w:cs="Arial" w:eastAsia="Arial" w:hAnsi="Arial"/>
          <w:sz w:val="20"/>
          <w:szCs w:val="20"/>
          <w:color w:val="auto"/>
        </w:rPr>
        <w:t xml:space="preserve"> Thomasnet</w:t>
      </w:r>
      <w:r>
        <w:rPr>
          <w:rFonts w:ascii="Arial" w:cs="Arial" w:eastAsia="Arial" w:hAnsi="Arial"/>
          <w:sz w:val="20"/>
          <w:szCs w:val="20"/>
          <w:color w:val="1D1C1D"/>
        </w:rPr>
        <w:t xml:space="preserve">® industrial sourcing platform and suite of cloud-based services are rapidly digitizing the manufacturing industry. Xometry provides manufacturers the critical resources they need to grow their business and makes it easy for buyers to get the instant pricing and lead times to create locally resilient supply chains. The Xometry Instant Quoting Engine® leverages millions of data to analyze complex parts in real time, matches buyers with the right suppliers globally, and provides accurate pricing and lead times. Learn more at </w:t>
      </w:r>
      <w:r>
        <w:rPr>
          <w:rFonts w:ascii="Arial" w:cs="Arial" w:eastAsia="Arial" w:hAnsi="Arial"/>
          <w:sz w:val="20"/>
          <w:szCs w:val="20"/>
          <w:color w:val="000000"/>
        </w:rPr>
        <w:t>www.xometry.com</w:t>
      </w:r>
      <w:r>
        <w:rPr>
          <w:rFonts w:ascii="Arial" w:cs="Arial" w:eastAsia="Arial" w:hAnsi="Arial"/>
          <w:sz w:val="20"/>
          <w:szCs w:val="20"/>
          <w:color w:val="1D1C1D"/>
        </w:rPr>
        <w:t xml:space="preserve"> or follow @Xometry.</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and Webcast Information</w:t>
      </w:r>
    </w:p>
    <w:p>
      <w:pPr>
        <w:spacing w:after="0" w:line="6" w:lineRule="exact"/>
        <w:rPr>
          <w:sz w:val="20"/>
          <w:szCs w:val="20"/>
          <w:color w:val="auto"/>
        </w:rPr>
      </w:pPr>
    </w:p>
    <w:p>
      <w:pPr>
        <w:ind w:right="160"/>
        <w:spacing w:after="0" w:line="234" w:lineRule="auto"/>
        <w:rPr>
          <w:sz w:val="20"/>
          <w:szCs w:val="20"/>
          <w:color w:val="auto"/>
        </w:rPr>
      </w:pPr>
      <w:r>
        <w:rPr>
          <w:rFonts w:ascii="Arial" w:cs="Arial" w:eastAsia="Arial" w:hAnsi="Arial"/>
          <w:sz w:val="20"/>
          <w:szCs w:val="20"/>
          <w:color w:val="auto"/>
        </w:rPr>
        <w:t>The Company will host a conference call and webcast to discuss the results at 8:30 a.m. ET (5:30 a.m. PT) on May 6, 2025. In addition to its press release announcing its first quarter 2025 financial results, Xometry will release an earnings presentation, which will be available on its investor website at investors.xometry.com.</w:t>
      </w:r>
    </w:p>
    <w:p>
      <w:pPr>
        <w:spacing w:after="0" w:line="173" w:lineRule="exact"/>
        <w:rPr>
          <w:sz w:val="20"/>
          <w:szCs w:val="20"/>
          <w:color w:val="auto"/>
        </w:rPr>
      </w:pPr>
    </w:p>
    <w:p>
      <w:pPr>
        <w:spacing w:after="0"/>
        <w:rPr>
          <w:sz w:val="20"/>
          <w:szCs w:val="20"/>
          <w:color w:val="auto"/>
        </w:rPr>
      </w:pPr>
      <w:r>
        <w:rPr>
          <w:rFonts w:ascii="Arial" w:cs="Arial" w:eastAsia="Arial" w:hAnsi="Arial"/>
          <w:sz w:val="20"/>
          <w:szCs w:val="20"/>
          <w:color w:val="auto"/>
        </w:rPr>
        <w:t>Xometry, Inc. First Quarter 2025 Earnings Presentation and Conference Call</w:t>
      </w:r>
    </w:p>
    <w:p>
      <w:pPr>
        <w:spacing w:after="0" w:line="3" w:lineRule="exact"/>
        <w:rPr>
          <w:sz w:val="20"/>
          <w:szCs w:val="20"/>
          <w:color w:val="auto"/>
        </w:rPr>
      </w:pPr>
    </w:p>
    <w:p>
      <w:pPr>
        <w:ind w:left="1020" w:hanging="503"/>
        <w:spacing w:after="0"/>
        <w:tabs>
          <w:tab w:leader="none" w:pos="1020" w:val="left"/>
        </w:tabs>
        <w:numPr>
          <w:ilvl w:val="0"/>
          <w:numId w:val="8"/>
        </w:numPr>
        <w:rPr>
          <w:rFonts w:ascii="Times New Roman" w:cs="Times New Roman" w:eastAsia="Times New Roman" w:hAnsi="Times New Roman"/>
          <w:sz w:val="20"/>
          <w:szCs w:val="20"/>
          <w:color w:val="auto"/>
        </w:rPr>
      </w:pPr>
      <w:r>
        <w:rPr>
          <w:rFonts w:ascii="Arial" w:cs="Arial" w:eastAsia="Arial" w:hAnsi="Arial"/>
          <w:sz w:val="20"/>
          <w:szCs w:val="20"/>
          <w:color w:val="auto"/>
        </w:rPr>
        <w:t>Tuesday, May 6, 2025</w:t>
      </w:r>
    </w:p>
    <w:p>
      <w:pPr>
        <w:ind w:left="1020" w:hanging="503"/>
        <w:spacing w:after="0" w:line="238" w:lineRule="auto"/>
        <w:tabs>
          <w:tab w:leader="none" w:pos="1020" w:val="left"/>
        </w:tabs>
        <w:numPr>
          <w:ilvl w:val="0"/>
          <w:numId w:val="8"/>
        </w:numPr>
        <w:rPr>
          <w:rFonts w:ascii="Times New Roman" w:cs="Times New Roman" w:eastAsia="Times New Roman" w:hAnsi="Times New Roman"/>
          <w:sz w:val="20"/>
          <w:szCs w:val="20"/>
          <w:color w:val="auto"/>
        </w:rPr>
      </w:pPr>
      <w:r>
        <w:rPr>
          <w:rFonts w:ascii="Arial" w:cs="Arial" w:eastAsia="Arial" w:hAnsi="Arial"/>
          <w:sz w:val="20"/>
          <w:szCs w:val="20"/>
          <w:color w:val="auto"/>
        </w:rPr>
        <w:t>8:30 a.m. Eastern / 5:30 a.m. Pacific</w:t>
      </w:r>
    </w:p>
    <w:p>
      <w:pPr>
        <w:ind w:left="1020" w:hanging="503"/>
        <w:spacing w:after="0" w:line="238" w:lineRule="auto"/>
        <w:tabs>
          <w:tab w:leader="none" w:pos="1020" w:val="left"/>
        </w:tabs>
        <w:numPr>
          <w:ilvl w:val="0"/>
          <w:numId w:val="8"/>
        </w:numPr>
        <w:rPr>
          <w:rFonts w:ascii="Times New Roman" w:cs="Times New Roman" w:eastAsia="Times New Roman" w:hAnsi="Times New Roman"/>
          <w:sz w:val="20"/>
          <w:szCs w:val="20"/>
          <w:color w:val="auto"/>
        </w:rPr>
      </w:pPr>
      <w:r>
        <w:rPr>
          <w:rFonts w:ascii="Arial" w:cs="Arial" w:eastAsia="Arial" w:hAnsi="Arial"/>
          <w:sz w:val="20"/>
          <w:szCs w:val="20"/>
          <w:color w:val="auto"/>
        </w:rPr>
        <w:t>To access the webcast use the following link: https://register-conf.media-server.com/register</w:t>
      </w:r>
    </w:p>
    <w:p>
      <w:pPr>
        <w:ind w:left="1020" w:right="60" w:hanging="503"/>
        <w:spacing w:after="0" w:line="239" w:lineRule="auto"/>
        <w:tabs>
          <w:tab w:leader="none" w:pos="1020" w:val="left"/>
        </w:tabs>
        <w:numPr>
          <w:ilvl w:val="0"/>
          <w:numId w:val="8"/>
        </w:numPr>
        <w:rPr>
          <w:rFonts w:ascii="Times New Roman" w:cs="Times New Roman" w:eastAsia="Times New Roman" w:hAnsi="Times New Roman"/>
          <w:sz w:val="20"/>
          <w:szCs w:val="20"/>
          <w:color w:val="auto"/>
        </w:rPr>
      </w:pPr>
      <w:r>
        <w:rPr>
          <w:rFonts w:ascii="Arial" w:cs="Arial" w:eastAsia="Arial" w:hAnsi="Arial"/>
          <w:sz w:val="20"/>
          <w:szCs w:val="20"/>
          <w:color w:val="auto"/>
        </w:rPr>
        <w:t>You may also visit the Xometry Investor Relations Homepage at investors.xometry.com to listen to a live webcast of the call</w:t>
      </w:r>
    </w:p>
    <w:p>
      <w:pPr>
        <w:spacing w:after="0" w:line="17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Cautionary Information Regarding Forward-Looking Statements</w:t>
      </w:r>
    </w:p>
    <w:p>
      <w:pPr>
        <w:spacing w:after="0" w:line="16"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This press release contains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“could,” “would,” “intend,” “target,” “project,” “contemplate,” “believe,” “estimate,” “predict,” “potential” or “continue” or the negative of these words or other similar terms or expressions that concern our expectations, strategy, plans or intentions. Forward-looking statements in this press release include, but are not limited to, our beliefs regarding our financial position and operating performance, including our outlook and guidance for the second quarter of 2025 and the full year 2025; our expectations regarding our growth; and statements regarding our strategies, initiatives, products and platform capabilities. Our expectations and beliefs regarding these matters may not materialize, and actual results in future periods are subject to risks and uncertainties that could cause actual results to differ materially from those projected, including risks and uncertainties related to: competition, managing our growth, financial performance, our ability to forecast our performance due to our limited operating history, investments in new products or offerings, our ability to attract buyers and sellers to our marketplace, legal proceedings and regulatory matters and developments, any future changes to our business or our financial or operating model, our brand and reputation, and the impact of fluctuations in general macroeconomic conditions, such as fluctuations in inflation and rising interest rates. The forward-looking statements contained in this press release are also subject to other risks and uncertainties that could cause actual results to differ from the results predicted, including those more fully described in our filings with the SEC, including our Annual Report on Form 10-K for the year ended December 31, 2024, our Quarterly Reports on Form 10-Q, and other filings and reports that we may file from time to time with the SEC. All forward-looking statements in this press release are based on information available to Xometry and assumptions and beliefs as of the date hereof, and we disclaim any obligation to update any forward-looking statements, except as required by law.</w:t>
      </w:r>
    </w:p>
    <w:p>
      <w:pPr>
        <w:sectPr>
          <w:pgSz w:w="11900" w:h="16838" w:orient="portrait"/>
          <w:cols w:equalWidth="0" w:num="1">
            <w:col w:w="11200"/>
          </w:cols>
          <w:pgMar w:left="320" w:top="1088" w:right="379" w:bottom="1440" w:gutter="0" w:footer="0" w:header="0"/>
        </w:sectPr>
      </w:pPr>
    </w:p>
    <w:p>
      <w:pPr>
        <w:spacing w:after="0" w:line="15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Investor Contact:</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Shawn Milne</w:t>
      </w:r>
    </w:p>
    <w:p>
      <w:pPr>
        <w:spacing w:after="0" w:line="232" w:lineRule="auto"/>
        <w:rPr>
          <w:sz w:val="20"/>
          <w:szCs w:val="20"/>
          <w:color w:val="auto"/>
        </w:rPr>
      </w:pPr>
      <w:r>
        <w:rPr>
          <w:rFonts w:ascii="Arial" w:cs="Arial" w:eastAsia="Arial" w:hAnsi="Arial"/>
          <w:sz w:val="17"/>
          <w:szCs w:val="17"/>
          <w:color w:val="auto"/>
        </w:rPr>
        <w:t>VP Investor Relations</w:t>
      </w:r>
    </w:p>
    <w:p>
      <w:pPr>
        <w:spacing w:after="0" w:line="232" w:lineRule="auto"/>
        <w:rPr>
          <w:sz w:val="20"/>
          <w:szCs w:val="20"/>
          <w:color w:val="auto"/>
        </w:rPr>
      </w:pPr>
      <w:r>
        <w:rPr>
          <w:rFonts w:ascii="Arial" w:cs="Arial" w:eastAsia="Arial" w:hAnsi="Arial"/>
          <w:sz w:val="17"/>
          <w:szCs w:val="17"/>
          <w:color w:val="auto"/>
        </w:rPr>
        <w:t>240-335-8132</w:t>
      </w:r>
    </w:p>
    <w:p>
      <w:pPr>
        <w:spacing w:after="0"/>
        <w:rPr>
          <w:sz w:val="20"/>
          <w:szCs w:val="20"/>
          <w:color w:val="auto"/>
        </w:rPr>
      </w:pPr>
      <w:r>
        <w:rPr>
          <w:rFonts w:ascii="Arial" w:cs="Arial" w:eastAsia="Arial" w:hAnsi="Arial"/>
          <w:sz w:val="17"/>
          <w:szCs w:val="17"/>
          <w:color w:val="auto"/>
        </w:rPr>
        <w:t>shawn.milne@xometry.com</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Media Contact:</w:t>
      </w:r>
    </w:p>
    <w:p>
      <w:pPr>
        <w:spacing w:after="0" w:line="3" w:lineRule="exact"/>
        <w:rPr>
          <w:sz w:val="20"/>
          <w:szCs w:val="20"/>
          <w:color w:val="auto"/>
        </w:rPr>
      </w:pPr>
    </w:p>
    <w:p>
      <w:pPr>
        <w:spacing w:after="0"/>
        <w:rPr>
          <w:sz w:val="20"/>
          <w:szCs w:val="20"/>
          <w:color w:val="auto"/>
        </w:rPr>
      </w:pPr>
      <w:r>
        <w:rPr>
          <w:rFonts w:ascii="Arial" w:cs="Arial" w:eastAsia="Arial" w:hAnsi="Arial"/>
          <w:sz w:val="17"/>
          <w:szCs w:val="17"/>
          <w:color w:val="auto"/>
        </w:rPr>
        <w:t>Matthew Hutchison</w:t>
      </w:r>
    </w:p>
    <w:p>
      <w:pPr>
        <w:spacing w:after="0" w:line="232" w:lineRule="auto"/>
        <w:rPr>
          <w:sz w:val="20"/>
          <w:szCs w:val="20"/>
          <w:color w:val="auto"/>
        </w:rPr>
      </w:pPr>
      <w:r>
        <w:rPr>
          <w:rFonts w:ascii="Arial" w:cs="Arial" w:eastAsia="Arial" w:hAnsi="Arial"/>
          <w:sz w:val="17"/>
          <w:szCs w:val="17"/>
          <w:color w:val="auto"/>
        </w:rPr>
        <w:t>Global Corporate Communications</w:t>
      </w:r>
    </w:p>
    <w:p>
      <w:pPr>
        <w:spacing w:after="0" w:line="232" w:lineRule="auto"/>
        <w:rPr>
          <w:sz w:val="20"/>
          <w:szCs w:val="20"/>
          <w:color w:val="auto"/>
        </w:rPr>
      </w:pPr>
      <w:r>
        <w:rPr>
          <w:rFonts w:ascii="Arial" w:cs="Arial" w:eastAsia="Arial" w:hAnsi="Arial"/>
          <w:sz w:val="17"/>
          <w:szCs w:val="17"/>
          <w:color w:val="auto"/>
        </w:rPr>
        <w:t>415-583-2119</w:t>
      </w:r>
    </w:p>
    <w:p>
      <w:pPr>
        <w:spacing w:after="0"/>
        <w:rPr>
          <w:sz w:val="20"/>
          <w:szCs w:val="20"/>
          <w:color w:val="auto"/>
        </w:rPr>
      </w:pPr>
      <w:r>
        <w:rPr>
          <w:rFonts w:ascii="Arial" w:cs="Arial" w:eastAsia="Arial" w:hAnsi="Arial"/>
          <w:sz w:val="17"/>
          <w:szCs w:val="17"/>
          <w:color w:val="auto"/>
        </w:rPr>
        <w:t>matthew.hutchison@xometry.com</w:t>
      </w:r>
    </w:p>
    <w:p>
      <w:pPr>
        <w:spacing w:after="0" w:line="200" w:lineRule="exact"/>
        <w:rPr>
          <w:sz w:val="20"/>
          <w:szCs w:val="20"/>
          <w:color w:val="auto"/>
        </w:rPr>
      </w:pPr>
    </w:p>
    <w:p>
      <w:pPr>
        <w:sectPr>
          <w:pgSz w:w="11900" w:h="16838" w:orient="portrait"/>
          <w:cols w:equalWidth="0" w:num="2">
            <w:col w:w="4900" w:space="720"/>
            <w:col w:w="5580"/>
          </w:cols>
          <w:pgMar w:left="320" w:top="1088" w:right="379" w:bottom="1440" w:gutter="0" w:footer="0" w:header="0"/>
          <w:type w:val="continuous"/>
        </w:sectPr>
      </w:pPr>
    </w:p>
    <w:p>
      <w:pPr>
        <w:spacing w:after="0" w:line="200" w:lineRule="exact"/>
        <w:rPr>
          <w:sz w:val="20"/>
          <w:szCs w:val="20"/>
          <w:color w:val="auto"/>
        </w:rPr>
      </w:pPr>
    </w:p>
    <w:p>
      <w:pPr>
        <w:spacing w:after="0" w:line="2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8" w:right="379" w:bottom="1440" w:gutter="0" w:footer="0" w:header="0"/>
          <w:type w:val="continuous"/>
        </w:sectPr>
      </w:pPr>
    </w:p>
    <w:bookmarkStart w:id="9" w:name="page10"/>
    <w:bookmarkEnd w:id="9"/>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ind w:left="3740"/>
        <w:spacing w:after="0" w:line="231" w:lineRule="auto"/>
        <w:rPr>
          <w:sz w:val="20"/>
          <w:szCs w:val="20"/>
          <w:color w:val="auto"/>
        </w:rPr>
      </w:pPr>
      <w:r>
        <w:rPr>
          <w:rFonts w:ascii="Arial" w:cs="Arial" w:eastAsia="Arial" w:hAnsi="Arial"/>
          <w:sz w:val="20"/>
          <w:szCs w:val="20"/>
          <w:color w:val="auto"/>
        </w:rPr>
        <w:t>Condensed Consolidated Balance Sheets</w:t>
      </w:r>
    </w:p>
    <w:p>
      <w:pPr>
        <w:ind w:left="3520"/>
        <w:spacing w:after="0" w:line="226" w:lineRule="auto"/>
        <w:rPr>
          <w:sz w:val="20"/>
          <w:szCs w:val="20"/>
          <w:color w:val="auto"/>
        </w:rPr>
      </w:pPr>
      <w:r>
        <w:rPr>
          <w:rFonts w:ascii="Arial" w:cs="Arial" w:eastAsia="Arial" w:hAnsi="Arial"/>
          <w:sz w:val="20"/>
          <w:szCs w:val="20"/>
          <w:color w:val="auto"/>
        </w:rPr>
        <w:t>(In thousands, except share and per share data)</w:t>
      </w:r>
    </w:p>
    <w:p>
      <w:pPr>
        <w:jc w:val="center"/>
        <w:spacing w:after="0" w:line="228" w:lineRule="auto"/>
        <w:rPr>
          <w:sz w:val="20"/>
          <w:szCs w:val="20"/>
          <w:color w:val="auto"/>
        </w:rPr>
      </w:pPr>
      <w:r>
        <w:rPr>
          <w:rFonts w:ascii="Arial" w:cs="Arial" w:eastAsia="Arial" w:hAnsi="Arial"/>
          <w:sz w:val="20"/>
          <w:szCs w:val="20"/>
          <w:color w:val="auto"/>
        </w:rPr>
        <w:t>(Unaudited)</w:t>
      </w:r>
    </w:p>
    <w:tbl>
      <w:tblPr>
        <w:tblLayout w:type="fixed"/>
        <w:tblInd w:w="0" w:type="dxa"/>
        <w:tblCellMar>
          <w:top w:w="0" w:type="dxa"/>
          <w:left w:w="0" w:type="dxa"/>
          <w:bottom w:w="0" w:type="dxa"/>
          <w:right w:w="0" w:type="dxa"/>
        </w:tblCellMar>
      </w:tblPr>
      <w:tr>
        <w:trPr>
          <w:trHeight w:val="204"/>
        </w:trPr>
        <w:tc>
          <w:tcPr>
            <w:tcW w:w="7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0" w:type="dxa"/>
            <w:vAlign w:val="bottom"/>
            <w:gridSpan w:val="2"/>
          </w:tcPr>
          <w:p>
            <w:pPr>
              <w:jc w:val="right"/>
              <w:ind w:right="460"/>
              <w:spacing w:after="0" w:line="204" w:lineRule="exact"/>
              <w:rPr>
                <w:sz w:val="20"/>
                <w:szCs w:val="20"/>
                <w:color w:val="auto"/>
              </w:rPr>
            </w:pPr>
            <w:r>
              <w:rPr>
                <w:rFonts w:ascii="Arial" w:cs="Arial" w:eastAsia="Arial" w:hAnsi="Arial"/>
                <w:sz w:val="18"/>
                <w:szCs w:val="18"/>
                <w:b w:val="1"/>
                <w:bCs w:val="1"/>
                <w:color w:val="auto"/>
              </w:rPr>
              <w:t>March 31,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right"/>
              <w:ind w:right="280"/>
              <w:spacing w:after="0" w:line="204" w:lineRule="exact"/>
              <w:rPr>
                <w:sz w:val="20"/>
                <w:szCs w:val="20"/>
                <w:color w:val="auto"/>
              </w:rPr>
            </w:pPr>
            <w:r>
              <w:rPr>
                <w:rFonts w:ascii="Arial" w:cs="Arial" w:eastAsia="Arial" w:hAnsi="Arial"/>
                <w:sz w:val="18"/>
                <w:szCs w:val="18"/>
                <w:b w:val="1"/>
                <w:bCs w:val="1"/>
                <w:color w:val="auto"/>
              </w:rPr>
              <w:t>December 31,</w:t>
            </w:r>
          </w:p>
        </w:tc>
      </w:tr>
      <w:tr>
        <w:trPr>
          <w:trHeight w:val="196"/>
        </w:trPr>
        <w:tc>
          <w:tcPr>
            <w:tcW w:w="7940" w:type="dxa"/>
            <w:vAlign w:val="bottom"/>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260" w:type="dxa"/>
            <w:vAlign w:val="bottom"/>
            <w:tcBorders>
              <w:top w:val="single" w:sz="8" w:color="auto"/>
              <w:bottom w:val="single" w:sz="8" w:color="auto"/>
            </w:tcBorders>
          </w:tcPr>
          <w:p>
            <w:pPr>
              <w:jc w:val="right"/>
              <w:ind w:right="450"/>
              <w:spacing w:after="0" w:line="196" w:lineRule="exact"/>
              <w:rPr>
                <w:sz w:val="20"/>
                <w:szCs w:val="20"/>
                <w:color w:val="auto"/>
              </w:rPr>
            </w:pPr>
            <w:r>
              <w:rPr>
                <w:rFonts w:ascii="Arial" w:cs="Arial" w:eastAsia="Arial" w:hAnsi="Arial"/>
                <w:sz w:val="18"/>
                <w:szCs w:val="18"/>
                <w:b w:val="1"/>
                <w:bCs w:val="1"/>
                <w:color w:val="auto"/>
              </w:rPr>
              <w:t>2025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right"/>
              <w:ind w:right="470"/>
              <w:spacing w:after="0" w:line="196" w:lineRule="exact"/>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7"/>
                <w:szCs w:val="17"/>
                <w:color w:val="auto"/>
              </w:rPr>
            </w:pPr>
          </w:p>
        </w:tc>
      </w:tr>
      <w:tr>
        <w:trPr>
          <w:trHeight w:val="196"/>
        </w:trPr>
        <w:tc>
          <w:tcPr>
            <w:tcW w:w="79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7940" w:type="dxa"/>
            <w:vAlign w:val="bottom"/>
          </w:tcPr>
          <w:p>
            <w:pPr>
              <w:spacing w:after="0" w:line="202" w:lineRule="exact"/>
              <w:rPr>
                <w:sz w:val="20"/>
                <w:szCs w:val="20"/>
                <w:color w:val="auto"/>
              </w:rPr>
            </w:pPr>
            <w:r>
              <w:rPr>
                <w:rFonts w:ascii="Arial" w:cs="Arial" w:eastAsia="Arial" w:hAnsi="Arial"/>
                <w:sz w:val="18"/>
                <w:szCs w:val="18"/>
                <w:b w:val="1"/>
                <w:bCs w:val="1"/>
                <w:color w:val="auto"/>
              </w:rPr>
              <w:t>Current assets: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9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15,507</w:t>
            </w:r>
          </w:p>
        </w:tc>
        <w:tc>
          <w:tcPr>
            <w:tcW w:w="14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22,232</w:t>
            </w:r>
          </w:p>
        </w:tc>
        <w:tc>
          <w:tcPr>
            <w:tcW w:w="100" w:type="dxa"/>
            <w:vAlign w:val="bottom"/>
            <w:shd w:val="clear" w:color="auto" w:fill="CFF0FC"/>
          </w:tcPr>
          <w:p>
            <w:pPr>
              <w:spacing w:after="0"/>
              <w:rPr>
                <w:sz w:val="17"/>
                <w:szCs w:val="17"/>
                <w:color w:val="auto"/>
              </w:rPr>
            </w:pPr>
          </w:p>
        </w:tc>
      </w:tr>
      <w:tr>
        <w:trPr>
          <w:trHeight w:val="203"/>
        </w:trPr>
        <w:tc>
          <w:tcPr>
            <w:tcW w:w="7940" w:type="dxa"/>
            <w:vAlign w:val="bottom"/>
          </w:tcPr>
          <w:p>
            <w:pPr>
              <w:ind w:left="200"/>
              <w:spacing w:after="0" w:line="202" w:lineRule="exact"/>
              <w:rPr>
                <w:sz w:val="20"/>
                <w:szCs w:val="20"/>
                <w:color w:val="auto"/>
              </w:rPr>
            </w:pPr>
            <w:r>
              <w:rPr>
                <w:rFonts w:ascii="Arial" w:cs="Arial" w:eastAsia="Arial" w:hAnsi="Arial"/>
                <w:sz w:val="18"/>
                <w:szCs w:val="18"/>
                <w:color w:val="auto"/>
              </w:rPr>
              <w:t>Marketable securities</w:t>
            </w:r>
          </w:p>
        </w:tc>
        <w:tc>
          <w:tcPr>
            <w:tcW w:w="2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215,874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217,603</w:t>
            </w:r>
          </w:p>
        </w:tc>
        <w:tc>
          <w:tcPr>
            <w:tcW w:w="100" w:type="dxa"/>
            <w:vAlign w:val="bottom"/>
          </w:tcPr>
          <w:p>
            <w:pPr>
              <w:spacing w:after="0"/>
              <w:rPr>
                <w:sz w:val="17"/>
                <w:szCs w:val="17"/>
                <w:color w:val="auto"/>
              </w:rPr>
            </w:pPr>
          </w:p>
        </w:tc>
      </w:tr>
      <w:tr>
        <w:trPr>
          <w:trHeight w:val="184"/>
        </w:trPr>
        <w:tc>
          <w:tcPr>
            <w:tcW w:w="7940" w:type="dxa"/>
            <w:vAlign w:val="bottom"/>
            <w:shd w:val="clear" w:color="auto" w:fill="CFF0FC"/>
          </w:tcPr>
          <w:p>
            <w:pPr>
              <w:ind w:left="200"/>
              <w:spacing w:after="0" w:line="183" w:lineRule="exact"/>
              <w:rPr>
                <w:sz w:val="20"/>
                <w:szCs w:val="20"/>
                <w:color w:val="auto"/>
              </w:rPr>
            </w:pPr>
            <w:r>
              <w:rPr>
                <w:rFonts w:ascii="Arial" w:cs="Arial" w:eastAsia="Arial" w:hAnsi="Arial"/>
                <w:sz w:val="18"/>
                <w:szCs w:val="18"/>
                <w:color w:val="auto"/>
              </w:rPr>
              <w:t>Accounts receivable, less allowance for credit losses of $5.1 million and $4.9 million as of</w:t>
            </w:r>
          </w:p>
        </w:tc>
        <w:tc>
          <w:tcPr>
            <w:tcW w:w="22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21"/>
        </w:trPr>
        <w:tc>
          <w:tcPr>
            <w:tcW w:w="7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March 31, 2025 and December 31, 2024</w:t>
            </w:r>
          </w:p>
        </w:tc>
        <w:tc>
          <w:tcPr>
            <w:tcW w:w="22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85,529</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73,962</w:t>
            </w:r>
          </w:p>
        </w:tc>
        <w:tc>
          <w:tcPr>
            <w:tcW w:w="100" w:type="dxa"/>
            <w:vAlign w:val="bottom"/>
            <w:shd w:val="clear" w:color="auto" w:fill="CFF0FC"/>
          </w:tcPr>
          <w:p>
            <w:pPr>
              <w:spacing w:after="0"/>
              <w:rPr>
                <w:sz w:val="19"/>
                <w:szCs w:val="19"/>
                <w:color w:val="auto"/>
              </w:rPr>
            </w:pPr>
          </w:p>
        </w:tc>
      </w:tr>
      <w:tr>
        <w:trPr>
          <w:trHeight w:val="203"/>
        </w:trPr>
        <w:tc>
          <w:tcPr>
            <w:tcW w:w="7940" w:type="dxa"/>
            <w:vAlign w:val="bottom"/>
          </w:tcPr>
          <w:p>
            <w:pPr>
              <w:ind w:left="200"/>
              <w:spacing w:after="0" w:line="202" w:lineRule="exact"/>
              <w:rPr>
                <w:sz w:val="20"/>
                <w:szCs w:val="20"/>
                <w:color w:val="auto"/>
              </w:rPr>
            </w:pPr>
            <w:r>
              <w:rPr>
                <w:rFonts w:ascii="Arial" w:cs="Arial" w:eastAsia="Arial" w:hAnsi="Arial"/>
                <w:sz w:val="18"/>
                <w:szCs w:val="18"/>
                <w:color w:val="auto"/>
              </w:rPr>
              <w:t>Inventory</w:t>
            </w:r>
          </w:p>
        </w:tc>
        <w:tc>
          <w:tcPr>
            <w:tcW w:w="2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4,032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3,915</w:t>
            </w:r>
          </w:p>
        </w:tc>
        <w:tc>
          <w:tcPr>
            <w:tcW w:w="100" w:type="dxa"/>
            <w:vAlign w:val="bottom"/>
          </w:tcPr>
          <w:p>
            <w:pPr>
              <w:spacing w:after="0"/>
              <w:rPr>
                <w:sz w:val="17"/>
                <w:szCs w:val="17"/>
                <w:color w:val="auto"/>
              </w:rPr>
            </w:pPr>
          </w:p>
        </w:tc>
      </w:tr>
      <w:tr>
        <w:trPr>
          <w:trHeight w:val="203"/>
        </w:trPr>
        <w:tc>
          <w:tcPr>
            <w:tcW w:w="79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Prepaid expenses</w:t>
            </w:r>
          </w:p>
        </w:tc>
        <w:tc>
          <w:tcPr>
            <w:tcW w:w="2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6,487</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4,954</w:t>
            </w:r>
          </w:p>
        </w:tc>
        <w:tc>
          <w:tcPr>
            <w:tcW w:w="100" w:type="dxa"/>
            <w:vAlign w:val="bottom"/>
            <w:shd w:val="clear" w:color="auto" w:fill="CFF0FC"/>
          </w:tcPr>
          <w:p>
            <w:pPr>
              <w:spacing w:after="0"/>
              <w:rPr>
                <w:sz w:val="17"/>
                <w:szCs w:val="17"/>
                <w:color w:val="auto"/>
              </w:rPr>
            </w:pPr>
          </w:p>
        </w:tc>
      </w:tr>
      <w:tr>
        <w:trPr>
          <w:trHeight w:val="203"/>
        </w:trPr>
        <w:tc>
          <w:tcPr>
            <w:tcW w:w="7940" w:type="dxa"/>
            <w:vAlign w:val="bottom"/>
          </w:tcPr>
          <w:p>
            <w:pPr>
              <w:ind w:left="200"/>
              <w:spacing w:after="0" w:line="202" w:lineRule="exact"/>
              <w:rPr>
                <w:sz w:val="20"/>
                <w:szCs w:val="20"/>
                <w:color w:val="auto"/>
              </w:rPr>
            </w:pPr>
            <w:r>
              <w:rPr>
                <w:rFonts w:ascii="Arial" w:cs="Arial" w:eastAsia="Arial" w:hAnsi="Arial"/>
                <w:sz w:val="18"/>
                <w:szCs w:val="18"/>
                <w:color w:val="auto"/>
              </w:rPr>
              <w:t>Other current assets</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7,189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4,874</w:t>
            </w:r>
          </w:p>
        </w:tc>
        <w:tc>
          <w:tcPr>
            <w:tcW w:w="100" w:type="dxa"/>
            <w:vAlign w:val="bottom"/>
          </w:tcPr>
          <w:p>
            <w:pPr>
              <w:spacing w:after="0"/>
              <w:rPr>
                <w:sz w:val="17"/>
                <w:szCs w:val="17"/>
                <w:color w:val="auto"/>
              </w:rPr>
            </w:pPr>
          </w:p>
        </w:tc>
      </w:tr>
      <w:tr>
        <w:trPr>
          <w:trHeight w:val="196"/>
        </w:trPr>
        <w:tc>
          <w:tcPr>
            <w:tcW w:w="7940" w:type="dxa"/>
            <w:vAlign w:val="bottom"/>
            <w:shd w:val="clear" w:color="auto" w:fill="CFF0FC"/>
          </w:tcPr>
          <w:p>
            <w:pPr>
              <w:ind w:left="420"/>
              <w:spacing w:after="0" w:line="196" w:lineRule="exact"/>
              <w:rPr>
                <w:sz w:val="20"/>
                <w:szCs w:val="20"/>
                <w:color w:val="auto"/>
              </w:rPr>
            </w:pPr>
            <w:r>
              <w:rPr>
                <w:rFonts w:ascii="Arial" w:cs="Arial" w:eastAsia="Arial" w:hAnsi="Arial"/>
                <w:sz w:val="18"/>
                <w:szCs w:val="18"/>
                <w:b w:val="1"/>
                <w:bCs w:val="1"/>
                <w:color w:val="auto"/>
              </w:rPr>
              <w:t>Total current assets</w:t>
            </w:r>
          </w:p>
        </w:tc>
        <w:tc>
          <w:tcPr>
            <w:tcW w:w="2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334,618</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327,540</w:t>
            </w:r>
          </w:p>
        </w:tc>
        <w:tc>
          <w:tcPr>
            <w:tcW w:w="100" w:type="dxa"/>
            <w:vAlign w:val="bottom"/>
            <w:shd w:val="clear" w:color="auto" w:fill="CFF0FC"/>
          </w:tcPr>
          <w:p>
            <w:pPr>
              <w:spacing w:after="0"/>
              <w:rPr>
                <w:sz w:val="17"/>
                <w:szCs w:val="17"/>
                <w:color w:val="auto"/>
              </w:rPr>
            </w:pPr>
          </w:p>
        </w:tc>
      </w:tr>
      <w:tr>
        <w:trPr>
          <w:trHeight w:val="203"/>
        </w:trPr>
        <w:tc>
          <w:tcPr>
            <w:tcW w:w="7940" w:type="dxa"/>
            <w:vAlign w:val="bottom"/>
          </w:tcPr>
          <w:p>
            <w:pPr>
              <w:ind w:left="200"/>
              <w:spacing w:after="0" w:line="202" w:lineRule="exact"/>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47,244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44,825</w:t>
            </w:r>
          </w:p>
        </w:tc>
        <w:tc>
          <w:tcPr>
            <w:tcW w:w="100" w:type="dxa"/>
            <w:vAlign w:val="bottom"/>
          </w:tcPr>
          <w:p>
            <w:pPr>
              <w:spacing w:after="0"/>
              <w:rPr>
                <w:sz w:val="17"/>
                <w:szCs w:val="17"/>
                <w:color w:val="auto"/>
              </w:rPr>
            </w:pPr>
          </w:p>
        </w:tc>
      </w:tr>
      <w:tr>
        <w:trPr>
          <w:trHeight w:val="203"/>
        </w:trPr>
        <w:tc>
          <w:tcPr>
            <w:tcW w:w="79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Operating lease right-of-use assets</w:t>
            </w:r>
          </w:p>
        </w:tc>
        <w:tc>
          <w:tcPr>
            <w:tcW w:w="2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7,231</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8,462</w:t>
            </w:r>
          </w:p>
        </w:tc>
        <w:tc>
          <w:tcPr>
            <w:tcW w:w="100" w:type="dxa"/>
            <w:vAlign w:val="bottom"/>
            <w:shd w:val="clear" w:color="auto" w:fill="CFF0FC"/>
          </w:tcPr>
          <w:p>
            <w:pPr>
              <w:spacing w:after="0"/>
              <w:rPr>
                <w:sz w:val="17"/>
                <w:szCs w:val="17"/>
                <w:color w:val="auto"/>
              </w:rPr>
            </w:pPr>
          </w:p>
        </w:tc>
      </w:tr>
      <w:tr>
        <w:trPr>
          <w:trHeight w:val="203"/>
        </w:trPr>
        <w:tc>
          <w:tcPr>
            <w:tcW w:w="7940" w:type="dxa"/>
            <w:vAlign w:val="bottom"/>
          </w:tcPr>
          <w:p>
            <w:pPr>
              <w:ind w:left="200"/>
              <w:spacing w:after="0" w:line="202" w:lineRule="exact"/>
              <w:rPr>
                <w:sz w:val="20"/>
                <w:szCs w:val="20"/>
                <w:color w:val="auto"/>
              </w:rPr>
            </w:pPr>
            <w:r>
              <w:rPr>
                <w:rFonts w:ascii="Arial" w:cs="Arial" w:eastAsia="Arial" w:hAnsi="Arial"/>
                <w:sz w:val="18"/>
                <w:szCs w:val="18"/>
                <w:color w:val="auto"/>
              </w:rPr>
              <w:t>Investment in unconsolidated joint venture</w:t>
            </w:r>
          </w:p>
        </w:tc>
        <w:tc>
          <w:tcPr>
            <w:tcW w:w="2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4,071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4,065</w:t>
            </w:r>
          </w:p>
        </w:tc>
        <w:tc>
          <w:tcPr>
            <w:tcW w:w="100" w:type="dxa"/>
            <w:vAlign w:val="bottom"/>
          </w:tcPr>
          <w:p>
            <w:pPr>
              <w:spacing w:after="0"/>
              <w:rPr>
                <w:sz w:val="17"/>
                <w:szCs w:val="17"/>
                <w:color w:val="auto"/>
              </w:rPr>
            </w:pPr>
          </w:p>
        </w:tc>
      </w:tr>
      <w:tr>
        <w:trPr>
          <w:trHeight w:val="203"/>
        </w:trPr>
        <w:tc>
          <w:tcPr>
            <w:tcW w:w="79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Intangible assets, net</w:t>
            </w:r>
          </w:p>
        </w:tc>
        <w:tc>
          <w:tcPr>
            <w:tcW w:w="2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31,244</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32,139</w:t>
            </w:r>
          </w:p>
        </w:tc>
        <w:tc>
          <w:tcPr>
            <w:tcW w:w="100" w:type="dxa"/>
            <w:vAlign w:val="bottom"/>
            <w:shd w:val="clear" w:color="auto" w:fill="CFF0FC"/>
          </w:tcPr>
          <w:p>
            <w:pPr>
              <w:spacing w:after="0"/>
              <w:rPr>
                <w:sz w:val="17"/>
                <w:szCs w:val="17"/>
                <w:color w:val="auto"/>
              </w:rPr>
            </w:pPr>
          </w:p>
        </w:tc>
      </w:tr>
      <w:tr>
        <w:trPr>
          <w:trHeight w:val="203"/>
        </w:trPr>
        <w:tc>
          <w:tcPr>
            <w:tcW w:w="7940" w:type="dxa"/>
            <w:vAlign w:val="bottom"/>
          </w:tcPr>
          <w:p>
            <w:pPr>
              <w:ind w:left="200"/>
              <w:spacing w:after="0" w:line="202" w:lineRule="exact"/>
              <w:rPr>
                <w:sz w:val="20"/>
                <w:szCs w:val="20"/>
                <w:color w:val="auto"/>
              </w:rPr>
            </w:pPr>
            <w:r>
              <w:rPr>
                <w:rFonts w:ascii="Arial" w:cs="Arial" w:eastAsia="Arial" w:hAnsi="Arial"/>
                <w:sz w:val="18"/>
                <w:szCs w:val="18"/>
                <w:color w:val="auto"/>
              </w:rPr>
              <w:t>Goodwill</w:t>
            </w:r>
          </w:p>
        </w:tc>
        <w:tc>
          <w:tcPr>
            <w:tcW w:w="2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263,009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262,686</w:t>
            </w:r>
          </w:p>
        </w:tc>
        <w:tc>
          <w:tcPr>
            <w:tcW w:w="100" w:type="dxa"/>
            <w:vAlign w:val="bottom"/>
          </w:tcPr>
          <w:p>
            <w:pPr>
              <w:spacing w:after="0"/>
              <w:rPr>
                <w:sz w:val="17"/>
                <w:szCs w:val="17"/>
                <w:color w:val="auto"/>
              </w:rPr>
            </w:pPr>
          </w:p>
        </w:tc>
      </w:tr>
      <w:tr>
        <w:trPr>
          <w:trHeight w:val="203"/>
        </w:trPr>
        <w:tc>
          <w:tcPr>
            <w:tcW w:w="79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Other assets</w:t>
            </w:r>
          </w:p>
        </w:tc>
        <w:tc>
          <w:tcPr>
            <w:tcW w:w="22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2,693</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412</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940" w:type="dxa"/>
            <w:vAlign w:val="bottom"/>
          </w:tcPr>
          <w:p>
            <w:pPr>
              <w:ind w:left="420"/>
              <w:spacing w:after="0" w:line="196" w:lineRule="exact"/>
              <w:rPr>
                <w:sz w:val="20"/>
                <w:szCs w:val="20"/>
                <w:color w:val="auto"/>
              </w:rPr>
            </w:pPr>
            <w:r>
              <w:rPr>
                <w:rFonts w:ascii="Arial" w:cs="Arial" w:eastAsia="Arial" w:hAnsi="Arial"/>
                <w:sz w:val="18"/>
                <w:szCs w:val="18"/>
                <w:b w:val="1"/>
                <w:bCs w:val="1"/>
                <w:color w:val="auto"/>
              </w:rPr>
              <w:t>Total assets</w:t>
            </w:r>
          </w:p>
        </w:tc>
        <w:tc>
          <w:tcPr>
            <w:tcW w:w="220" w:type="dxa"/>
            <w:vAlign w:val="bottom"/>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690,110</w:t>
            </w:r>
          </w:p>
        </w:tc>
        <w:tc>
          <w:tcPr>
            <w:tcW w:w="140" w:type="dxa"/>
            <w:vAlign w:val="bottom"/>
          </w:tcPr>
          <w:p>
            <w:pPr>
              <w:spacing w:after="0"/>
              <w:rPr>
                <w:sz w:val="17"/>
                <w:szCs w:val="17"/>
                <w:color w:val="auto"/>
              </w:rPr>
            </w:pPr>
          </w:p>
        </w:tc>
        <w:tc>
          <w:tcPr>
            <w:tcW w:w="200" w:type="dxa"/>
            <w:vAlign w:val="bottom"/>
            <w:gridSpan w:val="2"/>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680,129</w:t>
            </w:r>
          </w:p>
        </w:tc>
        <w:tc>
          <w:tcPr>
            <w:tcW w:w="100" w:type="dxa"/>
            <w:vAlign w:val="bottom"/>
          </w:tcPr>
          <w:p>
            <w:pPr>
              <w:spacing w:after="0"/>
              <w:rPr>
                <w:sz w:val="17"/>
                <w:szCs w:val="17"/>
                <w:color w:val="auto"/>
              </w:rPr>
            </w:pPr>
          </w:p>
        </w:tc>
      </w:tr>
      <w:tr>
        <w:trPr>
          <w:trHeight w:val="20"/>
        </w:trPr>
        <w:tc>
          <w:tcPr>
            <w:tcW w:w="79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3"/>
        </w:trPr>
        <w:tc>
          <w:tcPr>
            <w:tcW w:w="7940" w:type="dxa"/>
            <w:vAlign w:val="bottom"/>
            <w:shd w:val="clear" w:color="auto" w:fill="CFF0FC"/>
          </w:tcPr>
          <w:p>
            <w:pPr>
              <w:spacing w:after="0" w:line="183" w:lineRule="exact"/>
              <w:rPr>
                <w:sz w:val="20"/>
                <w:szCs w:val="20"/>
                <w:color w:val="auto"/>
              </w:rPr>
            </w:pPr>
            <w:r>
              <w:rPr>
                <w:rFonts w:ascii="Arial" w:cs="Arial" w:eastAsia="Arial" w:hAnsi="Arial"/>
                <w:sz w:val="18"/>
                <w:szCs w:val="18"/>
                <w:b w:val="1"/>
                <w:bCs w:val="1"/>
                <w:color w:val="auto"/>
              </w:rPr>
              <w:t>Liabilities and stockholders’ equity</w:t>
            </w:r>
          </w:p>
        </w:tc>
        <w:tc>
          <w:tcPr>
            <w:tcW w:w="22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940" w:type="dxa"/>
            <w:vAlign w:val="bottom"/>
          </w:tcPr>
          <w:p>
            <w:pPr>
              <w:spacing w:after="0" w:line="202" w:lineRule="exact"/>
              <w:rPr>
                <w:sz w:val="20"/>
                <w:szCs w:val="20"/>
                <w:color w:val="auto"/>
              </w:rPr>
            </w:pPr>
            <w:r>
              <w:rPr>
                <w:rFonts w:ascii="Arial" w:cs="Arial" w:eastAsia="Arial" w:hAnsi="Arial"/>
                <w:sz w:val="18"/>
                <w:szCs w:val="18"/>
                <w:b w:val="1"/>
                <w:bCs w:val="1"/>
                <w:color w:val="auto"/>
              </w:rPr>
              <w:t>Current liabilities: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9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Accounts payable and accrued cost of revenue</w:t>
            </w:r>
          </w:p>
        </w:tc>
        <w:tc>
          <w:tcPr>
            <w:tcW w:w="220" w:type="dxa"/>
            <w:vAlign w:val="bottom"/>
            <w:shd w:val="clear" w:color="auto" w:fill="CFF0FC"/>
          </w:tcPr>
          <w:p>
            <w:pPr>
              <w:jc w:val="right"/>
              <w:ind w:right="30"/>
              <w:spacing w:after="0" w:line="202"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50,218</w:t>
            </w:r>
          </w:p>
        </w:tc>
        <w:tc>
          <w:tcPr>
            <w:tcW w:w="14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ind w:right="20"/>
              <w:spacing w:after="0" w:line="202"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35,023</w:t>
            </w:r>
          </w:p>
        </w:tc>
        <w:tc>
          <w:tcPr>
            <w:tcW w:w="100" w:type="dxa"/>
            <w:vAlign w:val="bottom"/>
            <w:shd w:val="clear" w:color="auto" w:fill="CFF0FC"/>
          </w:tcPr>
          <w:p>
            <w:pPr>
              <w:spacing w:after="0"/>
              <w:rPr>
                <w:sz w:val="17"/>
                <w:szCs w:val="17"/>
                <w:color w:val="auto"/>
              </w:rPr>
            </w:pPr>
          </w:p>
        </w:tc>
      </w:tr>
      <w:tr>
        <w:trPr>
          <w:trHeight w:val="203"/>
        </w:trPr>
        <w:tc>
          <w:tcPr>
            <w:tcW w:w="7940" w:type="dxa"/>
            <w:vAlign w:val="bottom"/>
          </w:tcPr>
          <w:p>
            <w:pPr>
              <w:ind w:left="200"/>
              <w:spacing w:after="0" w:line="202" w:lineRule="exact"/>
              <w:rPr>
                <w:sz w:val="20"/>
                <w:szCs w:val="20"/>
                <w:color w:val="auto"/>
              </w:rPr>
            </w:pPr>
            <w:r>
              <w:rPr>
                <w:rFonts w:ascii="Arial" w:cs="Arial" w:eastAsia="Arial" w:hAnsi="Arial"/>
                <w:sz w:val="18"/>
                <w:szCs w:val="18"/>
                <w:color w:val="auto"/>
              </w:rPr>
              <w:t>Other accrued expenses</w:t>
            </w:r>
          </w:p>
        </w:tc>
        <w:tc>
          <w:tcPr>
            <w:tcW w:w="2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23,122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24,401</w:t>
            </w:r>
          </w:p>
        </w:tc>
        <w:tc>
          <w:tcPr>
            <w:tcW w:w="100" w:type="dxa"/>
            <w:vAlign w:val="bottom"/>
          </w:tcPr>
          <w:p>
            <w:pPr>
              <w:spacing w:after="0"/>
              <w:rPr>
                <w:sz w:val="17"/>
                <w:szCs w:val="17"/>
                <w:color w:val="auto"/>
              </w:rPr>
            </w:pPr>
          </w:p>
        </w:tc>
      </w:tr>
      <w:tr>
        <w:trPr>
          <w:trHeight w:val="203"/>
        </w:trPr>
        <w:tc>
          <w:tcPr>
            <w:tcW w:w="79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Contract liabilities</w:t>
            </w:r>
          </w:p>
        </w:tc>
        <w:tc>
          <w:tcPr>
            <w:tcW w:w="2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9,908</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7,948</w:t>
            </w:r>
          </w:p>
        </w:tc>
        <w:tc>
          <w:tcPr>
            <w:tcW w:w="100" w:type="dxa"/>
            <w:vAlign w:val="bottom"/>
            <w:shd w:val="clear" w:color="auto" w:fill="CFF0FC"/>
          </w:tcPr>
          <w:p>
            <w:pPr>
              <w:spacing w:after="0"/>
              <w:rPr>
                <w:sz w:val="17"/>
                <w:szCs w:val="17"/>
                <w:color w:val="auto"/>
              </w:rPr>
            </w:pPr>
          </w:p>
        </w:tc>
      </w:tr>
      <w:tr>
        <w:trPr>
          <w:trHeight w:val="203"/>
        </w:trPr>
        <w:tc>
          <w:tcPr>
            <w:tcW w:w="7940" w:type="dxa"/>
            <w:vAlign w:val="bottom"/>
          </w:tcPr>
          <w:p>
            <w:pPr>
              <w:ind w:left="200"/>
              <w:spacing w:after="0" w:line="202" w:lineRule="exact"/>
              <w:rPr>
                <w:sz w:val="20"/>
                <w:szCs w:val="20"/>
                <w:color w:val="auto"/>
              </w:rPr>
            </w:pPr>
            <w:r>
              <w:rPr>
                <w:rFonts w:ascii="Arial" w:cs="Arial" w:eastAsia="Arial" w:hAnsi="Arial"/>
                <w:sz w:val="18"/>
                <w:szCs w:val="18"/>
                <w:color w:val="auto"/>
              </w:rPr>
              <w:t>Income taxes payable</w:t>
            </w:r>
          </w:p>
        </w:tc>
        <w:tc>
          <w:tcPr>
            <w:tcW w:w="2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887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979</w:t>
            </w:r>
          </w:p>
        </w:tc>
        <w:tc>
          <w:tcPr>
            <w:tcW w:w="100" w:type="dxa"/>
            <w:vAlign w:val="bottom"/>
          </w:tcPr>
          <w:p>
            <w:pPr>
              <w:spacing w:after="0"/>
              <w:rPr>
                <w:sz w:val="17"/>
                <w:szCs w:val="17"/>
                <w:color w:val="auto"/>
              </w:rPr>
            </w:pPr>
          </w:p>
        </w:tc>
      </w:tr>
      <w:tr>
        <w:trPr>
          <w:trHeight w:val="203"/>
        </w:trPr>
        <w:tc>
          <w:tcPr>
            <w:tcW w:w="7940" w:type="dxa"/>
            <w:vAlign w:val="bottom"/>
            <w:tcBorders>
              <w:bottom w:val="single" w:sz="8" w:color="CFF0FC"/>
            </w:tcBorders>
            <w:shd w:val="clear" w:color="auto" w:fill="CFF0FC"/>
          </w:tcPr>
          <w:p>
            <w:pPr>
              <w:ind w:left="200"/>
              <w:spacing w:after="0" w:line="202" w:lineRule="exact"/>
              <w:rPr>
                <w:sz w:val="20"/>
                <w:szCs w:val="20"/>
                <w:color w:val="auto"/>
              </w:rPr>
            </w:pPr>
            <w:r>
              <w:rPr>
                <w:rFonts w:ascii="Arial" w:cs="Arial" w:eastAsia="Arial" w:hAnsi="Arial"/>
                <w:sz w:val="18"/>
                <w:szCs w:val="18"/>
                <w:color w:val="auto"/>
              </w:rPr>
              <w:t>Operating lease liabilities, current portion</w:t>
            </w:r>
          </w:p>
        </w:tc>
        <w:tc>
          <w:tcPr>
            <w:tcW w:w="22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5,293</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6,436</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940" w:type="dxa"/>
            <w:vAlign w:val="bottom"/>
          </w:tcPr>
          <w:p>
            <w:pPr>
              <w:ind w:left="420"/>
              <w:spacing w:after="0" w:line="196" w:lineRule="exact"/>
              <w:rPr>
                <w:sz w:val="20"/>
                <w:szCs w:val="20"/>
                <w:color w:val="auto"/>
              </w:rPr>
            </w:pPr>
            <w:r>
              <w:rPr>
                <w:rFonts w:ascii="Arial" w:cs="Arial" w:eastAsia="Arial" w:hAnsi="Arial"/>
                <w:sz w:val="18"/>
                <w:szCs w:val="18"/>
                <w:b w:val="1"/>
                <w:bCs w:val="1"/>
                <w:color w:val="auto"/>
              </w:rPr>
              <w:t>Total current liabilities</w:t>
            </w:r>
          </w:p>
        </w:tc>
        <w:tc>
          <w:tcPr>
            <w:tcW w:w="220" w:type="dxa"/>
            <w:vAlign w:val="bottom"/>
          </w:tcPr>
          <w:p>
            <w:pPr>
              <w:spacing w:after="0"/>
              <w:rPr>
                <w:sz w:val="17"/>
                <w:szCs w:val="17"/>
                <w:color w:val="auto"/>
              </w:rPr>
            </w:pPr>
          </w:p>
        </w:tc>
        <w:tc>
          <w:tcPr>
            <w:tcW w:w="1260" w:type="dxa"/>
            <w:vAlign w:val="bottom"/>
          </w:tcPr>
          <w:p>
            <w:pPr>
              <w:jc w:val="right"/>
              <w:spacing w:after="0" w:line="196" w:lineRule="exact"/>
              <w:rPr>
                <w:sz w:val="20"/>
                <w:szCs w:val="20"/>
                <w:color w:val="auto"/>
              </w:rPr>
            </w:pPr>
            <w:r>
              <w:rPr>
                <w:rFonts w:ascii="Arial" w:cs="Arial" w:eastAsia="Arial" w:hAnsi="Arial"/>
                <w:sz w:val="18"/>
                <w:szCs w:val="18"/>
                <w:color w:val="auto"/>
              </w:rPr>
              <w:t>89,428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line="196" w:lineRule="exact"/>
              <w:rPr>
                <w:sz w:val="20"/>
                <w:szCs w:val="20"/>
                <w:color w:val="auto"/>
              </w:rPr>
            </w:pPr>
            <w:r>
              <w:rPr>
                <w:rFonts w:ascii="Arial" w:cs="Arial" w:eastAsia="Arial" w:hAnsi="Arial"/>
                <w:sz w:val="18"/>
                <w:szCs w:val="18"/>
                <w:color w:val="auto"/>
              </w:rPr>
              <w:t>74,787</w:t>
            </w:r>
          </w:p>
        </w:tc>
        <w:tc>
          <w:tcPr>
            <w:tcW w:w="100" w:type="dxa"/>
            <w:vAlign w:val="bottom"/>
          </w:tcPr>
          <w:p>
            <w:pPr>
              <w:spacing w:after="0"/>
              <w:rPr>
                <w:sz w:val="17"/>
                <w:szCs w:val="17"/>
                <w:color w:val="auto"/>
              </w:rPr>
            </w:pPr>
          </w:p>
        </w:tc>
      </w:tr>
      <w:tr>
        <w:trPr>
          <w:trHeight w:val="203"/>
        </w:trPr>
        <w:tc>
          <w:tcPr>
            <w:tcW w:w="79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Convertible notes</w:t>
            </w:r>
          </w:p>
        </w:tc>
        <w:tc>
          <w:tcPr>
            <w:tcW w:w="2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284,093</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283,628</w:t>
            </w:r>
          </w:p>
        </w:tc>
        <w:tc>
          <w:tcPr>
            <w:tcW w:w="100" w:type="dxa"/>
            <w:vAlign w:val="bottom"/>
            <w:shd w:val="clear" w:color="auto" w:fill="CFF0FC"/>
          </w:tcPr>
          <w:p>
            <w:pPr>
              <w:spacing w:after="0"/>
              <w:rPr>
                <w:sz w:val="17"/>
                <w:szCs w:val="17"/>
                <w:color w:val="auto"/>
              </w:rPr>
            </w:pPr>
          </w:p>
        </w:tc>
      </w:tr>
      <w:tr>
        <w:trPr>
          <w:trHeight w:val="203"/>
        </w:trPr>
        <w:tc>
          <w:tcPr>
            <w:tcW w:w="7940" w:type="dxa"/>
            <w:vAlign w:val="bottom"/>
          </w:tcPr>
          <w:p>
            <w:pPr>
              <w:ind w:left="200"/>
              <w:spacing w:after="0" w:line="202" w:lineRule="exact"/>
              <w:rPr>
                <w:sz w:val="20"/>
                <w:szCs w:val="20"/>
                <w:color w:val="auto"/>
              </w:rPr>
            </w:pPr>
            <w:r>
              <w:rPr>
                <w:rFonts w:ascii="Arial" w:cs="Arial" w:eastAsia="Arial" w:hAnsi="Arial"/>
                <w:sz w:val="18"/>
                <w:szCs w:val="18"/>
                <w:color w:val="auto"/>
              </w:rPr>
              <w:t>Operating lease liabilities, net of current portion</w:t>
            </w:r>
          </w:p>
        </w:tc>
        <w:tc>
          <w:tcPr>
            <w:tcW w:w="2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4,523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jc w:val="right"/>
              <w:spacing w:after="0" w:line="202" w:lineRule="exact"/>
              <w:rPr>
                <w:sz w:val="20"/>
                <w:szCs w:val="20"/>
                <w:color w:val="auto"/>
              </w:rPr>
            </w:pPr>
            <w:r>
              <w:rPr>
                <w:rFonts w:ascii="Arial" w:cs="Arial" w:eastAsia="Arial" w:hAnsi="Arial"/>
                <w:sz w:val="18"/>
                <w:szCs w:val="18"/>
                <w:color w:val="auto"/>
              </w:rPr>
              <w:t>5,072</w:t>
            </w:r>
          </w:p>
        </w:tc>
        <w:tc>
          <w:tcPr>
            <w:tcW w:w="100" w:type="dxa"/>
            <w:vAlign w:val="bottom"/>
          </w:tcPr>
          <w:p>
            <w:pPr>
              <w:spacing w:after="0"/>
              <w:rPr>
                <w:sz w:val="17"/>
                <w:szCs w:val="17"/>
                <w:color w:val="auto"/>
              </w:rPr>
            </w:pPr>
          </w:p>
        </w:tc>
      </w:tr>
      <w:tr>
        <w:trPr>
          <w:trHeight w:val="203"/>
        </w:trPr>
        <w:tc>
          <w:tcPr>
            <w:tcW w:w="79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Deferred income taxes</w:t>
            </w:r>
          </w:p>
        </w:tc>
        <w:tc>
          <w:tcPr>
            <w:tcW w:w="2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229</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229</w:t>
            </w:r>
          </w:p>
        </w:tc>
        <w:tc>
          <w:tcPr>
            <w:tcW w:w="100" w:type="dxa"/>
            <w:vAlign w:val="bottom"/>
            <w:shd w:val="clear" w:color="auto" w:fill="CFF0FC"/>
          </w:tcPr>
          <w:p>
            <w:pPr>
              <w:spacing w:after="0"/>
              <w:rPr>
                <w:sz w:val="17"/>
                <w:szCs w:val="17"/>
                <w:color w:val="auto"/>
              </w:rPr>
            </w:pPr>
          </w:p>
        </w:tc>
      </w:tr>
      <w:tr>
        <w:trPr>
          <w:trHeight w:val="203"/>
        </w:trPr>
        <w:tc>
          <w:tcPr>
            <w:tcW w:w="7940" w:type="dxa"/>
            <w:vAlign w:val="bottom"/>
          </w:tcPr>
          <w:p>
            <w:pPr>
              <w:ind w:left="200"/>
              <w:spacing w:after="0" w:line="202" w:lineRule="exact"/>
              <w:rPr>
                <w:sz w:val="20"/>
                <w:szCs w:val="20"/>
                <w:color w:val="auto"/>
              </w:rPr>
            </w:pPr>
            <w:r>
              <w:rPr>
                <w:rFonts w:ascii="Arial" w:cs="Arial" w:eastAsia="Arial" w:hAnsi="Arial"/>
                <w:sz w:val="18"/>
                <w:szCs w:val="18"/>
                <w:color w:val="auto"/>
              </w:rPr>
              <w:t>Other liabilities</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804</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817</w:t>
            </w:r>
          </w:p>
        </w:tc>
        <w:tc>
          <w:tcPr>
            <w:tcW w:w="100" w:type="dxa"/>
            <w:vAlign w:val="bottom"/>
          </w:tcPr>
          <w:p>
            <w:pPr>
              <w:spacing w:after="0"/>
              <w:rPr>
                <w:sz w:val="17"/>
                <w:szCs w:val="17"/>
                <w:color w:val="auto"/>
              </w:rPr>
            </w:pPr>
          </w:p>
        </w:tc>
      </w:tr>
      <w:tr>
        <w:trPr>
          <w:trHeight w:val="196"/>
        </w:trPr>
        <w:tc>
          <w:tcPr>
            <w:tcW w:w="7940" w:type="dxa"/>
            <w:vAlign w:val="bottom"/>
            <w:tcBorders>
              <w:bottom w:val="single" w:sz="8" w:color="CFF0FC"/>
            </w:tcBorders>
            <w:shd w:val="clear" w:color="auto" w:fill="CFF0FC"/>
          </w:tcPr>
          <w:p>
            <w:pPr>
              <w:ind w:left="420"/>
              <w:spacing w:after="0" w:line="196" w:lineRule="exact"/>
              <w:rPr>
                <w:sz w:val="20"/>
                <w:szCs w:val="20"/>
                <w:color w:val="auto"/>
              </w:rPr>
            </w:pPr>
            <w:r>
              <w:rPr>
                <w:rFonts w:ascii="Arial" w:cs="Arial" w:eastAsia="Arial" w:hAnsi="Arial"/>
                <w:sz w:val="18"/>
                <w:szCs w:val="18"/>
                <w:b w:val="1"/>
                <w:bCs w:val="1"/>
                <w:color w:val="auto"/>
              </w:rPr>
              <w:t>Total liabilities</w:t>
            </w:r>
          </w:p>
        </w:tc>
        <w:tc>
          <w:tcPr>
            <w:tcW w:w="22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379,077</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196" w:lineRule="exact"/>
              <w:rPr>
                <w:sz w:val="20"/>
                <w:szCs w:val="20"/>
                <w:color w:val="auto"/>
              </w:rPr>
            </w:pPr>
            <w:r>
              <w:rPr>
                <w:rFonts w:ascii="Arial" w:cs="Arial" w:eastAsia="Arial" w:hAnsi="Arial"/>
                <w:sz w:val="18"/>
                <w:szCs w:val="18"/>
                <w:color w:val="auto"/>
              </w:rPr>
              <w:t>364,533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940" w:type="dxa"/>
            <w:vAlign w:val="bottom"/>
          </w:tcPr>
          <w:p>
            <w:pPr>
              <w:spacing w:after="0" w:line="196" w:lineRule="exact"/>
              <w:rPr>
                <w:sz w:val="20"/>
                <w:szCs w:val="20"/>
                <w:color w:val="auto"/>
              </w:rPr>
            </w:pPr>
            <w:r>
              <w:rPr>
                <w:rFonts w:ascii="Arial" w:cs="Arial" w:eastAsia="Arial" w:hAnsi="Arial"/>
                <w:sz w:val="18"/>
                <w:szCs w:val="18"/>
                <w:b w:val="1"/>
                <w:bCs w:val="1"/>
                <w:color w:val="auto"/>
              </w:rPr>
              <w:t>Commitments and contingencies</w:t>
            </w: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794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Stockholders’ equity</w:t>
            </w:r>
          </w:p>
        </w:tc>
        <w:tc>
          <w:tcPr>
            <w:tcW w:w="2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184"/>
        </w:trPr>
        <w:tc>
          <w:tcPr>
            <w:tcW w:w="7940" w:type="dxa"/>
            <w:vAlign w:val="bottom"/>
          </w:tcPr>
          <w:p>
            <w:pPr>
              <w:ind w:left="200"/>
              <w:spacing w:after="0" w:line="183" w:lineRule="exact"/>
              <w:rPr>
                <w:sz w:val="20"/>
                <w:szCs w:val="20"/>
                <w:color w:val="auto"/>
              </w:rPr>
            </w:pPr>
            <w:r>
              <w:rPr>
                <w:rFonts w:ascii="Arial" w:cs="Arial" w:eastAsia="Arial" w:hAnsi="Arial"/>
                <w:sz w:val="18"/>
                <w:szCs w:val="18"/>
                <w:color w:val="auto"/>
              </w:rPr>
              <w:t>Preferred stock, $0.000001 par value. Authorized; 50,000,000 shares; zero shares issued and</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1"/>
        </w:trPr>
        <w:tc>
          <w:tcPr>
            <w:tcW w:w="7940" w:type="dxa"/>
            <w:vAlign w:val="bottom"/>
          </w:tcPr>
          <w:p>
            <w:pPr>
              <w:ind w:left="200"/>
              <w:spacing w:after="0"/>
              <w:rPr>
                <w:sz w:val="20"/>
                <w:szCs w:val="20"/>
                <w:color w:val="auto"/>
              </w:rPr>
            </w:pPr>
            <w:r>
              <w:rPr>
                <w:rFonts w:ascii="Arial" w:cs="Arial" w:eastAsia="Arial" w:hAnsi="Arial"/>
                <w:sz w:val="18"/>
                <w:szCs w:val="18"/>
                <w:color w:val="auto"/>
              </w:rPr>
              <w:t>outstanding as of March 31, 2025 and December 31, 2024, respectively</w:t>
            </w:r>
          </w:p>
        </w:tc>
        <w:tc>
          <w:tcPr>
            <w:tcW w:w="2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184"/>
        </w:trPr>
        <w:tc>
          <w:tcPr>
            <w:tcW w:w="7940" w:type="dxa"/>
            <w:vAlign w:val="bottom"/>
            <w:shd w:val="clear" w:color="auto" w:fill="CFF0FC"/>
          </w:tcPr>
          <w:p>
            <w:pPr>
              <w:ind w:left="200"/>
              <w:spacing w:after="0" w:line="183" w:lineRule="exact"/>
              <w:rPr>
                <w:sz w:val="20"/>
                <w:szCs w:val="20"/>
                <w:color w:val="auto"/>
              </w:rPr>
            </w:pPr>
            <w:r>
              <w:rPr>
                <w:rFonts w:ascii="Arial" w:cs="Arial" w:eastAsia="Arial" w:hAnsi="Arial"/>
                <w:sz w:val="18"/>
                <w:szCs w:val="18"/>
                <w:color w:val="auto"/>
              </w:rPr>
              <w:t>Class A Common stock, $0.000001 par value. Authorized; 750,000,000 shares; 48,992,113</w:t>
            </w:r>
          </w:p>
        </w:tc>
        <w:tc>
          <w:tcPr>
            <w:tcW w:w="220" w:type="dxa"/>
            <w:vAlign w:val="bottom"/>
            <w:shd w:val="clear" w:color="auto" w:fill="CFF0FC"/>
          </w:tcPr>
          <w:p>
            <w:pPr>
              <w:spacing w:after="0"/>
              <w:rPr>
                <w:sz w:val="15"/>
                <w:szCs w:val="15"/>
                <w:color w:val="auto"/>
              </w:rPr>
            </w:pPr>
          </w:p>
        </w:tc>
        <w:tc>
          <w:tcPr>
            <w:tcW w:w="1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38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203"/>
        </w:trPr>
        <w:tc>
          <w:tcPr>
            <w:tcW w:w="79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shares and 48,289,274 shares issued and outstanding as of March 31, 2025 and December</w:t>
            </w:r>
          </w:p>
        </w:tc>
        <w:tc>
          <w:tcPr>
            <w:tcW w:w="2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21"/>
        </w:trPr>
        <w:tc>
          <w:tcPr>
            <w:tcW w:w="7940" w:type="dxa"/>
            <w:vAlign w:val="bottom"/>
            <w:shd w:val="clear" w:color="auto" w:fill="CFF0FC"/>
          </w:tcPr>
          <w:p>
            <w:pPr>
              <w:ind w:left="200"/>
              <w:spacing w:after="0"/>
              <w:rPr>
                <w:sz w:val="20"/>
                <w:szCs w:val="20"/>
                <w:color w:val="auto"/>
              </w:rPr>
            </w:pPr>
            <w:r>
              <w:rPr>
                <w:rFonts w:ascii="Arial" w:cs="Arial" w:eastAsia="Arial" w:hAnsi="Arial"/>
                <w:sz w:val="18"/>
                <w:szCs w:val="18"/>
                <w:color w:val="auto"/>
              </w:rPr>
              <w:t>31, 2024, respectively</w:t>
            </w:r>
          </w:p>
        </w:tc>
        <w:tc>
          <w:tcPr>
            <w:tcW w:w="220" w:type="dxa"/>
            <w:vAlign w:val="bottom"/>
            <w:shd w:val="clear" w:color="auto" w:fill="CFF0FC"/>
          </w:tcPr>
          <w:p>
            <w:pPr>
              <w:spacing w:after="0"/>
              <w:rPr>
                <w:sz w:val="19"/>
                <w:szCs w:val="19"/>
                <w:color w:val="auto"/>
              </w:rPr>
            </w:pPr>
          </w:p>
        </w:tc>
        <w:tc>
          <w:tcPr>
            <w:tcW w:w="14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184"/>
        </w:trPr>
        <w:tc>
          <w:tcPr>
            <w:tcW w:w="7940" w:type="dxa"/>
            <w:vAlign w:val="bottom"/>
          </w:tcPr>
          <w:p>
            <w:pPr>
              <w:ind w:left="200"/>
              <w:spacing w:after="0" w:line="183" w:lineRule="exact"/>
              <w:rPr>
                <w:sz w:val="20"/>
                <w:szCs w:val="20"/>
                <w:color w:val="auto"/>
              </w:rPr>
            </w:pPr>
            <w:r>
              <w:rPr>
                <w:rFonts w:ascii="Arial" w:cs="Arial" w:eastAsia="Arial" w:hAnsi="Arial"/>
                <w:sz w:val="18"/>
                <w:szCs w:val="18"/>
                <w:color w:val="auto"/>
              </w:rPr>
              <w:t>Class B Common stock, $0.000001 par value. Authorized; 5,000,000 shares; 1,475,311 shares</w:t>
            </w:r>
          </w:p>
        </w:tc>
        <w:tc>
          <w:tcPr>
            <w:tcW w:w="2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21"/>
        </w:trPr>
        <w:tc>
          <w:tcPr>
            <w:tcW w:w="7940" w:type="dxa"/>
            <w:vAlign w:val="bottom"/>
          </w:tcPr>
          <w:p>
            <w:pPr>
              <w:ind w:left="200"/>
              <w:spacing w:after="0"/>
              <w:rPr>
                <w:sz w:val="20"/>
                <w:szCs w:val="20"/>
                <w:color w:val="auto"/>
              </w:rPr>
            </w:pPr>
            <w:r>
              <w:rPr>
                <w:rFonts w:ascii="Arial" w:cs="Arial" w:eastAsia="Arial" w:hAnsi="Arial"/>
                <w:sz w:val="18"/>
                <w:szCs w:val="18"/>
                <w:color w:val="auto"/>
              </w:rPr>
              <w:t>issued and outstanding as of March 31, 2025 and December 31, 2024</w:t>
            </w:r>
          </w:p>
        </w:tc>
        <w:tc>
          <w:tcPr>
            <w:tcW w:w="220" w:type="dxa"/>
            <w:vAlign w:val="bottom"/>
          </w:tcPr>
          <w:p>
            <w:pPr>
              <w:spacing w:after="0"/>
              <w:rPr>
                <w:sz w:val="19"/>
                <w:szCs w:val="19"/>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2"/>
        </w:trPr>
        <w:tc>
          <w:tcPr>
            <w:tcW w:w="79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694,047</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38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685,054</w:t>
            </w:r>
          </w:p>
        </w:tc>
        <w:tc>
          <w:tcPr>
            <w:tcW w:w="100" w:type="dxa"/>
            <w:vAlign w:val="bottom"/>
            <w:shd w:val="clear" w:color="auto" w:fill="CFF0FC"/>
          </w:tcPr>
          <w:p>
            <w:pPr>
              <w:spacing w:after="0"/>
              <w:rPr>
                <w:sz w:val="17"/>
                <w:szCs w:val="17"/>
                <w:color w:val="auto"/>
              </w:rPr>
            </w:pPr>
          </w:p>
        </w:tc>
      </w:tr>
      <w:tr>
        <w:trPr>
          <w:trHeight w:val="203"/>
        </w:trPr>
        <w:tc>
          <w:tcPr>
            <w:tcW w:w="7940" w:type="dxa"/>
            <w:vAlign w:val="bottom"/>
          </w:tcPr>
          <w:p>
            <w:pPr>
              <w:ind w:left="200"/>
              <w:spacing w:after="0" w:line="202" w:lineRule="exact"/>
              <w:rPr>
                <w:sz w:val="20"/>
                <w:szCs w:val="20"/>
                <w:color w:val="auto"/>
              </w:rPr>
            </w:pPr>
            <w:r>
              <w:rPr>
                <w:rFonts w:ascii="Arial" w:cs="Arial" w:eastAsia="Arial" w:hAnsi="Arial"/>
                <w:sz w:val="18"/>
                <w:szCs w:val="18"/>
                <w:color w:val="auto"/>
              </w:rPr>
              <w:t>Accumulated other comprehensive income (loss)</w:t>
            </w:r>
          </w:p>
        </w:tc>
        <w:tc>
          <w:tcPr>
            <w:tcW w:w="220" w:type="dxa"/>
            <w:vAlign w:val="bottom"/>
          </w:tcPr>
          <w:p>
            <w:pPr>
              <w:spacing w:after="0"/>
              <w:rPr>
                <w:sz w:val="17"/>
                <w:szCs w:val="17"/>
                <w:color w:val="auto"/>
              </w:rPr>
            </w:pPr>
          </w:p>
        </w:tc>
        <w:tc>
          <w:tcPr>
            <w:tcW w:w="1260" w:type="dxa"/>
            <w:vAlign w:val="bottom"/>
          </w:tcPr>
          <w:p>
            <w:pPr>
              <w:jc w:val="right"/>
              <w:spacing w:after="0" w:line="202" w:lineRule="exact"/>
              <w:rPr>
                <w:sz w:val="20"/>
                <w:szCs w:val="20"/>
                <w:color w:val="auto"/>
              </w:rPr>
            </w:pPr>
            <w:r>
              <w:rPr>
                <w:rFonts w:ascii="Arial" w:cs="Arial" w:eastAsia="Arial" w:hAnsi="Arial"/>
                <w:sz w:val="18"/>
                <w:szCs w:val="18"/>
                <w:color w:val="auto"/>
              </w:rPr>
              <w:t>1,205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(328)</w:t>
            </w:r>
          </w:p>
        </w:tc>
      </w:tr>
      <w:tr>
        <w:trPr>
          <w:trHeight w:val="203"/>
        </w:trPr>
        <w:tc>
          <w:tcPr>
            <w:tcW w:w="7940" w:type="dxa"/>
            <w:vAlign w:val="bottom"/>
            <w:shd w:val="clear" w:color="auto" w:fill="CFF0FC"/>
          </w:tcPr>
          <w:p>
            <w:pPr>
              <w:ind w:left="200"/>
              <w:spacing w:after="0" w:line="202" w:lineRule="exact"/>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FF0FC"/>
          </w:tcPr>
          <w:p>
            <w:pPr>
              <w:spacing w:after="0"/>
              <w:rPr>
                <w:sz w:val="17"/>
                <w:szCs w:val="17"/>
                <w:color w:val="auto"/>
              </w:rPr>
            </w:pPr>
          </w:p>
        </w:tc>
        <w:tc>
          <w:tcPr>
            <w:tcW w:w="1400" w:type="dxa"/>
            <w:vAlign w:val="bottom"/>
            <w:gridSpan w:val="2"/>
            <w:shd w:val="clear" w:color="auto" w:fill="CFF0FC"/>
          </w:tcPr>
          <w:p>
            <w:pPr>
              <w:jc w:val="right"/>
              <w:ind w:right="80"/>
              <w:spacing w:after="0" w:line="202" w:lineRule="exact"/>
              <w:rPr>
                <w:sz w:val="20"/>
                <w:szCs w:val="20"/>
                <w:color w:val="auto"/>
              </w:rPr>
            </w:pPr>
            <w:r>
              <w:rPr>
                <w:rFonts w:ascii="Arial" w:cs="Arial" w:eastAsia="Arial" w:hAnsi="Arial"/>
                <w:sz w:val="18"/>
                <w:szCs w:val="18"/>
                <w:color w:val="auto"/>
              </w:rPr>
              <w:t>(385,351)</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(370,273)</w:t>
            </w:r>
          </w:p>
        </w:tc>
      </w:tr>
      <w:tr>
        <w:trPr>
          <w:trHeight w:val="196"/>
        </w:trPr>
        <w:tc>
          <w:tcPr>
            <w:tcW w:w="7940" w:type="dxa"/>
            <w:vAlign w:val="bottom"/>
            <w:tcBorders>
              <w:top w:val="single" w:sz="8" w:color="CFF0FC"/>
            </w:tcBorders>
          </w:tcPr>
          <w:p>
            <w:pPr>
              <w:spacing w:after="0" w:line="196" w:lineRule="exact"/>
              <w:rPr>
                <w:sz w:val="20"/>
                <w:szCs w:val="20"/>
                <w:color w:val="auto"/>
              </w:rPr>
            </w:pPr>
            <w:r>
              <w:rPr>
                <w:rFonts w:ascii="Arial" w:cs="Arial" w:eastAsia="Arial" w:hAnsi="Arial"/>
                <w:sz w:val="18"/>
                <w:szCs w:val="18"/>
                <w:b w:val="1"/>
                <w:bCs w:val="1"/>
                <w:color w:val="auto"/>
              </w:rPr>
              <w:t>Total stockholders’ equity</w:t>
            </w:r>
          </w:p>
        </w:tc>
        <w:tc>
          <w:tcPr>
            <w:tcW w:w="2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309,901</w:t>
            </w:r>
          </w:p>
        </w:tc>
        <w:tc>
          <w:tcPr>
            <w:tcW w:w="140" w:type="dxa"/>
            <w:vAlign w:val="bottom"/>
            <w:tcBorders>
              <w:top w:val="single" w:sz="8" w:color="CFF0FC"/>
            </w:tcBorders>
          </w:tcPr>
          <w:p>
            <w:pPr>
              <w:spacing w:after="0"/>
              <w:rPr>
                <w:sz w:val="17"/>
                <w:szCs w:val="17"/>
                <w:color w:val="auto"/>
              </w:rPr>
            </w:pPr>
          </w:p>
        </w:tc>
        <w:tc>
          <w:tcPr>
            <w:tcW w:w="80" w:type="dxa"/>
            <w:vAlign w:val="bottom"/>
            <w:tcBorders>
              <w:top w:val="single" w:sz="8" w:color="CFF0FC"/>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314,453</w:t>
            </w:r>
          </w:p>
        </w:tc>
        <w:tc>
          <w:tcPr>
            <w:tcW w:w="100" w:type="dxa"/>
            <w:vAlign w:val="bottom"/>
            <w:tcBorders>
              <w:top w:val="single" w:sz="8" w:color="CFF0FC"/>
            </w:tcBorders>
          </w:tcPr>
          <w:p>
            <w:pPr>
              <w:spacing w:after="0"/>
              <w:rPr>
                <w:sz w:val="17"/>
                <w:szCs w:val="17"/>
                <w:color w:val="auto"/>
              </w:rPr>
            </w:pPr>
          </w:p>
        </w:tc>
      </w:tr>
      <w:tr>
        <w:trPr>
          <w:trHeight w:val="203"/>
        </w:trPr>
        <w:tc>
          <w:tcPr>
            <w:tcW w:w="7940" w:type="dxa"/>
            <w:vAlign w:val="bottom"/>
            <w:tcBorders>
              <w:bottom w:val="single" w:sz="8" w:color="CFF0FC"/>
            </w:tcBorders>
            <w:shd w:val="clear" w:color="auto" w:fill="CFF0FC"/>
          </w:tcPr>
          <w:p>
            <w:pPr>
              <w:ind w:left="420"/>
              <w:spacing w:after="0" w:line="202" w:lineRule="exact"/>
              <w:rPr>
                <w:sz w:val="20"/>
                <w:szCs w:val="20"/>
                <w:color w:val="auto"/>
              </w:rPr>
            </w:pPr>
            <w:r>
              <w:rPr>
                <w:rFonts w:ascii="Arial" w:cs="Arial" w:eastAsia="Arial" w:hAnsi="Arial"/>
                <w:sz w:val="18"/>
                <w:szCs w:val="18"/>
                <w:b w:val="1"/>
                <w:bCs w:val="1"/>
                <w:color w:val="auto"/>
              </w:rPr>
              <w:t>Noncontrolling interest</w:t>
            </w:r>
          </w:p>
        </w:tc>
        <w:tc>
          <w:tcPr>
            <w:tcW w:w="22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1,132</w:t>
            </w:r>
          </w:p>
        </w:tc>
        <w:tc>
          <w:tcPr>
            <w:tcW w:w="140" w:type="dxa"/>
            <w:vAlign w:val="bottom"/>
            <w:tcBorders>
              <w:bottom w:val="single" w:sz="8" w:color="CFF0FC"/>
            </w:tcBorders>
            <w:shd w:val="clear" w:color="auto" w:fill="CFF0FC"/>
          </w:tcPr>
          <w:p>
            <w:pPr>
              <w:spacing w:after="0"/>
              <w:rPr>
                <w:sz w:val="17"/>
                <w:szCs w:val="17"/>
                <w:color w:val="auto"/>
              </w:rPr>
            </w:pPr>
          </w:p>
        </w:tc>
        <w:tc>
          <w:tcPr>
            <w:tcW w:w="8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1,143</w:t>
            </w:r>
          </w:p>
        </w:tc>
        <w:tc>
          <w:tcPr>
            <w:tcW w:w="100" w:type="dxa"/>
            <w:vAlign w:val="bottom"/>
            <w:tcBorders>
              <w:bottom w:val="single" w:sz="8" w:color="CFF0FC"/>
            </w:tcBorders>
            <w:shd w:val="clear" w:color="auto" w:fill="CFF0FC"/>
          </w:tcPr>
          <w:p>
            <w:pPr>
              <w:spacing w:after="0"/>
              <w:rPr>
                <w:sz w:val="17"/>
                <w:szCs w:val="17"/>
                <w:color w:val="auto"/>
              </w:rPr>
            </w:pPr>
          </w:p>
        </w:tc>
      </w:tr>
      <w:tr>
        <w:trPr>
          <w:trHeight w:val="196"/>
        </w:trPr>
        <w:tc>
          <w:tcPr>
            <w:tcW w:w="7940" w:type="dxa"/>
            <w:vAlign w:val="bottom"/>
          </w:tcPr>
          <w:p>
            <w:pPr>
              <w:ind w:left="420"/>
              <w:spacing w:after="0" w:line="196" w:lineRule="exact"/>
              <w:rPr>
                <w:sz w:val="20"/>
                <w:szCs w:val="20"/>
                <w:color w:val="auto"/>
              </w:rPr>
            </w:pPr>
            <w:r>
              <w:rPr>
                <w:rFonts w:ascii="Arial" w:cs="Arial" w:eastAsia="Arial" w:hAnsi="Arial"/>
                <w:sz w:val="18"/>
                <w:szCs w:val="18"/>
                <w:b w:val="1"/>
                <w:bCs w:val="1"/>
                <w:color w:val="auto"/>
              </w:rPr>
              <w:t>Total equity</w:t>
            </w:r>
          </w:p>
        </w:tc>
        <w:tc>
          <w:tcPr>
            <w:tcW w:w="2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311,033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315,596</w:t>
            </w:r>
          </w:p>
        </w:tc>
        <w:tc>
          <w:tcPr>
            <w:tcW w:w="100" w:type="dxa"/>
            <w:vAlign w:val="bottom"/>
          </w:tcPr>
          <w:p>
            <w:pPr>
              <w:spacing w:after="0"/>
              <w:rPr>
                <w:sz w:val="17"/>
                <w:szCs w:val="17"/>
                <w:color w:val="auto"/>
              </w:rPr>
            </w:pPr>
          </w:p>
        </w:tc>
      </w:tr>
      <w:tr>
        <w:trPr>
          <w:trHeight w:val="236"/>
        </w:trPr>
        <w:tc>
          <w:tcPr>
            <w:tcW w:w="794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Total liabilities and stockholders’ equity</w:t>
            </w:r>
          </w:p>
        </w:tc>
        <w:tc>
          <w:tcPr>
            <w:tcW w:w="220" w:type="dxa"/>
            <w:vAlign w:val="bottom"/>
            <w:shd w:val="clear" w:color="auto" w:fill="CFF0FC"/>
          </w:tcPr>
          <w:p>
            <w:pPr>
              <w:jc w:val="right"/>
              <w:ind w:right="30"/>
              <w:spacing w:after="0" w:line="196" w:lineRule="exact"/>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690,110</w:t>
            </w:r>
          </w:p>
        </w:tc>
        <w:tc>
          <w:tcPr>
            <w:tcW w:w="14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ind w:right="20"/>
              <w:spacing w:after="0" w:line="196" w:lineRule="exact"/>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line="196" w:lineRule="exact"/>
              <w:rPr>
                <w:sz w:val="20"/>
                <w:szCs w:val="20"/>
                <w:color w:val="auto"/>
              </w:rPr>
            </w:pPr>
            <w:r>
              <w:rPr>
                <w:rFonts w:ascii="Arial" w:cs="Arial" w:eastAsia="Arial" w:hAnsi="Arial"/>
                <w:sz w:val="18"/>
                <w:szCs w:val="18"/>
                <w:color w:val="auto"/>
              </w:rPr>
              <w:t>680,129</w:t>
            </w:r>
          </w:p>
        </w:tc>
        <w:tc>
          <w:tcPr>
            <w:tcW w:w="100" w:type="dxa"/>
            <w:vAlign w:val="bottom"/>
            <w:shd w:val="clear" w:color="auto" w:fill="CFF0FC"/>
          </w:tcPr>
          <w:p>
            <w:pPr>
              <w:spacing w:after="0"/>
              <w:rPr>
                <w:sz w:val="20"/>
                <w:szCs w:val="20"/>
                <w:color w:val="auto"/>
              </w:rPr>
            </w:pPr>
          </w:p>
        </w:tc>
      </w:tr>
      <w:tr>
        <w:trPr>
          <w:trHeight w:val="831"/>
        </w:trPr>
        <w:tc>
          <w:tcPr>
            <w:tcW w:w="7940" w:type="dxa"/>
            <w:vAlign w:val="bottom"/>
            <w:tcBorders>
              <w:top w:val="single" w:sz="8" w:color="CFF0FC"/>
            </w:tcBorders>
          </w:tcPr>
          <w:p>
            <w:pPr>
              <w:ind w:left="5580"/>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4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763"/>
        </w:trPr>
        <w:tc>
          <w:tcPr>
            <w:tcW w:w="79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-5005705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-5005705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-3942715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-3942715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-3154045</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-3154045</wp:posOffset>
            </wp:positionV>
            <wp:extent cx="685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-1602105</wp:posOffset>
            </wp:positionV>
            <wp:extent cx="6858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-1602105</wp:posOffset>
            </wp:positionV>
            <wp:extent cx="685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-1336675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-1336675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-1062355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-1045210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-1062355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-1045210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20"/>
          <w:szCs w:val="20"/>
          <w:b w:val="1"/>
          <w:bCs w:val="1"/>
          <w:color w:val="auto"/>
        </w:rPr>
        <w:t>Xometry, Inc. and Subsidiaries</w:t>
      </w:r>
    </w:p>
    <w:p>
      <w:pPr>
        <w:jc w:val="center"/>
        <w:spacing w:after="0" w:line="231" w:lineRule="auto"/>
        <w:rPr>
          <w:sz w:val="20"/>
          <w:szCs w:val="20"/>
          <w:color w:val="auto"/>
        </w:rPr>
      </w:pPr>
      <w:r>
        <w:rPr>
          <w:rFonts w:ascii="Arial" w:cs="Arial" w:eastAsia="Arial" w:hAnsi="Arial"/>
          <w:sz w:val="20"/>
          <w:szCs w:val="20"/>
          <w:color w:val="auto"/>
        </w:rPr>
        <w:t>Condensed Consolidated Statements of Operations and Comprehensive Loss</w:t>
      </w:r>
    </w:p>
    <w:p>
      <w:pPr>
        <w:jc w:val="center"/>
        <w:spacing w:after="0" w:line="226" w:lineRule="auto"/>
        <w:rPr>
          <w:sz w:val="20"/>
          <w:szCs w:val="20"/>
          <w:color w:val="auto"/>
        </w:rPr>
      </w:pPr>
      <w:r>
        <w:rPr>
          <w:rFonts w:ascii="Arial" w:cs="Arial" w:eastAsia="Arial" w:hAnsi="Arial"/>
          <w:sz w:val="20"/>
          <w:szCs w:val="20"/>
          <w:color w:val="auto"/>
        </w:rPr>
        <w:t>(In thousands, except share and per share amounts)</w:t>
      </w:r>
    </w:p>
    <w:p>
      <w:pPr>
        <w:jc w:val="center"/>
        <w:spacing w:after="0" w:line="234" w:lineRule="auto"/>
        <w:rPr>
          <w:sz w:val="20"/>
          <w:szCs w:val="20"/>
          <w:color w:val="auto"/>
        </w:rPr>
      </w:pPr>
      <w:r>
        <w:rPr>
          <w:rFonts w:ascii="Arial" w:cs="Arial" w:eastAsia="Arial" w:hAnsi="Arial"/>
          <w:sz w:val="20"/>
          <w:szCs w:val="20"/>
          <w:color w:val="auto"/>
        </w:rPr>
        <w:t>(Unaudited)</w:t>
      </w:r>
    </w:p>
    <w:tbl>
      <w:tblPr>
        <w:tblLayout w:type="fixed"/>
        <w:tblInd w:w="0" w:type="dxa"/>
        <w:tblCellMar>
          <w:top w:w="0" w:type="dxa"/>
          <w:left w:w="0" w:type="dxa"/>
          <w:bottom w:w="0" w:type="dxa"/>
          <w:right w:w="0" w:type="dxa"/>
        </w:tblCellMar>
      </w:tblPr>
      <w:tr>
        <w:trPr>
          <w:trHeight w:val="148"/>
        </w:trPr>
        <w:tc>
          <w:tcPr>
            <w:tcW w:w="7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700" w:type="dxa"/>
            <w:vAlign w:val="bottom"/>
            <w:gridSpan w:val="4"/>
          </w:tcPr>
          <w:p>
            <w:pPr>
              <w:jc w:val="right"/>
              <w:ind w:right="28"/>
              <w:spacing w:after="0" w:line="148" w:lineRule="exact"/>
              <w:rPr>
                <w:sz w:val="20"/>
                <w:szCs w:val="20"/>
                <w:color w:val="auto"/>
              </w:rPr>
            </w:pPr>
            <w:r>
              <w:rPr>
                <w:rFonts w:ascii="Arial" w:cs="Arial" w:eastAsia="Arial" w:hAnsi="Arial"/>
                <w:sz w:val="14"/>
                <w:szCs w:val="14"/>
                <w:b w:val="1"/>
                <w:bCs w:val="1"/>
                <w:color w:val="auto"/>
              </w:rPr>
              <w:t>Three Months Ended</w:t>
            </w: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716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408"/>
              <w:spacing w:after="0"/>
              <w:rPr>
                <w:sz w:val="20"/>
                <w:szCs w:val="20"/>
                <w:color w:val="auto"/>
              </w:rPr>
            </w:pPr>
            <w:r>
              <w:rPr>
                <w:rFonts w:ascii="Arial" w:cs="Arial" w:eastAsia="Arial" w:hAnsi="Arial"/>
                <w:sz w:val="14"/>
                <w:szCs w:val="14"/>
                <w:b w:val="1"/>
                <w:bCs w:val="1"/>
                <w:color w:val="auto"/>
              </w:rPr>
              <w:t>March 31,</w:t>
            </w:r>
          </w:p>
        </w:tc>
        <w:tc>
          <w:tcPr>
            <w:tcW w:w="11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160" w:type="dxa"/>
            <w:vAlign w:val="bottom"/>
          </w:tcPr>
          <w:p>
            <w:pPr>
              <w:spacing w:after="0"/>
              <w:rPr>
                <w:sz w:val="13"/>
                <w:szCs w:val="13"/>
                <w:color w:val="auto"/>
              </w:rPr>
            </w:pPr>
          </w:p>
        </w:tc>
        <w:tc>
          <w:tcPr>
            <w:tcW w:w="11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74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88"/>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160" w:type="dxa"/>
            <w:vAlign w:val="bottom"/>
            <w:shd w:val="clear" w:color="auto" w:fill="CFF0FC"/>
          </w:tcPr>
          <w:p>
            <w:pPr>
              <w:spacing w:after="0"/>
              <w:rPr>
                <w:sz w:val="20"/>
                <w:szCs w:val="20"/>
                <w:color w:val="auto"/>
              </w:rPr>
            </w:pPr>
            <w:r>
              <w:rPr>
                <w:rFonts w:ascii="Arial" w:cs="Arial" w:eastAsia="Arial" w:hAnsi="Arial"/>
                <w:sz w:val="14"/>
                <w:szCs w:val="14"/>
                <w:color w:val="auto"/>
              </w:rPr>
              <w:t>Revenue</w:t>
            </w:r>
          </w:p>
        </w:tc>
        <w:tc>
          <w:tcPr>
            <w:tcW w:w="1100" w:type="dxa"/>
            <w:vAlign w:val="bottom"/>
            <w:shd w:val="clear" w:color="auto" w:fill="CFF0FC"/>
          </w:tcPr>
          <w:p>
            <w:pPr>
              <w:jc w:val="right"/>
              <w:ind w:right="948"/>
              <w:spacing w:after="0"/>
              <w:rPr>
                <w:sz w:val="20"/>
                <w:szCs w:val="20"/>
                <w:color w:val="auto"/>
              </w:rPr>
            </w:pPr>
            <w:r>
              <w:rPr>
                <w:rFonts w:ascii="Arial" w:cs="Arial" w:eastAsia="Arial" w:hAnsi="Arial"/>
                <w:sz w:val="14"/>
                <w:szCs w:val="14"/>
                <w:color w:val="auto"/>
                <w:w w:val="76"/>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150,971</w:t>
            </w:r>
          </w:p>
        </w:tc>
        <w:tc>
          <w:tcPr>
            <w:tcW w:w="180" w:type="dxa"/>
            <w:vAlign w:val="bottom"/>
            <w:shd w:val="clear" w:color="auto" w:fill="CFF0FC"/>
          </w:tcPr>
          <w:p>
            <w:pPr>
              <w:spacing w:after="0"/>
              <w:rPr>
                <w:sz w:val="14"/>
                <w:szCs w:val="14"/>
                <w:color w:val="auto"/>
              </w:rPr>
            </w:pPr>
          </w:p>
        </w:tc>
        <w:tc>
          <w:tcPr>
            <w:tcW w:w="780" w:type="dxa"/>
            <w:vAlign w:val="bottom"/>
            <w:gridSpan w:val="2"/>
            <w:shd w:val="clear" w:color="auto" w:fill="CFF0FC"/>
          </w:tcPr>
          <w:p>
            <w:pPr>
              <w:jc w:val="right"/>
              <w:ind w:right="508"/>
              <w:spacing w:after="0"/>
              <w:rPr>
                <w:sz w:val="20"/>
                <w:szCs w:val="20"/>
                <w:color w:val="auto"/>
              </w:rPr>
            </w:pPr>
            <w:r>
              <w:rPr>
                <w:rFonts w:ascii="Arial" w:cs="Arial" w:eastAsia="Arial" w:hAnsi="Arial"/>
                <w:sz w:val="14"/>
                <w:szCs w:val="14"/>
                <w:color w:val="auto"/>
              </w:rPr>
              <w:t>$</w:t>
            </w: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122,690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60" w:type="dxa"/>
            <w:vAlign w:val="bottom"/>
          </w:tcPr>
          <w:p>
            <w:pPr>
              <w:spacing w:after="0"/>
              <w:rPr>
                <w:sz w:val="20"/>
                <w:szCs w:val="20"/>
                <w:color w:val="auto"/>
              </w:rPr>
            </w:pPr>
            <w:r>
              <w:rPr>
                <w:rFonts w:ascii="Arial" w:cs="Arial" w:eastAsia="Arial" w:hAnsi="Arial"/>
                <w:sz w:val="14"/>
                <w:szCs w:val="14"/>
                <w:color w:val="auto"/>
              </w:rPr>
              <w:t>Cost of revenue</w:t>
            </w:r>
          </w:p>
        </w:tc>
        <w:tc>
          <w:tcPr>
            <w:tcW w:w="1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94,640</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74,788</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160" w:type="dxa"/>
            <w:vAlign w:val="bottom"/>
            <w:tcBorders>
              <w:bottom w:val="single" w:sz="8" w:color="CFF0FC"/>
            </w:tcBorders>
            <w:shd w:val="clear" w:color="auto" w:fill="CFF0FC"/>
          </w:tcPr>
          <w:p>
            <w:pPr>
              <w:ind w:left="140"/>
              <w:spacing w:after="0" w:line="155" w:lineRule="exact"/>
              <w:rPr>
                <w:sz w:val="20"/>
                <w:szCs w:val="20"/>
                <w:color w:val="auto"/>
              </w:rPr>
            </w:pPr>
            <w:r>
              <w:rPr>
                <w:rFonts w:ascii="Arial" w:cs="Arial" w:eastAsia="Arial" w:hAnsi="Arial"/>
                <w:sz w:val="14"/>
                <w:szCs w:val="14"/>
                <w:b w:val="1"/>
                <w:bCs w:val="1"/>
                <w:color w:val="auto"/>
              </w:rPr>
              <w:t>Gross profit</w:t>
            </w:r>
          </w:p>
        </w:tc>
        <w:tc>
          <w:tcPr>
            <w:tcW w:w="1100" w:type="dxa"/>
            <w:vAlign w:val="bottom"/>
            <w:tcBorders>
              <w:bottom w:val="single" w:sz="8" w:color="auto"/>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56,331</w:t>
            </w:r>
          </w:p>
        </w:tc>
        <w:tc>
          <w:tcPr>
            <w:tcW w:w="1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spacing w:after="0"/>
              <w:rPr>
                <w:sz w:val="13"/>
                <w:szCs w:val="13"/>
                <w:color w:val="auto"/>
              </w:rPr>
            </w:pPr>
          </w:p>
        </w:tc>
        <w:tc>
          <w:tcPr>
            <w:tcW w:w="11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47,902</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7160" w:type="dxa"/>
            <w:vAlign w:val="bottom"/>
          </w:tcPr>
          <w:p>
            <w:pPr>
              <w:spacing w:after="0" w:line="155" w:lineRule="exact"/>
              <w:rPr>
                <w:sz w:val="20"/>
                <w:szCs w:val="20"/>
                <w:color w:val="auto"/>
              </w:rPr>
            </w:pPr>
            <w:r>
              <w:rPr>
                <w:rFonts w:ascii="Arial" w:cs="Arial" w:eastAsia="Arial" w:hAnsi="Arial"/>
                <w:sz w:val="14"/>
                <w:szCs w:val="14"/>
                <w:color w:val="auto"/>
              </w:rPr>
              <w:t>Sales and marketing</w:t>
            </w:r>
          </w:p>
        </w:tc>
        <w:tc>
          <w:tcPr>
            <w:tcW w:w="110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26,435</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80" w:type="dxa"/>
            <w:vAlign w:val="bottom"/>
          </w:tcPr>
          <w:p>
            <w:pPr>
              <w:jc w:val="right"/>
              <w:spacing w:after="0" w:line="155" w:lineRule="exact"/>
              <w:rPr>
                <w:sz w:val="20"/>
                <w:szCs w:val="20"/>
                <w:color w:val="auto"/>
              </w:rPr>
            </w:pPr>
            <w:r>
              <w:rPr>
                <w:rFonts w:ascii="Arial" w:cs="Arial" w:eastAsia="Arial" w:hAnsi="Arial"/>
                <w:sz w:val="14"/>
                <w:szCs w:val="14"/>
                <w:color w:val="auto"/>
              </w:rPr>
              <w:t>27,200</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7160" w:type="dxa"/>
            <w:vAlign w:val="bottom"/>
            <w:shd w:val="clear" w:color="auto" w:fill="CFF0FC"/>
          </w:tcPr>
          <w:p>
            <w:pPr>
              <w:spacing w:after="0"/>
              <w:rPr>
                <w:sz w:val="20"/>
                <w:szCs w:val="20"/>
                <w:color w:val="auto"/>
              </w:rPr>
            </w:pPr>
            <w:r>
              <w:rPr>
                <w:rFonts w:ascii="Arial" w:cs="Arial" w:eastAsia="Arial" w:hAnsi="Arial"/>
                <w:sz w:val="14"/>
                <w:szCs w:val="14"/>
                <w:color w:val="auto"/>
              </w:rPr>
              <w:t>Operations and support</w:t>
            </w:r>
          </w:p>
        </w:tc>
        <w:tc>
          <w:tcPr>
            <w:tcW w:w="1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17,090</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14,047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60" w:type="dxa"/>
            <w:vAlign w:val="bottom"/>
          </w:tcPr>
          <w:p>
            <w:pPr>
              <w:spacing w:after="0"/>
              <w:rPr>
                <w:sz w:val="20"/>
                <w:szCs w:val="20"/>
                <w:color w:val="auto"/>
              </w:rPr>
            </w:pPr>
            <w:r>
              <w:rPr>
                <w:rFonts w:ascii="Arial" w:cs="Arial" w:eastAsia="Arial" w:hAnsi="Arial"/>
                <w:sz w:val="14"/>
                <w:szCs w:val="14"/>
                <w:color w:val="auto"/>
              </w:rPr>
              <w:t>Product development</w:t>
            </w:r>
          </w:p>
        </w:tc>
        <w:tc>
          <w:tcPr>
            <w:tcW w:w="1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11,171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9,590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General and administrative</w:t>
            </w:r>
          </w:p>
        </w:tc>
        <w:tc>
          <w:tcPr>
            <w:tcW w:w="110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17,026</w:t>
            </w:r>
          </w:p>
        </w:tc>
        <w:tc>
          <w:tcPr>
            <w:tcW w:w="1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14,922</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160" w:type="dxa"/>
            <w:vAlign w:val="bottom"/>
          </w:tcPr>
          <w:p>
            <w:pPr>
              <w:spacing w:after="0" w:line="155" w:lineRule="exact"/>
              <w:rPr>
                <w:sz w:val="20"/>
                <w:szCs w:val="20"/>
                <w:color w:val="auto"/>
              </w:rPr>
            </w:pPr>
            <w:r>
              <w:rPr>
                <w:rFonts w:ascii="Arial" w:cs="Arial" w:eastAsia="Arial" w:hAnsi="Arial"/>
                <w:sz w:val="14"/>
                <w:szCs w:val="14"/>
                <w:color w:val="auto"/>
              </w:rPr>
              <w:t>Total operating expenses</w:t>
            </w:r>
          </w:p>
        </w:tc>
        <w:tc>
          <w:tcPr>
            <w:tcW w:w="11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71,722</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65,759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160" w:type="dxa"/>
            <w:vAlign w:val="bottom"/>
            <w:shd w:val="clear" w:color="auto" w:fill="CFF0FC"/>
          </w:tcPr>
          <w:p>
            <w:pPr>
              <w:ind w:left="140"/>
              <w:spacing w:after="0" w:line="155" w:lineRule="exact"/>
              <w:rPr>
                <w:sz w:val="20"/>
                <w:szCs w:val="20"/>
                <w:color w:val="auto"/>
              </w:rPr>
            </w:pPr>
            <w:r>
              <w:rPr>
                <w:rFonts w:ascii="Arial" w:cs="Arial" w:eastAsia="Arial" w:hAnsi="Arial"/>
                <w:sz w:val="14"/>
                <w:szCs w:val="14"/>
                <w:b w:val="1"/>
                <w:bCs w:val="1"/>
                <w:color w:val="auto"/>
              </w:rPr>
              <w:t>Loss from operations</w:t>
            </w:r>
          </w:p>
        </w:tc>
        <w:tc>
          <w:tcPr>
            <w:tcW w:w="110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40"/>
              <w:spacing w:after="0" w:line="155" w:lineRule="exact"/>
              <w:rPr>
                <w:sz w:val="20"/>
                <w:szCs w:val="20"/>
                <w:color w:val="auto"/>
              </w:rPr>
            </w:pPr>
            <w:r>
              <w:rPr>
                <w:rFonts w:ascii="Arial" w:cs="Arial" w:eastAsia="Arial" w:hAnsi="Arial"/>
                <w:sz w:val="14"/>
                <w:szCs w:val="14"/>
                <w:color w:val="auto"/>
              </w:rPr>
              <w:t>(15,391)</w:t>
            </w: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(17,857)</w:t>
            </w:r>
          </w:p>
        </w:tc>
        <w:tc>
          <w:tcPr>
            <w:tcW w:w="0" w:type="dxa"/>
            <w:vAlign w:val="bottom"/>
          </w:tcPr>
          <w:p>
            <w:pPr>
              <w:spacing w:after="0"/>
              <w:rPr>
                <w:sz w:val="1"/>
                <w:szCs w:val="1"/>
                <w:color w:val="auto"/>
              </w:rPr>
            </w:pPr>
          </w:p>
        </w:tc>
      </w:tr>
      <w:tr>
        <w:trPr>
          <w:trHeight w:val="162"/>
        </w:trPr>
        <w:tc>
          <w:tcPr>
            <w:tcW w:w="7160" w:type="dxa"/>
            <w:vAlign w:val="bottom"/>
          </w:tcPr>
          <w:p>
            <w:pPr>
              <w:spacing w:after="0"/>
              <w:rPr>
                <w:sz w:val="20"/>
                <w:szCs w:val="20"/>
                <w:color w:val="auto"/>
              </w:rPr>
            </w:pPr>
            <w:r>
              <w:rPr>
                <w:rFonts w:ascii="Arial" w:cs="Arial" w:eastAsia="Arial" w:hAnsi="Arial"/>
                <w:sz w:val="14"/>
                <w:szCs w:val="14"/>
                <w:b w:val="1"/>
                <w:bCs w:val="1"/>
                <w:color w:val="auto"/>
              </w:rPr>
              <w:t>Other income (expenses)</w:t>
            </w: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60" w:type="dxa"/>
            <w:vAlign w:val="bottom"/>
            <w:shd w:val="clear" w:color="auto" w:fill="CFF0FC"/>
          </w:tcPr>
          <w:p>
            <w:pPr>
              <w:spacing w:after="0"/>
              <w:rPr>
                <w:sz w:val="20"/>
                <w:szCs w:val="20"/>
                <w:color w:val="auto"/>
              </w:rPr>
            </w:pPr>
            <w:r>
              <w:rPr>
                <w:rFonts w:ascii="Arial" w:cs="Arial" w:eastAsia="Arial" w:hAnsi="Arial"/>
                <w:sz w:val="14"/>
                <w:szCs w:val="14"/>
                <w:color w:val="auto"/>
              </w:rPr>
              <w:t>Interest expense</w:t>
            </w:r>
          </w:p>
        </w:tc>
        <w:tc>
          <w:tcPr>
            <w:tcW w:w="1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(1,188)</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(1,189)</w:t>
            </w:r>
          </w:p>
        </w:tc>
        <w:tc>
          <w:tcPr>
            <w:tcW w:w="0" w:type="dxa"/>
            <w:vAlign w:val="bottom"/>
          </w:tcPr>
          <w:p>
            <w:pPr>
              <w:spacing w:after="0"/>
              <w:rPr>
                <w:sz w:val="1"/>
                <w:szCs w:val="1"/>
                <w:color w:val="auto"/>
              </w:rPr>
            </w:pPr>
          </w:p>
        </w:tc>
      </w:tr>
      <w:tr>
        <w:trPr>
          <w:trHeight w:val="162"/>
        </w:trPr>
        <w:tc>
          <w:tcPr>
            <w:tcW w:w="7160" w:type="dxa"/>
            <w:vAlign w:val="bottom"/>
          </w:tcPr>
          <w:p>
            <w:pPr>
              <w:spacing w:after="0"/>
              <w:rPr>
                <w:sz w:val="20"/>
                <w:szCs w:val="20"/>
                <w:color w:val="auto"/>
              </w:rPr>
            </w:pPr>
            <w:r>
              <w:rPr>
                <w:rFonts w:ascii="Arial" w:cs="Arial" w:eastAsia="Arial" w:hAnsi="Arial"/>
                <w:sz w:val="14"/>
                <w:szCs w:val="14"/>
                <w:color w:val="auto"/>
              </w:rPr>
              <w:t>Interest and dividend income</w:t>
            </w:r>
          </w:p>
        </w:tc>
        <w:tc>
          <w:tcPr>
            <w:tcW w:w="1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2,277</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2,732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60" w:type="dxa"/>
            <w:vAlign w:val="bottom"/>
            <w:shd w:val="clear" w:color="auto" w:fill="CFF0FC"/>
          </w:tcPr>
          <w:p>
            <w:pPr>
              <w:spacing w:after="0"/>
              <w:rPr>
                <w:sz w:val="20"/>
                <w:szCs w:val="20"/>
                <w:color w:val="auto"/>
              </w:rPr>
            </w:pPr>
            <w:r>
              <w:rPr>
                <w:rFonts w:ascii="Arial" w:cs="Arial" w:eastAsia="Arial" w:hAnsi="Arial"/>
                <w:sz w:val="14"/>
                <w:szCs w:val="14"/>
                <w:color w:val="auto"/>
              </w:rPr>
              <w:t>Other expenses</w:t>
            </w:r>
          </w:p>
        </w:tc>
        <w:tc>
          <w:tcPr>
            <w:tcW w:w="1100" w:type="dxa"/>
            <w:vAlign w:val="bottom"/>
            <w:shd w:val="clear" w:color="auto" w:fill="CFF0FC"/>
          </w:tcPr>
          <w:p>
            <w:pPr>
              <w:spacing w:after="0"/>
              <w:rPr>
                <w:sz w:val="14"/>
                <w:szCs w:val="14"/>
                <w:color w:val="auto"/>
              </w:rPr>
            </w:pP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(880)</w:t>
            </w: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(387)</w:t>
            </w:r>
          </w:p>
        </w:tc>
        <w:tc>
          <w:tcPr>
            <w:tcW w:w="0" w:type="dxa"/>
            <w:vAlign w:val="bottom"/>
          </w:tcPr>
          <w:p>
            <w:pPr>
              <w:spacing w:after="0"/>
              <w:rPr>
                <w:sz w:val="1"/>
                <w:szCs w:val="1"/>
                <w:color w:val="auto"/>
              </w:rPr>
            </w:pPr>
          </w:p>
        </w:tc>
      </w:tr>
      <w:tr>
        <w:trPr>
          <w:trHeight w:val="162"/>
        </w:trPr>
        <w:tc>
          <w:tcPr>
            <w:tcW w:w="7160" w:type="dxa"/>
            <w:vAlign w:val="bottom"/>
          </w:tcPr>
          <w:p>
            <w:pPr>
              <w:spacing w:after="0"/>
              <w:rPr>
                <w:sz w:val="20"/>
                <w:szCs w:val="20"/>
                <w:color w:val="auto"/>
              </w:rPr>
            </w:pPr>
            <w:r>
              <w:rPr>
                <w:rFonts w:ascii="Arial" w:cs="Arial" w:eastAsia="Arial" w:hAnsi="Arial"/>
                <w:sz w:val="14"/>
                <w:szCs w:val="14"/>
                <w:color w:val="auto"/>
              </w:rPr>
              <w:t>Income from unconsolidated joint venture</w:t>
            </w:r>
          </w:p>
        </w:tc>
        <w:tc>
          <w:tcPr>
            <w:tcW w:w="1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106</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716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Total other income</w:t>
            </w:r>
          </w:p>
        </w:tc>
        <w:tc>
          <w:tcPr>
            <w:tcW w:w="1100" w:type="dxa"/>
            <w:vAlign w:val="bottom"/>
            <w:tcBorders>
              <w:bottom w:val="single" w:sz="8" w:color="auto"/>
            </w:tcBorders>
            <w:shd w:val="clear" w:color="auto" w:fill="CFF0FC"/>
          </w:tcPr>
          <w:p>
            <w:pPr>
              <w:spacing w:after="0"/>
              <w:rPr>
                <w:sz w:val="13"/>
                <w:szCs w:val="13"/>
                <w:color w:val="auto"/>
              </w:rPr>
            </w:pPr>
          </w:p>
        </w:tc>
        <w:tc>
          <w:tcPr>
            <w:tcW w:w="74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315</w:t>
            </w:r>
          </w:p>
        </w:tc>
        <w:tc>
          <w:tcPr>
            <w:tcW w:w="1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660" w:type="dxa"/>
            <w:vAlign w:val="bottom"/>
            <w:tcBorders>
              <w:bottom w:val="single" w:sz="8" w:color="auto"/>
            </w:tcBorders>
            <w:shd w:val="clear" w:color="auto" w:fill="CFF0FC"/>
          </w:tcPr>
          <w:p>
            <w:pPr>
              <w:spacing w:after="0"/>
              <w:rPr>
                <w:sz w:val="13"/>
                <w:szCs w:val="13"/>
                <w:color w:val="auto"/>
              </w:rPr>
            </w:pPr>
          </w:p>
        </w:tc>
        <w:tc>
          <w:tcPr>
            <w:tcW w:w="11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1,253</w:t>
            </w:r>
          </w:p>
        </w:tc>
        <w:tc>
          <w:tcPr>
            <w:tcW w:w="100" w:type="dxa"/>
            <w:vAlign w:val="bottom"/>
            <w:tcBorders>
              <w:bottom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7160" w:type="dxa"/>
            <w:vAlign w:val="bottom"/>
          </w:tcPr>
          <w:p>
            <w:pPr>
              <w:ind w:left="140"/>
              <w:spacing w:after="0" w:line="155" w:lineRule="exact"/>
              <w:rPr>
                <w:sz w:val="20"/>
                <w:szCs w:val="20"/>
                <w:color w:val="auto"/>
              </w:rPr>
            </w:pPr>
            <w:r>
              <w:rPr>
                <w:rFonts w:ascii="Arial" w:cs="Arial" w:eastAsia="Arial" w:hAnsi="Arial"/>
                <w:sz w:val="14"/>
                <w:szCs w:val="14"/>
                <w:b w:val="1"/>
                <w:bCs w:val="1"/>
                <w:color w:val="auto"/>
              </w:rPr>
              <w:t>Loss before income taxes</w:t>
            </w:r>
          </w:p>
        </w:tc>
        <w:tc>
          <w:tcPr>
            <w:tcW w:w="1100" w:type="dxa"/>
            <w:vAlign w:val="bottom"/>
          </w:tcPr>
          <w:p>
            <w:pPr>
              <w:spacing w:after="0"/>
              <w:rPr>
                <w:sz w:val="13"/>
                <w:szCs w:val="13"/>
                <w:color w:val="auto"/>
              </w:rPr>
            </w:pPr>
          </w:p>
        </w:tc>
        <w:tc>
          <w:tcPr>
            <w:tcW w:w="9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(15,076)</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(16,604)</w:t>
            </w:r>
          </w:p>
        </w:tc>
        <w:tc>
          <w:tcPr>
            <w:tcW w:w="0" w:type="dxa"/>
            <w:vAlign w:val="bottom"/>
          </w:tcPr>
          <w:p>
            <w:pPr>
              <w:spacing w:after="0"/>
              <w:rPr>
                <w:sz w:val="1"/>
                <w:szCs w:val="1"/>
                <w:color w:val="auto"/>
              </w:rPr>
            </w:pPr>
          </w:p>
        </w:tc>
      </w:tr>
      <w:tr>
        <w:trPr>
          <w:trHeight w:val="162"/>
        </w:trPr>
        <w:tc>
          <w:tcPr>
            <w:tcW w:w="7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Benefit (provision) for income taxes</w:t>
            </w:r>
          </w:p>
        </w:tc>
        <w:tc>
          <w:tcPr>
            <w:tcW w:w="110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160" w:type="dxa"/>
            <w:vAlign w:val="bottom"/>
          </w:tcPr>
          <w:p>
            <w:pPr>
              <w:ind w:left="140"/>
              <w:spacing w:after="0" w:line="155" w:lineRule="exact"/>
              <w:rPr>
                <w:sz w:val="20"/>
                <w:szCs w:val="20"/>
                <w:color w:val="auto"/>
              </w:rPr>
            </w:pPr>
            <w:r>
              <w:rPr>
                <w:rFonts w:ascii="Arial" w:cs="Arial" w:eastAsia="Arial" w:hAnsi="Arial"/>
                <w:sz w:val="14"/>
                <w:szCs w:val="14"/>
                <w:b w:val="1"/>
                <w:bCs w:val="1"/>
                <w:color w:val="auto"/>
              </w:rPr>
              <w:t>Net loss</w:t>
            </w:r>
          </w:p>
        </w:tc>
        <w:tc>
          <w:tcPr>
            <w:tcW w:w="1100" w:type="dxa"/>
            <w:vAlign w:val="bottom"/>
          </w:tcPr>
          <w:p>
            <w:pPr>
              <w:spacing w:after="0"/>
              <w:rPr>
                <w:sz w:val="13"/>
                <w:szCs w:val="13"/>
                <w:color w:val="auto"/>
              </w:rPr>
            </w:pPr>
          </w:p>
        </w:tc>
        <w:tc>
          <w:tcPr>
            <w:tcW w:w="9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(15,076)</w:t>
            </w: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(16,604)</w:t>
            </w:r>
          </w:p>
        </w:tc>
        <w:tc>
          <w:tcPr>
            <w:tcW w:w="0" w:type="dxa"/>
            <w:vAlign w:val="bottom"/>
          </w:tcPr>
          <w:p>
            <w:pPr>
              <w:spacing w:after="0"/>
              <w:rPr>
                <w:sz w:val="1"/>
                <w:szCs w:val="1"/>
                <w:color w:val="auto"/>
              </w:rPr>
            </w:pPr>
          </w:p>
        </w:tc>
      </w:tr>
      <w:tr>
        <w:trPr>
          <w:trHeight w:val="162"/>
        </w:trPr>
        <w:tc>
          <w:tcPr>
            <w:tcW w:w="71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color w:val="auto"/>
              </w:rPr>
              <w:t>Net income attributable to noncontrolling interest</w:t>
            </w:r>
          </w:p>
        </w:tc>
        <w:tc>
          <w:tcPr>
            <w:tcW w:w="1100" w:type="dxa"/>
            <w:vAlign w:val="bottom"/>
            <w:tcBorders>
              <w:bottom w:val="single" w:sz="8" w:color="auto"/>
            </w:tcBorders>
            <w:shd w:val="clear" w:color="auto" w:fill="CFF0FC"/>
          </w:tcPr>
          <w:p>
            <w:pPr>
              <w:spacing w:after="0"/>
              <w:rPr>
                <w:sz w:val="14"/>
                <w:szCs w:val="14"/>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w:t>
            </w:r>
          </w:p>
        </w:tc>
        <w:tc>
          <w:tcPr>
            <w:tcW w:w="1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auto"/>
            </w:tcBorders>
            <w:shd w:val="clear" w:color="auto" w:fill="CFF0FC"/>
          </w:tcPr>
          <w:p>
            <w:pPr>
              <w:spacing w:after="0"/>
              <w:rPr>
                <w:sz w:val="14"/>
                <w:szCs w:val="14"/>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160" w:type="dxa"/>
            <w:vAlign w:val="bottom"/>
          </w:tcPr>
          <w:p>
            <w:pPr>
              <w:ind w:left="140"/>
              <w:spacing w:after="0" w:line="155" w:lineRule="exact"/>
              <w:rPr>
                <w:sz w:val="20"/>
                <w:szCs w:val="20"/>
                <w:color w:val="auto"/>
              </w:rPr>
            </w:pPr>
            <w:r>
              <w:rPr>
                <w:rFonts w:ascii="Arial" w:cs="Arial" w:eastAsia="Arial" w:hAnsi="Arial"/>
                <w:sz w:val="14"/>
                <w:szCs w:val="14"/>
                <w:b w:val="1"/>
                <w:bCs w:val="1"/>
                <w:color w:val="auto"/>
              </w:rPr>
              <w:t>Net loss attributable to common stockholders</w:t>
            </w:r>
          </w:p>
        </w:tc>
        <w:tc>
          <w:tcPr>
            <w:tcW w:w="1100" w:type="dxa"/>
            <w:vAlign w:val="bottom"/>
          </w:tcPr>
          <w:p>
            <w:pPr>
              <w:jc w:val="right"/>
              <w:ind w:right="94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gridSpan w:val="2"/>
          </w:tcPr>
          <w:p>
            <w:pPr>
              <w:jc w:val="right"/>
              <w:ind w:right="140"/>
              <w:spacing w:after="0" w:line="155" w:lineRule="exact"/>
              <w:rPr>
                <w:sz w:val="20"/>
                <w:szCs w:val="20"/>
                <w:color w:val="auto"/>
              </w:rPr>
            </w:pPr>
            <w:r>
              <w:rPr>
                <w:rFonts w:ascii="Arial" w:cs="Arial" w:eastAsia="Arial" w:hAnsi="Arial"/>
                <w:sz w:val="14"/>
                <w:szCs w:val="14"/>
                <w:color w:val="auto"/>
              </w:rPr>
              <w:t>(15,078)</w:t>
            </w:r>
          </w:p>
        </w:tc>
        <w:tc>
          <w:tcPr>
            <w:tcW w:w="780" w:type="dxa"/>
            <w:vAlign w:val="bottom"/>
            <w:gridSpan w:val="2"/>
          </w:tcPr>
          <w:p>
            <w:pPr>
              <w:jc w:val="right"/>
              <w:ind w:right="508"/>
              <w:spacing w:after="0" w:line="155" w:lineRule="exact"/>
              <w:rPr>
                <w:sz w:val="20"/>
                <w:szCs w:val="20"/>
                <w:color w:val="auto"/>
              </w:rPr>
            </w:pPr>
            <w:r>
              <w:rPr>
                <w:rFonts w:ascii="Arial" w:cs="Arial" w:eastAsia="Arial" w:hAnsi="Arial"/>
                <w:sz w:val="14"/>
                <w:szCs w:val="14"/>
                <w:color w:val="auto"/>
              </w:rPr>
              <w:t>$</w:t>
            </w:r>
          </w:p>
        </w:tc>
        <w:tc>
          <w:tcPr>
            <w:tcW w:w="12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(16,616)</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3"/>
        </w:trPr>
        <w:tc>
          <w:tcPr>
            <w:tcW w:w="7160" w:type="dxa"/>
            <w:vAlign w:val="bottom"/>
            <w:shd w:val="clear" w:color="auto" w:fill="CFF0FC"/>
          </w:tcPr>
          <w:p>
            <w:pPr>
              <w:spacing w:after="0" w:line="133" w:lineRule="exact"/>
              <w:rPr>
                <w:sz w:val="20"/>
                <w:szCs w:val="20"/>
                <w:color w:val="auto"/>
              </w:rPr>
            </w:pPr>
            <w:r>
              <w:rPr>
                <w:rFonts w:ascii="Arial" w:cs="Arial" w:eastAsia="Arial" w:hAnsi="Arial"/>
                <w:sz w:val="14"/>
                <w:szCs w:val="14"/>
                <w:color w:val="auto"/>
              </w:rPr>
              <w:t>Net loss per share, basic and diluted, of Class A and Class B common</w:t>
            </w:r>
          </w:p>
        </w:tc>
        <w:tc>
          <w:tcPr>
            <w:tcW w:w="1100" w:type="dxa"/>
            <w:vAlign w:val="bottom"/>
            <w:vMerge w:val="restart"/>
            <w:shd w:val="clear" w:color="auto" w:fill="CFF0FC"/>
          </w:tcPr>
          <w:p>
            <w:pPr>
              <w:jc w:val="right"/>
              <w:ind w:right="948"/>
              <w:spacing w:after="0"/>
              <w:rPr>
                <w:sz w:val="20"/>
                <w:szCs w:val="20"/>
                <w:color w:val="auto"/>
              </w:rPr>
            </w:pPr>
            <w:r>
              <w:rPr>
                <w:rFonts w:ascii="Arial" w:cs="Arial" w:eastAsia="Arial" w:hAnsi="Arial"/>
                <w:sz w:val="14"/>
                <w:szCs w:val="14"/>
                <w:color w:val="auto"/>
                <w:w w:val="76"/>
              </w:rPr>
              <w:t>$</w:t>
            </w:r>
          </w:p>
        </w:tc>
        <w:tc>
          <w:tcPr>
            <w:tcW w:w="74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(0.30)</w:t>
            </w:r>
          </w:p>
        </w:tc>
        <w:tc>
          <w:tcPr>
            <w:tcW w:w="18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vMerge w:val="restart"/>
            <w:shd w:val="clear" w:color="auto" w:fill="CFF0FC"/>
          </w:tcPr>
          <w:p>
            <w:pPr>
              <w:jc w:val="right"/>
              <w:ind w:right="508"/>
              <w:spacing w:after="0"/>
              <w:rPr>
                <w:sz w:val="20"/>
                <w:szCs w:val="20"/>
                <w:color w:val="auto"/>
              </w:rPr>
            </w:pPr>
            <w:r>
              <w:rPr>
                <w:rFonts w:ascii="Arial" w:cs="Arial" w:eastAsia="Arial" w:hAnsi="Arial"/>
                <w:sz w:val="14"/>
                <w:szCs w:val="14"/>
                <w:color w:val="auto"/>
                <w:w w:val="76"/>
              </w:rPr>
              <w:t>$</w:t>
            </w:r>
          </w:p>
        </w:tc>
        <w:tc>
          <w:tcPr>
            <w:tcW w:w="1180" w:type="dxa"/>
            <w:vAlign w:val="bottom"/>
            <w:vMerge w:val="restart"/>
            <w:shd w:val="clear" w:color="auto" w:fill="CFF0FC"/>
          </w:tcPr>
          <w:p>
            <w:pPr>
              <w:jc w:val="right"/>
              <w:spacing w:after="0"/>
              <w:rPr>
                <w:sz w:val="20"/>
                <w:szCs w:val="20"/>
                <w:color w:val="auto"/>
              </w:rPr>
            </w:pPr>
            <w:r>
              <w:rPr>
                <w:rFonts w:ascii="Arial" w:cs="Arial" w:eastAsia="Arial" w:hAnsi="Arial"/>
                <w:sz w:val="14"/>
                <w:szCs w:val="14"/>
                <w:color w:val="auto"/>
              </w:rPr>
              <w:t>(0.34)</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7160" w:type="dxa"/>
            <w:vAlign w:val="bottom"/>
            <w:tcBorders>
              <w:bottom w:val="single" w:sz="8" w:color="CFF0FC"/>
            </w:tcBorders>
            <w:shd w:val="clear" w:color="auto" w:fill="CFF0FC"/>
          </w:tcPr>
          <w:p>
            <w:pPr>
              <w:ind w:left="120"/>
              <w:spacing w:after="0" w:line="125" w:lineRule="exact"/>
              <w:rPr>
                <w:sz w:val="20"/>
                <w:szCs w:val="20"/>
                <w:color w:val="auto"/>
              </w:rPr>
            </w:pPr>
            <w:r>
              <w:rPr>
                <w:rFonts w:ascii="Arial" w:cs="Arial" w:eastAsia="Arial" w:hAnsi="Arial"/>
                <w:sz w:val="14"/>
                <w:szCs w:val="14"/>
                <w:color w:val="auto"/>
              </w:rPr>
              <w:t>stock</w:t>
            </w:r>
          </w:p>
        </w:tc>
        <w:tc>
          <w:tcPr>
            <w:tcW w:w="1100" w:type="dxa"/>
            <w:vAlign w:val="bottom"/>
            <w:tcBorders>
              <w:bottom w:val="single" w:sz="8" w:color="auto"/>
            </w:tcBorders>
            <w:vMerge w:val="continue"/>
            <w:shd w:val="clear" w:color="auto" w:fill="CFF0FC"/>
          </w:tcPr>
          <w:p>
            <w:pPr>
              <w:spacing w:after="0"/>
              <w:rPr>
                <w:sz w:val="14"/>
                <w:szCs w:val="14"/>
                <w:color w:val="auto"/>
              </w:rPr>
            </w:pPr>
          </w:p>
        </w:tc>
        <w:tc>
          <w:tcPr>
            <w:tcW w:w="740" w:type="dxa"/>
            <w:vAlign w:val="bottom"/>
            <w:tcBorders>
              <w:bottom w:val="single" w:sz="8" w:color="auto"/>
            </w:tcBorders>
            <w:vMerge w:val="continue"/>
            <w:shd w:val="clear" w:color="auto" w:fill="CFF0FC"/>
          </w:tcPr>
          <w:p>
            <w:pPr>
              <w:spacing w:after="0"/>
              <w:rPr>
                <w:sz w:val="14"/>
                <w:szCs w:val="14"/>
                <w:color w:val="auto"/>
              </w:rPr>
            </w:pPr>
          </w:p>
        </w:tc>
        <w:tc>
          <w:tcPr>
            <w:tcW w:w="180" w:type="dxa"/>
            <w:vAlign w:val="bottom"/>
            <w:tcBorders>
              <w:bottom w:val="single" w:sz="8" w:color="CFF0FC"/>
            </w:tcBorders>
            <w:shd w:val="clear" w:color="auto" w:fill="CFF0FC"/>
          </w:tcPr>
          <w:p>
            <w:pPr>
              <w:spacing w:after="0"/>
              <w:rPr>
                <w:sz w:val="14"/>
                <w:szCs w:val="14"/>
                <w:color w:val="auto"/>
              </w:rPr>
            </w:pPr>
          </w:p>
        </w:tc>
        <w:tc>
          <w:tcPr>
            <w:tcW w:w="120" w:type="dxa"/>
            <w:vAlign w:val="bottom"/>
            <w:tcBorders>
              <w:bottom w:val="single" w:sz="8" w:color="CFF0FC"/>
            </w:tcBorders>
            <w:shd w:val="clear" w:color="auto" w:fill="CFF0FC"/>
          </w:tcPr>
          <w:p>
            <w:pPr>
              <w:spacing w:after="0"/>
              <w:rPr>
                <w:sz w:val="14"/>
                <w:szCs w:val="14"/>
                <w:color w:val="auto"/>
              </w:rPr>
            </w:pPr>
          </w:p>
        </w:tc>
        <w:tc>
          <w:tcPr>
            <w:tcW w:w="660" w:type="dxa"/>
            <w:vAlign w:val="bottom"/>
            <w:tcBorders>
              <w:bottom w:val="single" w:sz="8" w:color="auto"/>
            </w:tcBorders>
            <w:vMerge w:val="continue"/>
            <w:shd w:val="clear" w:color="auto" w:fill="CFF0FC"/>
          </w:tcPr>
          <w:p>
            <w:pPr>
              <w:spacing w:after="0"/>
              <w:rPr>
                <w:sz w:val="14"/>
                <w:szCs w:val="14"/>
                <w:color w:val="auto"/>
              </w:rPr>
            </w:pPr>
          </w:p>
        </w:tc>
        <w:tc>
          <w:tcPr>
            <w:tcW w:w="1180" w:type="dxa"/>
            <w:vAlign w:val="bottom"/>
            <w:tcBorders>
              <w:bottom w:val="single" w:sz="8" w:color="auto"/>
            </w:tcBorders>
            <w:vMerge w:val="continue"/>
            <w:shd w:val="clear" w:color="auto" w:fill="CFF0FC"/>
          </w:tcPr>
          <w:p>
            <w:pPr>
              <w:spacing w:after="0"/>
              <w:rPr>
                <w:sz w:val="14"/>
                <w:szCs w:val="14"/>
                <w:color w:val="auto"/>
              </w:rPr>
            </w:pPr>
          </w:p>
        </w:tc>
        <w:tc>
          <w:tcPr>
            <w:tcW w:w="100" w:type="dxa"/>
            <w:vAlign w:val="bottom"/>
            <w:tcBorders>
              <w:bottom w:val="single" w:sz="8" w:color="CFF0FC"/>
            </w:tcBorders>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7160" w:type="dxa"/>
            <w:vAlign w:val="bottom"/>
          </w:tcPr>
          <w:p>
            <w:pPr>
              <w:spacing w:after="0" w:line="133" w:lineRule="exact"/>
              <w:rPr>
                <w:sz w:val="20"/>
                <w:szCs w:val="20"/>
                <w:color w:val="auto"/>
              </w:rPr>
            </w:pPr>
            <w:r>
              <w:rPr>
                <w:rFonts w:ascii="Arial" w:cs="Arial" w:eastAsia="Arial" w:hAnsi="Arial"/>
                <w:sz w:val="14"/>
                <w:szCs w:val="14"/>
                <w:color w:val="auto"/>
              </w:rPr>
              <w:t>Weighted-average number of shares outstanding used to compute</w:t>
            </w:r>
          </w:p>
        </w:tc>
        <w:tc>
          <w:tcPr>
            <w:tcW w:w="1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7160" w:type="dxa"/>
            <w:vAlign w:val="bottom"/>
          </w:tcPr>
          <w:p>
            <w:pPr>
              <w:ind w:left="120"/>
              <w:spacing w:after="0"/>
              <w:rPr>
                <w:sz w:val="20"/>
                <w:szCs w:val="20"/>
                <w:color w:val="auto"/>
              </w:rPr>
            </w:pPr>
            <w:r>
              <w:rPr>
                <w:rFonts w:ascii="Arial" w:cs="Arial" w:eastAsia="Arial" w:hAnsi="Arial"/>
                <w:sz w:val="14"/>
                <w:szCs w:val="14"/>
                <w:color w:val="auto"/>
              </w:rPr>
              <w:t>net loss per share, basic and diluted, of Class A and Class B</w:t>
            </w:r>
          </w:p>
        </w:tc>
        <w:tc>
          <w:tcPr>
            <w:tcW w:w="1100" w:type="dxa"/>
            <w:vAlign w:val="bottom"/>
          </w:tcPr>
          <w:p>
            <w:pPr>
              <w:spacing w:after="0"/>
              <w:rPr>
                <w:sz w:val="14"/>
                <w:szCs w:val="14"/>
                <w:color w:val="auto"/>
              </w:rPr>
            </w:pPr>
          </w:p>
        </w:tc>
        <w:tc>
          <w:tcPr>
            <w:tcW w:w="740" w:type="dxa"/>
            <w:vAlign w:val="bottom"/>
            <w:vMerge w:val="restart"/>
          </w:tcPr>
          <w:p>
            <w:pPr>
              <w:jc w:val="right"/>
              <w:spacing w:after="0"/>
              <w:rPr>
                <w:sz w:val="20"/>
                <w:szCs w:val="20"/>
                <w:color w:val="auto"/>
              </w:rPr>
            </w:pPr>
            <w:r>
              <w:rPr>
                <w:rFonts w:ascii="Arial" w:cs="Arial" w:eastAsia="Arial" w:hAnsi="Arial"/>
                <w:sz w:val="14"/>
                <w:szCs w:val="14"/>
                <w:color w:val="auto"/>
                <w:w w:val="99"/>
              </w:rPr>
              <w:t>50,335,053</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vMerge w:val="restart"/>
          </w:tcPr>
          <w:p>
            <w:pPr>
              <w:jc w:val="right"/>
              <w:spacing w:after="0"/>
              <w:rPr>
                <w:sz w:val="20"/>
                <w:szCs w:val="20"/>
                <w:color w:val="auto"/>
              </w:rPr>
            </w:pPr>
            <w:r>
              <w:rPr>
                <w:rFonts w:ascii="Arial" w:cs="Arial" w:eastAsia="Arial" w:hAnsi="Arial"/>
                <w:sz w:val="14"/>
                <w:szCs w:val="14"/>
                <w:color w:val="auto"/>
              </w:rPr>
              <w:t>48,577,980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7160" w:type="dxa"/>
            <w:vAlign w:val="bottom"/>
          </w:tcPr>
          <w:p>
            <w:pPr>
              <w:ind w:left="120"/>
              <w:spacing w:after="0" w:line="125" w:lineRule="exact"/>
              <w:rPr>
                <w:sz w:val="20"/>
                <w:szCs w:val="20"/>
                <w:color w:val="auto"/>
              </w:rPr>
            </w:pPr>
            <w:r>
              <w:rPr>
                <w:rFonts w:ascii="Arial" w:cs="Arial" w:eastAsia="Arial" w:hAnsi="Arial"/>
                <w:sz w:val="14"/>
                <w:szCs w:val="14"/>
                <w:color w:val="auto"/>
              </w:rPr>
              <w:t>common stock</w:t>
            </w:r>
          </w:p>
        </w:tc>
        <w:tc>
          <w:tcPr>
            <w:tcW w:w="1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vMerge w:val="continue"/>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1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71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Net loss</w:t>
            </w:r>
          </w:p>
        </w:tc>
        <w:tc>
          <w:tcPr>
            <w:tcW w:w="1100" w:type="dxa"/>
            <w:vAlign w:val="bottom"/>
            <w:shd w:val="clear" w:color="auto" w:fill="CFF0FC"/>
          </w:tcPr>
          <w:p>
            <w:pPr>
              <w:jc w:val="right"/>
              <w:ind w:right="948"/>
              <w:spacing w:after="0"/>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4"/>
                <w:szCs w:val="14"/>
                <w:color w:val="auto"/>
              </w:rPr>
              <w:t>(15,076)</w:t>
            </w:r>
          </w:p>
        </w:tc>
        <w:tc>
          <w:tcPr>
            <w:tcW w:w="780" w:type="dxa"/>
            <w:vAlign w:val="bottom"/>
            <w:gridSpan w:val="2"/>
            <w:shd w:val="clear" w:color="auto" w:fill="CFF0FC"/>
          </w:tcPr>
          <w:p>
            <w:pPr>
              <w:jc w:val="right"/>
              <w:ind w:right="508"/>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(16,604)</w:t>
            </w:r>
          </w:p>
        </w:tc>
        <w:tc>
          <w:tcPr>
            <w:tcW w:w="0" w:type="dxa"/>
            <w:vAlign w:val="bottom"/>
          </w:tcPr>
          <w:p>
            <w:pPr>
              <w:spacing w:after="0"/>
              <w:rPr>
                <w:sz w:val="1"/>
                <w:szCs w:val="1"/>
                <w:color w:val="auto"/>
              </w:rPr>
            </w:pPr>
          </w:p>
        </w:tc>
      </w:tr>
      <w:tr>
        <w:trPr>
          <w:trHeight w:val="162"/>
        </w:trPr>
        <w:tc>
          <w:tcPr>
            <w:tcW w:w="7160" w:type="dxa"/>
            <w:vAlign w:val="bottom"/>
          </w:tcPr>
          <w:p>
            <w:pPr>
              <w:spacing w:after="0"/>
              <w:rPr>
                <w:sz w:val="20"/>
                <w:szCs w:val="20"/>
                <w:color w:val="auto"/>
              </w:rPr>
            </w:pPr>
            <w:r>
              <w:rPr>
                <w:rFonts w:ascii="Arial" w:cs="Arial" w:eastAsia="Arial" w:hAnsi="Arial"/>
                <w:sz w:val="14"/>
                <w:szCs w:val="14"/>
                <w:color w:val="auto"/>
              </w:rPr>
              <w:t>Comprehensive loss:</w:t>
            </w:r>
          </w:p>
        </w:tc>
        <w:tc>
          <w:tcPr>
            <w:tcW w:w="1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1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Foreign currency translation</w:t>
            </w:r>
          </w:p>
        </w:tc>
        <w:tc>
          <w:tcPr>
            <w:tcW w:w="1100" w:type="dxa"/>
            <w:vAlign w:val="bottom"/>
            <w:shd w:val="clear" w:color="auto" w:fill="CFF0FC"/>
          </w:tcPr>
          <w:p>
            <w:pPr>
              <w:spacing w:after="0"/>
              <w:rPr>
                <w:sz w:val="14"/>
                <w:szCs w:val="14"/>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1,520</w:t>
            </w:r>
          </w:p>
        </w:tc>
        <w:tc>
          <w:tcPr>
            <w:tcW w:w="1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660" w:type="dxa"/>
            <w:vAlign w:val="bottom"/>
            <w:shd w:val="clear" w:color="auto" w:fill="CFF0FC"/>
          </w:tcPr>
          <w:p>
            <w:pPr>
              <w:spacing w:after="0"/>
              <w:rPr>
                <w:sz w:val="14"/>
                <w:szCs w:val="14"/>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(457)</w:t>
            </w:r>
          </w:p>
        </w:tc>
        <w:tc>
          <w:tcPr>
            <w:tcW w:w="0" w:type="dxa"/>
            <w:vAlign w:val="bottom"/>
          </w:tcPr>
          <w:p>
            <w:pPr>
              <w:spacing w:after="0"/>
              <w:rPr>
                <w:sz w:val="1"/>
                <w:szCs w:val="1"/>
                <w:color w:val="auto"/>
              </w:rPr>
            </w:pPr>
          </w:p>
        </w:tc>
      </w:tr>
      <w:tr>
        <w:trPr>
          <w:trHeight w:val="20"/>
        </w:trPr>
        <w:tc>
          <w:tcPr>
            <w:tcW w:w="7160" w:type="dxa"/>
            <w:vAlign w:val="bottom"/>
            <w:shd w:val="clear" w:color="auto" w:fill="CFF0FC"/>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160" w:type="dxa"/>
            <w:vAlign w:val="bottom"/>
          </w:tcPr>
          <w:p>
            <w:pPr>
              <w:ind w:left="260"/>
              <w:spacing w:after="0" w:line="155" w:lineRule="exact"/>
              <w:rPr>
                <w:sz w:val="20"/>
                <w:szCs w:val="20"/>
                <w:color w:val="auto"/>
              </w:rPr>
            </w:pPr>
            <w:r>
              <w:rPr>
                <w:rFonts w:ascii="Arial" w:cs="Arial" w:eastAsia="Arial" w:hAnsi="Arial"/>
                <w:sz w:val="14"/>
                <w:szCs w:val="14"/>
                <w:color w:val="auto"/>
              </w:rPr>
              <w:t>Total other comprehensive income (loss)</w:t>
            </w:r>
          </w:p>
        </w:tc>
        <w:tc>
          <w:tcPr>
            <w:tcW w:w="1100" w:type="dxa"/>
            <w:vAlign w:val="bottom"/>
          </w:tcPr>
          <w:p>
            <w:pPr>
              <w:spacing w:after="0"/>
              <w:rPr>
                <w:sz w:val="13"/>
                <w:szCs w:val="13"/>
                <w:color w:val="auto"/>
              </w:rPr>
            </w:pPr>
          </w:p>
        </w:tc>
        <w:tc>
          <w:tcPr>
            <w:tcW w:w="740" w:type="dxa"/>
            <w:vAlign w:val="bottom"/>
          </w:tcPr>
          <w:p>
            <w:pPr>
              <w:jc w:val="right"/>
              <w:spacing w:after="0" w:line="155" w:lineRule="exact"/>
              <w:rPr>
                <w:sz w:val="20"/>
                <w:szCs w:val="20"/>
                <w:color w:val="auto"/>
              </w:rPr>
            </w:pPr>
            <w:r>
              <w:rPr>
                <w:rFonts w:ascii="Arial" w:cs="Arial" w:eastAsia="Arial" w:hAnsi="Arial"/>
                <w:sz w:val="14"/>
                <w:szCs w:val="14"/>
                <w:color w:val="auto"/>
              </w:rPr>
              <w:t>1,520</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2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(457)</w:t>
            </w: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716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Comprehensive loss</w:t>
            </w:r>
          </w:p>
        </w:tc>
        <w:tc>
          <w:tcPr>
            <w:tcW w:w="1100" w:type="dxa"/>
            <w:vAlign w:val="bottom"/>
            <w:shd w:val="clear" w:color="auto" w:fill="CFF0FC"/>
          </w:tcPr>
          <w:p>
            <w:pPr>
              <w:spacing w:after="0"/>
              <w:rPr>
                <w:sz w:val="13"/>
                <w:szCs w:val="13"/>
                <w:color w:val="auto"/>
              </w:rPr>
            </w:pPr>
          </w:p>
        </w:tc>
        <w:tc>
          <w:tcPr>
            <w:tcW w:w="920" w:type="dxa"/>
            <w:vAlign w:val="bottom"/>
            <w:gridSpan w:val="2"/>
            <w:shd w:val="clear" w:color="auto" w:fill="CFF0FC"/>
          </w:tcPr>
          <w:p>
            <w:pPr>
              <w:jc w:val="right"/>
              <w:ind w:right="140"/>
              <w:spacing w:after="0" w:line="155" w:lineRule="exact"/>
              <w:rPr>
                <w:sz w:val="20"/>
                <w:szCs w:val="20"/>
                <w:color w:val="auto"/>
              </w:rPr>
            </w:pPr>
            <w:r>
              <w:rPr>
                <w:rFonts w:ascii="Arial" w:cs="Arial" w:eastAsia="Arial" w:hAnsi="Arial"/>
                <w:sz w:val="14"/>
                <w:szCs w:val="14"/>
                <w:color w:val="auto"/>
              </w:rPr>
              <w:t>(13,556)</w:t>
            </w:r>
          </w:p>
        </w:tc>
        <w:tc>
          <w:tcPr>
            <w:tcW w:w="120" w:type="dxa"/>
            <w:vAlign w:val="bottom"/>
            <w:shd w:val="clear" w:color="auto" w:fill="CFF0FC"/>
          </w:tcPr>
          <w:p>
            <w:pPr>
              <w:spacing w:after="0"/>
              <w:rPr>
                <w:sz w:val="13"/>
                <w:szCs w:val="13"/>
                <w:color w:val="auto"/>
              </w:rPr>
            </w:pPr>
          </w:p>
        </w:tc>
        <w:tc>
          <w:tcPr>
            <w:tcW w:w="660" w:type="dxa"/>
            <w:vAlign w:val="bottom"/>
            <w:shd w:val="clear" w:color="auto" w:fill="CFF0FC"/>
          </w:tcPr>
          <w:p>
            <w:pPr>
              <w:spacing w:after="0"/>
              <w:rPr>
                <w:sz w:val="13"/>
                <w:szCs w:val="13"/>
                <w:color w:val="auto"/>
              </w:rPr>
            </w:pPr>
          </w:p>
        </w:tc>
        <w:tc>
          <w:tcPr>
            <w:tcW w:w="128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(17,061)</w:t>
            </w:r>
          </w:p>
        </w:tc>
        <w:tc>
          <w:tcPr>
            <w:tcW w:w="0" w:type="dxa"/>
            <w:vAlign w:val="bottom"/>
          </w:tcPr>
          <w:p>
            <w:pPr>
              <w:spacing w:after="0"/>
              <w:rPr>
                <w:sz w:val="1"/>
                <w:szCs w:val="1"/>
                <w:color w:val="auto"/>
              </w:rPr>
            </w:pPr>
          </w:p>
        </w:tc>
      </w:tr>
      <w:tr>
        <w:trPr>
          <w:trHeight w:val="162"/>
        </w:trPr>
        <w:tc>
          <w:tcPr>
            <w:tcW w:w="7160" w:type="dxa"/>
            <w:vAlign w:val="bottom"/>
          </w:tcPr>
          <w:p>
            <w:pPr>
              <w:spacing w:after="0"/>
              <w:rPr>
                <w:sz w:val="20"/>
                <w:szCs w:val="20"/>
                <w:color w:val="auto"/>
              </w:rPr>
            </w:pPr>
            <w:r>
              <w:rPr>
                <w:rFonts w:ascii="Arial" w:cs="Arial" w:eastAsia="Arial" w:hAnsi="Arial"/>
                <w:sz w:val="14"/>
                <w:szCs w:val="14"/>
                <w:color w:val="auto"/>
              </w:rPr>
              <w:t>Comprehensive (loss) income attributable to noncontrolling interest</w:t>
            </w:r>
          </w:p>
        </w:tc>
        <w:tc>
          <w:tcPr>
            <w:tcW w:w="1100" w:type="dxa"/>
            <w:vAlign w:val="bottom"/>
          </w:tcPr>
          <w:p>
            <w:pPr>
              <w:spacing w:after="0"/>
              <w:rPr>
                <w:sz w:val="14"/>
                <w:szCs w:val="14"/>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(11)</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16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716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Total comprehensive loss attributable to common stockholders</w:t>
            </w:r>
          </w:p>
        </w:tc>
        <w:tc>
          <w:tcPr>
            <w:tcW w:w="1100" w:type="dxa"/>
            <w:vAlign w:val="bottom"/>
            <w:shd w:val="clear" w:color="auto" w:fill="CFF0FC"/>
          </w:tcPr>
          <w:p>
            <w:pPr>
              <w:jc w:val="right"/>
              <w:ind w:right="94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gridSpan w:val="2"/>
            <w:shd w:val="clear" w:color="auto" w:fill="CFF0FC"/>
          </w:tcPr>
          <w:p>
            <w:pPr>
              <w:jc w:val="right"/>
              <w:ind w:right="140"/>
              <w:spacing w:after="0" w:line="155" w:lineRule="exact"/>
              <w:rPr>
                <w:sz w:val="20"/>
                <w:szCs w:val="20"/>
                <w:color w:val="auto"/>
              </w:rPr>
            </w:pPr>
            <w:r>
              <w:rPr>
                <w:rFonts w:ascii="Arial" w:cs="Arial" w:eastAsia="Arial" w:hAnsi="Arial"/>
                <w:sz w:val="14"/>
                <w:szCs w:val="14"/>
                <w:color w:val="auto"/>
              </w:rPr>
              <w:t>(13,545)</w:t>
            </w:r>
          </w:p>
        </w:tc>
        <w:tc>
          <w:tcPr>
            <w:tcW w:w="780" w:type="dxa"/>
            <w:vAlign w:val="bottom"/>
            <w:gridSpan w:val="2"/>
            <w:shd w:val="clear" w:color="auto" w:fill="CFF0FC"/>
          </w:tcPr>
          <w:p>
            <w:pPr>
              <w:jc w:val="right"/>
              <w:ind w:right="508"/>
              <w:spacing w:after="0" w:line="155" w:lineRule="exact"/>
              <w:rPr>
                <w:sz w:val="20"/>
                <w:szCs w:val="20"/>
                <w:color w:val="auto"/>
              </w:rPr>
            </w:pPr>
            <w:r>
              <w:rPr>
                <w:rFonts w:ascii="Arial" w:cs="Arial" w:eastAsia="Arial" w:hAnsi="Arial"/>
                <w:sz w:val="14"/>
                <w:szCs w:val="14"/>
                <w:color w:val="auto"/>
              </w:rPr>
              <w:t>$</w:t>
            </w:r>
          </w:p>
        </w:tc>
        <w:tc>
          <w:tcPr>
            <w:tcW w:w="128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(17,090)</w:t>
            </w:r>
          </w:p>
        </w:tc>
        <w:tc>
          <w:tcPr>
            <w:tcW w:w="0" w:type="dxa"/>
            <w:vAlign w:val="bottom"/>
          </w:tcPr>
          <w:p>
            <w:pPr>
              <w:spacing w:after="0"/>
              <w:rPr>
                <w:sz w:val="1"/>
                <w:szCs w:val="1"/>
                <w:color w:val="auto"/>
              </w:rPr>
            </w:pPr>
          </w:p>
        </w:tc>
      </w:tr>
      <w:tr>
        <w:trPr>
          <w:trHeight w:val="20"/>
        </w:trPr>
        <w:tc>
          <w:tcPr>
            <w:tcW w:w="716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-3222625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-3222625</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-2802255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-2802255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-1953895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-1953895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-1739265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-1739265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-1525270</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-1525270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-1207770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-1190625</wp:posOffset>
            </wp:positionV>
            <wp:extent cx="685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-1207770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-1190625</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-462280</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-462280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-24765</wp:posOffset>
            </wp:positionV>
            <wp:extent cx="685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-7620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4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20"/>
          <w:szCs w:val="20"/>
          <w:b w:val="1"/>
          <w:bCs w:val="1"/>
          <w:color w:val="auto"/>
        </w:rPr>
        <w:t>Xometry, Inc. and Subsidiaries</w:t>
      </w:r>
    </w:p>
    <w:p>
      <w:pPr>
        <w:jc w:val="center"/>
        <w:ind w:right="-59"/>
        <w:spacing w:after="0" w:line="231" w:lineRule="auto"/>
        <w:rPr>
          <w:sz w:val="20"/>
          <w:szCs w:val="20"/>
          <w:color w:val="auto"/>
        </w:rPr>
      </w:pPr>
      <w:r>
        <w:rPr>
          <w:rFonts w:ascii="Arial" w:cs="Arial" w:eastAsia="Arial" w:hAnsi="Arial"/>
          <w:sz w:val="20"/>
          <w:szCs w:val="20"/>
          <w:color w:val="auto"/>
        </w:rPr>
        <w:t>Condensed Consolidated Statements of Cash Flows</w:t>
      </w:r>
    </w:p>
    <w:p>
      <w:pPr>
        <w:jc w:val="center"/>
        <w:spacing w:after="0" w:line="226" w:lineRule="auto"/>
        <w:rPr>
          <w:sz w:val="20"/>
          <w:szCs w:val="20"/>
          <w:color w:val="auto"/>
        </w:rPr>
      </w:pPr>
      <w:r>
        <w:rPr>
          <w:rFonts w:ascii="Arial" w:cs="Arial" w:eastAsia="Arial" w:hAnsi="Arial"/>
          <w:sz w:val="20"/>
          <w:szCs w:val="20"/>
          <w:color w:val="auto"/>
        </w:rPr>
        <w:t>(In thousands)</w:t>
      </w:r>
    </w:p>
    <w:p>
      <w:pPr>
        <w:jc w:val="center"/>
        <w:spacing w:after="0" w:line="234" w:lineRule="auto"/>
        <w:rPr>
          <w:sz w:val="20"/>
          <w:szCs w:val="20"/>
          <w:color w:val="auto"/>
        </w:rPr>
      </w:pPr>
      <w:r>
        <w:rPr>
          <w:rFonts w:ascii="Arial" w:cs="Arial" w:eastAsia="Arial" w:hAnsi="Arial"/>
          <w:sz w:val="20"/>
          <w:szCs w:val="20"/>
          <w:color w:val="auto"/>
        </w:rPr>
        <w:t>(Unaudited)</w:t>
      </w:r>
    </w:p>
    <w:tbl>
      <w:tblPr>
        <w:tblLayout w:type="fixed"/>
        <w:tblInd w:w="0" w:type="dxa"/>
        <w:tblCellMar>
          <w:top w:w="0" w:type="dxa"/>
          <w:left w:w="0" w:type="dxa"/>
          <w:bottom w:w="0" w:type="dxa"/>
          <w:right w:w="0" w:type="dxa"/>
        </w:tblCellMar>
      </w:tblPr>
      <w:tr>
        <w:trPr>
          <w:trHeight w:val="157"/>
        </w:trPr>
        <w:tc>
          <w:tcPr>
            <w:tcW w:w="7760" w:type="dxa"/>
            <w:vAlign w:val="bottom"/>
          </w:tcPr>
          <w:p>
            <w:pPr>
              <w:spacing w:after="0"/>
              <w:rPr>
                <w:sz w:val="13"/>
                <w:szCs w:val="13"/>
                <w:color w:val="auto"/>
              </w:rPr>
            </w:pPr>
          </w:p>
        </w:tc>
        <w:tc>
          <w:tcPr>
            <w:tcW w:w="2800" w:type="dxa"/>
            <w:vAlign w:val="bottom"/>
            <w:tcBorders>
              <w:bottom w:val="single" w:sz="8" w:color="auto"/>
            </w:tcBorders>
            <w:gridSpan w:val="5"/>
          </w:tcPr>
          <w:p>
            <w:pPr>
              <w:jc w:val="right"/>
              <w:spacing w:after="0" w:line="157" w:lineRule="exact"/>
              <w:rPr>
                <w:sz w:val="20"/>
                <w:szCs w:val="20"/>
                <w:color w:val="auto"/>
              </w:rPr>
            </w:pPr>
            <w:r>
              <w:rPr>
                <w:rFonts w:ascii="Arial" w:cs="Arial" w:eastAsia="Arial" w:hAnsi="Arial"/>
                <w:sz w:val="14"/>
                <w:szCs w:val="14"/>
                <w:b w:val="1"/>
                <w:bCs w:val="1"/>
                <w:color w:val="auto"/>
              </w:rPr>
              <w:t>Three Months Ended March 31,</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6"/>
        </w:trPr>
        <w:tc>
          <w:tcPr>
            <w:tcW w:w="7760" w:type="dxa"/>
            <w:vAlign w:val="bottom"/>
          </w:tcPr>
          <w:p>
            <w:pPr>
              <w:spacing w:after="0"/>
              <w:rPr>
                <w:sz w:val="13"/>
                <w:szCs w:val="13"/>
                <w:color w:val="auto"/>
              </w:rPr>
            </w:pPr>
          </w:p>
        </w:tc>
        <w:tc>
          <w:tcPr>
            <w:tcW w:w="9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2025</w:t>
            </w:r>
          </w:p>
        </w:tc>
        <w:tc>
          <w:tcPr>
            <w:tcW w:w="5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2024</w:t>
            </w:r>
          </w:p>
        </w:tc>
        <w:tc>
          <w:tcPr>
            <w:tcW w:w="58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55"/>
        </w:trPr>
        <w:tc>
          <w:tcPr>
            <w:tcW w:w="7760" w:type="dxa"/>
            <w:vAlign w:val="bottom"/>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Cash flows from operating activities:</w:t>
            </w:r>
          </w:p>
        </w:tc>
        <w:tc>
          <w:tcPr>
            <w:tcW w:w="98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58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62"/>
        </w:trPr>
        <w:tc>
          <w:tcPr>
            <w:tcW w:w="7760" w:type="dxa"/>
            <w:vAlign w:val="bottom"/>
          </w:tcPr>
          <w:p>
            <w:pPr>
              <w:ind w:left="140"/>
              <w:spacing w:after="0"/>
              <w:rPr>
                <w:sz w:val="20"/>
                <w:szCs w:val="20"/>
                <w:color w:val="auto"/>
              </w:rPr>
            </w:pPr>
            <w:r>
              <w:rPr>
                <w:rFonts w:ascii="Arial" w:cs="Arial" w:eastAsia="Arial" w:hAnsi="Arial"/>
                <w:sz w:val="14"/>
                <w:szCs w:val="14"/>
                <w:color w:val="auto"/>
              </w:rPr>
              <w:t>Net loss</w:t>
            </w:r>
          </w:p>
        </w:tc>
        <w:tc>
          <w:tcPr>
            <w:tcW w:w="980" w:type="dxa"/>
            <w:vAlign w:val="bottom"/>
          </w:tcPr>
          <w:p>
            <w:pPr>
              <w:jc w:val="right"/>
              <w:ind w:right="828"/>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(15,076)</w:t>
            </w:r>
          </w:p>
        </w:tc>
        <w:tc>
          <w:tcPr>
            <w:tcW w:w="140" w:type="dxa"/>
            <w:vAlign w:val="bottom"/>
          </w:tcPr>
          <w:p>
            <w:pPr>
              <w:spacing w:after="0"/>
              <w:rPr>
                <w:sz w:val="14"/>
                <w:szCs w:val="14"/>
                <w:color w:val="auto"/>
              </w:rPr>
            </w:pPr>
          </w:p>
        </w:tc>
        <w:tc>
          <w:tcPr>
            <w:tcW w:w="1000" w:type="dxa"/>
            <w:vAlign w:val="bottom"/>
          </w:tcPr>
          <w:p>
            <w:pPr>
              <w:jc w:val="right"/>
              <w:ind w:right="848"/>
              <w:spacing w:after="0"/>
              <w:rPr>
                <w:sz w:val="20"/>
                <w:szCs w:val="20"/>
                <w:color w:val="auto"/>
              </w:rPr>
            </w:pPr>
            <w:r>
              <w:rPr>
                <w:rFonts w:ascii="Arial" w:cs="Arial" w:eastAsia="Arial" w:hAnsi="Arial"/>
                <w:sz w:val="14"/>
                <w:szCs w:val="14"/>
                <w:color w:val="auto"/>
                <w:w w:val="76"/>
              </w:rPr>
              <w:t>$</w:t>
            </w: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(16,604)</w:t>
            </w:r>
          </w:p>
        </w:tc>
      </w:tr>
      <w:tr>
        <w:trPr>
          <w:trHeight w:val="162"/>
        </w:trPr>
        <w:tc>
          <w:tcPr>
            <w:tcW w:w="77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9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7760" w:type="dxa"/>
            <w:vAlign w:val="bottom"/>
          </w:tcPr>
          <w:p>
            <w:pPr>
              <w:ind w:left="280"/>
              <w:spacing w:after="0"/>
              <w:rPr>
                <w:sz w:val="20"/>
                <w:szCs w:val="20"/>
                <w:color w:val="auto"/>
              </w:rPr>
            </w:pPr>
            <w:r>
              <w:rPr>
                <w:rFonts w:ascii="Arial" w:cs="Arial" w:eastAsia="Arial" w:hAnsi="Arial"/>
                <w:sz w:val="14"/>
                <w:szCs w:val="14"/>
                <w:color w:val="auto"/>
              </w:rPr>
              <w:t>Depreciation and amortization</w:t>
            </w: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4,246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3,153</w:t>
            </w:r>
          </w:p>
        </w:tc>
        <w:tc>
          <w:tcPr>
            <w:tcW w:w="100" w:type="dxa"/>
            <w:vAlign w:val="bottom"/>
          </w:tcPr>
          <w:p>
            <w:pPr>
              <w:spacing w:after="0"/>
              <w:rPr>
                <w:sz w:val="14"/>
                <w:szCs w:val="14"/>
                <w:color w:val="auto"/>
              </w:rPr>
            </w:pPr>
          </w:p>
        </w:tc>
      </w:tr>
      <w:tr>
        <w:trPr>
          <w:trHeight w:val="162"/>
        </w:trPr>
        <w:tc>
          <w:tcPr>
            <w:tcW w:w="7760" w:type="dxa"/>
            <w:vAlign w:val="bottom"/>
            <w:shd w:val="clear" w:color="auto" w:fill="CFF0FC"/>
          </w:tcPr>
          <w:p>
            <w:pPr>
              <w:ind w:left="280"/>
              <w:spacing w:after="0"/>
              <w:rPr>
                <w:sz w:val="20"/>
                <w:szCs w:val="20"/>
                <w:color w:val="auto"/>
              </w:rPr>
            </w:pPr>
            <w:r>
              <w:rPr>
                <w:rFonts w:ascii="Arial" w:cs="Arial" w:eastAsia="Arial" w:hAnsi="Arial"/>
                <w:sz w:val="14"/>
                <w:szCs w:val="14"/>
                <w:color w:val="auto"/>
              </w:rPr>
              <w:t>Reduction in carrying amount of right-of-use asset</w:t>
            </w:r>
          </w:p>
        </w:tc>
        <w:tc>
          <w:tcPr>
            <w:tcW w:w="9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1,100</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1,096</w:t>
            </w:r>
          </w:p>
        </w:tc>
        <w:tc>
          <w:tcPr>
            <w:tcW w:w="100" w:type="dxa"/>
            <w:vAlign w:val="bottom"/>
            <w:shd w:val="clear" w:color="auto" w:fill="CFF0FC"/>
          </w:tcPr>
          <w:p>
            <w:pPr>
              <w:spacing w:after="0"/>
              <w:rPr>
                <w:sz w:val="14"/>
                <w:szCs w:val="14"/>
                <w:color w:val="auto"/>
              </w:rPr>
            </w:pPr>
          </w:p>
        </w:tc>
      </w:tr>
      <w:tr>
        <w:trPr>
          <w:trHeight w:val="162"/>
        </w:trPr>
        <w:tc>
          <w:tcPr>
            <w:tcW w:w="7760" w:type="dxa"/>
            <w:vAlign w:val="bottom"/>
          </w:tcPr>
          <w:p>
            <w:pPr>
              <w:ind w:left="280"/>
              <w:spacing w:after="0"/>
              <w:rPr>
                <w:sz w:val="20"/>
                <w:szCs w:val="20"/>
                <w:color w:val="auto"/>
              </w:rPr>
            </w:pPr>
            <w:r>
              <w:rPr>
                <w:rFonts w:ascii="Arial" w:cs="Arial" w:eastAsia="Arial" w:hAnsi="Arial"/>
                <w:sz w:val="14"/>
                <w:szCs w:val="14"/>
                <w:color w:val="auto"/>
              </w:rPr>
              <w:t>Lease termination</w:t>
            </w:r>
          </w:p>
        </w:tc>
        <w:tc>
          <w:tcPr>
            <w:tcW w:w="98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(30)</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r>
      <w:tr>
        <w:trPr>
          <w:trHeight w:val="162"/>
        </w:trPr>
        <w:tc>
          <w:tcPr>
            <w:tcW w:w="7760" w:type="dxa"/>
            <w:vAlign w:val="bottom"/>
            <w:shd w:val="clear" w:color="auto" w:fill="CFF0FC"/>
          </w:tcPr>
          <w:p>
            <w:pPr>
              <w:ind w:left="280"/>
              <w:spacing w:after="0"/>
              <w:rPr>
                <w:sz w:val="20"/>
                <w:szCs w:val="20"/>
                <w:color w:val="auto"/>
              </w:rPr>
            </w:pPr>
            <w:r>
              <w:rPr>
                <w:rFonts w:ascii="Arial" w:cs="Arial" w:eastAsia="Arial" w:hAnsi="Arial"/>
                <w:sz w:val="14"/>
                <w:szCs w:val="14"/>
                <w:color w:val="auto"/>
              </w:rPr>
              <w:t>Stock-based compensation</w:t>
            </w:r>
          </w:p>
        </w:tc>
        <w:tc>
          <w:tcPr>
            <w:tcW w:w="9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7,342</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6,036</w:t>
            </w:r>
          </w:p>
        </w:tc>
        <w:tc>
          <w:tcPr>
            <w:tcW w:w="100" w:type="dxa"/>
            <w:vAlign w:val="bottom"/>
            <w:shd w:val="clear" w:color="auto" w:fill="CFF0FC"/>
          </w:tcPr>
          <w:p>
            <w:pPr>
              <w:spacing w:after="0"/>
              <w:rPr>
                <w:sz w:val="14"/>
                <w:szCs w:val="14"/>
                <w:color w:val="auto"/>
              </w:rPr>
            </w:pPr>
          </w:p>
        </w:tc>
      </w:tr>
      <w:tr>
        <w:trPr>
          <w:trHeight w:val="162"/>
        </w:trPr>
        <w:tc>
          <w:tcPr>
            <w:tcW w:w="7760" w:type="dxa"/>
            <w:vAlign w:val="bottom"/>
          </w:tcPr>
          <w:p>
            <w:pPr>
              <w:ind w:left="280"/>
              <w:spacing w:after="0"/>
              <w:rPr>
                <w:sz w:val="20"/>
                <w:szCs w:val="20"/>
                <w:color w:val="auto"/>
              </w:rPr>
            </w:pPr>
            <w:r>
              <w:rPr>
                <w:rFonts w:ascii="Arial" w:cs="Arial" w:eastAsia="Arial" w:hAnsi="Arial"/>
                <w:sz w:val="14"/>
                <w:szCs w:val="14"/>
                <w:color w:val="auto"/>
              </w:rPr>
              <w:t>Revaluation of contingent consideration</w:t>
            </w:r>
          </w:p>
        </w:tc>
        <w:tc>
          <w:tcPr>
            <w:tcW w:w="980" w:type="dxa"/>
            <w:vAlign w:val="bottom"/>
          </w:tcPr>
          <w:p>
            <w:pPr>
              <w:spacing w:after="0"/>
              <w:rPr>
                <w:sz w:val="14"/>
                <w:szCs w:val="14"/>
                <w:color w:val="auto"/>
              </w:rPr>
            </w:pPr>
          </w:p>
        </w:tc>
        <w:tc>
          <w:tcPr>
            <w:tcW w:w="82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137</w:t>
            </w:r>
          </w:p>
        </w:tc>
        <w:tc>
          <w:tcPr>
            <w:tcW w:w="100" w:type="dxa"/>
            <w:vAlign w:val="bottom"/>
          </w:tcPr>
          <w:p>
            <w:pPr>
              <w:spacing w:after="0"/>
              <w:rPr>
                <w:sz w:val="14"/>
                <w:szCs w:val="14"/>
                <w:color w:val="auto"/>
              </w:rPr>
            </w:pPr>
          </w:p>
        </w:tc>
      </w:tr>
      <w:tr>
        <w:trPr>
          <w:trHeight w:val="162"/>
        </w:trPr>
        <w:tc>
          <w:tcPr>
            <w:tcW w:w="7760" w:type="dxa"/>
            <w:vAlign w:val="bottom"/>
            <w:shd w:val="clear" w:color="auto" w:fill="CFF0FC"/>
          </w:tcPr>
          <w:p>
            <w:pPr>
              <w:ind w:left="280"/>
              <w:spacing w:after="0"/>
              <w:rPr>
                <w:sz w:val="20"/>
                <w:szCs w:val="20"/>
                <w:color w:val="auto"/>
              </w:rPr>
            </w:pPr>
            <w:r>
              <w:rPr>
                <w:rFonts w:ascii="Arial" w:cs="Arial" w:eastAsia="Arial" w:hAnsi="Arial"/>
                <w:sz w:val="14"/>
                <w:szCs w:val="14"/>
                <w:color w:val="auto"/>
              </w:rPr>
              <w:t>Income from unconsolidated joint venture</w:t>
            </w:r>
          </w:p>
        </w:tc>
        <w:tc>
          <w:tcPr>
            <w:tcW w:w="9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(90)</w:t>
            </w: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(97)</w:t>
            </w:r>
          </w:p>
        </w:tc>
      </w:tr>
      <w:tr>
        <w:trPr>
          <w:trHeight w:val="162"/>
        </w:trPr>
        <w:tc>
          <w:tcPr>
            <w:tcW w:w="7760" w:type="dxa"/>
            <w:vAlign w:val="bottom"/>
          </w:tcPr>
          <w:p>
            <w:pPr>
              <w:ind w:left="280"/>
              <w:spacing w:after="0"/>
              <w:rPr>
                <w:sz w:val="20"/>
                <w:szCs w:val="20"/>
                <w:color w:val="auto"/>
              </w:rPr>
            </w:pPr>
            <w:r>
              <w:rPr>
                <w:rFonts w:ascii="Arial" w:cs="Arial" w:eastAsia="Arial" w:hAnsi="Arial"/>
                <w:sz w:val="14"/>
                <w:szCs w:val="14"/>
                <w:color w:val="auto"/>
              </w:rPr>
              <w:t>Donation of common stock</w:t>
            </w: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516</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343</w:t>
            </w:r>
          </w:p>
        </w:tc>
        <w:tc>
          <w:tcPr>
            <w:tcW w:w="100" w:type="dxa"/>
            <w:vAlign w:val="bottom"/>
          </w:tcPr>
          <w:p>
            <w:pPr>
              <w:spacing w:after="0"/>
              <w:rPr>
                <w:sz w:val="14"/>
                <w:szCs w:val="14"/>
                <w:color w:val="auto"/>
              </w:rPr>
            </w:pPr>
          </w:p>
        </w:tc>
      </w:tr>
      <w:tr>
        <w:trPr>
          <w:trHeight w:val="162"/>
        </w:trPr>
        <w:tc>
          <w:tcPr>
            <w:tcW w:w="7760" w:type="dxa"/>
            <w:vAlign w:val="bottom"/>
            <w:shd w:val="clear" w:color="auto" w:fill="CFF0FC"/>
          </w:tcPr>
          <w:p>
            <w:pPr>
              <w:ind w:left="280"/>
              <w:spacing w:after="0"/>
              <w:rPr>
                <w:sz w:val="20"/>
                <w:szCs w:val="20"/>
                <w:color w:val="auto"/>
              </w:rPr>
            </w:pPr>
            <w:r>
              <w:rPr>
                <w:rFonts w:ascii="Arial" w:cs="Arial" w:eastAsia="Arial" w:hAnsi="Arial"/>
                <w:sz w:val="14"/>
                <w:szCs w:val="14"/>
                <w:color w:val="auto"/>
              </w:rPr>
              <w:t>Amortization of deferred costs on convertible notes</w:t>
            </w:r>
          </w:p>
        </w:tc>
        <w:tc>
          <w:tcPr>
            <w:tcW w:w="9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465</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464</w:t>
            </w:r>
          </w:p>
        </w:tc>
        <w:tc>
          <w:tcPr>
            <w:tcW w:w="100" w:type="dxa"/>
            <w:vAlign w:val="bottom"/>
            <w:shd w:val="clear" w:color="auto" w:fill="CFF0FC"/>
          </w:tcPr>
          <w:p>
            <w:pPr>
              <w:spacing w:after="0"/>
              <w:rPr>
                <w:sz w:val="14"/>
                <w:szCs w:val="14"/>
                <w:color w:val="auto"/>
              </w:rPr>
            </w:pPr>
          </w:p>
        </w:tc>
      </w:tr>
      <w:tr>
        <w:trPr>
          <w:trHeight w:val="162"/>
        </w:trPr>
        <w:tc>
          <w:tcPr>
            <w:tcW w:w="7760" w:type="dxa"/>
            <w:vAlign w:val="bottom"/>
          </w:tcPr>
          <w:p>
            <w:pPr>
              <w:ind w:left="280"/>
              <w:spacing w:after="0"/>
              <w:rPr>
                <w:sz w:val="20"/>
                <w:szCs w:val="20"/>
                <w:color w:val="auto"/>
              </w:rPr>
            </w:pPr>
            <w:r>
              <w:rPr>
                <w:rFonts w:ascii="Arial" w:cs="Arial" w:eastAsia="Arial" w:hAnsi="Arial"/>
                <w:sz w:val="14"/>
                <w:szCs w:val="14"/>
                <w:color w:val="auto"/>
              </w:rPr>
              <w:t>Changes in other assets and liabilities:</w:t>
            </w:r>
          </w:p>
        </w:tc>
        <w:tc>
          <w:tcPr>
            <w:tcW w:w="9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2"/>
        </w:trPr>
        <w:tc>
          <w:tcPr>
            <w:tcW w:w="7760" w:type="dxa"/>
            <w:vAlign w:val="bottom"/>
            <w:shd w:val="clear" w:color="auto" w:fill="CFF0FC"/>
          </w:tcPr>
          <w:p>
            <w:pPr>
              <w:ind w:left="420"/>
              <w:spacing w:after="0"/>
              <w:rPr>
                <w:sz w:val="20"/>
                <w:szCs w:val="20"/>
                <w:color w:val="auto"/>
              </w:rPr>
            </w:pPr>
            <w:r>
              <w:rPr>
                <w:rFonts w:ascii="Arial" w:cs="Arial" w:eastAsia="Arial" w:hAnsi="Arial"/>
                <w:sz w:val="14"/>
                <w:szCs w:val="14"/>
                <w:color w:val="auto"/>
              </w:rPr>
              <w:t>Accounts receivable, net</w:t>
            </w:r>
          </w:p>
        </w:tc>
        <w:tc>
          <w:tcPr>
            <w:tcW w:w="9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(13,358)</w:t>
            </w: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532</w:t>
            </w:r>
          </w:p>
        </w:tc>
        <w:tc>
          <w:tcPr>
            <w:tcW w:w="100" w:type="dxa"/>
            <w:vAlign w:val="bottom"/>
            <w:shd w:val="clear" w:color="auto" w:fill="CFF0FC"/>
          </w:tcPr>
          <w:p>
            <w:pPr>
              <w:spacing w:after="0"/>
              <w:rPr>
                <w:sz w:val="14"/>
                <w:szCs w:val="14"/>
                <w:color w:val="auto"/>
              </w:rPr>
            </w:pPr>
          </w:p>
        </w:tc>
      </w:tr>
      <w:tr>
        <w:trPr>
          <w:trHeight w:val="162"/>
        </w:trPr>
        <w:tc>
          <w:tcPr>
            <w:tcW w:w="7760" w:type="dxa"/>
            <w:vAlign w:val="bottom"/>
          </w:tcPr>
          <w:p>
            <w:pPr>
              <w:ind w:left="420"/>
              <w:spacing w:after="0"/>
              <w:rPr>
                <w:sz w:val="20"/>
                <w:szCs w:val="20"/>
                <w:color w:val="auto"/>
              </w:rPr>
            </w:pPr>
            <w:r>
              <w:rPr>
                <w:rFonts w:ascii="Arial" w:cs="Arial" w:eastAsia="Arial" w:hAnsi="Arial"/>
                <w:sz w:val="14"/>
                <w:szCs w:val="14"/>
                <w:color w:val="auto"/>
              </w:rPr>
              <w:t>Inventory</w:t>
            </w:r>
          </w:p>
        </w:tc>
        <w:tc>
          <w:tcPr>
            <w:tcW w:w="98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(41)</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(40)</w:t>
            </w:r>
          </w:p>
        </w:tc>
      </w:tr>
      <w:tr>
        <w:trPr>
          <w:trHeight w:val="162"/>
        </w:trPr>
        <w:tc>
          <w:tcPr>
            <w:tcW w:w="7760" w:type="dxa"/>
            <w:vAlign w:val="bottom"/>
            <w:shd w:val="clear" w:color="auto" w:fill="CFF0FC"/>
          </w:tcPr>
          <w:p>
            <w:pPr>
              <w:ind w:left="420"/>
              <w:spacing w:after="0"/>
              <w:rPr>
                <w:sz w:val="20"/>
                <w:szCs w:val="20"/>
                <w:color w:val="auto"/>
              </w:rPr>
            </w:pPr>
            <w:r>
              <w:rPr>
                <w:rFonts w:ascii="Arial" w:cs="Arial" w:eastAsia="Arial" w:hAnsi="Arial"/>
                <w:sz w:val="14"/>
                <w:szCs w:val="14"/>
                <w:color w:val="auto"/>
              </w:rPr>
              <w:t>Prepaid expenses</w:t>
            </w:r>
          </w:p>
        </w:tc>
        <w:tc>
          <w:tcPr>
            <w:tcW w:w="9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(1,519)</w:t>
            </w: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(433)</w:t>
            </w:r>
          </w:p>
        </w:tc>
      </w:tr>
      <w:tr>
        <w:trPr>
          <w:trHeight w:val="162"/>
        </w:trPr>
        <w:tc>
          <w:tcPr>
            <w:tcW w:w="7760" w:type="dxa"/>
            <w:vAlign w:val="bottom"/>
          </w:tcPr>
          <w:p>
            <w:pPr>
              <w:ind w:left="420"/>
              <w:spacing w:after="0"/>
              <w:rPr>
                <w:sz w:val="20"/>
                <w:szCs w:val="20"/>
                <w:color w:val="auto"/>
              </w:rPr>
            </w:pPr>
            <w:r>
              <w:rPr>
                <w:rFonts w:ascii="Arial" w:cs="Arial" w:eastAsia="Arial" w:hAnsi="Arial"/>
                <w:sz w:val="14"/>
                <w:szCs w:val="14"/>
                <w:color w:val="auto"/>
              </w:rPr>
              <w:t>Other assets</w:t>
            </w:r>
          </w:p>
        </w:tc>
        <w:tc>
          <w:tcPr>
            <w:tcW w:w="98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(1,995)</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(442)</w:t>
            </w:r>
          </w:p>
        </w:tc>
      </w:tr>
      <w:tr>
        <w:trPr>
          <w:trHeight w:val="162"/>
        </w:trPr>
        <w:tc>
          <w:tcPr>
            <w:tcW w:w="7760" w:type="dxa"/>
            <w:vAlign w:val="bottom"/>
            <w:shd w:val="clear" w:color="auto" w:fill="CFF0FC"/>
          </w:tcPr>
          <w:p>
            <w:pPr>
              <w:ind w:left="420"/>
              <w:spacing w:after="0"/>
              <w:rPr>
                <w:sz w:val="20"/>
                <w:szCs w:val="20"/>
                <w:color w:val="auto"/>
              </w:rPr>
            </w:pPr>
            <w:r>
              <w:rPr>
                <w:rFonts w:ascii="Arial" w:cs="Arial" w:eastAsia="Arial" w:hAnsi="Arial"/>
                <w:sz w:val="14"/>
                <w:szCs w:val="14"/>
                <w:color w:val="auto"/>
              </w:rPr>
              <w:t>Accounts payable and accrued cost of revenue</w:t>
            </w:r>
          </w:p>
        </w:tc>
        <w:tc>
          <w:tcPr>
            <w:tcW w:w="9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15,048</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(10,649)</w:t>
            </w:r>
          </w:p>
        </w:tc>
      </w:tr>
      <w:tr>
        <w:trPr>
          <w:trHeight w:val="162"/>
        </w:trPr>
        <w:tc>
          <w:tcPr>
            <w:tcW w:w="7760" w:type="dxa"/>
            <w:vAlign w:val="bottom"/>
          </w:tcPr>
          <w:p>
            <w:pPr>
              <w:ind w:left="420"/>
              <w:spacing w:after="0"/>
              <w:rPr>
                <w:sz w:val="20"/>
                <w:szCs w:val="20"/>
                <w:color w:val="auto"/>
              </w:rPr>
            </w:pPr>
            <w:r>
              <w:rPr>
                <w:rFonts w:ascii="Arial" w:cs="Arial" w:eastAsia="Arial" w:hAnsi="Arial"/>
                <w:sz w:val="14"/>
                <w:szCs w:val="14"/>
                <w:color w:val="auto"/>
              </w:rPr>
              <w:t>Other accrued expenses</w:t>
            </w:r>
          </w:p>
        </w:tc>
        <w:tc>
          <w:tcPr>
            <w:tcW w:w="98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(540)</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4,440</w:t>
            </w:r>
          </w:p>
        </w:tc>
        <w:tc>
          <w:tcPr>
            <w:tcW w:w="100" w:type="dxa"/>
            <w:vAlign w:val="bottom"/>
          </w:tcPr>
          <w:p>
            <w:pPr>
              <w:spacing w:after="0"/>
              <w:rPr>
                <w:sz w:val="14"/>
                <w:szCs w:val="14"/>
                <w:color w:val="auto"/>
              </w:rPr>
            </w:pPr>
          </w:p>
        </w:tc>
      </w:tr>
      <w:tr>
        <w:trPr>
          <w:trHeight w:val="162"/>
        </w:trPr>
        <w:tc>
          <w:tcPr>
            <w:tcW w:w="7760" w:type="dxa"/>
            <w:vAlign w:val="bottom"/>
            <w:shd w:val="clear" w:color="auto" w:fill="CFF0FC"/>
          </w:tcPr>
          <w:p>
            <w:pPr>
              <w:ind w:left="420"/>
              <w:spacing w:after="0"/>
              <w:rPr>
                <w:sz w:val="20"/>
                <w:szCs w:val="20"/>
                <w:color w:val="auto"/>
              </w:rPr>
            </w:pPr>
            <w:r>
              <w:rPr>
                <w:rFonts w:ascii="Arial" w:cs="Arial" w:eastAsia="Arial" w:hAnsi="Arial"/>
                <w:sz w:val="14"/>
                <w:szCs w:val="14"/>
                <w:color w:val="auto"/>
              </w:rPr>
              <w:t>Contract liabilities</w:t>
            </w:r>
          </w:p>
        </w:tc>
        <w:tc>
          <w:tcPr>
            <w:tcW w:w="980" w:type="dxa"/>
            <w:vAlign w:val="bottom"/>
            <w:shd w:val="clear" w:color="auto" w:fill="CFF0FC"/>
          </w:tcPr>
          <w:p>
            <w:pPr>
              <w:spacing w:after="0"/>
              <w:rPr>
                <w:sz w:val="14"/>
                <w:szCs w:val="14"/>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1,877</w:t>
            </w: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2,277</w:t>
            </w:r>
          </w:p>
        </w:tc>
        <w:tc>
          <w:tcPr>
            <w:tcW w:w="100" w:type="dxa"/>
            <w:vAlign w:val="bottom"/>
            <w:shd w:val="clear" w:color="auto" w:fill="CFF0FC"/>
          </w:tcPr>
          <w:p>
            <w:pPr>
              <w:spacing w:after="0"/>
              <w:rPr>
                <w:sz w:val="14"/>
                <w:szCs w:val="14"/>
                <w:color w:val="auto"/>
              </w:rPr>
            </w:pPr>
          </w:p>
        </w:tc>
      </w:tr>
      <w:tr>
        <w:trPr>
          <w:trHeight w:val="162"/>
        </w:trPr>
        <w:tc>
          <w:tcPr>
            <w:tcW w:w="7760" w:type="dxa"/>
            <w:vAlign w:val="bottom"/>
          </w:tcPr>
          <w:p>
            <w:pPr>
              <w:ind w:left="420"/>
              <w:spacing w:after="0"/>
              <w:rPr>
                <w:sz w:val="20"/>
                <w:szCs w:val="20"/>
                <w:color w:val="auto"/>
              </w:rPr>
            </w:pPr>
            <w:r>
              <w:rPr>
                <w:rFonts w:ascii="Arial" w:cs="Arial" w:eastAsia="Arial" w:hAnsi="Arial"/>
                <w:sz w:val="14"/>
                <w:szCs w:val="14"/>
                <w:color w:val="auto"/>
              </w:rPr>
              <w:t>Lease liabilities</w:t>
            </w:r>
          </w:p>
        </w:tc>
        <w:tc>
          <w:tcPr>
            <w:tcW w:w="98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(1,531)</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(1,671)</w:t>
            </w:r>
          </w:p>
        </w:tc>
      </w:tr>
      <w:tr>
        <w:trPr>
          <w:trHeight w:val="162"/>
        </w:trPr>
        <w:tc>
          <w:tcPr>
            <w:tcW w:w="7760" w:type="dxa"/>
            <w:vAlign w:val="bottom"/>
            <w:shd w:val="clear" w:color="auto" w:fill="CFF0FC"/>
          </w:tcPr>
          <w:p>
            <w:pPr>
              <w:ind w:left="420"/>
              <w:spacing w:after="0"/>
              <w:rPr>
                <w:sz w:val="20"/>
                <w:szCs w:val="20"/>
                <w:color w:val="auto"/>
              </w:rPr>
            </w:pPr>
            <w:r>
              <w:rPr>
                <w:rFonts w:ascii="Arial" w:cs="Arial" w:eastAsia="Arial" w:hAnsi="Arial"/>
                <w:sz w:val="14"/>
                <w:szCs w:val="14"/>
                <w:color w:val="auto"/>
              </w:rPr>
              <w:t>Other liabilities</w:t>
            </w:r>
          </w:p>
        </w:tc>
        <w:tc>
          <w:tcPr>
            <w:tcW w:w="9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(13)</w:t>
            </w: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7760" w:type="dxa"/>
            <w:vAlign w:val="bottom"/>
          </w:tcPr>
          <w:p>
            <w:pPr>
              <w:ind w:left="420"/>
              <w:spacing w:after="0"/>
              <w:rPr>
                <w:sz w:val="20"/>
                <w:szCs w:val="20"/>
                <w:color w:val="auto"/>
              </w:rPr>
            </w:pPr>
            <w:r>
              <w:rPr>
                <w:rFonts w:ascii="Arial" w:cs="Arial" w:eastAsia="Arial" w:hAnsi="Arial"/>
                <w:sz w:val="14"/>
                <w:szCs w:val="14"/>
                <w:color w:val="auto"/>
              </w:rPr>
              <w:t>Income taxes payable</w:t>
            </w:r>
          </w:p>
        </w:tc>
        <w:tc>
          <w:tcPr>
            <w:tcW w:w="98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(92)</w:t>
            </w: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4"/>
                <w:szCs w:val="14"/>
                <w:color w:val="auto"/>
              </w:rPr>
              <w:t>(276)</w:t>
            </w:r>
          </w:p>
        </w:tc>
      </w:tr>
      <w:tr>
        <w:trPr>
          <w:trHeight w:val="20"/>
        </w:trPr>
        <w:tc>
          <w:tcPr>
            <w:tcW w:w="77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7760" w:type="dxa"/>
            <w:vAlign w:val="bottom"/>
            <w:shd w:val="clear" w:color="auto" w:fill="CFF0FC"/>
          </w:tcPr>
          <w:p>
            <w:pPr>
              <w:ind w:left="280"/>
              <w:spacing w:after="0" w:line="155" w:lineRule="exact"/>
              <w:rPr>
                <w:sz w:val="20"/>
                <w:szCs w:val="20"/>
                <w:color w:val="auto"/>
              </w:rPr>
            </w:pPr>
            <w:r>
              <w:rPr>
                <w:rFonts w:ascii="Arial" w:cs="Arial" w:eastAsia="Arial" w:hAnsi="Arial"/>
                <w:sz w:val="14"/>
                <w:szCs w:val="14"/>
                <w:b w:val="1"/>
                <w:bCs w:val="1"/>
                <w:color w:val="auto"/>
              </w:rPr>
              <w:t>Net cash used in operating activities</w:t>
            </w:r>
          </w:p>
        </w:tc>
        <w:tc>
          <w:tcPr>
            <w:tcW w:w="98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(3,691)</w:t>
            </w:r>
          </w:p>
        </w:tc>
        <w:tc>
          <w:tcPr>
            <w:tcW w:w="14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(11,734)</w:t>
            </w:r>
          </w:p>
        </w:tc>
      </w:tr>
      <w:tr>
        <w:trPr>
          <w:trHeight w:val="156"/>
        </w:trPr>
        <w:tc>
          <w:tcPr>
            <w:tcW w:w="7760" w:type="dxa"/>
            <w:vAlign w:val="bottom"/>
            <w:tcBorders>
              <w:top w:val="single" w:sz="8" w:color="CFF0FC"/>
            </w:tcBorders>
          </w:tcPr>
          <w:p>
            <w:pPr>
              <w:spacing w:after="0" w:line="155" w:lineRule="exact"/>
              <w:rPr>
                <w:sz w:val="20"/>
                <w:szCs w:val="20"/>
                <w:color w:val="auto"/>
              </w:rPr>
            </w:pPr>
            <w:r>
              <w:rPr>
                <w:rFonts w:ascii="Arial" w:cs="Arial" w:eastAsia="Arial" w:hAnsi="Arial"/>
                <w:sz w:val="14"/>
                <w:szCs w:val="14"/>
                <w:b w:val="1"/>
                <w:bCs w:val="1"/>
                <w:color w:val="auto"/>
              </w:rPr>
              <w:t>Cash flows from investing activities:</w:t>
            </w:r>
          </w:p>
        </w:tc>
        <w:tc>
          <w:tcPr>
            <w:tcW w:w="980" w:type="dxa"/>
            <w:vAlign w:val="bottom"/>
            <w:tcBorders>
              <w:top w:val="single" w:sz="8" w:color="auto"/>
            </w:tcBorders>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120" w:type="dxa"/>
            <w:vAlign w:val="bottom"/>
            <w:tcBorders>
              <w:top w:val="single" w:sz="8" w:color="CFF0FC"/>
            </w:tcBorders>
          </w:tcPr>
          <w:p>
            <w:pPr>
              <w:spacing w:after="0"/>
              <w:rPr>
                <w:sz w:val="13"/>
                <w:szCs w:val="13"/>
                <w:color w:val="auto"/>
              </w:rPr>
            </w:pPr>
          </w:p>
        </w:tc>
        <w:tc>
          <w:tcPr>
            <w:tcW w:w="140" w:type="dxa"/>
            <w:vAlign w:val="bottom"/>
            <w:tcBorders>
              <w:top w:val="single" w:sz="8" w:color="CFF0FC"/>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r>
      <w:tr>
        <w:trPr>
          <w:trHeight w:val="162"/>
        </w:trPr>
        <w:tc>
          <w:tcPr>
            <w:tcW w:w="77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Purchases of marketable securities</w:t>
            </w:r>
          </w:p>
        </w:tc>
        <w:tc>
          <w:tcPr>
            <w:tcW w:w="9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(2,271)</w:t>
            </w: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(2,726)</w:t>
            </w:r>
          </w:p>
        </w:tc>
      </w:tr>
      <w:tr>
        <w:trPr>
          <w:trHeight w:val="162"/>
        </w:trPr>
        <w:tc>
          <w:tcPr>
            <w:tcW w:w="7760" w:type="dxa"/>
            <w:vAlign w:val="bottom"/>
          </w:tcPr>
          <w:p>
            <w:pPr>
              <w:ind w:left="140"/>
              <w:spacing w:after="0"/>
              <w:rPr>
                <w:sz w:val="20"/>
                <w:szCs w:val="20"/>
                <w:color w:val="auto"/>
              </w:rPr>
            </w:pPr>
            <w:r>
              <w:rPr>
                <w:rFonts w:ascii="Arial" w:cs="Arial" w:eastAsia="Arial" w:hAnsi="Arial"/>
                <w:sz w:val="14"/>
                <w:szCs w:val="14"/>
                <w:color w:val="auto"/>
              </w:rPr>
              <w:t>Proceeds from sale of marketable securities</w:t>
            </w: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4,000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10,000</w:t>
            </w:r>
          </w:p>
        </w:tc>
        <w:tc>
          <w:tcPr>
            <w:tcW w:w="100" w:type="dxa"/>
            <w:vAlign w:val="bottom"/>
          </w:tcPr>
          <w:p>
            <w:pPr>
              <w:spacing w:after="0"/>
              <w:rPr>
                <w:sz w:val="14"/>
                <w:szCs w:val="14"/>
                <w:color w:val="auto"/>
              </w:rPr>
            </w:pPr>
          </w:p>
        </w:tc>
      </w:tr>
      <w:tr>
        <w:trPr>
          <w:trHeight w:val="162"/>
        </w:trPr>
        <w:tc>
          <w:tcPr>
            <w:tcW w:w="7760" w:type="dxa"/>
            <w:vAlign w:val="bottom"/>
            <w:shd w:val="clear" w:color="auto" w:fill="CFF0FC"/>
          </w:tcPr>
          <w:p>
            <w:pPr>
              <w:ind w:left="140"/>
              <w:spacing w:after="0"/>
              <w:rPr>
                <w:sz w:val="20"/>
                <w:szCs w:val="20"/>
                <w:color w:val="auto"/>
              </w:rPr>
            </w:pPr>
            <w:r>
              <w:rPr>
                <w:rFonts w:ascii="Arial" w:cs="Arial" w:eastAsia="Arial" w:hAnsi="Arial"/>
                <w:sz w:val="14"/>
                <w:szCs w:val="14"/>
                <w:color w:val="auto"/>
              </w:rPr>
              <w:t>Purchases of property and equipment</w:t>
            </w:r>
          </w:p>
        </w:tc>
        <w:tc>
          <w:tcPr>
            <w:tcW w:w="98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(5,499)</w:t>
            </w: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(4,347)</w:t>
            </w:r>
          </w:p>
        </w:tc>
      </w:tr>
      <w:tr>
        <w:trPr>
          <w:trHeight w:val="162"/>
        </w:trPr>
        <w:tc>
          <w:tcPr>
            <w:tcW w:w="7760" w:type="dxa"/>
            <w:vAlign w:val="bottom"/>
          </w:tcPr>
          <w:p>
            <w:pPr>
              <w:ind w:left="140"/>
              <w:spacing w:after="0"/>
              <w:rPr>
                <w:sz w:val="20"/>
                <w:szCs w:val="20"/>
                <w:color w:val="auto"/>
              </w:rPr>
            </w:pPr>
            <w:r>
              <w:rPr>
                <w:rFonts w:ascii="Arial" w:cs="Arial" w:eastAsia="Arial" w:hAnsi="Arial"/>
                <w:sz w:val="14"/>
                <w:szCs w:val="14"/>
                <w:color w:val="auto"/>
              </w:rPr>
              <w:t>Distributions in excess of earnings</w:t>
            </w:r>
          </w:p>
        </w:tc>
        <w:tc>
          <w:tcPr>
            <w:tcW w:w="98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84</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56"/>
        </w:trPr>
        <w:tc>
          <w:tcPr>
            <w:tcW w:w="7760" w:type="dxa"/>
            <w:vAlign w:val="bottom"/>
            <w:tcBorders>
              <w:top w:val="single" w:sz="8" w:color="CFF0FC"/>
              <w:bottom w:val="single" w:sz="8" w:color="CFF0FC"/>
            </w:tcBorders>
            <w:shd w:val="clear" w:color="auto" w:fill="CFF0FC"/>
          </w:tcPr>
          <w:p>
            <w:pPr>
              <w:ind w:left="280"/>
              <w:spacing w:after="0" w:line="155" w:lineRule="exact"/>
              <w:rPr>
                <w:sz w:val="20"/>
                <w:szCs w:val="20"/>
                <w:color w:val="auto"/>
              </w:rPr>
            </w:pPr>
            <w:r>
              <w:rPr>
                <w:rFonts w:ascii="Arial" w:cs="Arial" w:eastAsia="Arial" w:hAnsi="Arial"/>
                <w:sz w:val="14"/>
                <w:szCs w:val="14"/>
                <w:b w:val="1"/>
                <w:bCs w:val="1"/>
                <w:color w:val="auto"/>
              </w:rPr>
              <w:t>Net cash (used in) provided by investing activities</w:t>
            </w:r>
          </w:p>
        </w:tc>
        <w:tc>
          <w:tcPr>
            <w:tcW w:w="980" w:type="dxa"/>
            <w:vAlign w:val="bottom"/>
            <w:tcBorders>
              <w:top w:val="single" w:sz="8" w:color="auto"/>
              <w:bottom w:val="single" w:sz="8" w:color="auto"/>
            </w:tcBorders>
            <w:shd w:val="clear" w:color="auto" w:fill="CFF0FC"/>
          </w:tcPr>
          <w:p>
            <w:pPr>
              <w:spacing w:after="0"/>
              <w:rPr>
                <w:sz w:val="13"/>
                <w:szCs w:val="13"/>
                <w:color w:val="auto"/>
              </w:rPr>
            </w:pPr>
          </w:p>
        </w:tc>
        <w:tc>
          <w:tcPr>
            <w:tcW w:w="56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(3,686)</w:t>
            </w:r>
          </w:p>
        </w:tc>
        <w:tc>
          <w:tcPr>
            <w:tcW w:w="120" w:type="dxa"/>
            <w:vAlign w:val="bottom"/>
            <w:tcBorders>
              <w:top w:val="single" w:sz="8" w:color="CFF0FC"/>
              <w:bottom w:val="single" w:sz="8" w:color="CFF0FC"/>
            </w:tcBorders>
            <w:shd w:val="clear" w:color="auto" w:fill="CFF0FC"/>
          </w:tcPr>
          <w:p>
            <w:pPr>
              <w:spacing w:after="0"/>
              <w:rPr>
                <w:sz w:val="13"/>
                <w:szCs w:val="13"/>
                <w:color w:val="auto"/>
              </w:rPr>
            </w:pPr>
          </w:p>
        </w:tc>
        <w:tc>
          <w:tcPr>
            <w:tcW w:w="140" w:type="dxa"/>
            <w:vAlign w:val="bottom"/>
            <w:tcBorders>
              <w:top w:val="single" w:sz="8" w:color="CFF0FC"/>
              <w:bottom w:val="single" w:sz="8" w:color="CFF0FC"/>
            </w:tcBorders>
            <w:shd w:val="clear" w:color="auto" w:fill="CFF0FC"/>
          </w:tcPr>
          <w:p>
            <w:pPr>
              <w:spacing w:after="0"/>
              <w:rPr>
                <w:sz w:val="13"/>
                <w:szCs w:val="13"/>
                <w:color w:val="auto"/>
              </w:rPr>
            </w:pPr>
          </w:p>
        </w:tc>
        <w:tc>
          <w:tcPr>
            <w:tcW w:w="1000" w:type="dxa"/>
            <w:vAlign w:val="bottom"/>
            <w:tcBorders>
              <w:top w:val="single" w:sz="8" w:color="auto"/>
              <w:bottom w:val="single" w:sz="8" w:color="auto"/>
            </w:tcBorders>
            <w:shd w:val="clear" w:color="auto" w:fill="CFF0FC"/>
          </w:tcPr>
          <w:p>
            <w:pPr>
              <w:spacing w:after="0"/>
              <w:rPr>
                <w:sz w:val="13"/>
                <w:szCs w:val="13"/>
                <w:color w:val="auto"/>
              </w:rPr>
            </w:pPr>
          </w:p>
        </w:tc>
        <w:tc>
          <w:tcPr>
            <w:tcW w:w="58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2,927</w:t>
            </w:r>
          </w:p>
        </w:tc>
        <w:tc>
          <w:tcPr>
            <w:tcW w:w="100" w:type="dxa"/>
            <w:vAlign w:val="bottom"/>
            <w:tcBorders>
              <w:top w:val="single" w:sz="8" w:color="CFF0FC"/>
              <w:bottom w:val="single" w:sz="8" w:color="CFF0FC"/>
            </w:tcBorders>
            <w:shd w:val="clear" w:color="auto" w:fill="CFF0FC"/>
          </w:tcPr>
          <w:p>
            <w:pPr>
              <w:spacing w:after="0"/>
              <w:rPr>
                <w:sz w:val="13"/>
                <w:szCs w:val="13"/>
                <w:color w:val="auto"/>
              </w:rPr>
            </w:pPr>
          </w:p>
        </w:tc>
      </w:tr>
      <w:tr>
        <w:trPr>
          <w:trHeight w:val="155"/>
        </w:trPr>
        <w:tc>
          <w:tcPr>
            <w:tcW w:w="7760" w:type="dxa"/>
            <w:vAlign w:val="bottom"/>
          </w:tcPr>
          <w:p>
            <w:pPr>
              <w:spacing w:after="0" w:line="155" w:lineRule="exact"/>
              <w:rPr>
                <w:sz w:val="20"/>
                <w:szCs w:val="20"/>
                <w:color w:val="auto"/>
              </w:rPr>
            </w:pPr>
            <w:r>
              <w:rPr>
                <w:rFonts w:ascii="Arial" w:cs="Arial" w:eastAsia="Arial" w:hAnsi="Arial"/>
                <w:sz w:val="14"/>
                <w:szCs w:val="14"/>
                <w:b w:val="1"/>
                <w:bCs w:val="1"/>
                <w:color w:val="auto"/>
              </w:rPr>
              <w:t>Cash flows from financing activities:</w:t>
            </w:r>
          </w:p>
        </w:tc>
        <w:tc>
          <w:tcPr>
            <w:tcW w:w="9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62"/>
        </w:trPr>
        <w:tc>
          <w:tcPr>
            <w:tcW w:w="7760" w:type="dxa"/>
            <w:vAlign w:val="bottom"/>
            <w:tcBorders>
              <w:bottom w:val="single" w:sz="8" w:color="CFF0FC"/>
            </w:tcBorders>
            <w:shd w:val="clear" w:color="auto" w:fill="CFF0FC"/>
          </w:tcPr>
          <w:p>
            <w:pPr>
              <w:ind w:left="140"/>
              <w:spacing w:after="0"/>
              <w:rPr>
                <w:sz w:val="20"/>
                <w:szCs w:val="20"/>
                <w:color w:val="auto"/>
              </w:rPr>
            </w:pPr>
            <w:r>
              <w:rPr>
                <w:rFonts w:ascii="Arial" w:cs="Arial" w:eastAsia="Arial" w:hAnsi="Arial"/>
                <w:sz w:val="14"/>
                <w:szCs w:val="14"/>
                <w:color w:val="auto"/>
              </w:rPr>
              <w:t>Proceeds from stock options exercised</w:t>
            </w:r>
          </w:p>
        </w:tc>
        <w:tc>
          <w:tcPr>
            <w:tcW w:w="98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510</w:t>
            </w: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CFF0FC"/>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1,233</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6"/>
        </w:trPr>
        <w:tc>
          <w:tcPr>
            <w:tcW w:w="7760" w:type="dxa"/>
            <w:vAlign w:val="bottom"/>
          </w:tcPr>
          <w:p>
            <w:pPr>
              <w:ind w:left="280"/>
              <w:spacing w:after="0" w:line="155" w:lineRule="exact"/>
              <w:rPr>
                <w:sz w:val="20"/>
                <w:szCs w:val="20"/>
                <w:color w:val="auto"/>
              </w:rPr>
            </w:pPr>
            <w:r>
              <w:rPr>
                <w:rFonts w:ascii="Arial" w:cs="Arial" w:eastAsia="Arial" w:hAnsi="Arial"/>
                <w:sz w:val="14"/>
                <w:szCs w:val="14"/>
                <w:b w:val="1"/>
                <w:bCs w:val="1"/>
                <w:color w:val="auto"/>
              </w:rPr>
              <w:t>Net cash provided by financing activities</w:t>
            </w:r>
          </w:p>
        </w:tc>
        <w:tc>
          <w:tcPr>
            <w:tcW w:w="98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510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1,233</w:t>
            </w:r>
          </w:p>
        </w:tc>
        <w:tc>
          <w:tcPr>
            <w:tcW w:w="100" w:type="dxa"/>
            <w:vAlign w:val="bottom"/>
          </w:tcPr>
          <w:p>
            <w:pPr>
              <w:spacing w:after="0"/>
              <w:rPr>
                <w:sz w:val="13"/>
                <w:szCs w:val="13"/>
                <w:color w:val="auto"/>
              </w:rPr>
            </w:pPr>
          </w:p>
        </w:tc>
      </w:tr>
      <w:tr>
        <w:trPr>
          <w:trHeight w:val="155"/>
        </w:trPr>
        <w:tc>
          <w:tcPr>
            <w:tcW w:w="7760" w:type="dxa"/>
            <w:vAlign w:val="bottom"/>
            <w:shd w:val="clear" w:color="auto" w:fill="CFF0FC"/>
          </w:tcPr>
          <w:p>
            <w:pPr>
              <w:ind w:left="140"/>
              <w:spacing w:after="0" w:line="155" w:lineRule="exact"/>
              <w:rPr>
                <w:sz w:val="20"/>
                <w:szCs w:val="20"/>
                <w:color w:val="auto"/>
              </w:rPr>
            </w:pPr>
            <w:r>
              <w:rPr>
                <w:rFonts w:ascii="Arial" w:cs="Arial" w:eastAsia="Arial" w:hAnsi="Arial"/>
                <w:sz w:val="14"/>
                <w:szCs w:val="14"/>
                <w:color w:val="auto"/>
              </w:rPr>
              <w:t>Effect of foreign currency translation on cash and cash equivalents</w:t>
            </w:r>
          </w:p>
        </w:tc>
        <w:tc>
          <w:tcPr>
            <w:tcW w:w="980" w:type="dxa"/>
            <w:vAlign w:val="bottom"/>
            <w:shd w:val="clear" w:color="auto" w:fill="CFF0FC"/>
          </w:tcPr>
          <w:p>
            <w:pPr>
              <w:spacing w:after="0"/>
              <w:rPr>
                <w:sz w:val="13"/>
                <w:szCs w:val="13"/>
                <w:color w:val="auto"/>
              </w:rPr>
            </w:pPr>
          </w:p>
        </w:tc>
        <w:tc>
          <w:tcPr>
            <w:tcW w:w="560" w:type="dxa"/>
            <w:vAlign w:val="bottom"/>
            <w:shd w:val="clear" w:color="auto" w:fill="CFF0FC"/>
          </w:tcPr>
          <w:p>
            <w:pPr>
              <w:jc w:val="right"/>
              <w:spacing w:after="0" w:line="155" w:lineRule="exact"/>
              <w:rPr>
                <w:sz w:val="20"/>
                <w:szCs w:val="20"/>
                <w:color w:val="auto"/>
              </w:rPr>
            </w:pPr>
            <w:r>
              <w:rPr>
                <w:rFonts w:ascii="Arial" w:cs="Arial" w:eastAsia="Arial" w:hAnsi="Arial"/>
                <w:sz w:val="14"/>
                <w:szCs w:val="14"/>
                <w:color w:val="auto"/>
              </w:rPr>
              <w:t>142</w:t>
            </w:r>
          </w:p>
        </w:tc>
        <w:tc>
          <w:tcPr>
            <w:tcW w:w="12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1000" w:type="dxa"/>
            <w:vAlign w:val="bottom"/>
            <w:shd w:val="clear" w:color="auto" w:fill="CFF0FC"/>
          </w:tcPr>
          <w:p>
            <w:pPr>
              <w:spacing w:after="0"/>
              <w:rPr>
                <w:sz w:val="13"/>
                <w:szCs w:val="13"/>
                <w:color w:val="auto"/>
              </w:rPr>
            </w:pPr>
          </w:p>
        </w:tc>
        <w:tc>
          <w:tcPr>
            <w:tcW w:w="680" w:type="dxa"/>
            <w:vAlign w:val="bottom"/>
            <w:gridSpan w:val="2"/>
            <w:shd w:val="clear" w:color="auto" w:fill="CFF0FC"/>
          </w:tcPr>
          <w:p>
            <w:pPr>
              <w:jc w:val="right"/>
              <w:ind w:right="60"/>
              <w:spacing w:after="0" w:line="155" w:lineRule="exact"/>
              <w:rPr>
                <w:sz w:val="20"/>
                <w:szCs w:val="20"/>
                <w:color w:val="auto"/>
              </w:rPr>
            </w:pPr>
            <w:r>
              <w:rPr>
                <w:rFonts w:ascii="Arial" w:cs="Arial" w:eastAsia="Arial" w:hAnsi="Arial"/>
                <w:sz w:val="14"/>
                <w:szCs w:val="14"/>
                <w:color w:val="auto"/>
              </w:rPr>
              <w:t>(149)</w:t>
            </w:r>
          </w:p>
        </w:tc>
      </w:tr>
      <w:tr>
        <w:trPr>
          <w:trHeight w:val="20"/>
        </w:trPr>
        <w:tc>
          <w:tcPr>
            <w:tcW w:w="7760" w:type="dxa"/>
            <w:vAlign w:val="bottom"/>
            <w:shd w:val="clear" w:color="auto" w:fill="CFF0FC"/>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55"/>
        </w:trPr>
        <w:tc>
          <w:tcPr>
            <w:tcW w:w="7760" w:type="dxa"/>
            <w:vAlign w:val="bottom"/>
          </w:tcPr>
          <w:p>
            <w:pPr>
              <w:ind w:left="280"/>
              <w:spacing w:after="0" w:line="155" w:lineRule="exact"/>
              <w:rPr>
                <w:sz w:val="20"/>
                <w:szCs w:val="20"/>
                <w:color w:val="auto"/>
              </w:rPr>
            </w:pPr>
            <w:r>
              <w:rPr>
                <w:rFonts w:ascii="Arial" w:cs="Arial" w:eastAsia="Arial" w:hAnsi="Arial"/>
                <w:sz w:val="14"/>
                <w:szCs w:val="14"/>
                <w:b w:val="1"/>
                <w:bCs w:val="1"/>
                <w:color w:val="auto"/>
              </w:rPr>
              <w:t>Net decrease in cash and cash equivalents</w:t>
            </w:r>
          </w:p>
        </w:tc>
        <w:tc>
          <w:tcPr>
            <w:tcW w:w="980" w:type="dxa"/>
            <w:vAlign w:val="bottom"/>
          </w:tcPr>
          <w:p>
            <w:pPr>
              <w:spacing w:after="0"/>
              <w:rPr>
                <w:sz w:val="13"/>
                <w:szCs w:val="13"/>
                <w:color w:val="auto"/>
              </w:rPr>
            </w:pPr>
          </w:p>
        </w:tc>
        <w:tc>
          <w:tcPr>
            <w:tcW w:w="6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(6,725)</w:t>
            </w:r>
          </w:p>
        </w:tc>
        <w:tc>
          <w:tcPr>
            <w:tcW w:w="1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680" w:type="dxa"/>
            <w:vAlign w:val="bottom"/>
            <w:gridSpan w:val="2"/>
          </w:tcPr>
          <w:p>
            <w:pPr>
              <w:jc w:val="right"/>
              <w:ind w:right="60"/>
              <w:spacing w:after="0" w:line="155" w:lineRule="exact"/>
              <w:rPr>
                <w:sz w:val="20"/>
                <w:szCs w:val="20"/>
                <w:color w:val="auto"/>
              </w:rPr>
            </w:pPr>
            <w:r>
              <w:rPr>
                <w:rFonts w:ascii="Arial" w:cs="Arial" w:eastAsia="Arial" w:hAnsi="Arial"/>
                <w:sz w:val="14"/>
                <w:szCs w:val="14"/>
                <w:color w:val="auto"/>
              </w:rPr>
              <w:t>(7,723)</w:t>
            </w:r>
          </w:p>
        </w:tc>
      </w:tr>
      <w:tr>
        <w:trPr>
          <w:trHeight w:val="162"/>
        </w:trPr>
        <w:tc>
          <w:tcPr>
            <w:tcW w:w="77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4"/>
                <w:szCs w:val="14"/>
                <w:b w:val="1"/>
                <w:bCs w:val="1"/>
                <w:color w:val="auto"/>
              </w:rPr>
              <w:t>Cash and cash equivalents at beginning of the period</w:t>
            </w:r>
          </w:p>
        </w:tc>
        <w:tc>
          <w:tcPr>
            <w:tcW w:w="980" w:type="dxa"/>
            <w:vAlign w:val="bottom"/>
            <w:tcBorders>
              <w:bottom w:val="single" w:sz="8" w:color="auto"/>
            </w:tcBorders>
            <w:shd w:val="clear" w:color="auto" w:fill="CFF0FC"/>
          </w:tcPr>
          <w:p>
            <w:pPr>
              <w:spacing w:after="0"/>
              <w:rPr>
                <w:sz w:val="14"/>
                <w:szCs w:val="14"/>
                <w:color w:val="auto"/>
              </w:rPr>
            </w:pPr>
          </w:p>
        </w:tc>
        <w:tc>
          <w:tcPr>
            <w:tcW w:w="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22,232</w:t>
            </w:r>
          </w:p>
        </w:tc>
        <w:tc>
          <w:tcPr>
            <w:tcW w:w="120" w:type="dxa"/>
            <w:vAlign w:val="bottom"/>
            <w:tcBorders>
              <w:bottom w:val="single" w:sz="8" w:color="CFF0FC"/>
            </w:tcBorders>
            <w:shd w:val="clear" w:color="auto" w:fill="CFF0FC"/>
          </w:tcPr>
          <w:p>
            <w:pPr>
              <w:spacing w:after="0"/>
              <w:rPr>
                <w:sz w:val="14"/>
                <w:szCs w:val="14"/>
                <w:color w:val="auto"/>
              </w:rPr>
            </w:pPr>
          </w:p>
        </w:tc>
        <w:tc>
          <w:tcPr>
            <w:tcW w:w="14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spacing w:after="0"/>
              <w:rPr>
                <w:sz w:val="14"/>
                <w:szCs w:val="14"/>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53,424</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7760" w:type="dxa"/>
            <w:vAlign w:val="bottom"/>
          </w:tcPr>
          <w:p>
            <w:pPr>
              <w:spacing w:after="0" w:line="155" w:lineRule="exact"/>
              <w:rPr>
                <w:sz w:val="20"/>
                <w:szCs w:val="20"/>
                <w:color w:val="auto"/>
              </w:rPr>
            </w:pPr>
            <w:r>
              <w:rPr>
                <w:rFonts w:ascii="Arial" w:cs="Arial" w:eastAsia="Arial" w:hAnsi="Arial"/>
                <w:sz w:val="14"/>
                <w:szCs w:val="14"/>
                <w:b w:val="1"/>
                <w:bCs w:val="1"/>
                <w:color w:val="auto"/>
              </w:rPr>
              <w:t>Cash and cash equivalents at end of the period</w:t>
            </w:r>
          </w:p>
        </w:tc>
        <w:tc>
          <w:tcPr>
            <w:tcW w:w="980" w:type="dxa"/>
            <w:vAlign w:val="bottom"/>
            <w:tcBorders>
              <w:bottom w:val="single" w:sz="8" w:color="auto"/>
            </w:tcBorders>
          </w:tcPr>
          <w:p>
            <w:pPr>
              <w:jc w:val="right"/>
              <w:ind w:right="828"/>
              <w:spacing w:after="0" w:line="155" w:lineRule="exact"/>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15,507</w:t>
            </w:r>
          </w:p>
        </w:tc>
        <w:tc>
          <w:tcPr>
            <w:tcW w:w="12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ind w:right="848"/>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45,701</w:t>
            </w:r>
          </w:p>
        </w:tc>
        <w:tc>
          <w:tcPr>
            <w:tcW w:w="100" w:type="dxa"/>
            <w:vAlign w:val="bottom"/>
          </w:tcPr>
          <w:p>
            <w:pPr>
              <w:spacing w:after="0"/>
              <w:rPr>
                <w:sz w:val="13"/>
                <w:szCs w:val="13"/>
                <w:color w:val="auto"/>
              </w:rPr>
            </w:pPr>
          </w:p>
        </w:tc>
      </w:tr>
      <w:tr>
        <w:trPr>
          <w:trHeight w:val="20"/>
        </w:trPr>
        <w:tc>
          <w:tcPr>
            <w:tcW w:w="77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43"/>
        </w:trPr>
        <w:tc>
          <w:tcPr>
            <w:tcW w:w="7760" w:type="dxa"/>
            <w:vAlign w:val="bottom"/>
            <w:shd w:val="clear" w:color="auto" w:fill="CFF0FC"/>
          </w:tcPr>
          <w:p>
            <w:pPr>
              <w:spacing w:after="0" w:line="143" w:lineRule="exact"/>
              <w:rPr>
                <w:sz w:val="20"/>
                <w:szCs w:val="20"/>
                <w:color w:val="auto"/>
              </w:rPr>
            </w:pPr>
            <w:r>
              <w:rPr>
                <w:rFonts w:ascii="Arial" w:cs="Arial" w:eastAsia="Arial" w:hAnsi="Arial"/>
                <w:sz w:val="14"/>
                <w:szCs w:val="14"/>
                <w:b w:val="1"/>
                <w:bCs w:val="1"/>
                <w:color w:val="auto"/>
              </w:rPr>
              <w:t>Supplemental cash flow information:</w:t>
            </w:r>
          </w:p>
        </w:tc>
        <w:tc>
          <w:tcPr>
            <w:tcW w:w="980" w:type="dxa"/>
            <w:vAlign w:val="bottom"/>
            <w:shd w:val="clear" w:color="auto" w:fill="CFF0FC"/>
          </w:tcPr>
          <w:p>
            <w:pPr>
              <w:spacing w:after="0"/>
              <w:rPr>
                <w:sz w:val="12"/>
                <w:szCs w:val="12"/>
                <w:color w:val="auto"/>
              </w:rPr>
            </w:pPr>
          </w:p>
        </w:tc>
        <w:tc>
          <w:tcPr>
            <w:tcW w:w="5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140" w:type="dxa"/>
            <w:vAlign w:val="bottom"/>
            <w:shd w:val="clear" w:color="auto" w:fill="CFF0FC"/>
          </w:tcPr>
          <w:p>
            <w:pPr>
              <w:spacing w:after="0"/>
              <w:rPr>
                <w:sz w:val="12"/>
                <w:szCs w:val="12"/>
                <w:color w:val="auto"/>
              </w:rPr>
            </w:pPr>
          </w:p>
        </w:tc>
        <w:tc>
          <w:tcPr>
            <w:tcW w:w="100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62"/>
        </w:trPr>
        <w:tc>
          <w:tcPr>
            <w:tcW w:w="7760" w:type="dxa"/>
            <w:vAlign w:val="bottom"/>
          </w:tcPr>
          <w:p>
            <w:pPr>
              <w:spacing w:after="0"/>
              <w:rPr>
                <w:sz w:val="20"/>
                <w:szCs w:val="20"/>
                <w:color w:val="auto"/>
              </w:rPr>
            </w:pPr>
            <w:r>
              <w:rPr>
                <w:rFonts w:ascii="Arial" w:cs="Arial" w:eastAsia="Arial" w:hAnsi="Arial"/>
                <w:sz w:val="14"/>
                <w:szCs w:val="14"/>
                <w:color w:val="auto"/>
              </w:rPr>
              <w:t>Cash paid for interest</w:t>
            </w:r>
          </w:p>
        </w:tc>
        <w:tc>
          <w:tcPr>
            <w:tcW w:w="980" w:type="dxa"/>
            <w:vAlign w:val="bottom"/>
          </w:tcPr>
          <w:p>
            <w:pPr>
              <w:jc w:val="right"/>
              <w:ind w:right="828"/>
              <w:spacing w:after="0"/>
              <w:rPr>
                <w:sz w:val="20"/>
                <w:szCs w:val="20"/>
                <w:color w:val="auto"/>
              </w:rPr>
            </w:pPr>
            <w:r>
              <w:rPr>
                <w:rFonts w:ascii="Arial" w:cs="Arial" w:eastAsia="Arial" w:hAnsi="Arial"/>
                <w:sz w:val="14"/>
                <w:szCs w:val="14"/>
                <w:color w:val="auto"/>
                <w:w w:val="76"/>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1,438</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right"/>
              <w:ind w:right="848"/>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1,438</w:t>
            </w:r>
          </w:p>
        </w:tc>
        <w:tc>
          <w:tcPr>
            <w:tcW w:w="100" w:type="dxa"/>
            <w:vAlign w:val="bottom"/>
          </w:tcPr>
          <w:p>
            <w:pPr>
              <w:spacing w:after="0"/>
              <w:rPr>
                <w:sz w:val="14"/>
                <w:szCs w:val="14"/>
                <w:color w:val="auto"/>
              </w:rPr>
            </w:pPr>
          </w:p>
        </w:tc>
      </w:tr>
      <w:tr>
        <w:trPr>
          <w:trHeight w:val="162"/>
        </w:trPr>
        <w:tc>
          <w:tcPr>
            <w:tcW w:w="776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Non-cash investing and financing activities:</w:t>
            </w:r>
          </w:p>
        </w:tc>
        <w:tc>
          <w:tcPr>
            <w:tcW w:w="980" w:type="dxa"/>
            <w:vAlign w:val="bottom"/>
            <w:shd w:val="clear" w:color="auto" w:fill="CFF0FC"/>
          </w:tcPr>
          <w:p>
            <w:pPr>
              <w:spacing w:after="0"/>
              <w:rPr>
                <w:sz w:val="14"/>
                <w:szCs w:val="14"/>
                <w:color w:val="auto"/>
              </w:rPr>
            </w:pPr>
          </w:p>
        </w:tc>
        <w:tc>
          <w:tcPr>
            <w:tcW w:w="5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90"/>
        </w:trPr>
        <w:tc>
          <w:tcPr>
            <w:tcW w:w="7760" w:type="dxa"/>
            <w:vAlign w:val="bottom"/>
          </w:tcPr>
          <w:p>
            <w:pPr>
              <w:spacing w:after="0"/>
              <w:rPr>
                <w:sz w:val="20"/>
                <w:szCs w:val="20"/>
                <w:color w:val="auto"/>
              </w:rPr>
            </w:pPr>
            <w:r>
              <w:rPr>
                <w:rFonts w:ascii="Arial" w:cs="Arial" w:eastAsia="Arial" w:hAnsi="Arial"/>
                <w:sz w:val="14"/>
                <w:szCs w:val="14"/>
                <w:color w:val="auto"/>
              </w:rPr>
              <w:t>Non-cash consideration in connection with business combination</w:t>
            </w:r>
          </w:p>
        </w:tc>
        <w:tc>
          <w:tcPr>
            <w:tcW w:w="98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625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-1851660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-1851660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5898515</wp:posOffset>
            </wp:positionH>
            <wp:positionV relativeFrom="paragraph">
              <wp:posOffset>-1341755</wp:posOffset>
            </wp:positionV>
            <wp:extent cx="93980" cy="1454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7056120</wp:posOffset>
            </wp:positionH>
            <wp:positionV relativeFrom="paragraph">
              <wp:posOffset>-1341755</wp:posOffset>
            </wp:positionV>
            <wp:extent cx="93980" cy="1454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93980" cy="14541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-1003300</wp:posOffset>
            </wp:positionV>
            <wp:extent cx="6858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-1003300</wp:posOffset>
            </wp:positionV>
            <wp:extent cx="6858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-780415</wp:posOffset>
            </wp:positionV>
            <wp:extent cx="6858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-780415</wp:posOffset>
            </wp:positionV>
            <wp:extent cx="6858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-565785</wp:posOffset>
            </wp:positionV>
            <wp:extent cx="6858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-565785</wp:posOffset>
            </wp:positionV>
            <wp:extent cx="6858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2" w:name="page13"/>
    <w:bookmarkEnd w:id="12"/>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jc w:val="center"/>
        <w:ind w:right="40"/>
        <w:spacing w:after="0" w:line="231" w:lineRule="auto"/>
        <w:rPr>
          <w:sz w:val="20"/>
          <w:szCs w:val="20"/>
          <w:color w:val="auto"/>
        </w:rPr>
      </w:pPr>
      <w:r>
        <w:rPr>
          <w:rFonts w:ascii="Arial" w:cs="Arial" w:eastAsia="Arial" w:hAnsi="Arial"/>
          <w:sz w:val="20"/>
          <w:szCs w:val="20"/>
          <w:color w:val="auto"/>
        </w:rPr>
        <w:t>Reconciliations of Non-GAAP Financial Measures</w:t>
      </w:r>
    </w:p>
    <w:p>
      <w:pPr>
        <w:jc w:val="center"/>
        <w:spacing w:after="0" w:line="226" w:lineRule="auto"/>
        <w:rPr>
          <w:sz w:val="20"/>
          <w:szCs w:val="20"/>
          <w:color w:val="auto"/>
        </w:rPr>
      </w:pPr>
      <w:r>
        <w:rPr>
          <w:rFonts w:ascii="Arial" w:cs="Arial" w:eastAsia="Arial" w:hAnsi="Arial"/>
          <w:sz w:val="20"/>
          <w:szCs w:val="20"/>
          <w:color w:val="auto"/>
        </w:rPr>
        <w:t>(In thousands, except share and per share amounts)</w:t>
      </w:r>
    </w:p>
    <w:p>
      <w:pPr>
        <w:jc w:val="center"/>
        <w:spacing w:after="0" w:line="234" w:lineRule="auto"/>
        <w:rPr>
          <w:sz w:val="20"/>
          <w:szCs w:val="20"/>
          <w:color w:val="auto"/>
        </w:rPr>
      </w:pPr>
      <w:r>
        <w:rPr>
          <w:rFonts w:ascii="Arial" w:cs="Arial" w:eastAsia="Arial" w:hAnsi="Arial"/>
          <w:sz w:val="20"/>
          <w:szCs w:val="20"/>
          <w:color w:val="auto"/>
        </w:rPr>
        <w:t>(Unaudited)</w:t>
      </w:r>
    </w:p>
    <w:tbl>
      <w:tblPr>
        <w:tblLayout w:type="fixed"/>
        <w:tblInd w:w="60" w:type="dxa"/>
        <w:tblCellMar>
          <w:top w:w="0" w:type="dxa"/>
          <w:left w:w="0" w:type="dxa"/>
          <w:bottom w:w="0" w:type="dxa"/>
          <w:right w:w="0" w:type="dxa"/>
        </w:tblCellMar>
      </w:tblPr>
      <w:tr>
        <w:trPr>
          <w:trHeight w:val="148"/>
        </w:trPr>
        <w:tc>
          <w:tcPr>
            <w:tcW w:w="2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6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40" w:type="dxa"/>
            <w:vAlign w:val="bottom"/>
            <w:gridSpan w:val="4"/>
          </w:tcPr>
          <w:p>
            <w:pPr>
              <w:jc w:val="right"/>
              <w:spacing w:after="0" w:line="148" w:lineRule="exact"/>
              <w:rPr>
                <w:sz w:val="20"/>
                <w:szCs w:val="20"/>
                <w:color w:val="auto"/>
              </w:rPr>
            </w:pPr>
            <w:r>
              <w:rPr>
                <w:rFonts w:ascii="Arial" w:cs="Arial" w:eastAsia="Arial" w:hAnsi="Arial"/>
                <w:sz w:val="14"/>
                <w:szCs w:val="14"/>
                <w:b w:val="1"/>
                <w:bCs w:val="1"/>
                <w:color w:val="auto"/>
              </w:rPr>
              <w:t>For the Three Months</w:t>
            </w: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040" w:type="dxa"/>
            <w:vAlign w:val="bottom"/>
            <w:tcBorders>
              <w:bottom w:val="single" w:sz="8" w:color="auto"/>
            </w:tcBorders>
            <w:gridSpan w:val="4"/>
          </w:tcPr>
          <w:p>
            <w:pPr>
              <w:jc w:val="right"/>
              <w:ind w:right="108"/>
              <w:spacing w:after="0"/>
              <w:rPr>
                <w:sz w:val="20"/>
                <w:szCs w:val="20"/>
                <w:color w:val="auto"/>
              </w:rPr>
            </w:pPr>
            <w:r>
              <w:rPr>
                <w:rFonts w:ascii="Arial" w:cs="Arial" w:eastAsia="Arial" w:hAnsi="Arial"/>
                <w:sz w:val="14"/>
                <w:szCs w:val="14"/>
                <w:b w:val="1"/>
                <w:bCs w:val="1"/>
                <w:color w:val="auto"/>
              </w:rPr>
              <w:t>Ended March 31,</w:t>
            </w:r>
          </w:p>
        </w:tc>
        <w:tc>
          <w:tcPr>
            <w:tcW w:w="9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48"/>
              <w:spacing w:after="0" w:line="155" w:lineRule="exact"/>
              <w:rPr>
                <w:sz w:val="20"/>
                <w:szCs w:val="20"/>
                <w:color w:val="auto"/>
              </w:rPr>
            </w:pPr>
            <w:r>
              <w:rPr>
                <w:rFonts w:ascii="Arial" w:cs="Arial" w:eastAsia="Arial" w:hAnsi="Arial"/>
                <w:sz w:val="14"/>
                <w:szCs w:val="14"/>
                <w:b w:val="1"/>
                <w:bCs w:val="1"/>
                <w:color w:val="auto"/>
              </w:rPr>
              <w:t>2025</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528"/>
              <w:spacing w:after="0" w:line="155" w:lineRule="exact"/>
              <w:rPr>
                <w:sz w:val="20"/>
                <w:szCs w:val="20"/>
                <w:color w:val="auto"/>
              </w:rPr>
            </w:pPr>
            <w:r>
              <w:rPr>
                <w:rFonts w:ascii="Arial" w:cs="Arial" w:eastAsia="Arial" w:hAnsi="Arial"/>
                <w:sz w:val="14"/>
                <w:szCs w:val="14"/>
                <w:b w:val="1"/>
                <w:bCs w:val="1"/>
                <w:color w:val="auto"/>
                <w:w w:val="96"/>
              </w:rPr>
              <w:t>2024</w:t>
            </w:r>
          </w:p>
        </w:tc>
        <w:tc>
          <w:tcPr>
            <w:tcW w:w="100" w:type="dxa"/>
            <w:vAlign w:val="bottom"/>
          </w:tcPr>
          <w:p>
            <w:pPr>
              <w:spacing w:after="0"/>
              <w:rPr>
                <w:sz w:val="13"/>
                <w:szCs w:val="13"/>
                <w:color w:val="auto"/>
              </w:rPr>
            </w:pPr>
          </w:p>
        </w:tc>
      </w:tr>
      <w:tr>
        <w:trPr>
          <w:trHeight w:val="142"/>
        </w:trPr>
        <w:tc>
          <w:tcPr>
            <w:tcW w:w="20" w:type="dxa"/>
            <w:vAlign w:val="bottom"/>
          </w:tcPr>
          <w:p>
            <w:pPr>
              <w:spacing w:after="0"/>
              <w:rPr>
                <w:sz w:val="12"/>
                <w:szCs w:val="12"/>
                <w:color w:val="auto"/>
              </w:rPr>
            </w:pPr>
          </w:p>
        </w:tc>
        <w:tc>
          <w:tcPr>
            <w:tcW w:w="7700" w:type="dxa"/>
            <w:vAlign w:val="bottom"/>
            <w:gridSpan w:val="2"/>
            <w:shd w:val="clear" w:color="auto" w:fill="CFF0FC"/>
          </w:tcPr>
          <w:p>
            <w:pPr>
              <w:spacing w:after="0" w:line="142" w:lineRule="exact"/>
              <w:rPr>
                <w:sz w:val="20"/>
                <w:szCs w:val="20"/>
                <w:color w:val="auto"/>
              </w:rPr>
            </w:pPr>
            <w:r>
              <w:rPr>
                <w:rFonts w:ascii="Arial" w:cs="Arial" w:eastAsia="Arial" w:hAnsi="Arial"/>
                <w:sz w:val="14"/>
                <w:szCs w:val="14"/>
                <w:b w:val="1"/>
                <w:bCs w:val="1"/>
                <w:color w:val="auto"/>
              </w:rPr>
              <w:t>Adjusted EBITDA:</w:t>
            </w:r>
          </w:p>
        </w:tc>
        <w:tc>
          <w:tcPr>
            <w:tcW w:w="20" w:type="dxa"/>
            <w:vAlign w:val="bottom"/>
            <w:shd w:val="clear" w:color="auto" w:fill="CFF0FC"/>
          </w:tcPr>
          <w:p>
            <w:pPr>
              <w:spacing w:after="0"/>
              <w:rPr>
                <w:sz w:val="12"/>
                <w:szCs w:val="12"/>
                <w:color w:val="auto"/>
              </w:rPr>
            </w:pPr>
          </w:p>
        </w:tc>
        <w:tc>
          <w:tcPr>
            <w:tcW w:w="320" w:type="dxa"/>
            <w:vAlign w:val="bottom"/>
            <w:shd w:val="clear" w:color="auto" w:fill="CFF0FC"/>
          </w:tcPr>
          <w:p>
            <w:pPr>
              <w:spacing w:after="0"/>
              <w:rPr>
                <w:sz w:val="12"/>
                <w:szCs w:val="12"/>
                <w:color w:val="auto"/>
              </w:rPr>
            </w:pPr>
          </w:p>
        </w:tc>
        <w:tc>
          <w:tcPr>
            <w:tcW w:w="1180" w:type="dxa"/>
            <w:vAlign w:val="bottom"/>
            <w:shd w:val="clear" w:color="auto" w:fill="CFF0FC"/>
          </w:tcPr>
          <w:p>
            <w:pPr>
              <w:spacing w:after="0"/>
              <w:rPr>
                <w:sz w:val="12"/>
                <w:szCs w:val="12"/>
                <w:color w:val="auto"/>
              </w:rPr>
            </w:pPr>
          </w:p>
        </w:tc>
        <w:tc>
          <w:tcPr>
            <w:tcW w:w="16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580" w:type="dxa"/>
            <w:vAlign w:val="bottom"/>
            <w:shd w:val="clear" w:color="auto" w:fill="CFF0FC"/>
          </w:tcPr>
          <w:p>
            <w:pPr>
              <w:spacing w:after="0"/>
              <w:rPr>
                <w:sz w:val="12"/>
                <w:szCs w:val="12"/>
                <w:color w:val="auto"/>
              </w:rPr>
            </w:pPr>
          </w:p>
        </w:tc>
        <w:tc>
          <w:tcPr>
            <w:tcW w:w="9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55"/>
        </w:trPr>
        <w:tc>
          <w:tcPr>
            <w:tcW w:w="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Net loss</w:t>
            </w:r>
          </w:p>
        </w:tc>
        <w:tc>
          <w:tcPr>
            <w:tcW w:w="6480" w:type="dxa"/>
            <w:vAlign w:val="bottom"/>
            <w:tcBorders>
              <w:top w:val="single" w:sz="8" w:color="CFF0FC"/>
            </w:tcBorders>
          </w:tcPr>
          <w:p>
            <w:pPr>
              <w:spacing w:after="0"/>
              <w:rPr>
                <w:sz w:val="13"/>
                <w:szCs w:val="13"/>
                <w:color w:val="auto"/>
              </w:rPr>
            </w:pPr>
          </w:p>
        </w:tc>
        <w:tc>
          <w:tcPr>
            <w:tcW w:w="340" w:type="dxa"/>
            <w:vAlign w:val="bottom"/>
            <w:tcBorders>
              <w:top w:val="single" w:sz="8" w:color="CFF0FC"/>
            </w:tcBorders>
            <w:gridSpan w:val="2"/>
          </w:tcPr>
          <w:p>
            <w:pPr>
              <w:jc w:val="right"/>
              <w:ind w:right="209"/>
              <w:spacing w:after="0" w:line="155" w:lineRule="exact"/>
              <w:rPr>
                <w:sz w:val="20"/>
                <w:szCs w:val="20"/>
                <w:color w:val="auto"/>
              </w:rPr>
            </w:pPr>
            <w:r>
              <w:rPr>
                <w:rFonts w:ascii="Arial" w:cs="Arial" w:eastAsia="Arial" w:hAnsi="Arial"/>
                <w:sz w:val="14"/>
                <w:szCs w:val="14"/>
                <w:color w:val="auto"/>
                <w:w w:val="76"/>
              </w:rPr>
              <w:t>$</w:t>
            </w:r>
          </w:p>
        </w:tc>
        <w:tc>
          <w:tcPr>
            <w:tcW w:w="1340" w:type="dxa"/>
            <w:vAlign w:val="bottom"/>
            <w:tcBorders>
              <w:top w:val="single" w:sz="8" w:color="CFF0FC"/>
            </w:tcBorders>
            <w:gridSpan w:val="2"/>
          </w:tcPr>
          <w:p>
            <w:pPr>
              <w:jc w:val="right"/>
              <w:ind w:right="120"/>
              <w:spacing w:after="0" w:line="155" w:lineRule="exact"/>
              <w:rPr>
                <w:sz w:val="20"/>
                <w:szCs w:val="20"/>
                <w:color w:val="auto"/>
              </w:rPr>
            </w:pPr>
            <w:r>
              <w:rPr>
                <w:rFonts w:ascii="Arial" w:cs="Arial" w:eastAsia="Arial" w:hAnsi="Arial"/>
                <w:sz w:val="14"/>
                <w:szCs w:val="14"/>
                <w:color w:val="auto"/>
              </w:rPr>
              <w:t>(15,076)</w:t>
            </w:r>
          </w:p>
        </w:tc>
        <w:tc>
          <w:tcPr>
            <w:tcW w:w="700" w:type="dxa"/>
            <w:vAlign w:val="bottom"/>
            <w:tcBorders>
              <w:top w:val="single" w:sz="8" w:color="CFF0FC"/>
            </w:tcBorders>
            <w:gridSpan w:val="2"/>
          </w:tcPr>
          <w:p>
            <w:pPr>
              <w:jc w:val="right"/>
              <w:ind w:right="428"/>
              <w:spacing w:after="0" w:line="155" w:lineRule="exact"/>
              <w:rPr>
                <w:sz w:val="20"/>
                <w:szCs w:val="20"/>
                <w:color w:val="auto"/>
              </w:rPr>
            </w:pPr>
            <w:r>
              <w:rPr>
                <w:rFonts w:ascii="Arial" w:cs="Arial" w:eastAsia="Arial" w:hAnsi="Arial"/>
                <w:sz w:val="14"/>
                <w:szCs w:val="14"/>
                <w:color w:val="auto"/>
              </w:rPr>
              <w:t>$</w:t>
            </w:r>
          </w:p>
        </w:tc>
        <w:tc>
          <w:tcPr>
            <w:tcW w:w="1020" w:type="dxa"/>
            <w:vAlign w:val="bottom"/>
            <w:tcBorders>
              <w:top w:val="single" w:sz="8" w:color="CFF0FC"/>
            </w:tcBorders>
            <w:gridSpan w:val="2"/>
          </w:tcPr>
          <w:p>
            <w:pPr>
              <w:jc w:val="right"/>
              <w:ind w:right="60"/>
              <w:spacing w:after="0" w:line="155" w:lineRule="exact"/>
              <w:rPr>
                <w:sz w:val="20"/>
                <w:szCs w:val="20"/>
                <w:color w:val="auto"/>
              </w:rPr>
            </w:pPr>
            <w:r>
              <w:rPr>
                <w:rFonts w:ascii="Arial" w:cs="Arial" w:eastAsia="Arial" w:hAnsi="Arial"/>
                <w:sz w:val="14"/>
                <w:szCs w:val="14"/>
                <w:color w:val="auto"/>
              </w:rPr>
              <w:t>(16,604)</w:t>
            </w:r>
          </w:p>
        </w:tc>
      </w:tr>
      <w:tr>
        <w:trPr>
          <w:trHeight w:val="162"/>
        </w:trPr>
        <w:tc>
          <w:tcPr>
            <w:tcW w:w="20" w:type="dxa"/>
            <w:vAlign w:val="bottom"/>
          </w:tcPr>
          <w:p>
            <w:pPr>
              <w:spacing w:after="0"/>
              <w:rPr>
                <w:sz w:val="14"/>
                <w:szCs w:val="14"/>
                <w:color w:val="auto"/>
              </w:rPr>
            </w:pPr>
          </w:p>
        </w:tc>
        <w:tc>
          <w:tcPr>
            <w:tcW w:w="77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Add (deduct):</w:t>
            </w:r>
          </w:p>
        </w:tc>
        <w:tc>
          <w:tcPr>
            <w:tcW w:w="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8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7700" w:type="dxa"/>
            <w:vAlign w:val="bottom"/>
            <w:gridSpan w:val="2"/>
          </w:tcPr>
          <w:p>
            <w:pPr>
              <w:spacing w:after="0"/>
              <w:rPr>
                <w:sz w:val="20"/>
                <w:szCs w:val="20"/>
                <w:color w:val="auto"/>
              </w:rPr>
            </w:pPr>
            <w:r>
              <w:rPr>
                <w:rFonts w:ascii="Arial" w:cs="Arial" w:eastAsia="Arial" w:hAnsi="Arial"/>
                <w:sz w:val="14"/>
                <w:szCs w:val="14"/>
                <w:color w:val="auto"/>
              </w:rPr>
              <w:t>Interest expense, interest and dividend income and other expenses</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4"/>
                <w:szCs w:val="14"/>
                <w:color w:val="auto"/>
              </w:rPr>
              <w:t>(179)</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(1,156)</w:t>
            </w:r>
          </w:p>
        </w:tc>
      </w:tr>
      <w:tr>
        <w:trPr>
          <w:trHeight w:val="162"/>
        </w:trPr>
        <w:tc>
          <w:tcPr>
            <w:tcW w:w="20" w:type="dxa"/>
            <w:vAlign w:val="bottom"/>
          </w:tcPr>
          <w:p>
            <w:pPr>
              <w:spacing w:after="0"/>
              <w:rPr>
                <w:sz w:val="14"/>
                <w:szCs w:val="14"/>
                <w:color w:val="auto"/>
              </w:rPr>
            </w:pPr>
          </w:p>
        </w:tc>
        <w:tc>
          <w:tcPr>
            <w:tcW w:w="7700" w:type="dxa"/>
            <w:vAlign w:val="bottom"/>
            <w:gridSpan w:val="2"/>
            <w:shd w:val="clear" w:color="auto" w:fill="CFF0FC"/>
          </w:tcPr>
          <w:p>
            <w:pPr>
              <w:spacing w:after="0" w:line="162" w:lineRule="exact"/>
              <w:rPr>
                <w:sz w:val="20"/>
                <w:szCs w:val="20"/>
                <w:color w:val="auto"/>
              </w:rPr>
            </w:pPr>
            <w:r>
              <w:rPr>
                <w:rFonts w:ascii="Arial" w:cs="Arial" w:eastAsia="Arial" w:hAnsi="Arial"/>
                <w:sz w:val="14"/>
                <w:szCs w:val="14"/>
                <w:color w:val="auto"/>
              </w:rPr>
              <w:t>Depreciation and amortization</w:t>
            </w:r>
            <w:r>
              <w:rPr>
                <w:rFonts w:ascii="Arial" w:cs="Arial" w:eastAsia="Arial" w:hAnsi="Arial"/>
                <w:sz w:val="18"/>
                <w:szCs w:val="18"/>
                <w:color w:val="auto"/>
                <w:vertAlign w:val="superscript"/>
              </w:rPr>
              <w:t>(1)</w:t>
            </w:r>
          </w:p>
        </w:tc>
        <w:tc>
          <w:tcPr>
            <w:tcW w:w="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4,246</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3,153</w:t>
            </w:r>
          </w:p>
        </w:tc>
        <w:tc>
          <w:tcPr>
            <w:tcW w:w="100" w:type="dxa"/>
            <w:vAlign w:val="bottom"/>
            <w:shd w:val="clear" w:color="auto" w:fill="CFF0FC"/>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7700" w:type="dxa"/>
            <w:vAlign w:val="bottom"/>
            <w:gridSpan w:val="2"/>
          </w:tcPr>
          <w:p>
            <w:pPr>
              <w:spacing w:after="0"/>
              <w:rPr>
                <w:sz w:val="20"/>
                <w:szCs w:val="20"/>
                <w:color w:val="auto"/>
              </w:rPr>
            </w:pPr>
            <w:r>
              <w:rPr>
                <w:rFonts w:ascii="Arial" w:cs="Arial" w:eastAsia="Arial" w:hAnsi="Arial"/>
                <w:sz w:val="14"/>
                <w:szCs w:val="14"/>
                <w:color w:val="auto"/>
              </w:rPr>
              <w:t>Amortization of lease intangible</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180</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7700" w:type="dxa"/>
            <w:vAlign w:val="bottom"/>
            <w:gridSpan w:val="2"/>
            <w:shd w:val="clear" w:color="auto" w:fill="CFF0FC"/>
          </w:tcPr>
          <w:p>
            <w:pPr>
              <w:spacing w:after="0" w:line="162" w:lineRule="exact"/>
              <w:rPr>
                <w:sz w:val="20"/>
                <w:szCs w:val="20"/>
                <w:color w:val="auto"/>
              </w:rPr>
            </w:pPr>
            <w:r>
              <w:rPr>
                <w:rFonts w:ascii="Arial" w:cs="Arial" w:eastAsia="Arial" w:hAnsi="Arial"/>
                <w:sz w:val="14"/>
                <w:szCs w:val="14"/>
                <w:color w:val="auto"/>
              </w:rPr>
              <w:t>Stock-based compensation</w:t>
            </w:r>
            <w:r>
              <w:rPr>
                <w:rFonts w:ascii="Arial" w:cs="Arial" w:eastAsia="Arial" w:hAnsi="Arial"/>
                <w:sz w:val="18"/>
                <w:szCs w:val="18"/>
                <w:color w:val="auto"/>
                <w:vertAlign w:val="superscript"/>
              </w:rPr>
              <w:t>(2)</w:t>
            </w:r>
          </w:p>
        </w:tc>
        <w:tc>
          <w:tcPr>
            <w:tcW w:w="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7,342</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6,036</w:t>
            </w:r>
          </w:p>
        </w:tc>
        <w:tc>
          <w:tcPr>
            <w:tcW w:w="100" w:type="dxa"/>
            <w:vAlign w:val="bottom"/>
            <w:shd w:val="clear" w:color="auto" w:fill="CFF0FC"/>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7700" w:type="dxa"/>
            <w:vAlign w:val="bottom"/>
            <w:gridSpan w:val="2"/>
          </w:tcPr>
          <w:p>
            <w:pPr>
              <w:spacing w:after="0" w:line="162" w:lineRule="exact"/>
              <w:rPr>
                <w:sz w:val="20"/>
                <w:szCs w:val="20"/>
                <w:color w:val="auto"/>
              </w:rPr>
            </w:pPr>
            <w:r>
              <w:rPr>
                <w:rFonts w:ascii="Arial" w:cs="Arial" w:eastAsia="Arial" w:hAnsi="Arial"/>
                <w:sz w:val="14"/>
                <w:szCs w:val="14"/>
                <w:color w:val="auto"/>
              </w:rPr>
              <w:t>Payroll tax expense related to stock-based compensation</w:t>
            </w:r>
            <w:r>
              <w:rPr>
                <w:rFonts w:ascii="Arial" w:cs="Arial" w:eastAsia="Arial" w:hAnsi="Arial"/>
                <w:sz w:val="18"/>
                <w:szCs w:val="18"/>
                <w:color w:val="auto"/>
                <w:vertAlign w:val="superscript"/>
              </w:rPr>
              <w:t>(3)</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1,473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7700" w:type="dxa"/>
            <w:vAlign w:val="bottom"/>
            <w:gridSpan w:val="2"/>
            <w:shd w:val="clear" w:color="auto" w:fill="CFF0FC"/>
          </w:tcPr>
          <w:p>
            <w:pPr>
              <w:spacing w:after="0" w:line="162" w:lineRule="exact"/>
              <w:rPr>
                <w:sz w:val="20"/>
                <w:szCs w:val="20"/>
                <w:color w:val="auto"/>
              </w:rPr>
            </w:pPr>
            <w:r>
              <w:rPr>
                <w:rFonts w:ascii="Arial" w:cs="Arial" w:eastAsia="Arial" w:hAnsi="Arial"/>
                <w:sz w:val="14"/>
                <w:szCs w:val="14"/>
                <w:color w:val="auto"/>
              </w:rPr>
              <w:t>Lease termination</w:t>
            </w:r>
            <w:r>
              <w:rPr>
                <w:rFonts w:ascii="Arial" w:cs="Arial" w:eastAsia="Arial" w:hAnsi="Arial"/>
                <w:sz w:val="18"/>
                <w:szCs w:val="18"/>
                <w:color w:val="auto"/>
                <w:vertAlign w:val="superscript"/>
              </w:rPr>
              <w:t>(4)</w:t>
            </w:r>
          </w:p>
        </w:tc>
        <w:tc>
          <w:tcPr>
            <w:tcW w:w="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3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(30)</w:t>
            </w: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20" w:type="dxa"/>
            <w:vAlign w:val="bottom"/>
          </w:tcPr>
          <w:p>
            <w:pPr>
              <w:spacing w:after="0"/>
              <w:rPr>
                <w:sz w:val="14"/>
                <w:szCs w:val="14"/>
                <w:color w:val="auto"/>
              </w:rPr>
            </w:pPr>
          </w:p>
        </w:tc>
        <w:tc>
          <w:tcPr>
            <w:tcW w:w="7700" w:type="dxa"/>
            <w:vAlign w:val="bottom"/>
            <w:gridSpan w:val="2"/>
          </w:tcPr>
          <w:p>
            <w:pPr>
              <w:spacing w:after="0" w:line="162" w:lineRule="exact"/>
              <w:rPr>
                <w:sz w:val="20"/>
                <w:szCs w:val="20"/>
                <w:color w:val="auto"/>
              </w:rPr>
            </w:pPr>
            <w:r>
              <w:rPr>
                <w:rFonts w:ascii="Arial" w:cs="Arial" w:eastAsia="Arial" w:hAnsi="Arial"/>
                <w:sz w:val="14"/>
                <w:szCs w:val="14"/>
                <w:color w:val="auto"/>
              </w:rPr>
              <w:t>Acquisition and other</w:t>
            </w:r>
            <w:r>
              <w:rPr>
                <w:rFonts w:ascii="Arial" w:cs="Arial" w:eastAsia="Arial" w:hAnsi="Arial"/>
                <w:sz w:val="18"/>
                <w:szCs w:val="18"/>
                <w:color w:val="auto"/>
                <w:vertAlign w:val="superscript"/>
              </w:rPr>
              <w:t>(5)</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251</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686</w:t>
            </w:r>
          </w:p>
        </w:tc>
        <w:tc>
          <w:tcPr>
            <w:tcW w:w="100" w:type="dxa"/>
            <w:vAlign w:val="bottom"/>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7700" w:type="dxa"/>
            <w:vAlign w:val="bottom"/>
            <w:gridSpan w:val="2"/>
            <w:shd w:val="clear" w:color="auto" w:fill="CFF0FC"/>
          </w:tcPr>
          <w:p>
            <w:pPr>
              <w:spacing w:after="0"/>
              <w:rPr>
                <w:sz w:val="20"/>
                <w:szCs w:val="20"/>
                <w:color w:val="auto"/>
              </w:rPr>
            </w:pPr>
            <w:r>
              <w:rPr>
                <w:rFonts w:ascii="Arial" w:cs="Arial" w:eastAsia="Arial" w:hAnsi="Arial"/>
                <w:sz w:val="14"/>
                <w:szCs w:val="14"/>
                <w:color w:val="auto"/>
              </w:rPr>
              <w:t>Charitable contribution of common stock</w:t>
            </w:r>
          </w:p>
        </w:tc>
        <w:tc>
          <w:tcPr>
            <w:tcW w:w="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516</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343</w:t>
            </w:r>
          </w:p>
        </w:tc>
        <w:tc>
          <w:tcPr>
            <w:tcW w:w="100" w:type="dxa"/>
            <w:vAlign w:val="bottom"/>
            <w:shd w:val="clear" w:color="auto" w:fill="CFF0FC"/>
          </w:tcPr>
          <w:p>
            <w:pPr>
              <w:spacing w:after="0"/>
              <w:rPr>
                <w:sz w:val="14"/>
                <w:szCs w:val="14"/>
                <w:color w:val="auto"/>
              </w:rPr>
            </w:pPr>
          </w:p>
        </w:tc>
      </w:tr>
      <w:tr>
        <w:trPr>
          <w:trHeight w:val="162"/>
        </w:trPr>
        <w:tc>
          <w:tcPr>
            <w:tcW w:w="20" w:type="dxa"/>
            <w:vAlign w:val="bottom"/>
          </w:tcPr>
          <w:p>
            <w:pPr>
              <w:spacing w:after="0"/>
              <w:rPr>
                <w:sz w:val="14"/>
                <w:szCs w:val="14"/>
                <w:color w:val="auto"/>
              </w:rPr>
            </w:pPr>
          </w:p>
        </w:tc>
        <w:tc>
          <w:tcPr>
            <w:tcW w:w="7700" w:type="dxa"/>
            <w:vAlign w:val="bottom"/>
            <w:gridSpan w:val="2"/>
          </w:tcPr>
          <w:p>
            <w:pPr>
              <w:spacing w:after="0"/>
              <w:rPr>
                <w:sz w:val="20"/>
                <w:szCs w:val="20"/>
                <w:color w:val="auto"/>
              </w:rPr>
            </w:pPr>
            <w:r>
              <w:rPr>
                <w:rFonts w:ascii="Arial" w:cs="Arial" w:eastAsia="Arial" w:hAnsi="Arial"/>
                <w:sz w:val="14"/>
                <w:szCs w:val="14"/>
                <w:color w:val="auto"/>
              </w:rPr>
              <w:t>Income from unconsolidated joint venture</w:t>
            </w: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4"/>
                <w:szCs w:val="14"/>
                <w:color w:val="auto"/>
              </w:rPr>
              <w:t>(106)</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4"/>
                <w:szCs w:val="14"/>
                <w:color w:val="auto"/>
              </w:rPr>
              <w:t>(97)</w:t>
            </w:r>
          </w:p>
        </w:tc>
      </w:tr>
      <w:tr>
        <w:trPr>
          <w:trHeight w:val="162"/>
        </w:trPr>
        <w:tc>
          <w:tcPr>
            <w:tcW w:w="20" w:type="dxa"/>
            <w:vAlign w:val="bottom"/>
          </w:tcPr>
          <w:p>
            <w:pPr>
              <w:spacing w:after="0"/>
              <w:rPr>
                <w:sz w:val="14"/>
                <w:szCs w:val="14"/>
                <w:color w:val="auto"/>
              </w:rPr>
            </w:pPr>
          </w:p>
        </w:tc>
        <w:tc>
          <w:tcPr>
            <w:tcW w:w="7700" w:type="dxa"/>
            <w:vAlign w:val="bottom"/>
            <w:gridSpan w:val="2"/>
            <w:shd w:val="clear" w:color="auto" w:fill="CFF0FC"/>
          </w:tcPr>
          <w:p>
            <w:pPr>
              <w:spacing w:after="0" w:line="162" w:lineRule="exact"/>
              <w:rPr>
                <w:sz w:val="20"/>
                <w:szCs w:val="20"/>
                <w:color w:val="auto"/>
              </w:rPr>
            </w:pPr>
            <w:r>
              <w:rPr>
                <w:rFonts w:ascii="Arial" w:cs="Arial" w:eastAsia="Arial" w:hAnsi="Arial"/>
                <w:sz w:val="14"/>
                <w:szCs w:val="14"/>
                <w:color w:val="auto"/>
              </w:rPr>
              <w:t>Restructuring charges</w:t>
            </w:r>
            <w:r>
              <w:rPr>
                <w:rFonts w:ascii="Arial" w:cs="Arial" w:eastAsia="Arial" w:hAnsi="Arial"/>
                <w:sz w:val="18"/>
                <w:szCs w:val="18"/>
                <w:color w:val="auto"/>
                <w:vertAlign w:val="superscript"/>
              </w:rPr>
              <w:t>(6)</w:t>
            </w:r>
          </w:p>
        </w:tc>
        <w:tc>
          <w:tcPr>
            <w:tcW w:w="20" w:type="dxa"/>
            <w:vAlign w:val="bottom"/>
            <w:shd w:val="clear" w:color="auto" w:fill="CFF0FC"/>
          </w:tcPr>
          <w:p>
            <w:pPr>
              <w:spacing w:after="0"/>
              <w:rPr>
                <w:sz w:val="14"/>
                <w:szCs w:val="14"/>
                <w:color w:val="auto"/>
              </w:rPr>
            </w:pPr>
          </w:p>
        </w:tc>
        <w:tc>
          <w:tcPr>
            <w:tcW w:w="320" w:type="dxa"/>
            <w:vAlign w:val="bottom"/>
            <w:shd w:val="clear" w:color="auto" w:fill="CFF0FC"/>
          </w:tcPr>
          <w:p>
            <w:pPr>
              <w:spacing w:after="0"/>
              <w:rPr>
                <w:sz w:val="14"/>
                <w:szCs w:val="14"/>
                <w:color w:val="auto"/>
              </w:rPr>
            </w:pPr>
          </w:p>
        </w:tc>
        <w:tc>
          <w:tcPr>
            <w:tcW w:w="118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1,461</w:t>
            </w:r>
          </w:p>
        </w:tc>
        <w:tc>
          <w:tcPr>
            <w:tcW w:w="1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580" w:type="dxa"/>
            <w:vAlign w:val="bottom"/>
            <w:shd w:val="clear" w:color="auto" w:fill="CFF0FC"/>
          </w:tcPr>
          <w:p>
            <w:pPr>
              <w:spacing w:after="0"/>
              <w:rPr>
                <w:sz w:val="14"/>
                <w:szCs w:val="14"/>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56"/>
        </w:trPr>
        <w:tc>
          <w:tcPr>
            <w:tcW w:w="20" w:type="dxa"/>
            <w:vAlign w:val="bottom"/>
          </w:tcPr>
          <w:p>
            <w:pPr>
              <w:spacing w:after="0"/>
              <w:rPr>
                <w:sz w:val="13"/>
                <w:szCs w:val="13"/>
                <w:color w:val="auto"/>
              </w:rPr>
            </w:pPr>
          </w:p>
        </w:tc>
        <w:tc>
          <w:tcPr>
            <w:tcW w:w="770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Adjusted EBITDA</w:t>
            </w:r>
          </w:p>
        </w:tc>
        <w:tc>
          <w:tcPr>
            <w:tcW w:w="20" w:type="dxa"/>
            <w:vAlign w:val="bottom"/>
            <w:tcBorders>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jc w:val="right"/>
              <w:ind w:right="209"/>
              <w:spacing w:after="0"/>
              <w:rPr>
                <w:sz w:val="20"/>
                <w:szCs w:val="20"/>
                <w:color w:val="auto"/>
              </w:rPr>
            </w:pPr>
            <w:r>
              <w:rPr>
                <w:rFonts w:ascii="Arial" w:cs="Arial" w:eastAsia="Arial" w:hAnsi="Arial"/>
                <w:sz w:val="10"/>
                <w:szCs w:val="10"/>
                <w:color w:val="auto"/>
                <w:w w:val="71"/>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78</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Borders>
              <w:top w:val="single" w:sz="8" w:color="auto"/>
              <w:bottom w:val="single" w:sz="8" w:color="auto"/>
            </w:tcBorders>
          </w:tcPr>
          <w:p>
            <w:pPr>
              <w:jc w:val="right"/>
              <w:ind w:right="42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(7,459)</w:t>
            </w:r>
          </w:p>
        </w:tc>
        <w:tc>
          <w:tcPr>
            <w:tcW w:w="10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8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4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For the Three Months</w:t>
            </w:r>
          </w:p>
        </w:tc>
      </w:tr>
      <w:tr>
        <w:trPr>
          <w:trHeight w:val="171"/>
        </w:trPr>
        <w:tc>
          <w:tcPr>
            <w:tcW w:w="2080" w:type="dxa"/>
            <w:vAlign w:val="bottom"/>
          </w:tcPr>
          <w:p>
            <w:pPr>
              <w:spacing w:after="0"/>
              <w:rPr>
                <w:sz w:val="14"/>
                <w:szCs w:val="14"/>
                <w:color w:val="auto"/>
              </w:rPr>
            </w:pPr>
          </w:p>
        </w:tc>
        <w:tc>
          <w:tcPr>
            <w:tcW w:w="580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Ended March 31,</w:t>
            </w:r>
          </w:p>
        </w:tc>
        <w:tc>
          <w:tcPr>
            <w:tcW w:w="10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6"/>
        </w:trPr>
        <w:tc>
          <w:tcPr>
            <w:tcW w:w="208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48"/>
              <w:spacing w:after="0" w:line="155" w:lineRule="exact"/>
              <w:rPr>
                <w:sz w:val="20"/>
                <w:szCs w:val="20"/>
                <w:color w:val="auto"/>
              </w:rPr>
            </w:pPr>
            <w:r>
              <w:rPr>
                <w:rFonts w:ascii="Arial" w:cs="Arial" w:eastAsia="Arial" w:hAnsi="Arial"/>
                <w:sz w:val="14"/>
                <w:szCs w:val="14"/>
                <w:b w:val="1"/>
                <w:bCs w:val="1"/>
                <w:color w:val="auto"/>
              </w:rPr>
              <w:t>2025</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48"/>
              <w:spacing w:after="0" w:line="155" w:lineRule="exact"/>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13"/>
                <w:szCs w:val="13"/>
                <w:color w:val="auto"/>
              </w:rPr>
            </w:pPr>
          </w:p>
        </w:tc>
      </w:tr>
      <w:tr>
        <w:trPr>
          <w:trHeight w:val="142"/>
        </w:trPr>
        <w:tc>
          <w:tcPr>
            <w:tcW w:w="7880" w:type="dxa"/>
            <w:vAlign w:val="bottom"/>
            <w:tcBorders>
              <w:right w:val="single" w:sz="8" w:color="CFF0FC"/>
            </w:tcBorders>
            <w:gridSpan w:val="2"/>
            <w:shd w:val="clear" w:color="auto" w:fill="CFF0FC"/>
          </w:tcPr>
          <w:p>
            <w:pPr>
              <w:spacing w:after="0" w:line="142" w:lineRule="exact"/>
              <w:rPr>
                <w:sz w:val="20"/>
                <w:szCs w:val="20"/>
                <w:color w:val="auto"/>
              </w:rPr>
            </w:pPr>
            <w:r>
              <w:rPr>
                <w:rFonts w:ascii="Arial" w:cs="Arial" w:eastAsia="Arial" w:hAnsi="Arial"/>
                <w:sz w:val="14"/>
                <w:szCs w:val="14"/>
                <w:b w:val="1"/>
                <w:bCs w:val="1"/>
                <w:color w:val="auto"/>
              </w:rPr>
              <w:t>Non-GAAP Net Income (Loss):</w:t>
            </w:r>
          </w:p>
        </w:tc>
        <w:tc>
          <w:tcPr>
            <w:tcW w:w="320" w:type="dxa"/>
            <w:vAlign w:val="bottom"/>
            <w:shd w:val="clear" w:color="auto" w:fill="CFF0FC"/>
          </w:tcPr>
          <w:p>
            <w:pPr>
              <w:spacing w:after="0"/>
              <w:rPr>
                <w:sz w:val="12"/>
                <w:szCs w:val="12"/>
                <w:color w:val="auto"/>
              </w:rPr>
            </w:pPr>
          </w:p>
        </w:tc>
        <w:tc>
          <w:tcPr>
            <w:tcW w:w="1200" w:type="dxa"/>
            <w:vAlign w:val="bottom"/>
            <w:shd w:val="clear" w:color="auto" w:fill="CFF0FC"/>
          </w:tcPr>
          <w:p>
            <w:pPr>
              <w:spacing w:after="0"/>
              <w:rPr>
                <w:sz w:val="12"/>
                <w:szCs w:val="12"/>
                <w:color w:val="auto"/>
              </w:rPr>
            </w:pPr>
          </w:p>
        </w:tc>
        <w:tc>
          <w:tcPr>
            <w:tcW w:w="120" w:type="dxa"/>
            <w:vAlign w:val="bottom"/>
            <w:shd w:val="clear" w:color="auto" w:fill="CFF0FC"/>
          </w:tcPr>
          <w:p>
            <w:pPr>
              <w:spacing w:after="0"/>
              <w:rPr>
                <w:sz w:val="12"/>
                <w:szCs w:val="12"/>
                <w:color w:val="auto"/>
              </w:rPr>
            </w:pPr>
          </w:p>
        </w:tc>
        <w:tc>
          <w:tcPr>
            <w:tcW w:w="80" w:type="dxa"/>
            <w:vAlign w:val="bottom"/>
            <w:shd w:val="clear" w:color="auto" w:fill="CFF0FC"/>
          </w:tcPr>
          <w:p>
            <w:pPr>
              <w:spacing w:after="0"/>
              <w:rPr>
                <w:sz w:val="12"/>
                <w:szCs w:val="12"/>
                <w:color w:val="auto"/>
              </w:rPr>
            </w:pPr>
          </w:p>
        </w:tc>
        <w:tc>
          <w:tcPr>
            <w:tcW w:w="520" w:type="dxa"/>
            <w:vAlign w:val="bottom"/>
            <w:shd w:val="clear" w:color="auto" w:fill="CFF0FC"/>
          </w:tcPr>
          <w:p>
            <w:pPr>
              <w:spacing w:after="0"/>
              <w:rPr>
                <w:sz w:val="12"/>
                <w:szCs w:val="12"/>
                <w:color w:val="auto"/>
              </w:rPr>
            </w:pPr>
          </w:p>
        </w:tc>
        <w:tc>
          <w:tcPr>
            <w:tcW w:w="1020" w:type="dxa"/>
            <w:vAlign w:val="bottom"/>
            <w:shd w:val="clear" w:color="auto" w:fill="CFF0FC"/>
          </w:tcPr>
          <w:p>
            <w:pPr>
              <w:spacing w:after="0"/>
              <w:rPr>
                <w:sz w:val="12"/>
                <w:szCs w:val="12"/>
                <w:color w:val="auto"/>
              </w:rPr>
            </w:pPr>
          </w:p>
        </w:tc>
        <w:tc>
          <w:tcPr>
            <w:tcW w:w="100" w:type="dxa"/>
            <w:vAlign w:val="bottom"/>
            <w:shd w:val="clear" w:color="auto" w:fill="CFF0FC"/>
          </w:tcPr>
          <w:p>
            <w:pPr>
              <w:spacing w:after="0"/>
              <w:rPr>
                <w:sz w:val="12"/>
                <w:szCs w:val="12"/>
                <w:color w:val="auto"/>
              </w:rPr>
            </w:pPr>
          </w:p>
        </w:tc>
      </w:tr>
      <w:tr>
        <w:trPr>
          <w:trHeight w:val="156"/>
        </w:trPr>
        <w:tc>
          <w:tcPr>
            <w:tcW w:w="20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color w:val="auto"/>
              </w:rPr>
              <w:t>Net loss</w:t>
            </w:r>
          </w:p>
        </w:tc>
        <w:tc>
          <w:tcPr>
            <w:tcW w:w="5800" w:type="dxa"/>
            <w:vAlign w:val="bottom"/>
            <w:tcBorders>
              <w:top w:val="single" w:sz="8" w:color="CFF0FC"/>
            </w:tcBorders>
          </w:tcPr>
          <w:p>
            <w:pPr>
              <w:spacing w:after="0"/>
              <w:rPr>
                <w:sz w:val="13"/>
                <w:szCs w:val="13"/>
                <w:color w:val="auto"/>
              </w:rPr>
            </w:pPr>
          </w:p>
        </w:tc>
        <w:tc>
          <w:tcPr>
            <w:tcW w:w="320" w:type="dxa"/>
            <w:vAlign w:val="bottom"/>
            <w:tcBorders>
              <w:top w:val="single" w:sz="8" w:color="CFF0FC"/>
            </w:tcBorders>
          </w:tcPr>
          <w:p>
            <w:pPr>
              <w:jc w:val="right"/>
              <w:ind w:right="209"/>
              <w:spacing w:after="0"/>
              <w:rPr>
                <w:sz w:val="20"/>
                <w:szCs w:val="20"/>
                <w:color w:val="auto"/>
              </w:rPr>
            </w:pPr>
            <w:r>
              <w:rPr>
                <w:rFonts w:ascii="Arial" w:cs="Arial" w:eastAsia="Arial" w:hAnsi="Arial"/>
                <w:sz w:val="10"/>
                <w:szCs w:val="10"/>
                <w:color w:val="auto"/>
                <w:w w:val="71"/>
              </w:rPr>
              <w:t>$</w:t>
            </w:r>
          </w:p>
        </w:tc>
        <w:tc>
          <w:tcPr>
            <w:tcW w:w="1320" w:type="dxa"/>
            <w:vAlign w:val="bottom"/>
            <w:tcBorders>
              <w:top w:val="single" w:sz="8" w:color="CFF0FC"/>
            </w:tcBorders>
            <w:gridSpan w:val="2"/>
          </w:tcPr>
          <w:p>
            <w:pPr>
              <w:jc w:val="right"/>
              <w:ind w:right="80"/>
              <w:spacing w:after="0" w:line="155" w:lineRule="exact"/>
              <w:rPr>
                <w:sz w:val="20"/>
                <w:szCs w:val="20"/>
                <w:color w:val="auto"/>
              </w:rPr>
            </w:pPr>
            <w:r>
              <w:rPr>
                <w:rFonts w:ascii="Arial" w:cs="Arial" w:eastAsia="Arial" w:hAnsi="Arial"/>
                <w:sz w:val="14"/>
                <w:szCs w:val="14"/>
                <w:color w:val="auto"/>
              </w:rPr>
              <w:t>(15,076)</w:t>
            </w:r>
          </w:p>
        </w:tc>
        <w:tc>
          <w:tcPr>
            <w:tcW w:w="600" w:type="dxa"/>
            <w:vAlign w:val="bottom"/>
            <w:tcBorders>
              <w:top w:val="single" w:sz="8" w:color="CFF0FC"/>
            </w:tcBorders>
            <w:gridSpan w:val="2"/>
          </w:tcPr>
          <w:p>
            <w:pPr>
              <w:jc w:val="right"/>
              <w:ind w:right="368"/>
              <w:spacing w:after="0" w:line="155" w:lineRule="exact"/>
              <w:rPr>
                <w:sz w:val="20"/>
                <w:szCs w:val="20"/>
                <w:color w:val="auto"/>
              </w:rPr>
            </w:pPr>
            <w:r>
              <w:rPr>
                <w:rFonts w:ascii="Arial" w:cs="Arial" w:eastAsia="Arial" w:hAnsi="Arial"/>
                <w:sz w:val="14"/>
                <w:szCs w:val="14"/>
                <w:color w:val="auto"/>
              </w:rPr>
              <w:t>$</w:t>
            </w:r>
          </w:p>
        </w:tc>
        <w:tc>
          <w:tcPr>
            <w:tcW w:w="1120" w:type="dxa"/>
            <w:vAlign w:val="bottom"/>
            <w:tcBorders>
              <w:top w:val="single" w:sz="8" w:color="CFF0FC"/>
            </w:tcBorders>
            <w:gridSpan w:val="2"/>
          </w:tcPr>
          <w:p>
            <w:pPr>
              <w:jc w:val="right"/>
              <w:ind w:right="60"/>
              <w:spacing w:after="0" w:line="155" w:lineRule="exact"/>
              <w:rPr>
                <w:sz w:val="20"/>
                <w:szCs w:val="20"/>
                <w:color w:val="auto"/>
              </w:rPr>
            </w:pPr>
            <w:r>
              <w:rPr>
                <w:rFonts w:ascii="Arial" w:cs="Arial" w:eastAsia="Arial" w:hAnsi="Arial"/>
                <w:sz w:val="14"/>
                <w:szCs w:val="14"/>
                <w:color w:val="auto"/>
              </w:rPr>
              <w:t>(16,604)</w:t>
            </w:r>
          </w:p>
        </w:tc>
      </w:tr>
      <w:tr>
        <w:trPr>
          <w:trHeight w:val="162"/>
        </w:trPr>
        <w:tc>
          <w:tcPr>
            <w:tcW w:w="788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4"/>
                <w:szCs w:val="14"/>
                <w:color w:val="auto"/>
              </w:rPr>
              <w:t>Add (deduct):</w:t>
            </w:r>
          </w:p>
        </w:tc>
        <w:tc>
          <w:tcPr>
            <w:tcW w:w="320" w:type="dxa"/>
            <w:vAlign w:val="bottom"/>
            <w:shd w:val="clear" w:color="auto" w:fill="CFF0FC"/>
          </w:tcPr>
          <w:p>
            <w:pPr>
              <w:spacing w:after="0"/>
              <w:rPr>
                <w:sz w:val="14"/>
                <w:szCs w:val="14"/>
                <w:color w:val="auto"/>
              </w:rPr>
            </w:pPr>
          </w:p>
        </w:tc>
        <w:tc>
          <w:tcPr>
            <w:tcW w:w="120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62"/>
        </w:trPr>
        <w:tc>
          <w:tcPr>
            <w:tcW w:w="7880" w:type="dxa"/>
            <w:vAlign w:val="bottom"/>
            <w:gridSpan w:val="2"/>
          </w:tcPr>
          <w:p>
            <w:pPr>
              <w:spacing w:after="0" w:line="162" w:lineRule="exact"/>
              <w:rPr>
                <w:sz w:val="20"/>
                <w:szCs w:val="20"/>
                <w:color w:val="auto"/>
              </w:rPr>
            </w:pPr>
            <w:r>
              <w:rPr>
                <w:rFonts w:ascii="Arial" w:cs="Arial" w:eastAsia="Arial" w:hAnsi="Arial"/>
                <w:sz w:val="14"/>
                <w:szCs w:val="14"/>
                <w:color w:val="auto"/>
              </w:rPr>
              <w:t>Depreciation and amortization</w:t>
            </w:r>
            <w:r>
              <w:rPr>
                <w:rFonts w:ascii="Arial" w:cs="Arial" w:eastAsia="Arial" w:hAnsi="Arial"/>
                <w:sz w:val="18"/>
                <w:szCs w:val="18"/>
                <w:color w:val="auto"/>
                <w:vertAlign w:val="superscript"/>
              </w:rPr>
              <w:t>(1)</w:t>
            </w:r>
          </w:p>
        </w:tc>
        <w:tc>
          <w:tcPr>
            <w:tcW w:w="3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4,246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3,153</w:t>
            </w:r>
          </w:p>
        </w:tc>
        <w:tc>
          <w:tcPr>
            <w:tcW w:w="100" w:type="dxa"/>
            <w:vAlign w:val="bottom"/>
          </w:tcPr>
          <w:p>
            <w:pPr>
              <w:spacing w:after="0"/>
              <w:rPr>
                <w:sz w:val="14"/>
                <w:szCs w:val="14"/>
                <w:color w:val="auto"/>
              </w:rPr>
            </w:pPr>
          </w:p>
        </w:tc>
      </w:tr>
      <w:tr>
        <w:trPr>
          <w:trHeight w:val="162"/>
        </w:trPr>
        <w:tc>
          <w:tcPr>
            <w:tcW w:w="7880" w:type="dxa"/>
            <w:vAlign w:val="bottom"/>
            <w:tcBorders>
              <w:right w:val="single" w:sz="8" w:color="CFF0FC"/>
            </w:tcBorders>
            <w:gridSpan w:val="2"/>
            <w:shd w:val="clear" w:color="auto" w:fill="CFF0FC"/>
          </w:tcPr>
          <w:p>
            <w:pPr>
              <w:spacing w:after="0" w:line="162" w:lineRule="exact"/>
              <w:rPr>
                <w:sz w:val="20"/>
                <w:szCs w:val="20"/>
                <w:color w:val="auto"/>
              </w:rPr>
            </w:pPr>
            <w:r>
              <w:rPr>
                <w:rFonts w:ascii="Arial" w:cs="Arial" w:eastAsia="Arial" w:hAnsi="Arial"/>
                <w:sz w:val="14"/>
                <w:szCs w:val="14"/>
                <w:color w:val="auto"/>
              </w:rPr>
              <w:t xml:space="preserve">Stock-based compensation </w:t>
            </w:r>
            <w:r>
              <w:rPr>
                <w:rFonts w:ascii="Arial" w:cs="Arial" w:eastAsia="Arial" w:hAnsi="Arial"/>
                <w:sz w:val="18"/>
                <w:szCs w:val="18"/>
                <w:color w:val="auto"/>
                <w:vertAlign w:val="superscript"/>
              </w:rPr>
              <w:t>(2)</w:t>
            </w:r>
          </w:p>
        </w:tc>
        <w:tc>
          <w:tcPr>
            <w:tcW w:w="32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7,342</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6,036</w:t>
            </w:r>
          </w:p>
        </w:tc>
        <w:tc>
          <w:tcPr>
            <w:tcW w:w="100" w:type="dxa"/>
            <w:vAlign w:val="bottom"/>
            <w:shd w:val="clear" w:color="auto" w:fill="CFF0FC"/>
          </w:tcPr>
          <w:p>
            <w:pPr>
              <w:spacing w:after="0"/>
              <w:rPr>
                <w:sz w:val="14"/>
                <w:szCs w:val="14"/>
                <w:color w:val="auto"/>
              </w:rPr>
            </w:pPr>
          </w:p>
        </w:tc>
      </w:tr>
      <w:tr>
        <w:trPr>
          <w:trHeight w:val="162"/>
        </w:trPr>
        <w:tc>
          <w:tcPr>
            <w:tcW w:w="7880" w:type="dxa"/>
            <w:vAlign w:val="bottom"/>
            <w:gridSpan w:val="2"/>
          </w:tcPr>
          <w:p>
            <w:pPr>
              <w:spacing w:after="0" w:line="162" w:lineRule="exact"/>
              <w:rPr>
                <w:sz w:val="20"/>
                <w:szCs w:val="20"/>
                <w:color w:val="auto"/>
              </w:rPr>
            </w:pPr>
            <w:r>
              <w:rPr>
                <w:rFonts w:ascii="Arial" w:cs="Arial" w:eastAsia="Arial" w:hAnsi="Arial"/>
                <w:sz w:val="14"/>
                <w:szCs w:val="14"/>
                <w:color w:val="auto"/>
              </w:rPr>
              <w:t>Payroll tax expense related to stock-based compensation</w:t>
            </w:r>
            <w:r>
              <w:rPr>
                <w:rFonts w:ascii="Arial" w:cs="Arial" w:eastAsia="Arial" w:hAnsi="Arial"/>
                <w:sz w:val="18"/>
                <w:szCs w:val="18"/>
                <w:color w:val="auto"/>
                <w:vertAlign w:val="superscript"/>
              </w:rPr>
              <w:t>(3)</w:t>
            </w:r>
          </w:p>
        </w:tc>
        <w:tc>
          <w:tcPr>
            <w:tcW w:w="3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1,473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788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4"/>
                <w:szCs w:val="14"/>
                <w:color w:val="auto"/>
              </w:rPr>
              <w:t>Amortization of lease intangible</w:t>
            </w:r>
          </w:p>
        </w:tc>
        <w:tc>
          <w:tcPr>
            <w:tcW w:w="32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180</w:t>
            </w:r>
          </w:p>
        </w:tc>
        <w:tc>
          <w:tcPr>
            <w:tcW w:w="100" w:type="dxa"/>
            <w:vAlign w:val="bottom"/>
            <w:shd w:val="clear" w:color="auto" w:fill="CFF0FC"/>
          </w:tcPr>
          <w:p>
            <w:pPr>
              <w:spacing w:after="0"/>
              <w:rPr>
                <w:sz w:val="14"/>
                <w:szCs w:val="14"/>
                <w:color w:val="auto"/>
              </w:rPr>
            </w:pPr>
          </w:p>
        </w:tc>
      </w:tr>
      <w:tr>
        <w:trPr>
          <w:trHeight w:val="162"/>
        </w:trPr>
        <w:tc>
          <w:tcPr>
            <w:tcW w:w="7880" w:type="dxa"/>
            <w:vAlign w:val="bottom"/>
            <w:gridSpan w:val="2"/>
          </w:tcPr>
          <w:p>
            <w:pPr>
              <w:spacing w:after="0"/>
              <w:rPr>
                <w:sz w:val="20"/>
                <w:szCs w:val="20"/>
                <w:color w:val="auto"/>
              </w:rPr>
            </w:pPr>
            <w:r>
              <w:rPr>
                <w:rFonts w:ascii="Arial" w:cs="Arial" w:eastAsia="Arial" w:hAnsi="Arial"/>
                <w:sz w:val="14"/>
                <w:szCs w:val="14"/>
                <w:color w:val="auto"/>
              </w:rPr>
              <w:t>Amortization of deferred costs on convertible notes</w:t>
            </w:r>
          </w:p>
        </w:tc>
        <w:tc>
          <w:tcPr>
            <w:tcW w:w="3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465</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464</w:t>
            </w:r>
          </w:p>
        </w:tc>
        <w:tc>
          <w:tcPr>
            <w:tcW w:w="100" w:type="dxa"/>
            <w:vAlign w:val="bottom"/>
          </w:tcPr>
          <w:p>
            <w:pPr>
              <w:spacing w:after="0"/>
              <w:rPr>
                <w:sz w:val="14"/>
                <w:szCs w:val="14"/>
                <w:color w:val="auto"/>
              </w:rPr>
            </w:pPr>
          </w:p>
        </w:tc>
      </w:tr>
      <w:tr>
        <w:trPr>
          <w:trHeight w:val="162"/>
        </w:trPr>
        <w:tc>
          <w:tcPr>
            <w:tcW w:w="7880" w:type="dxa"/>
            <w:vAlign w:val="bottom"/>
            <w:tcBorders>
              <w:right w:val="single" w:sz="8" w:color="CFF0FC"/>
            </w:tcBorders>
            <w:gridSpan w:val="2"/>
            <w:shd w:val="clear" w:color="auto" w:fill="CFF0FC"/>
          </w:tcPr>
          <w:p>
            <w:pPr>
              <w:spacing w:after="0" w:line="162" w:lineRule="exact"/>
              <w:rPr>
                <w:sz w:val="20"/>
                <w:szCs w:val="20"/>
                <w:color w:val="auto"/>
              </w:rPr>
            </w:pPr>
            <w:r>
              <w:rPr>
                <w:rFonts w:ascii="Arial" w:cs="Arial" w:eastAsia="Arial" w:hAnsi="Arial"/>
                <w:sz w:val="14"/>
                <w:szCs w:val="14"/>
                <w:color w:val="auto"/>
              </w:rPr>
              <w:t>Acquisition and other</w:t>
            </w:r>
            <w:r>
              <w:rPr>
                <w:rFonts w:ascii="Arial" w:cs="Arial" w:eastAsia="Arial" w:hAnsi="Arial"/>
                <w:sz w:val="18"/>
                <w:szCs w:val="18"/>
                <w:color w:val="auto"/>
                <w:vertAlign w:val="superscript"/>
              </w:rPr>
              <w:t>(5)</w:t>
            </w:r>
          </w:p>
        </w:tc>
        <w:tc>
          <w:tcPr>
            <w:tcW w:w="320" w:type="dxa"/>
            <w:vAlign w:val="bottom"/>
            <w:shd w:val="clear" w:color="auto" w:fill="CFF0FC"/>
          </w:tcPr>
          <w:p>
            <w:pPr>
              <w:spacing w:after="0"/>
              <w:rPr>
                <w:sz w:val="14"/>
                <w:szCs w:val="14"/>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251</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686</w:t>
            </w:r>
          </w:p>
        </w:tc>
        <w:tc>
          <w:tcPr>
            <w:tcW w:w="100" w:type="dxa"/>
            <w:vAlign w:val="bottom"/>
            <w:shd w:val="clear" w:color="auto" w:fill="CFF0FC"/>
          </w:tcPr>
          <w:p>
            <w:pPr>
              <w:spacing w:after="0"/>
              <w:rPr>
                <w:sz w:val="14"/>
                <w:szCs w:val="14"/>
                <w:color w:val="auto"/>
              </w:rPr>
            </w:pPr>
          </w:p>
        </w:tc>
      </w:tr>
      <w:tr>
        <w:trPr>
          <w:trHeight w:val="162"/>
        </w:trPr>
        <w:tc>
          <w:tcPr>
            <w:tcW w:w="7880" w:type="dxa"/>
            <w:vAlign w:val="bottom"/>
            <w:gridSpan w:val="2"/>
          </w:tcPr>
          <w:p>
            <w:pPr>
              <w:spacing w:after="0"/>
              <w:rPr>
                <w:sz w:val="20"/>
                <w:szCs w:val="20"/>
                <w:color w:val="auto"/>
              </w:rPr>
            </w:pPr>
            <w:r>
              <w:rPr>
                <w:rFonts w:ascii="Arial" w:cs="Arial" w:eastAsia="Arial" w:hAnsi="Arial"/>
                <w:sz w:val="14"/>
                <w:szCs w:val="14"/>
                <w:color w:val="auto"/>
              </w:rPr>
              <w:t>Charitable contribution of common stock</w:t>
            </w:r>
          </w:p>
        </w:tc>
        <w:tc>
          <w:tcPr>
            <w:tcW w:w="3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516</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343</w:t>
            </w:r>
          </w:p>
        </w:tc>
        <w:tc>
          <w:tcPr>
            <w:tcW w:w="100" w:type="dxa"/>
            <w:vAlign w:val="bottom"/>
          </w:tcPr>
          <w:p>
            <w:pPr>
              <w:spacing w:after="0"/>
              <w:rPr>
                <w:sz w:val="14"/>
                <w:szCs w:val="14"/>
                <w:color w:val="auto"/>
              </w:rPr>
            </w:pPr>
          </w:p>
        </w:tc>
      </w:tr>
      <w:tr>
        <w:trPr>
          <w:trHeight w:val="162"/>
        </w:trPr>
        <w:tc>
          <w:tcPr>
            <w:tcW w:w="7880" w:type="dxa"/>
            <w:vAlign w:val="bottom"/>
            <w:tcBorders>
              <w:right w:val="single" w:sz="8" w:color="CFF0FC"/>
            </w:tcBorders>
            <w:gridSpan w:val="2"/>
            <w:shd w:val="clear" w:color="auto" w:fill="CFF0FC"/>
          </w:tcPr>
          <w:p>
            <w:pPr>
              <w:spacing w:after="0" w:line="162" w:lineRule="exact"/>
              <w:rPr>
                <w:sz w:val="20"/>
                <w:szCs w:val="20"/>
                <w:color w:val="auto"/>
              </w:rPr>
            </w:pPr>
            <w:r>
              <w:rPr>
                <w:rFonts w:ascii="Arial" w:cs="Arial" w:eastAsia="Arial" w:hAnsi="Arial"/>
                <w:sz w:val="14"/>
                <w:szCs w:val="14"/>
                <w:color w:val="auto"/>
              </w:rPr>
              <w:t>Lease termination</w:t>
            </w:r>
            <w:r>
              <w:rPr>
                <w:rFonts w:ascii="Arial" w:cs="Arial" w:eastAsia="Arial" w:hAnsi="Arial"/>
                <w:sz w:val="18"/>
                <w:szCs w:val="18"/>
                <w:color w:val="auto"/>
                <w:vertAlign w:val="superscript"/>
              </w:rPr>
              <w:t>(4)</w:t>
            </w:r>
          </w:p>
        </w:tc>
        <w:tc>
          <w:tcPr>
            <w:tcW w:w="320" w:type="dxa"/>
            <w:vAlign w:val="bottom"/>
            <w:shd w:val="clear" w:color="auto" w:fill="CFF0FC"/>
          </w:tcPr>
          <w:p>
            <w:pPr>
              <w:spacing w:after="0"/>
              <w:rPr>
                <w:sz w:val="14"/>
                <w:szCs w:val="14"/>
                <w:color w:val="auto"/>
              </w:rPr>
            </w:pP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(30)</w:t>
            </w:r>
          </w:p>
        </w:tc>
        <w:tc>
          <w:tcPr>
            <w:tcW w:w="8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r>
      <w:tr>
        <w:trPr>
          <w:trHeight w:val="162"/>
        </w:trPr>
        <w:tc>
          <w:tcPr>
            <w:tcW w:w="7880" w:type="dxa"/>
            <w:vAlign w:val="bottom"/>
            <w:gridSpan w:val="2"/>
          </w:tcPr>
          <w:p>
            <w:pPr>
              <w:spacing w:after="0" w:line="162" w:lineRule="exact"/>
              <w:rPr>
                <w:sz w:val="20"/>
                <w:szCs w:val="20"/>
                <w:color w:val="auto"/>
              </w:rPr>
            </w:pPr>
            <w:r>
              <w:rPr>
                <w:rFonts w:ascii="Arial" w:cs="Arial" w:eastAsia="Arial" w:hAnsi="Arial"/>
                <w:sz w:val="14"/>
                <w:szCs w:val="14"/>
                <w:color w:val="auto"/>
              </w:rPr>
              <w:t>Restructuring charges</w:t>
            </w:r>
            <w:r>
              <w:rPr>
                <w:rFonts w:ascii="Arial" w:cs="Arial" w:eastAsia="Arial" w:hAnsi="Arial"/>
                <w:sz w:val="18"/>
                <w:szCs w:val="18"/>
                <w:color w:val="auto"/>
                <w:vertAlign w:val="superscript"/>
              </w:rPr>
              <w:t>(6)</w:t>
            </w:r>
          </w:p>
        </w:tc>
        <w:tc>
          <w:tcPr>
            <w:tcW w:w="3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1,461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r>
      <w:tr>
        <w:trPr>
          <w:trHeight w:val="195"/>
        </w:trPr>
        <w:tc>
          <w:tcPr>
            <w:tcW w:w="7880" w:type="dxa"/>
            <w:vAlign w:val="bottom"/>
            <w:tcBorders>
              <w:top w:val="single" w:sz="8" w:color="CFF0FC"/>
              <w:bottom w:val="single" w:sz="8" w:color="CFF0FC"/>
              <w:right w:val="single" w:sz="8" w:color="CFF0FC"/>
            </w:tcBorders>
            <w:gridSpan w:val="2"/>
            <w:shd w:val="clear" w:color="auto" w:fill="CFF0FC"/>
          </w:tcPr>
          <w:p>
            <w:pPr>
              <w:spacing w:after="0" w:line="155" w:lineRule="exact"/>
              <w:rPr>
                <w:sz w:val="20"/>
                <w:szCs w:val="20"/>
                <w:color w:val="auto"/>
              </w:rPr>
            </w:pPr>
            <w:r>
              <w:rPr>
                <w:rFonts w:ascii="Arial" w:cs="Arial" w:eastAsia="Arial" w:hAnsi="Arial"/>
                <w:sz w:val="14"/>
                <w:szCs w:val="14"/>
                <w:b w:val="1"/>
                <w:bCs w:val="1"/>
                <w:color w:val="auto"/>
              </w:rPr>
              <w:t>Non-GAAP Net Income (Loss)</w:t>
            </w:r>
          </w:p>
        </w:tc>
        <w:tc>
          <w:tcPr>
            <w:tcW w:w="320" w:type="dxa"/>
            <w:vAlign w:val="bottom"/>
            <w:tcBorders>
              <w:top w:val="single" w:sz="8" w:color="auto"/>
              <w:bottom w:val="single" w:sz="8" w:color="auto"/>
            </w:tcBorders>
            <w:shd w:val="clear" w:color="auto" w:fill="CFF0FC"/>
          </w:tcPr>
          <w:p>
            <w:pPr>
              <w:jc w:val="right"/>
              <w:ind w:right="209"/>
              <w:spacing w:after="0"/>
              <w:rPr>
                <w:sz w:val="20"/>
                <w:szCs w:val="20"/>
                <w:color w:val="auto"/>
              </w:rPr>
            </w:pPr>
            <w:r>
              <w:rPr>
                <w:rFonts w:ascii="Arial" w:cs="Arial" w:eastAsia="Arial" w:hAnsi="Arial"/>
                <w:sz w:val="10"/>
                <w:szCs w:val="10"/>
                <w:color w:val="auto"/>
                <w:w w:val="71"/>
              </w:rPr>
              <w:t>$</w:t>
            </w:r>
          </w:p>
        </w:tc>
        <w:tc>
          <w:tcPr>
            <w:tcW w:w="120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828</w:t>
            </w:r>
          </w:p>
        </w:tc>
        <w:tc>
          <w:tcPr>
            <w:tcW w:w="120" w:type="dxa"/>
            <w:vAlign w:val="bottom"/>
            <w:tcBorders>
              <w:top w:val="single" w:sz="8" w:color="CFF0FC"/>
              <w:bottom w:val="single" w:sz="8" w:color="CFF0FC"/>
            </w:tcBorders>
            <w:shd w:val="clear" w:color="auto" w:fill="CFF0FC"/>
          </w:tcPr>
          <w:p>
            <w:pPr>
              <w:spacing w:after="0"/>
              <w:rPr>
                <w:sz w:val="17"/>
                <w:szCs w:val="17"/>
                <w:color w:val="auto"/>
              </w:rPr>
            </w:pPr>
          </w:p>
        </w:tc>
        <w:tc>
          <w:tcPr>
            <w:tcW w:w="80" w:type="dxa"/>
            <w:vAlign w:val="bottom"/>
            <w:tcBorders>
              <w:top w:val="single" w:sz="8" w:color="CFF0FC"/>
              <w:bottom w:val="single" w:sz="8" w:color="CFF0FC"/>
            </w:tcBorders>
            <w:shd w:val="clear" w:color="auto" w:fill="CFF0FC"/>
          </w:tcPr>
          <w:p>
            <w:pPr>
              <w:spacing w:after="0"/>
              <w:rPr>
                <w:sz w:val="17"/>
                <w:szCs w:val="17"/>
                <w:color w:val="auto"/>
              </w:rPr>
            </w:pPr>
          </w:p>
        </w:tc>
        <w:tc>
          <w:tcPr>
            <w:tcW w:w="520" w:type="dxa"/>
            <w:vAlign w:val="bottom"/>
            <w:tcBorders>
              <w:top w:val="single" w:sz="8" w:color="auto"/>
              <w:bottom w:val="single" w:sz="8" w:color="auto"/>
            </w:tcBorders>
            <w:shd w:val="clear" w:color="auto" w:fill="CFF0FC"/>
          </w:tcPr>
          <w:p>
            <w:pPr>
              <w:jc w:val="right"/>
              <w:ind w:right="368"/>
              <w:spacing w:after="0" w:line="155" w:lineRule="exact"/>
              <w:rPr>
                <w:sz w:val="20"/>
                <w:szCs w:val="20"/>
                <w:color w:val="auto"/>
              </w:rPr>
            </w:pPr>
            <w:r>
              <w:rPr>
                <w:rFonts w:ascii="Arial" w:cs="Arial" w:eastAsia="Arial" w:hAnsi="Arial"/>
                <w:sz w:val="14"/>
                <w:szCs w:val="14"/>
                <w:color w:val="auto"/>
                <w:w w:val="76"/>
              </w:rPr>
              <w:t>$</w:t>
            </w:r>
          </w:p>
        </w:tc>
        <w:tc>
          <w:tcPr>
            <w:tcW w:w="1020" w:type="dxa"/>
            <w:vAlign w:val="bottom"/>
            <w:tcBorders>
              <w:top w:val="single" w:sz="8" w:color="auto"/>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(5,742)</w:t>
            </w:r>
          </w:p>
        </w:tc>
        <w:tc>
          <w:tcPr>
            <w:tcW w:w="100" w:type="dxa"/>
            <w:vAlign w:val="bottom"/>
            <w:tcBorders>
              <w:top w:val="single" w:sz="8" w:color="CFF0FC"/>
              <w:bottom w:val="single" w:sz="8" w:color="CFF0FC"/>
            </w:tcBorders>
            <w:shd w:val="clear" w:color="auto" w:fill="CFF0FC"/>
          </w:tcPr>
          <w:p>
            <w:pPr>
              <w:spacing w:after="0"/>
              <w:rPr>
                <w:sz w:val="17"/>
                <w:szCs w:val="17"/>
                <w:color w:val="auto"/>
              </w:rPr>
            </w:pPr>
          </w:p>
        </w:tc>
      </w:tr>
      <w:tr>
        <w:trPr>
          <w:trHeight w:val="133"/>
        </w:trPr>
        <w:tc>
          <w:tcPr>
            <w:tcW w:w="7880" w:type="dxa"/>
            <w:vAlign w:val="bottom"/>
            <w:gridSpan w:val="2"/>
          </w:tcPr>
          <w:p>
            <w:pPr>
              <w:spacing w:after="0" w:line="133" w:lineRule="exact"/>
              <w:rPr>
                <w:sz w:val="20"/>
                <w:szCs w:val="20"/>
                <w:color w:val="auto"/>
              </w:rPr>
            </w:pPr>
            <w:r>
              <w:rPr>
                <w:rFonts w:ascii="Arial" w:cs="Arial" w:eastAsia="Arial" w:hAnsi="Arial"/>
                <w:sz w:val="14"/>
                <w:szCs w:val="14"/>
                <w:color w:val="auto"/>
              </w:rPr>
              <w:t>Weighted-average number of shares outstanding used to compute Non-GAAP Net Income (Loss) per share, basic and</w:t>
            </w:r>
          </w:p>
        </w:tc>
        <w:tc>
          <w:tcPr>
            <w:tcW w:w="3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1"/>
        </w:trPr>
        <w:tc>
          <w:tcPr>
            <w:tcW w:w="7880" w:type="dxa"/>
            <w:vAlign w:val="bottom"/>
            <w:gridSpan w:val="2"/>
          </w:tcPr>
          <w:p>
            <w:pPr>
              <w:spacing w:after="0"/>
              <w:rPr>
                <w:sz w:val="20"/>
                <w:szCs w:val="20"/>
                <w:color w:val="auto"/>
              </w:rPr>
            </w:pPr>
            <w:r>
              <w:rPr>
                <w:rFonts w:ascii="Arial" w:cs="Arial" w:eastAsia="Arial" w:hAnsi="Arial"/>
                <w:sz w:val="14"/>
                <w:szCs w:val="14"/>
                <w:color w:val="auto"/>
              </w:rPr>
              <w:t>diluted, of Class A and Class B common stock</w:t>
            </w:r>
          </w:p>
        </w:tc>
        <w:tc>
          <w:tcPr>
            <w:tcW w:w="32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50,335,053</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48,577,980</w:t>
            </w:r>
          </w:p>
        </w:tc>
        <w:tc>
          <w:tcPr>
            <w:tcW w:w="100" w:type="dxa"/>
            <w:vAlign w:val="bottom"/>
          </w:tcPr>
          <w:p>
            <w:pPr>
              <w:spacing w:after="0"/>
              <w:rPr>
                <w:sz w:val="14"/>
                <w:szCs w:val="14"/>
                <w:color w:val="auto"/>
              </w:rPr>
            </w:pPr>
          </w:p>
        </w:tc>
      </w:tr>
      <w:tr>
        <w:trPr>
          <w:trHeight w:val="162"/>
        </w:trPr>
        <w:tc>
          <w:tcPr>
            <w:tcW w:w="7880" w:type="dxa"/>
            <w:vAlign w:val="bottom"/>
            <w:tcBorders>
              <w:bottom w:val="single" w:sz="8" w:color="CFF0FC"/>
              <w:right w:val="single" w:sz="8" w:color="CFF0FC"/>
            </w:tcBorders>
            <w:gridSpan w:val="2"/>
            <w:shd w:val="clear" w:color="auto" w:fill="CFF0FC"/>
          </w:tcPr>
          <w:p>
            <w:pPr>
              <w:spacing w:after="0"/>
              <w:rPr>
                <w:sz w:val="20"/>
                <w:szCs w:val="20"/>
                <w:color w:val="auto"/>
              </w:rPr>
            </w:pPr>
            <w:r>
              <w:rPr>
                <w:rFonts w:ascii="Arial" w:cs="Arial" w:eastAsia="Arial" w:hAnsi="Arial"/>
                <w:sz w:val="14"/>
                <w:szCs w:val="14"/>
                <w:color w:val="auto"/>
              </w:rPr>
              <w:t>Non-GAAP weighted-average effect of potentially dilutive Class A common stock</w:t>
            </w:r>
          </w:p>
        </w:tc>
        <w:tc>
          <w:tcPr>
            <w:tcW w:w="320" w:type="dxa"/>
            <w:vAlign w:val="bottom"/>
            <w:tcBorders>
              <w:bottom w:val="single" w:sz="8" w:color="auto"/>
            </w:tcBorders>
            <w:shd w:val="clear" w:color="auto" w:fill="CFF0FC"/>
          </w:tcPr>
          <w:p>
            <w:pPr>
              <w:spacing w:after="0"/>
              <w:rPr>
                <w:sz w:val="14"/>
                <w:szCs w:val="14"/>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2,425,190</w:t>
            </w:r>
          </w:p>
        </w:tc>
        <w:tc>
          <w:tcPr>
            <w:tcW w:w="120" w:type="dxa"/>
            <w:vAlign w:val="bottom"/>
            <w:tcBorders>
              <w:bottom w:val="single" w:sz="8" w:color="CFF0FC"/>
            </w:tcBorders>
            <w:shd w:val="clear" w:color="auto" w:fill="CFF0FC"/>
          </w:tcPr>
          <w:p>
            <w:pPr>
              <w:spacing w:after="0"/>
              <w:rPr>
                <w:sz w:val="14"/>
                <w:szCs w:val="14"/>
                <w:color w:val="auto"/>
              </w:rPr>
            </w:pPr>
          </w:p>
        </w:tc>
        <w:tc>
          <w:tcPr>
            <w:tcW w:w="80" w:type="dxa"/>
            <w:vAlign w:val="bottom"/>
            <w:tcBorders>
              <w:bottom w:val="single" w:sz="8" w:color="CFF0FC"/>
            </w:tcBorders>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4"/>
                <w:szCs w:val="14"/>
                <w:color w:val="auto"/>
              </w:rPr>
            </w:pPr>
          </w:p>
        </w:tc>
      </w:tr>
      <w:tr>
        <w:trPr>
          <w:trHeight w:val="155"/>
        </w:trPr>
        <w:tc>
          <w:tcPr>
            <w:tcW w:w="7880" w:type="dxa"/>
            <w:vAlign w:val="bottom"/>
            <w:gridSpan w:val="2"/>
          </w:tcPr>
          <w:p>
            <w:pPr>
              <w:spacing w:after="0" w:line="155" w:lineRule="exact"/>
              <w:rPr>
                <w:sz w:val="20"/>
                <w:szCs w:val="20"/>
                <w:color w:val="auto"/>
              </w:rPr>
            </w:pPr>
            <w:r>
              <w:rPr>
                <w:rFonts w:ascii="Arial" w:cs="Arial" w:eastAsia="Arial" w:hAnsi="Arial"/>
                <w:sz w:val="14"/>
                <w:szCs w:val="14"/>
                <w:color w:val="auto"/>
              </w:rPr>
              <w:t>Non-GAAP weighted-average shares used to compute Non-GAAP Net Income (Loss) per share, diluted</w:t>
            </w:r>
          </w:p>
        </w:tc>
        <w:tc>
          <w:tcPr>
            <w:tcW w:w="32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52,760,243</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48,577,980</w:t>
            </w:r>
          </w:p>
        </w:tc>
        <w:tc>
          <w:tcPr>
            <w:tcW w:w="100" w:type="dxa"/>
            <w:vAlign w:val="bottom"/>
          </w:tcPr>
          <w:p>
            <w:pPr>
              <w:spacing w:after="0"/>
              <w:rPr>
                <w:sz w:val="13"/>
                <w:szCs w:val="13"/>
                <w:color w:val="auto"/>
              </w:rPr>
            </w:pPr>
          </w:p>
        </w:tc>
      </w:tr>
      <w:tr>
        <w:trPr>
          <w:trHeight w:val="156"/>
        </w:trPr>
        <w:tc>
          <w:tcPr>
            <w:tcW w:w="2080" w:type="dxa"/>
            <w:vAlign w:val="bottom"/>
          </w:tcPr>
          <w:p>
            <w:pPr>
              <w:spacing w:after="0"/>
              <w:rPr>
                <w:sz w:val="13"/>
                <w:szCs w:val="13"/>
                <w:color w:val="auto"/>
              </w:rPr>
            </w:pPr>
          </w:p>
        </w:tc>
        <w:tc>
          <w:tcPr>
            <w:tcW w:w="58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2"/>
        </w:trPr>
        <w:tc>
          <w:tcPr>
            <w:tcW w:w="7880" w:type="dxa"/>
            <w:vAlign w:val="bottom"/>
            <w:tcBorders>
              <w:right w:val="single" w:sz="8" w:color="CFF0FC"/>
            </w:tcBorders>
            <w:gridSpan w:val="2"/>
            <w:shd w:val="clear" w:color="auto" w:fill="CFF0FC"/>
          </w:tcPr>
          <w:p>
            <w:pPr>
              <w:spacing w:after="0"/>
              <w:rPr>
                <w:sz w:val="20"/>
                <w:szCs w:val="20"/>
                <w:color w:val="auto"/>
              </w:rPr>
            </w:pPr>
            <w:r>
              <w:rPr>
                <w:rFonts w:ascii="Arial" w:cs="Arial" w:eastAsia="Arial" w:hAnsi="Arial"/>
                <w:sz w:val="14"/>
                <w:szCs w:val="14"/>
                <w:color w:val="auto"/>
              </w:rPr>
              <w:t>EPS, basic and diluted, of Class A and Class B common stock</w:t>
            </w:r>
          </w:p>
        </w:tc>
        <w:tc>
          <w:tcPr>
            <w:tcW w:w="320" w:type="dxa"/>
            <w:vAlign w:val="bottom"/>
            <w:shd w:val="clear" w:color="auto" w:fill="CFF0FC"/>
          </w:tcPr>
          <w:p>
            <w:pPr>
              <w:jc w:val="right"/>
              <w:ind w:right="209"/>
              <w:spacing w:after="0"/>
              <w:rPr>
                <w:sz w:val="20"/>
                <w:szCs w:val="20"/>
                <w:color w:val="auto"/>
              </w:rPr>
            </w:pPr>
            <w:r>
              <w:rPr>
                <w:rFonts w:ascii="Arial" w:cs="Arial" w:eastAsia="Arial" w:hAnsi="Arial"/>
                <w:sz w:val="10"/>
                <w:szCs w:val="10"/>
                <w:color w:val="auto"/>
                <w:w w:val="71"/>
              </w:rPr>
              <w:t>$</w:t>
            </w:r>
          </w:p>
        </w:tc>
        <w:tc>
          <w:tcPr>
            <w:tcW w:w="1320" w:type="dxa"/>
            <w:vAlign w:val="bottom"/>
            <w:gridSpan w:val="2"/>
            <w:shd w:val="clear" w:color="auto" w:fill="CFF0FC"/>
          </w:tcPr>
          <w:p>
            <w:pPr>
              <w:jc w:val="right"/>
              <w:ind w:right="80"/>
              <w:spacing w:after="0"/>
              <w:rPr>
                <w:sz w:val="20"/>
                <w:szCs w:val="20"/>
                <w:color w:val="auto"/>
              </w:rPr>
            </w:pPr>
            <w:r>
              <w:rPr>
                <w:rFonts w:ascii="Arial" w:cs="Arial" w:eastAsia="Arial" w:hAnsi="Arial"/>
                <w:sz w:val="14"/>
                <w:szCs w:val="14"/>
                <w:color w:val="auto"/>
              </w:rPr>
              <w:t>(0.30)</w:t>
            </w:r>
          </w:p>
        </w:tc>
        <w:tc>
          <w:tcPr>
            <w:tcW w:w="600" w:type="dxa"/>
            <w:vAlign w:val="bottom"/>
            <w:gridSpan w:val="2"/>
            <w:shd w:val="clear" w:color="auto" w:fill="CFF0FC"/>
          </w:tcPr>
          <w:p>
            <w:pPr>
              <w:jc w:val="right"/>
              <w:ind w:right="368"/>
              <w:spacing w:after="0"/>
              <w:rPr>
                <w:sz w:val="20"/>
                <w:szCs w:val="20"/>
                <w:color w:val="auto"/>
              </w:rPr>
            </w:pPr>
            <w:r>
              <w:rPr>
                <w:rFonts w:ascii="Arial" w:cs="Arial" w:eastAsia="Arial" w:hAnsi="Arial"/>
                <w:sz w:val="14"/>
                <w:szCs w:val="14"/>
                <w:color w:val="auto"/>
              </w:rPr>
              <w:t>$</w:t>
            </w:r>
          </w:p>
        </w:tc>
        <w:tc>
          <w:tcPr>
            <w:tcW w:w="112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(0.34)</w:t>
            </w:r>
          </w:p>
        </w:tc>
      </w:tr>
      <w:tr>
        <w:trPr>
          <w:trHeight w:val="20"/>
        </w:trPr>
        <w:tc>
          <w:tcPr>
            <w:tcW w:w="2080" w:type="dxa"/>
            <w:vAlign w:val="bottom"/>
            <w:tcBorders>
              <w:top w:val="single" w:sz="8" w:color="CFF0FC"/>
            </w:tcBorders>
            <w:shd w:val="clear" w:color="auto" w:fill="CFF0FC"/>
          </w:tcPr>
          <w:p>
            <w:pPr>
              <w:spacing w:after="0" w:line="20" w:lineRule="exact"/>
              <w:rPr>
                <w:sz w:val="1"/>
                <w:szCs w:val="1"/>
                <w:color w:val="auto"/>
              </w:rPr>
            </w:pPr>
          </w:p>
        </w:tc>
        <w:tc>
          <w:tcPr>
            <w:tcW w:w="580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5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43"/>
        </w:trPr>
        <w:tc>
          <w:tcPr>
            <w:tcW w:w="7880" w:type="dxa"/>
            <w:vAlign w:val="bottom"/>
            <w:gridSpan w:val="2"/>
          </w:tcPr>
          <w:p>
            <w:pPr>
              <w:spacing w:after="0" w:line="143" w:lineRule="exact"/>
              <w:rPr>
                <w:sz w:val="20"/>
                <w:szCs w:val="20"/>
                <w:color w:val="auto"/>
              </w:rPr>
            </w:pPr>
            <w:r>
              <w:rPr>
                <w:rFonts w:ascii="Arial" w:cs="Arial" w:eastAsia="Arial" w:hAnsi="Arial"/>
                <w:sz w:val="14"/>
                <w:szCs w:val="14"/>
                <w:color w:val="auto"/>
              </w:rPr>
              <w:t>Non-GAAP EPS basic and diluted, of Class A and Class B common stock</w:t>
            </w:r>
          </w:p>
        </w:tc>
        <w:tc>
          <w:tcPr>
            <w:tcW w:w="320" w:type="dxa"/>
            <w:vAlign w:val="bottom"/>
          </w:tcPr>
          <w:p>
            <w:pPr>
              <w:jc w:val="right"/>
              <w:ind w:right="209"/>
              <w:spacing w:after="0"/>
              <w:rPr>
                <w:sz w:val="20"/>
                <w:szCs w:val="20"/>
                <w:color w:val="auto"/>
              </w:rPr>
            </w:pPr>
            <w:r>
              <w:rPr>
                <w:rFonts w:ascii="Arial" w:cs="Arial" w:eastAsia="Arial" w:hAnsi="Arial"/>
                <w:sz w:val="10"/>
                <w:szCs w:val="10"/>
                <w:color w:val="auto"/>
                <w:w w:val="71"/>
              </w:rPr>
              <w:t>$</w:t>
            </w:r>
          </w:p>
        </w:tc>
        <w:tc>
          <w:tcPr>
            <w:tcW w:w="1200" w:type="dxa"/>
            <w:vAlign w:val="bottom"/>
          </w:tcPr>
          <w:p>
            <w:pPr>
              <w:jc w:val="right"/>
              <w:spacing w:after="0" w:line="143" w:lineRule="exact"/>
              <w:rPr>
                <w:sz w:val="20"/>
                <w:szCs w:val="20"/>
                <w:color w:val="auto"/>
              </w:rPr>
            </w:pPr>
            <w:r>
              <w:rPr>
                <w:rFonts w:ascii="Arial" w:cs="Arial" w:eastAsia="Arial" w:hAnsi="Arial"/>
                <w:sz w:val="14"/>
                <w:szCs w:val="14"/>
                <w:color w:val="auto"/>
              </w:rPr>
              <w:t>0.02</w:t>
            </w:r>
          </w:p>
        </w:tc>
        <w:tc>
          <w:tcPr>
            <w:tcW w:w="120" w:type="dxa"/>
            <w:vAlign w:val="bottom"/>
          </w:tcPr>
          <w:p>
            <w:pPr>
              <w:spacing w:after="0"/>
              <w:rPr>
                <w:sz w:val="12"/>
                <w:szCs w:val="12"/>
                <w:color w:val="auto"/>
              </w:rPr>
            </w:pPr>
          </w:p>
        </w:tc>
        <w:tc>
          <w:tcPr>
            <w:tcW w:w="600" w:type="dxa"/>
            <w:vAlign w:val="bottom"/>
            <w:gridSpan w:val="2"/>
          </w:tcPr>
          <w:p>
            <w:pPr>
              <w:jc w:val="right"/>
              <w:ind w:right="368"/>
              <w:spacing w:after="0" w:line="143" w:lineRule="exact"/>
              <w:rPr>
                <w:sz w:val="20"/>
                <w:szCs w:val="20"/>
                <w:color w:val="auto"/>
              </w:rPr>
            </w:pPr>
            <w:r>
              <w:rPr>
                <w:rFonts w:ascii="Arial" w:cs="Arial" w:eastAsia="Arial" w:hAnsi="Arial"/>
                <w:sz w:val="14"/>
                <w:szCs w:val="14"/>
                <w:color w:val="auto"/>
              </w:rPr>
              <w:t>$</w:t>
            </w:r>
          </w:p>
        </w:tc>
        <w:tc>
          <w:tcPr>
            <w:tcW w:w="1120" w:type="dxa"/>
            <w:vAlign w:val="bottom"/>
            <w:gridSpan w:val="2"/>
          </w:tcPr>
          <w:p>
            <w:pPr>
              <w:jc w:val="right"/>
              <w:ind w:right="60"/>
              <w:spacing w:after="0" w:line="143" w:lineRule="exact"/>
              <w:rPr>
                <w:sz w:val="20"/>
                <w:szCs w:val="20"/>
                <w:color w:val="auto"/>
              </w:rPr>
            </w:pPr>
            <w:r>
              <w:rPr>
                <w:rFonts w:ascii="Arial" w:cs="Arial" w:eastAsia="Arial" w:hAnsi="Arial"/>
                <w:sz w:val="14"/>
                <w:szCs w:val="14"/>
                <w:color w:val="auto"/>
              </w:rPr>
              <w:t>(0.12)</w:t>
            </w:r>
          </w:p>
        </w:tc>
      </w:tr>
      <w:tr>
        <w:trPr>
          <w:trHeight w:val="20"/>
        </w:trPr>
        <w:tc>
          <w:tcPr>
            <w:tcW w:w="208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5962650</wp:posOffset>
            </wp:positionH>
            <wp:positionV relativeFrom="paragraph">
              <wp:posOffset>-813435</wp:posOffset>
            </wp:positionV>
            <wp:extent cx="6858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-796290</wp:posOffset>
            </wp:positionV>
            <wp:extent cx="6858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-925195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-813435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-925195</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-479425</wp:posOffset>
            </wp:positionV>
            <wp:extent cx="6858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-153670</wp:posOffset>
            </wp:positionV>
            <wp:extent cx="6858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-136525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-153670</wp:posOffset>
            </wp:positionV>
            <wp:extent cx="6858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-136525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ind w:left="380" w:right="120" w:hanging="372"/>
        <w:spacing w:after="0" w:line="251" w:lineRule="auto"/>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depreciation expense of the Company’s long-lived tangible assets and amortization expense of its finite-lived intangible assets, as included in the Company’s GAAP results of operations.</w:t>
      </w:r>
    </w:p>
    <w:p>
      <w:pPr>
        <w:spacing w:after="0" w:line="1" w:lineRule="exact"/>
        <w:rPr>
          <w:rFonts w:ascii="Arial" w:cs="Arial" w:eastAsia="Arial" w:hAnsi="Arial"/>
          <w:sz w:val="14"/>
          <w:szCs w:val="14"/>
          <w:color w:val="auto"/>
        </w:rPr>
      </w:pPr>
    </w:p>
    <w:p>
      <w:pPr>
        <w:ind w:left="380" w:hanging="372"/>
        <w:spacing w:after="0"/>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Represents the non-cash expense related to stock-based awards granted to employees, as included in the Company’s GAAP results of operations.</w:t>
      </w:r>
    </w:p>
    <w:p>
      <w:pPr>
        <w:spacing w:after="0" w:line="1" w:lineRule="exact"/>
        <w:rPr>
          <w:rFonts w:ascii="Arial" w:cs="Arial" w:eastAsia="Arial" w:hAnsi="Arial"/>
          <w:sz w:val="14"/>
          <w:szCs w:val="14"/>
          <w:color w:val="auto"/>
        </w:rPr>
      </w:pPr>
    </w:p>
    <w:p>
      <w:pPr>
        <w:ind w:left="380" w:right="180" w:hanging="372"/>
        <w:spacing w:after="0" w:line="241" w:lineRule="auto"/>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 the second quarter of 2024, we changed the definition of Adjusted EBITDA and Non-GAAP Net Income (Loss) to exclude payroll tax expense related to stock-based compensation. For prior periods, this amount was considered de minimis and, accordingly, we have not adjusted the Adjusted EBITDA or Non-GAAP Net Income (Loss) amounts for such periods.</w:t>
      </w:r>
    </w:p>
    <w:p>
      <w:pPr>
        <w:spacing w:after="0" w:line="1" w:lineRule="exact"/>
        <w:rPr>
          <w:rFonts w:ascii="Arial" w:cs="Arial" w:eastAsia="Arial" w:hAnsi="Arial"/>
          <w:sz w:val="14"/>
          <w:szCs w:val="14"/>
          <w:color w:val="auto"/>
        </w:rPr>
      </w:pPr>
    </w:p>
    <w:p>
      <w:pPr>
        <w:ind w:left="380" w:hanging="372"/>
        <w:spacing w:after="0"/>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Amount is recorded in general and administrative.</w:t>
      </w:r>
    </w:p>
    <w:p>
      <w:pPr>
        <w:spacing w:after="0" w:line="1" w:lineRule="exact"/>
        <w:rPr>
          <w:rFonts w:ascii="Arial" w:cs="Arial" w:eastAsia="Arial" w:hAnsi="Arial"/>
          <w:sz w:val="14"/>
          <w:szCs w:val="14"/>
          <w:color w:val="auto"/>
        </w:rPr>
      </w:pPr>
    </w:p>
    <w:p>
      <w:pPr>
        <w:ind w:left="380" w:hanging="372"/>
        <w:spacing w:after="0"/>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Includes adjustments related to purchase accounting, the revaluation of contingent consideration, transaction costs and executive severance.</w:t>
      </w:r>
    </w:p>
    <w:p>
      <w:pPr>
        <w:spacing w:after="0" w:line="1" w:lineRule="exact"/>
        <w:rPr>
          <w:rFonts w:ascii="Arial" w:cs="Arial" w:eastAsia="Arial" w:hAnsi="Arial"/>
          <w:sz w:val="14"/>
          <w:szCs w:val="14"/>
          <w:color w:val="auto"/>
        </w:rPr>
      </w:pPr>
    </w:p>
    <w:p>
      <w:pPr>
        <w:ind w:left="380" w:hanging="372"/>
        <w:spacing w:after="0"/>
        <w:tabs>
          <w:tab w:leader="none" w:pos="380" w:val="left"/>
        </w:tabs>
        <w:numPr>
          <w:ilvl w:val="0"/>
          <w:numId w:val="9"/>
        </w:numPr>
        <w:rPr>
          <w:rFonts w:ascii="Arial" w:cs="Arial" w:eastAsia="Arial" w:hAnsi="Arial"/>
          <w:sz w:val="14"/>
          <w:szCs w:val="14"/>
          <w:color w:val="auto"/>
        </w:rPr>
      </w:pPr>
      <w:r>
        <w:rPr>
          <w:rFonts w:ascii="Arial" w:cs="Arial" w:eastAsia="Arial" w:hAnsi="Arial"/>
          <w:sz w:val="14"/>
          <w:szCs w:val="14"/>
          <w:color w:val="auto"/>
        </w:rPr>
        <w:t>Costs associated with the Q1 2025 reduction in workforce.</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3" w:name="page14"/>
    <w:bookmarkEnd w:id="13"/>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Xometry, Inc. and Subsidiaries</w:t>
      </w:r>
    </w:p>
    <w:p>
      <w:pPr>
        <w:jc w:val="center"/>
        <w:spacing w:after="0" w:line="231" w:lineRule="auto"/>
        <w:rPr>
          <w:sz w:val="20"/>
          <w:szCs w:val="20"/>
          <w:color w:val="auto"/>
        </w:rPr>
      </w:pPr>
      <w:r>
        <w:rPr>
          <w:rFonts w:ascii="Arial" w:cs="Arial" w:eastAsia="Arial" w:hAnsi="Arial"/>
          <w:sz w:val="20"/>
          <w:szCs w:val="20"/>
          <w:color w:val="auto"/>
        </w:rPr>
        <w:t>Reconciliation of GAAP EPS to Non-GAAP EPS</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(Unaudited)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1260" w:type="dxa"/>
            <w:vAlign w:val="bottom"/>
          </w:tcPr>
          <w:p>
            <w:pPr>
              <w:spacing w:after="0"/>
              <w:rPr>
                <w:sz w:val="16"/>
                <w:szCs w:val="16"/>
                <w:color w:val="auto"/>
              </w:rPr>
            </w:pPr>
          </w:p>
        </w:tc>
        <w:tc>
          <w:tcPr>
            <w:tcW w:w="66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760" w:type="dxa"/>
            <w:vAlign w:val="bottom"/>
            <w:gridSpan w:val="5"/>
          </w:tcPr>
          <w:p>
            <w:pPr>
              <w:jc w:val="right"/>
              <w:ind w:right="239"/>
              <w:spacing w:after="0"/>
              <w:rPr>
                <w:sz w:val="20"/>
                <w:szCs w:val="20"/>
                <w:color w:val="auto"/>
              </w:rPr>
            </w:pPr>
            <w:r>
              <w:rPr>
                <w:rFonts w:ascii="Arial" w:cs="Arial" w:eastAsia="Arial" w:hAnsi="Arial"/>
                <w:sz w:val="16"/>
                <w:szCs w:val="16"/>
                <w:b w:val="1"/>
                <w:bCs w:val="1"/>
                <w:color w:val="auto"/>
              </w:rPr>
              <w:t>For the Three Months</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03"/>
        </w:trPr>
        <w:tc>
          <w:tcPr>
            <w:tcW w:w="1260" w:type="dxa"/>
            <w:vAlign w:val="bottom"/>
          </w:tcPr>
          <w:p>
            <w:pPr>
              <w:spacing w:after="0"/>
              <w:rPr>
                <w:sz w:val="17"/>
                <w:szCs w:val="17"/>
                <w:color w:val="auto"/>
              </w:rPr>
            </w:pPr>
          </w:p>
        </w:tc>
        <w:tc>
          <w:tcPr>
            <w:tcW w:w="6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182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b w:val="1"/>
                <w:bCs w:val="1"/>
                <w:color w:val="auto"/>
              </w:rPr>
              <w:t>Ended March 31,</w:t>
            </w:r>
          </w:p>
        </w:tc>
        <w:tc>
          <w:tcPr>
            <w:tcW w:w="5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83"/>
        </w:trPr>
        <w:tc>
          <w:tcPr>
            <w:tcW w:w="1260" w:type="dxa"/>
            <w:vAlign w:val="bottom"/>
          </w:tcPr>
          <w:p>
            <w:pPr>
              <w:spacing w:after="0"/>
              <w:rPr>
                <w:sz w:val="15"/>
                <w:szCs w:val="15"/>
                <w:color w:val="auto"/>
              </w:rPr>
            </w:pPr>
          </w:p>
        </w:tc>
        <w:tc>
          <w:tcPr>
            <w:tcW w:w="66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tcPr>
          <w:p>
            <w:pPr>
              <w:jc w:val="right"/>
              <w:spacing w:after="0" w:line="183" w:lineRule="exact"/>
              <w:rPr>
                <w:sz w:val="20"/>
                <w:szCs w:val="20"/>
                <w:color w:val="auto"/>
              </w:rPr>
            </w:pPr>
            <w:r>
              <w:rPr>
                <w:rFonts w:ascii="Arial" w:cs="Arial" w:eastAsia="Arial" w:hAnsi="Arial"/>
                <w:sz w:val="16"/>
                <w:szCs w:val="16"/>
                <w:b w:val="1"/>
                <w:bCs w:val="1"/>
                <w:color w:val="auto"/>
              </w:rPr>
              <w:t>2025</w:t>
            </w: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gridSpan w:val="2"/>
          </w:tcPr>
          <w:p>
            <w:pPr>
              <w:jc w:val="right"/>
              <w:ind w:right="19"/>
              <w:spacing w:after="0" w:line="183" w:lineRule="exact"/>
              <w:rPr>
                <w:sz w:val="20"/>
                <w:szCs w:val="20"/>
                <w:color w:val="auto"/>
              </w:rPr>
            </w:pPr>
            <w:r>
              <w:rPr>
                <w:rFonts w:ascii="Arial" w:cs="Arial" w:eastAsia="Arial" w:hAnsi="Arial"/>
                <w:sz w:val="16"/>
                <w:szCs w:val="16"/>
                <w:b w:val="1"/>
                <w:bCs w:val="1"/>
                <w:color w:val="auto"/>
              </w:rPr>
              <w:t>2024</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56"/>
        </w:trPr>
        <w:tc>
          <w:tcPr>
            <w:tcW w:w="7860" w:type="dxa"/>
            <w:vAlign w:val="bottom"/>
            <w:gridSpan w:val="2"/>
            <w:shd w:val="clear" w:color="auto" w:fill="CFF0FC"/>
          </w:tcPr>
          <w:p>
            <w:pPr>
              <w:spacing w:after="0" w:line="155" w:lineRule="exact"/>
              <w:rPr>
                <w:sz w:val="20"/>
                <w:szCs w:val="20"/>
                <w:color w:val="auto"/>
              </w:rPr>
            </w:pPr>
            <w:r>
              <w:rPr>
                <w:rFonts w:ascii="Arial" w:cs="Arial" w:eastAsia="Arial" w:hAnsi="Arial"/>
                <w:sz w:val="16"/>
                <w:szCs w:val="16"/>
                <w:b w:val="1"/>
                <w:bCs w:val="1"/>
                <w:color w:val="auto"/>
              </w:rPr>
              <w:t>Non-GAAP EPS:</w:t>
            </w:r>
          </w:p>
        </w:tc>
        <w:tc>
          <w:tcPr>
            <w:tcW w:w="20" w:type="dxa"/>
            <w:vAlign w:val="bottom"/>
            <w:shd w:val="clear" w:color="auto" w:fill="CFF0FC"/>
          </w:tcPr>
          <w:p>
            <w:pPr>
              <w:spacing w:after="0"/>
              <w:rPr>
                <w:sz w:val="13"/>
                <w:szCs w:val="13"/>
                <w:color w:val="auto"/>
              </w:rPr>
            </w:pPr>
          </w:p>
        </w:tc>
        <w:tc>
          <w:tcPr>
            <w:tcW w:w="940" w:type="dxa"/>
            <w:vAlign w:val="bottom"/>
            <w:tcBorders>
              <w:top w:val="single" w:sz="8" w:color="auto"/>
            </w:tcBorders>
            <w:shd w:val="clear" w:color="auto" w:fill="CFF0FC"/>
          </w:tcPr>
          <w:p>
            <w:pPr>
              <w:spacing w:after="0"/>
              <w:rPr>
                <w:sz w:val="13"/>
                <w:szCs w:val="13"/>
                <w:color w:val="auto"/>
              </w:rPr>
            </w:pPr>
          </w:p>
        </w:tc>
        <w:tc>
          <w:tcPr>
            <w:tcW w:w="580" w:type="dxa"/>
            <w:vAlign w:val="bottom"/>
            <w:tcBorders>
              <w:top w:val="single" w:sz="8" w:color="auto"/>
            </w:tcBorders>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0" w:type="dxa"/>
            <w:vAlign w:val="bottom"/>
            <w:shd w:val="clear" w:color="auto" w:fill="CFF0FC"/>
          </w:tcPr>
          <w:p>
            <w:pPr>
              <w:spacing w:after="0"/>
              <w:rPr>
                <w:sz w:val="13"/>
                <w:szCs w:val="13"/>
                <w:color w:val="auto"/>
              </w:rPr>
            </w:pPr>
          </w:p>
        </w:tc>
        <w:tc>
          <w:tcPr>
            <w:tcW w:w="1040" w:type="dxa"/>
            <w:vAlign w:val="bottom"/>
            <w:tcBorders>
              <w:top w:val="single" w:sz="8" w:color="auto"/>
            </w:tcBorders>
            <w:shd w:val="clear" w:color="auto" w:fill="CFF0FC"/>
          </w:tcPr>
          <w:p>
            <w:pPr>
              <w:spacing w:after="0"/>
              <w:rPr>
                <w:sz w:val="13"/>
                <w:szCs w:val="13"/>
                <w:color w:val="auto"/>
              </w:rPr>
            </w:pPr>
          </w:p>
        </w:tc>
        <w:tc>
          <w:tcPr>
            <w:tcW w:w="500" w:type="dxa"/>
            <w:vAlign w:val="bottom"/>
            <w:tcBorders>
              <w:top w:val="single" w:sz="8" w:color="auto"/>
            </w:tcBorders>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27"/>
        </w:trPr>
        <w:tc>
          <w:tcPr>
            <w:tcW w:w="1260" w:type="dxa"/>
            <w:vAlign w:val="bottom"/>
            <w:shd w:val="clear" w:color="auto" w:fill="000000"/>
          </w:tcPr>
          <w:p>
            <w:pPr>
              <w:spacing w:after="0"/>
              <w:rPr>
                <w:sz w:val="2"/>
                <w:szCs w:val="2"/>
                <w:color w:val="auto"/>
              </w:rPr>
            </w:pPr>
          </w:p>
        </w:tc>
        <w:tc>
          <w:tcPr>
            <w:tcW w:w="6600" w:type="dxa"/>
            <w:vAlign w:val="bottom"/>
            <w:shd w:val="clear" w:color="auto" w:fill="CFF0FC"/>
          </w:tcPr>
          <w:p>
            <w:pPr>
              <w:spacing w:after="0"/>
              <w:rPr>
                <w:sz w:val="2"/>
                <w:szCs w:val="2"/>
                <w:color w:val="auto"/>
              </w:rPr>
            </w:pPr>
          </w:p>
        </w:tc>
        <w:tc>
          <w:tcPr>
            <w:tcW w:w="20" w:type="dxa"/>
            <w:vAlign w:val="bottom"/>
            <w:shd w:val="clear" w:color="auto" w:fill="CFF0FC"/>
          </w:tcPr>
          <w:p>
            <w:pPr>
              <w:spacing w:after="0"/>
              <w:rPr>
                <w:sz w:val="2"/>
                <w:szCs w:val="2"/>
                <w:color w:val="auto"/>
              </w:rPr>
            </w:pPr>
          </w:p>
        </w:tc>
        <w:tc>
          <w:tcPr>
            <w:tcW w:w="940" w:type="dxa"/>
            <w:vAlign w:val="bottom"/>
            <w:shd w:val="clear" w:color="auto" w:fill="CFF0FC"/>
          </w:tcPr>
          <w:p>
            <w:pPr>
              <w:spacing w:after="0"/>
              <w:rPr>
                <w:sz w:val="2"/>
                <w:szCs w:val="2"/>
                <w:color w:val="auto"/>
              </w:rPr>
            </w:pPr>
          </w:p>
        </w:tc>
        <w:tc>
          <w:tcPr>
            <w:tcW w:w="580" w:type="dxa"/>
            <w:vAlign w:val="bottom"/>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1040" w:type="dxa"/>
            <w:vAlign w:val="bottom"/>
            <w:shd w:val="clear" w:color="auto" w:fill="CFF0FC"/>
          </w:tcPr>
          <w:p>
            <w:pPr>
              <w:spacing w:after="0"/>
              <w:rPr>
                <w:sz w:val="2"/>
                <w:szCs w:val="2"/>
                <w:color w:val="auto"/>
              </w:rPr>
            </w:pPr>
          </w:p>
        </w:tc>
        <w:tc>
          <w:tcPr>
            <w:tcW w:w="500" w:type="dxa"/>
            <w:vAlign w:val="bottom"/>
            <w:shd w:val="clear" w:color="auto" w:fill="CFF0FC"/>
          </w:tcPr>
          <w:p>
            <w:pPr>
              <w:spacing w:after="0"/>
              <w:rPr>
                <w:sz w:val="2"/>
                <w:szCs w:val="2"/>
                <w:color w:val="auto"/>
              </w:rPr>
            </w:pPr>
          </w:p>
        </w:tc>
        <w:tc>
          <w:tcPr>
            <w:tcW w:w="100" w:type="dxa"/>
            <w:vAlign w:val="bottom"/>
            <w:shd w:val="clear" w:color="auto" w:fill="CFF0FC"/>
          </w:tcPr>
          <w:p>
            <w:pPr>
              <w:spacing w:after="0"/>
              <w:rPr>
                <w:sz w:val="2"/>
                <w:szCs w:val="2"/>
                <w:color w:val="auto"/>
              </w:rPr>
            </w:pPr>
          </w:p>
        </w:tc>
      </w:tr>
      <w:tr>
        <w:trPr>
          <w:trHeight w:val="189"/>
        </w:trPr>
        <w:tc>
          <w:tcPr>
            <w:tcW w:w="7860" w:type="dxa"/>
            <w:vAlign w:val="bottom"/>
            <w:gridSpan w:val="2"/>
          </w:tcPr>
          <w:p>
            <w:pPr>
              <w:spacing w:after="0"/>
              <w:rPr>
                <w:sz w:val="20"/>
                <w:szCs w:val="20"/>
                <w:color w:val="auto"/>
              </w:rPr>
            </w:pPr>
            <w:r>
              <w:rPr>
                <w:rFonts w:ascii="Arial" w:cs="Arial" w:eastAsia="Arial" w:hAnsi="Arial"/>
                <w:sz w:val="16"/>
                <w:szCs w:val="16"/>
                <w:color w:val="auto"/>
              </w:rPr>
              <w:t>GAAP EPS, diluted, of Class A and Class B common stock</w:t>
            </w:r>
          </w:p>
        </w:tc>
        <w:tc>
          <w:tcPr>
            <w:tcW w:w="960" w:type="dxa"/>
            <w:vAlign w:val="bottom"/>
            <w:gridSpan w:val="2"/>
          </w:tcPr>
          <w:p>
            <w:pPr>
              <w:jc w:val="right"/>
              <w:ind w:right="809"/>
              <w:spacing w:after="0"/>
              <w:rPr>
                <w:sz w:val="20"/>
                <w:szCs w:val="20"/>
                <w:color w:val="auto"/>
              </w:rPr>
            </w:pPr>
            <w:r>
              <w:rPr>
                <w:rFonts w:ascii="Arial" w:cs="Arial" w:eastAsia="Arial" w:hAnsi="Arial"/>
                <w:sz w:val="15"/>
                <w:szCs w:val="15"/>
                <w:color w:val="auto"/>
                <w:w w:val="71"/>
              </w:rPr>
              <w:t>$</w:t>
            </w:r>
          </w:p>
        </w:tc>
        <w:tc>
          <w:tcPr>
            <w:tcW w:w="700" w:type="dxa"/>
            <w:vAlign w:val="bottom"/>
            <w:gridSpan w:val="2"/>
          </w:tcPr>
          <w:p>
            <w:pPr>
              <w:jc w:val="right"/>
              <w:ind w:right="80"/>
              <w:spacing w:after="0"/>
              <w:rPr>
                <w:sz w:val="20"/>
                <w:szCs w:val="20"/>
                <w:color w:val="auto"/>
              </w:rPr>
            </w:pPr>
            <w:r>
              <w:rPr>
                <w:rFonts w:ascii="Arial" w:cs="Arial" w:eastAsia="Arial" w:hAnsi="Arial"/>
                <w:sz w:val="16"/>
                <w:szCs w:val="16"/>
                <w:color w:val="auto"/>
              </w:rPr>
              <w:t>(0.30)</w:t>
            </w:r>
          </w:p>
        </w:tc>
        <w:tc>
          <w:tcPr>
            <w:tcW w:w="1120" w:type="dxa"/>
            <w:vAlign w:val="bottom"/>
            <w:gridSpan w:val="2"/>
          </w:tcPr>
          <w:p>
            <w:pPr>
              <w:jc w:val="right"/>
              <w:ind w:right="859"/>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60"/>
              <w:spacing w:after="0"/>
              <w:rPr>
                <w:sz w:val="20"/>
                <w:szCs w:val="20"/>
                <w:color w:val="auto"/>
              </w:rPr>
            </w:pPr>
            <w:r>
              <w:rPr>
                <w:rFonts w:ascii="Arial" w:cs="Arial" w:eastAsia="Arial" w:hAnsi="Arial"/>
                <w:sz w:val="16"/>
                <w:szCs w:val="16"/>
                <w:color w:val="auto"/>
              </w:rPr>
              <w:t>(0.34)</w:t>
            </w:r>
          </w:p>
        </w:tc>
      </w:tr>
      <w:tr>
        <w:trPr>
          <w:trHeight w:val="189"/>
        </w:trPr>
        <w:tc>
          <w:tcPr>
            <w:tcW w:w="78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Non-GAAP effect of potentially dilutive Class A common stock</w:t>
            </w:r>
          </w:p>
        </w:tc>
        <w:tc>
          <w:tcPr>
            <w:tcW w:w="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0.01</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7860" w:type="dxa"/>
            <w:vAlign w:val="bottom"/>
            <w:gridSpan w:val="2"/>
          </w:tcPr>
          <w:p>
            <w:pPr>
              <w:spacing w:after="0"/>
              <w:rPr>
                <w:sz w:val="20"/>
                <w:szCs w:val="20"/>
                <w:color w:val="auto"/>
              </w:rPr>
            </w:pPr>
            <w:r>
              <w:rPr>
                <w:rFonts w:ascii="Arial" w:cs="Arial" w:eastAsia="Arial" w:hAnsi="Arial"/>
                <w:sz w:val="16"/>
                <w:szCs w:val="16"/>
                <w:color w:val="auto"/>
              </w:rPr>
              <w:t>Add (deduct):</w:t>
            </w: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89"/>
        </w:trPr>
        <w:tc>
          <w:tcPr>
            <w:tcW w:w="78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Depreciation and amortization</w:t>
            </w:r>
          </w:p>
        </w:tc>
        <w:tc>
          <w:tcPr>
            <w:tcW w:w="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0.09</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0.06</w:t>
            </w:r>
          </w:p>
        </w:tc>
        <w:tc>
          <w:tcPr>
            <w:tcW w:w="100" w:type="dxa"/>
            <w:vAlign w:val="bottom"/>
            <w:shd w:val="clear" w:color="auto" w:fill="CFF0FC"/>
          </w:tcPr>
          <w:p>
            <w:pPr>
              <w:spacing w:after="0"/>
              <w:rPr>
                <w:sz w:val="16"/>
                <w:szCs w:val="16"/>
                <w:color w:val="auto"/>
              </w:rPr>
            </w:pPr>
          </w:p>
        </w:tc>
      </w:tr>
      <w:tr>
        <w:trPr>
          <w:trHeight w:val="189"/>
        </w:trPr>
        <w:tc>
          <w:tcPr>
            <w:tcW w:w="7860" w:type="dxa"/>
            <w:vAlign w:val="bottom"/>
            <w:gridSpan w:val="2"/>
          </w:tcPr>
          <w:p>
            <w:pPr>
              <w:spacing w:after="0"/>
              <w:rPr>
                <w:sz w:val="20"/>
                <w:szCs w:val="20"/>
                <w:color w:val="auto"/>
              </w:rPr>
            </w:pPr>
            <w:r>
              <w:rPr>
                <w:rFonts w:ascii="Arial" w:cs="Arial" w:eastAsia="Arial" w:hAnsi="Arial"/>
                <w:sz w:val="16"/>
                <w:szCs w:val="16"/>
                <w:color w:val="auto"/>
              </w:rPr>
              <w:t>Stock-based compensation</w:t>
            </w: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0.14</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0.12</w:t>
            </w:r>
          </w:p>
        </w:tc>
        <w:tc>
          <w:tcPr>
            <w:tcW w:w="100" w:type="dxa"/>
            <w:vAlign w:val="bottom"/>
          </w:tcPr>
          <w:p>
            <w:pPr>
              <w:spacing w:after="0"/>
              <w:rPr>
                <w:sz w:val="16"/>
                <w:szCs w:val="16"/>
                <w:color w:val="auto"/>
              </w:rPr>
            </w:pPr>
          </w:p>
        </w:tc>
      </w:tr>
      <w:tr>
        <w:trPr>
          <w:trHeight w:val="189"/>
        </w:trPr>
        <w:tc>
          <w:tcPr>
            <w:tcW w:w="78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Payroll tax expense related to stock-based compensation</w:t>
            </w:r>
          </w:p>
        </w:tc>
        <w:tc>
          <w:tcPr>
            <w:tcW w:w="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0.03</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7860" w:type="dxa"/>
            <w:vAlign w:val="bottom"/>
            <w:gridSpan w:val="2"/>
          </w:tcPr>
          <w:p>
            <w:pPr>
              <w:spacing w:after="0"/>
              <w:rPr>
                <w:sz w:val="20"/>
                <w:szCs w:val="20"/>
                <w:color w:val="auto"/>
              </w:rPr>
            </w:pPr>
            <w:r>
              <w:rPr>
                <w:rFonts w:ascii="Arial" w:cs="Arial" w:eastAsia="Arial" w:hAnsi="Arial"/>
                <w:sz w:val="16"/>
                <w:szCs w:val="16"/>
                <w:color w:val="auto"/>
              </w:rPr>
              <w:t>Amortization of lease intangible</w:t>
            </w: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78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Amortization of deferred costs on convertible notes</w:t>
            </w:r>
          </w:p>
        </w:tc>
        <w:tc>
          <w:tcPr>
            <w:tcW w:w="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0.01</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FF0FC"/>
          </w:tcPr>
          <w:p>
            <w:pPr>
              <w:spacing w:after="0"/>
              <w:rPr>
                <w:sz w:val="16"/>
                <w:szCs w:val="16"/>
                <w:color w:val="auto"/>
              </w:rPr>
            </w:pPr>
          </w:p>
        </w:tc>
      </w:tr>
      <w:tr>
        <w:trPr>
          <w:trHeight w:val="189"/>
        </w:trPr>
        <w:tc>
          <w:tcPr>
            <w:tcW w:w="7860" w:type="dxa"/>
            <w:vAlign w:val="bottom"/>
            <w:gridSpan w:val="2"/>
          </w:tcPr>
          <w:p>
            <w:pPr>
              <w:spacing w:after="0"/>
              <w:rPr>
                <w:sz w:val="20"/>
                <w:szCs w:val="20"/>
                <w:color w:val="auto"/>
              </w:rPr>
            </w:pPr>
            <w:r>
              <w:rPr>
                <w:rFonts w:ascii="Arial" w:cs="Arial" w:eastAsia="Arial" w:hAnsi="Arial"/>
                <w:sz w:val="16"/>
                <w:szCs w:val="16"/>
                <w:color w:val="auto"/>
              </w:rPr>
              <w:t>Acquisition and other</w:t>
            </w: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0.02</w:t>
            </w:r>
          </w:p>
        </w:tc>
        <w:tc>
          <w:tcPr>
            <w:tcW w:w="100" w:type="dxa"/>
            <w:vAlign w:val="bottom"/>
          </w:tcPr>
          <w:p>
            <w:pPr>
              <w:spacing w:after="0"/>
              <w:rPr>
                <w:sz w:val="16"/>
                <w:szCs w:val="16"/>
                <w:color w:val="auto"/>
              </w:rPr>
            </w:pPr>
          </w:p>
        </w:tc>
      </w:tr>
      <w:tr>
        <w:trPr>
          <w:trHeight w:val="189"/>
        </w:trPr>
        <w:tc>
          <w:tcPr>
            <w:tcW w:w="78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Charitable contribution of common stock</w:t>
            </w:r>
          </w:p>
        </w:tc>
        <w:tc>
          <w:tcPr>
            <w:tcW w:w="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0.01</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0.01</w:t>
            </w:r>
          </w:p>
        </w:tc>
        <w:tc>
          <w:tcPr>
            <w:tcW w:w="100" w:type="dxa"/>
            <w:vAlign w:val="bottom"/>
            <w:shd w:val="clear" w:color="auto" w:fill="CFF0FC"/>
          </w:tcPr>
          <w:p>
            <w:pPr>
              <w:spacing w:after="0"/>
              <w:rPr>
                <w:sz w:val="16"/>
                <w:szCs w:val="16"/>
                <w:color w:val="auto"/>
              </w:rPr>
            </w:pPr>
          </w:p>
        </w:tc>
      </w:tr>
      <w:tr>
        <w:trPr>
          <w:trHeight w:val="189"/>
        </w:trPr>
        <w:tc>
          <w:tcPr>
            <w:tcW w:w="7860" w:type="dxa"/>
            <w:vAlign w:val="bottom"/>
            <w:gridSpan w:val="2"/>
          </w:tcPr>
          <w:p>
            <w:pPr>
              <w:spacing w:after="0"/>
              <w:rPr>
                <w:sz w:val="20"/>
                <w:szCs w:val="20"/>
                <w:color w:val="auto"/>
              </w:rPr>
            </w:pPr>
            <w:r>
              <w:rPr>
                <w:rFonts w:ascii="Arial" w:cs="Arial" w:eastAsia="Arial" w:hAnsi="Arial"/>
                <w:sz w:val="16"/>
                <w:szCs w:val="16"/>
                <w:color w:val="auto"/>
              </w:rPr>
              <w:t>Lease termination</w:t>
            </w:r>
          </w:p>
        </w:tc>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89"/>
        </w:trPr>
        <w:tc>
          <w:tcPr>
            <w:tcW w:w="7860" w:type="dxa"/>
            <w:vAlign w:val="bottom"/>
            <w:gridSpan w:val="2"/>
            <w:shd w:val="clear" w:color="auto" w:fill="CFF0FC"/>
          </w:tcPr>
          <w:p>
            <w:pPr>
              <w:spacing w:after="0"/>
              <w:rPr>
                <w:sz w:val="20"/>
                <w:szCs w:val="20"/>
                <w:color w:val="auto"/>
              </w:rPr>
            </w:pPr>
            <w:r>
              <w:rPr>
                <w:rFonts w:ascii="Arial" w:cs="Arial" w:eastAsia="Arial" w:hAnsi="Arial"/>
                <w:sz w:val="16"/>
                <w:szCs w:val="16"/>
                <w:color w:val="auto"/>
              </w:rPr>
              <w:t>Restructuring charges</w:t>
            </w:r>
          </w:p>
        </w:tc>
        <w:tc>
          <w:tcPr>
            <w:tcW w:w="20" w:type="dxa"/>
            <w:vAlign w:val="bottom"/>
            <w:shd w:val="clear" w:color="auto" w:fill="CFF0FC"/>
          </w:tcPr>
          <w:p>
            <w:pPr>
              <w:spacing w:after="0"/>
              <w:rPr>
                <w:sz w:val="16"/>
                <w:szCs w:val="16"/>
                <w:color w:val="auto"/>
              </w:rPr>
            </w:pPr>
          </w:p>
        </w:tc>
        <w:tc>
          <w:tcPr>
            <w:tcW w:w="9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0.03</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40" w:type="dxa"/>
            <w:vAlign w:val="bottom"/>
            <w:shd w:val="clear" w:color="auto" w:fill="CFF0FC"/>
          </w:tcPr>
          <w:p>
            <w:pPr>
              <w:spacing w:after="0"/>
              <w:rPr>
                <w:sz w:val="16"/>
                <w:szCs w:val="16"/>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183"/>
        </w:trPr>
        <w:tc>
          <w:tcPr>
            <w:tcW w:w="7860" w:type="dxa"/>
            <w:vAlign w:val="bottom"/>
            <w:gridSpan w:val="2"/>
          </w:tcPr>
          <w:p>
            <w:pPr>
              <w:spacing w:after="0" w:line="183" w:lineRule="exact"/>
              <w:rPr>
                <w:sz w:val="20"/>
                <w:szCs w:val="20"/>
                <w:color w:val="auto"/>
              </w:rPr>
            </w:pPr>
            <w:r>
              <w:rPr>
                <w:rFonts w:ascii="Arial" w:cs="Arial" w:eastAsia="Arial" w:hAnsi="Arial"/>
                <w:sz w:val="16"/>
                <w:szCs w:val="16"/>
                <w:color w:val="auto"/>
              </w:rPr>
              <w:t>Non-GAAP EPS, diluted, of Class A and Class B common stock</w:t>
            </w:r>
          </w:p>
        </w:tc>
        <w:tc>
          <w:tcPr>
            <w:tcW w:w="20" w:type="dxa"/>
            <w:vAlign w:val="bottom"/>
            <w:tcBorders>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809"/>
              <w:spacing w:after="0"/>
              <w:rPr>
                <w:sz w:val="20"/>
                <w:szCs w:val="20"/>
                <w:color w:val="auto"/>
              </w:rPr>
            </w:pPr>
            <w:r>
              <w:rPr>
                <w:rFonts w:ascii="Arial" w:cs="Arial" w:eastAsia="Arial" w:hAnsi="Arial"/>
                <w:sz w:val="10"/>
                <w:szCs w:val="10"/>
                <w:color w:val="auto"/>
                <w:w w:val="71"/>
              </w:rPr>
              <w:t>$</w:t>
            </w:r>
          </w:p>
        </w:tc>
        <w:tc>
          <w:tcPr>
            <w:tcW w:w="5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0.02</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40" w:type="dxa"/>
            <w:vAlign w:val="bottom"/>
            <w:tcBorders>
              <w:top w:val="single" w:sz="8" w:color="auto"/>
              <w:bottom w:val="single" w:sz="8" w:color="auto"/>
            </w:tcBorders>
          </w:tcPr>
          <w:p>
            <w:pPr>
              <w:jc w:val="right"/>
              <w:ind w:right="859"/>
              <w:spacing w:after="0" w:line="183" w:lineRule="exact"/>
              <w:rPr>
                <w:sz w:val="20"/>
                <w:szCs w:val="20"/>
                <w:color w:val="auto"/>
              </w:rPr>
            </w:pPr>
            <w:r>
              <w:rPr>
                <w:rFonts w:ascii="Arial" w:cs="Arial" w:eastAsia="Arial" w:hAnsi="Arial"/>
                <w:sz w:val="16"/>
                <w:szCs w:val="16"/>
                <w:color w:val="auto"/>
                <w:w w:val="89"/>
              </w:rPr>
              <w:t>$</w:t>
            </w:r>
          </w:p>
        </w:tc>
        <w:tc>
          <w:tcPr>
            <w:tcW w:w="5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(0.12)</w:t>
            </w:r>
          </w:p>
        </w:tc>
        <w:tc>
          <w:tcPr>
            <w:tcW w:w="100" w:type="dxa"/>
            <w:vAlign w:val="bottom"/>
          </w:tcPr>
          <w:p>
            <w:pPr>
              <w:spacing w:after="0"/>
              <w:rPr>
                <w:sz w:val="15"/>
                <w:szCs w:val="15"/>
                <w:color w:val="auto"/>
              </w:rPr>
            </w:pPr>
          </w:p>
        </w:tc>
      </w:tr>
      <w:tr>
        <w:trPr>
          <w:trHeight w:val="20"/>
        </w:trPr>
        <w:tc>
          <w:tcPr>
            <w:tcW w:w="1260" w:type="dxa"/>
            <w:vAlign w:val="bottom"/>
          </w:tcPr>
          <w:p>
            <w:pPr>
              <w:spacing w:after="0" w:line="20" w:lineRule="exact"/>
              <w:rPr>
                <w:sz w:val="1"/>
                <w:szCs w:val="1"/>
                <w:color w:val="auto"/>
              </w:rPr>
            </w:pPr>
          </w:p>
        </w:tc>
        <w:tc>
          <w:tcPr>
            <w:tcW w:w="6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Xometry, Inc. and Subsidiaries</w:t>
      </w:r>
    </w:p>
    <w:p>
      <w:pPr>
        <w:jc w:val="center"/>
        <w:spacing w:after="0" w:line="231" w:lineRule="auto"/>
        <w:rPr>
          <w:sz w:val="20"/>
          <w:szCs w:val="20"/>
          <w:color w:val="auto"/>
        </w:rPr>
      </w:pPr>
      <w:r>
        <w:rPr>
          <w:rFonts w:ascii="Arial" w:cs="Arial" w:eastAsia="Arial" w:hAnsi="Arial"/>
          <w:sz w:val="20"/>
          <w:szCs w:val="20"/>
          <w:color w:val="auto"/>
        </w:rPr>
        <w:t>Segment Results</w:t>
      </w:r>
    </w:p>
    <w:p>
      <w:pPr>
        <w:jc w:val="center"/>
        <w:spacing w:after="0" w:line="226" w:lineRule="auto"/>
        <w:rPr>
          <w:sz w:val="20"/>
          <w:szCs w:val="20"/>
          <w:color w:val="auto"/>
        </w:rPr>
      </w:pPr>
      <w:r>
        <w:rPr>
          <w:rFonts w:ascii="Arial" w:cs="Arial" w:eastAsia="Arial" w:hAnsi="Arial"/>
          <w:sz w:val="20"/>
          <w:szCs w:val="20"/>
          <w:color w:val="auto"/>
        </w:rPr>
        <w:t>(In thousands)</w:t>
      </w:r>
    </w:p>
    <w:p>
      <w:pPr>
        <w:jc w:val="center"/>
        <w:spacing w:after="0"/>
        <w:rPr>
          <w:sz w:val="20"/>
          <w:szCs w:val="20"/>
          <w:color w:val="auto"/>
        </w:rPr>
      </w:pPr>
      <w:r>
        <w:rPr>
          <w:rFonts w:ascii="Arial" w:cs="Arial" w:eastAsia="Arial" w:hAnsi="Arial"/>
          <w:sz w:val="20"/>
          <w:szCs w:val="20"/>
          <w:color w:val="auto"/>
        </w:rPr>
        <w:t>(Unaudited)</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96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3980" w:type="dxa"/>
            <w:vAlign w:val="bottom"/>
            <w:tcBorders>
              <w:bottom w:val="single" w:sz="8" w:color="auto"/>
            </w:tcBorders>
            <w:gridSpan w:val="5"/>
          </w:tcPr>
          <w:p>
            <w:pPr>
              <w:jc w:val="right"/>
              <w:spacing w:after="0"/>
              <w:rPr>
                <w:sz w:val="20"/>
                <w:szCs w:val="20"/>
                <w:color w:val="auto"/>
              </w:rPr>
            </w:pPr>
            <w:r>
              <w:rPr>
                <w:rFonts w:ascii="Arial" w:cs="Arial" w:eastAsia="Arial" w:hAnsi="Arial"/>
                <w:sz w:val="18"/>
                <w:szCs w:val="18"/>
                <w:b w:val="1"/>
                <w:bCs w:val="1"/>
                <w:color w:val="auto"/>
              </w:rPr>
              <w:t>For the Three Months Ended March 31,</w:t>
            </w:r>
          </w:p>
        </w:tc>
        <w:tc>
          <w:tcPr>
            <w:tcW w:w="6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39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380" w:type="dxa"/>
            <w:vAlign w:val="bottom"/>
          </w:tcPr>
          <w:p>
            <w:pPr>
              <w:jc w:val="right"/>
              <w:ind w:right="10"/>
              <w:spacing w:after="0" w:line="196" w:lineRule="exact"/>
              <w:rPr>
                <w:sz w:val="20"/>
                <w:szCs w:val="20"/>
                <w:color w:val="auto"/>
              </w:rPr>
            </w:pPr>
            <w:r>
              <w:rPr>
                <w:rFonts w:ascii="Arial" w:cs="Arial" w:eastAsia="Arial" w:hAnsi="Arial"/>
                <w:sz w:val="18"/>
                <w:szCs w:val="18"/>
                <w:b w:val="1"/>
                <w:bCs w:val="1"/>
                <w:color w:val="auto"/>
              </w:rPr>
              <w:t>2025</w:t>
            </w: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20" w:type="dxa"/>
            <w:vAlign w:val="bottom"/>
            <w:gridSpan w:val="2"/>
          </w:tcPr>
          <w:p>
            <w:pPr>
              <w:jc w:val="right"/>
              <w:ind w:right="220"/>
              <w:spacing w:after="0" w:line="196" w:lineRule="exact"/>
              <w:rPr>
                <w:sz w:val="20"/>
                <w:szCs w:val="20"/>
                <w:color w:val="auto"/>
              </w:rPr>
            </w:pPr>
            <w:r>
              <w:rPr>
                <w:rFonts w:ascii="Arial" w:cs="Arial" w:eastAsia="Arial" w:hAnsi="Arial"/>
                <w:sz w:val="18"/>
                <w:szCs w:val="18"/>
                <w:b w:val="1"/>
                <w:bCs w:val="1"/>
                <w:color w:val="auto"/>
              </w:rPr>
              <w:t>2024</w:t>
            </w: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60" w:type="dxa"/>
            <w:vAlign w:val="bottom"/>
            <w:shd w:val="clear" w:color="auto" w:fill="CFF0FC"/>
          </w:tcPr>
          <w:p>
            <w:pPr>
              <w:spacing w:after="0" w:line="196" w:lineRule="exact"/>
              <w:rPr>
                <w:sz w:val="20"/>
                <w:szCs w:val="20"/>
                <w:color w:val="auto"/>
              </w:rPr>
            </w:pPr>
            <w:r>
              <w:rPr>
                <w:rFonts w:ascii="Arial" w:cs="Arial" w:eastAsia="Arial" w:hAnsi="Arial"/>
                <w:sz w:val="18"/>
                <w:szCs w:val="18"/>
                <w:b w:val="1"/>
                <w:bCs w:val="1"/>
                <w:color w:val="auto"/>
              </w:rPr>
              <w:t>Segment Revenue:</w:t>
            </w:r>
          </w:p>
        </w:tc>
        <w:tc>
          <w:tcPr>
            <w:tcW w:w="2520" w:type="dxa"/>
            <w:vAlign w:val="bottom"/>
            <w:shd w:val="clear" w:color="auto" w:fill="CFF0FC"/>
          </w:tcPr>
          <w:p>
            <w:pPr>
              <w:spacing w:after="0"/>
              <w:rPr>
                <w:sz w:val="17"/>
                <w:szCs w:val="17"/>
                <w:color w:val="auto"/>
              </w:rPr>
            </w:pPr>
          </w:p>
        </w:tc>
        <w:tc>
          <w:tcPr>
            <w:tcW w:w="1380" w:type="dxa"/>
            <w:vAlign w:val="bottom"/>
            <w:tcBorders>
              <w:top w:val="single" w:sz="8" w:color="auto"/>
            </w:tcBorders>
            <w:shd w:val="clear" w:color="auto" w:fill="CFF0FC"/>
          </w:tcPr>
          <w:p>
            <w:pPr>
              <w:spacing w:after="0"/>
              <w:rPr>
                <w:sz w:val="17"/>
                <w:szCs w:val="17"/>
                <w:color w:val="auto"/>
              </w:rPr>
            </w:pPr>
          </w:p>
        </w:tc>
        <w:tc>
          <w:tcPr>
            <w:tcW w:w="780" w:type="dxa"/>
            <w:vAlign w:val="bottom"/>
            <w:tcBorders>
              <w:top w:val="single" w:sz="8" w:color="auto"/>
            </w:tcBorders>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U.S.</w:t>
            </w:r>
          </w:p>
        </w:tc>
        <w:tc>
          <w:tcPr>
            <w:tcW w:w="3900" w:type="dxa"/>
            <w:vAlign w:val="bottom"/>
            <w:gridSpan w:val="2"/>
          </w:tcPr>
          <w:p>
            <w:pPr>
              <w:jc w:val="right"/>
              <w:ind w:right="119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127,820</w:t>
            </w:r>
          </w:p>
        </w:tc>
        <w:tc>
          <w:tcPr>
            <w:tcW w:w="200" w:type="dxa"/>
            <w:vAlign w:val="bottom"/>
          </w:tcPr>
          <w:p>
            <w:pPr>
              <w:spacing w:after="0"/>
              <w:rPr>
                <w:sz w:val="17"/>
                <w:szCs w:val="17"/>
                <w:color w:val="auto"/>
              </w:rPr>
            </w:pPr>
          </w:p>
        </w:tc>
        <w:tc>
          <w:tcPr>
            <w:tcW w:w="1620" w:type="dxa"/>
            <w:vAlign w:val="bottom"/>
            <w:gridSpan w:val="2"/>
          </w:tcPr>
          <w:p>
            <w:pPr>
              <w:jc w:val="right"/>
              <w:ind w:right="140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w w:val="98"/>
              </w:rPr>
              <w:t>103,363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International</w:t>
            </w:r>
          </w:p>
        </w:tc>
        <w:tc>
          <w:tcPr>
            <w:tcW w:w="252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23,151</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19,327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60" w:type="dxa"/>
            <w:vAlign w:val="bottom"/>
          </w:tcPr>
          <w:p>
            <w:pPr>
              <w:ind w:left="160"/>
              <w:spacing w:after="0" w:line="196" w:lineRule="exact"/>
              <w:rPr>
                <w:sz w:val="20"/>
                <w:szCs w:val="20"/>
                <w:color w:val="auto"/>
              </w:rPr>
            </w:pPr>
            <w:r>
              <w:rPr>
                <w:rFonts w:ascii="Arial" w:cs="Arial" w:eastAsia="Arial" w:hAnsi="Arial"/>
                <w:sz w:val="18"/>
                <w:szCs w:val="18"/>
                <w:color w:val="auto"/>
              </w:rPr>
              <w:t>Total revenue</w:t>
            </w:r>
          </w:p>
        </w:tc>
        <w:tc>
          <w:tcPr>
            <w:tcW w:w="3900" w:type="dxa"/>
            <w:vAlign w:val="bottom"/>
            <w:gridSpan w:val="2"/>
          </w:tcPr>
          <w:p>
            <w:pPr>
              <w:jc w:val="right"/>
              <w:ind w:right="1190"/>
              <w:spacing w:after="0" w:line="196"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150,971</w:t>
            </w:r>
          </w:p>
        </w:tc>
        <w:tc>
          <w:tcPr>
            <w:tcW w:w="200" w:type="dxa"/>
            <w:vAlign w:val="bottom"/>
          </w:tcPr>
          <w:p>
            <w:pPr>
              <w:spacing w:after="0"/>
              <w:rPr>
                <w:sz w:val="17"/>
                <w:szCs w:val="17"/>
                <w:color w:val="auto"/>
              </w:rPr>
            </w:pPr>
          </w:p>
        </w:tc>
        <w:tc>
          <w:tcPr>
            <w:tcW w:w="1620" w:type="dxa"/>
            <w:vAlign w:val="bottom"/>
            <w:gridSpan w:val="2"/>
          </w:tcPr>
          <w:p>
            <w:pPr>
              <w:jc w:val="right"/>
              <w:ind w:right="1400"/>
              <w:spacing w:after="0" w:line="196"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w w:val="98"/>
              </w:rPr>
              <w:t>122,690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6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Segment Cost of Revenue:</w:t>
            </w:r>
          </w:p>
        </w:tc>
        <w:tc>
          <w:tcPr>
            <w:tcW w:w="25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U.S.</w:t>
            </w:r>
          </w:p>
        </w:tc>
        <w:tc>
          <w:tcPr>
            <w:tcW w:w="3900" w:type="dxa"/>
            <w:vAlign w:val="bottom"/>
            <w:gridSpan w:val="2"/>
          </w:tcPr>
          <w:p>
            <w:pPr>
              <w:jc w:val="right"/>
              <w:ind w:right="119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79,940</w:t>
            </w:r>
          </w:p>
        </w:tc>
        <w:tc>
          <w:tcPr>
            <w:tcW w:w="200" w:type="dxa"/>
            <w:vAlign w:val="bottom"/>
          </w:tcPr>
          <w:p>
            <w:pPr>
              <w:spacing w:after="0"/>
              <w:rPr>
                <w:sz w:val="17"/>
                <w:szCs w:val="17"/>
                <w:color w:val="auto"/>
              </w:rPr>
            </w:pPr>
          </w:p>
        </w:tc>
        <w:tc>
          <w:tcPr>
            <w:tcW w:w="1620" w:type="dxa"/>
            <w:vAlign w:val="bottom"/>
            <w:gridSpan w:val="2"/>
          </w:tcPr>
          <w:p>
            <w:pPr>
              <w:jc w:val="right"/>
              <w:ind w:right="1400"/>
              <w:spacing w:after="0" w:line="202"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202" w:lineRule="exact"/>
              <w:rPr>
                <w:sz w:val="20"/>
                <w:szCs w:val="20"/>
                <w:color w:val="auto"/>
              </w:rPr>
            </w:pPr>
            <w:r>
              <w:rPr>
                <w:rFonts w:ascii="Arial" w:cs="Arial" w:eastAsia="Arial" w:hAnsi="Arial"/>
                <w:sz w:val="18"/>
                <w:szCs w:val="18"/>
                <w:color w:val="auto"/>
              </w:rPr>
              <w:t>62,930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International</w:t>
            </w:r>
          </w:p>
        </w:tc>
        <w:tc>
          <w:tcPr>
            <w:tcW w:w="2520" w:type="dxa"/>
            <w:vAlign w:val="bottom"/>
            <w:tcBorders>
              <w:bottom w:val="single" w:sz="8" w:color="CFF0FC"/>
            </w:tcBorders>
            <w:shd w:val="clear" w:color="auto" w:fill="CFF0FC"/>
          </w:tcPr>
          <w:p>
            <w:pPr>
              <w:spacing w:after="0"/>
              <w:rPr>
                <w:sz w:val="17"/>
                <w:szCs w:val="17"/>
                <w:color w:val="auto"/>
              </w:rPr>
            </w:pPr>
          </w:p>
        </w:tc>
        <w:tc>
          <w:tcPr>
            <w:tcW w:w="1380" w:type="dxa"/>
            <w:vAlign w:val="bottom"/>
            <w:tcBorders>
              <w:bottom w:val="single" w:sz="8" w:color="auto"/>
            </w:tcBorders>
            <w:shd w:val="clear" w:color="auto" w:fill="CFF0FC"/>
          </w:tcPr>
          <w:p>
            <w:pPr>
              <w:spacing w:after="0"/>
              <w:rPr>
                <w:sz w:val="17"/>
                <w:szCs w:val="17"/>
                <w:color w:val="auto"/>
              </w:rPr>
            </w:pPr>
          </w:p>
        </w:tc>
        <w:tc>
          <w:tcPr>
            <w:tcW w:w="7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14,700</w:t>
            </w:r>
          </w:p>
        </w:tc>
        <w:tc>
          <w:tcPr>
            <w:tcW w:w="2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500" w:type="dxa"/>
            <w:vAlign w:val="bottom"/>
            <w:tcBorders>
              <w:bottom w:val="single" w:sz="8" w:color="auto"/>
            </w:tcBorders>
            <w:shd w:val="clear" w:color="auto" w:fill="CFF0FC"/>
          </w:tcPr>
          <w:p>
            <w:pPr>
              <w:spacing w:after="0"/>
              <w:rPr>
                <w:sz w:val="17"/>
                <w:szCs w:val="17"/>
                <w:color w:val="auto"/>
              </w:rPr>
            </w:pPr>
          </w:p>
        </w:tc>
        <w:tc>
          <w:tcPr>
            <w:tcW w:w="68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11,858</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960" w:type="dxa"/>
            <w:vAlign w:val="bottom"/>
          </w:tcPr>
          <w:p>
            <w:pPr>
              <w:ind w:left="160"/>
              <w:spacing w:after="0" w:line="196" w:lineRule="exact"/>
              <w:rPr>
                <w:sz w:val="20"/>
                <w:szCs w:val="20"/>
                <w:color w:val="auto"/>
              </w:rPr>
            </w:pPr>
            <w:r>
              <w:rPr>
                <w:rFonts w:ascii="Arial" w:cs="Arial" w:eastAsia="Arial" w:hAnsi="Arial"/>
                <w:sz w:val="18"/>
                <w:szCs w:val="18"/>
                <w:color w:val="auto"/>
              </w:rPr>
              <w:t>Total cost of revenue</w:t>
            </w:r>
          </w:p>
        </w:tc>
        <w:tc>
          <w:tcPr>
            <w:tcW w:w="3900" w:type="dxa"/>
            <w:vAlign w:val="bottom"/>
            <w:gridSpan w:val="2"/>
          </w:tcPr>
          <w:p>
            <w:pPr>
              <w:jc w:val="right"/>
              <w:ind w:right="1190"/>
              <w:spacing w:after="0" w:line="196"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94,640</w:t>
            </w:r>
          </w:p>
        </w:tc>
        <w:tc>
          <w:tcPr>
            <w:tcW w:w="200" w:type="dxa"/>
            <w:vAlign w:val="bottom"/>
          </w:tcPr>
          <w:p>
            <w:pPr>
              <w:spacing w:after="0"/>
              <w:rPr>
                <w:sz w:val="17"/>
                <w:szCs w:val="17"/>
                <w:color w:val="auto"/>
              </w:rPr>
            </w:pPr>
          </w:p>
        </w:tc>
        <w:tc>
          <w:tcPr>
            <w:tcW w:w="1620" w:type="dxa"/>
            <w:vAlign w:val="bottom"/>
            <w:gridSpan w:val="2"/>
          </w:tcPr>
          <w:p>
            <w:pPr>
              <w:jc w:val="right"/>
              <w:ind w:right="1400"/>
              <w:spacing w:after="0" w:line="196" w:lineRule="exact"/>
              <w:rPr>
                <w:sz w:val="20"/>
                <w:szCs w:val="20"/>
                <w:color w:val="auto"/>
              </w:rPr>
            </w:pPr>
            <w:r>
              <w:rPr>
                <w:rFonts w:ascii="Arial" w:cs="Arial" w:eastAsia="Arial" w:hAnsi="Arial"/>
                <w:sz w:val="18"/>
                <w:szCs w:val="18"/>
                <w:color w:val="auto"/>
              </w:rPr>
              <w:t>$</w:t>
            </w:r>
          </w:p>
        </w:tc>
        <w:tc>
          <w:tcPr>
            <w:tcW w:w="680" w:type="dxa"/>
            <w:vAlign w:val="bottom"/>
          </w:tcPr>
          <w:p>
            <w:pPr>
              <w:jc w:val="right"/>
              <w:spacing w:after="0" w:line="196" w:lineRule="exact"/>
              <w:rPr>
                <w:sz w:val="20"/>
                <w:szCs w:val="20"/>
                <w:color w:val="auto"/>
              </w:rPr>
            </w:pPr>
            <w:r>
              <w:rPr>
                <w:rFonts w:ascii="Arial" w:cs="Arial" w:eastAsia="Arial" w:hAnsi="Arial"/>
                <w:sz w:val="18"/>
                <w:szCs w:val="18"/>
                <w:color w:val="auto"/>
              </w:rPr>
              <w:t>74,788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9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96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Segment Adjusted EBITDA:</w:t>
            </w:r>
          </w:p>
        </w:tc>
        <w:tc>
          <w:tcPr>
            <w:tcW w:w="25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960" w:type="dxa"/>
            <w:vAlign w:val="bottom"/>
          </w:tcPr>
          <w:p>
            <w:pPr>
              <w:spacing w:after="0" w:line="202" w:lineRule="exact"/>
              <w:rPr>
                <w:sz w:val="20"/>
                <w:szCs w:val="20"/>
                <w:color w:val="auto"/>
              </w:rPr>
            </w:pPr>
            <w:r>
              <w:rPr>
                <w:rFonts w:ascii="Arial" w:cs="Arial" w:eastAsia="Arial" w:hAnsi="Arial"/>
                <w:sz w:val="18"/>
                <w:szCs w:val="18"/>
                <w:color w:val="auto"/>
              </w:rPr>
              <w:t>U.S.</w:t>
            </w:r>
          </w:p>
        </w:tc>
        <w:tc>
          <w:tcPr>
            <w:tcW w:w="3900" w:type="dxa"/>
            <w:vAlign w:val="bottom"/>
            <w:gridSpan w:val="2"/>
          </w:tcPr>
          <w:p>
            <w:pPr>
              <w:jc w:val="right"/>
              <w:ind w:right="1190"/>
              <w:spacing w:after="0" w:line="202"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202" w:lineRule="exact"/>
              <w:rPr>
                <w:sz w:val="20"/>
                <w:szCs w:val="20"/>
                <w:color w:val="auto"/>
              </w:rPr>
            </w:pPr>
            <w:r>
              <w:rPr>
                <w:rFonts w:ascii="Arial" w:cs="Arial" w:eastAsia="Arial" w:hAnsi="Arial"/>
                <w:sz w:val="18"/>
                <w:szCs w:val="18"/>
                <w:color w:val="auto"/>
              </w:rPr>
              <w:t>3,010</w:t>
            </w:r>
          </w:p>
        </w:tc>
        <w:tc>
          <w:tcPr>
            <w:tcW w:w="200" w:type="dxa"/>
            <w:vAlign w:val="bottom"/>
          </w:tcPr>
          <w:p>
            <w:pPr>
              <w:spacing w:after="0"/>
              <w:rPr>
                <w:sz w:val="17"/>
                <w:szCs w:val="17"/>
                <w:color w:val="auto"/>
              </w:rPr>
            </w:pPr>
          </w:p>
        </w:tc>
        <w:tc>
          <w:tcPr>
            <w:tcW w:w="1620" w:type="dxa"/>
            <w:vAlign w:val="bottom"/>
            <w:gridSpan w:val="2"/>
          </w:tcPr>
          <w:p>
            <w:pPr>
              <w:jc w:val="right"/>
              <w:ind w:right="1400"/>
              <w:spacing w:after="0" w:line="202"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line="202" w:lineRule="exact"/>
              <w:rPr>
                <w:sz w:val="20"/>
                <w:szCs w:val="20"/>
                <w:color w:val="auto"/>
              </w:rPr>
            </w:pPr>
            <w:r>
              <w:rPr>
                <w:rFonts w:ascii="Arial" w:cs="Arial" w:eastAsia="Arial" w:hAnsi="Arial"/>
                <w:sz w:val="18"/>
                <w:szCs w:val="18"/>
                <w:color w:val="auto"/>
              </w:rPr>
              <w:t>(5,481)</w:t>
            </w:r>
          </w:p>
        </w:tc>
        <w:tc>
          <w:tcPr>
            <w:tcW w:w="0" w:type="dxa"/>
            <w:vAlign w:val="bottom"/>
          </w:tcPr>
          <w:p>
            <w:pPr>
              <w:spacing w:after="0"/>
              <w:rPr>
                <w:sz w:val="1"/>
                <w:szCs w:val="1"/>
                <w:color w:val="auto"/>
              </w:rPr>
            </w:pPr>
          </w:p>
        </w:tc>
      </w:tr>
      <w:tr>
        <w:trPr>
          <w:trHeight w:val="203"/>
        </w:trPr>
        <w:tc>
          <w:tcPr>
            <w:tcW w:w="396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International</w:t>
            </w:r>
          </w:p>
        </w:tc>
        <w:tc>
          <w:tcPr>
            <w:tcW w:w="252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40"/>
              <w:spacing w:after="0" w:line="202" w:lineRule="exact"/>
              <w:rPr>
                <w:sz w:val="20"/>
                <w:szCs w:val="20"/>
                <w:color w:val="auto"/>
              </w:rPr>
            </w:pPr>
            <w:r>
              <w:rPr>
                <w:rFonts w:ascii="Arial" w:cs="Arial" w:eastAsia="Arial" w:hAnsi="Arial"/>
                <w:sz w:val="18"/>
                <w:szCs w:val="18"/>
                <w:color w:val="auto"/>
              </w:rPr>
              <w:t>(2,932)</w:t>
            </w:r>
          </w:p>
        </w:tc>
        <w:tc>
          <w:tcPr>
            <w:tcW w:w="12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780" w:type="dxa"/>
            <w:vAlign w:val="bottom"/>
            <w:gridSpan w:val="2"/>
            <w:shd w:val="clear" w:color="auto" w:fill="CFF0FC"/>
          </w:tcPr>
          <w:p>
            <w:pPr>
              <w:jc w:val="right"/>
              <w:ind w:right="40"/>
              <w:spacing w:after="0" w:line="202" w:lineRule="exact"/>
              <w:rPr>
                <w:sz w:val="20"/>
                <w:szCs w:val="20"/>
                <w:color w:val="auto"/>
              </w:rPr>
            </w:pPr>
            <w:r>
              <w:rPr>
                <w:rFonts w:ascii="Arial" w:cs="Arial" w:eastAsia="Arial" w:hAnsi="Arial"/>
                <w:sz w:val="18"/>
                <w:szCs w:val="18"/>
                <w:color w:val="auto"/>
              </w:rPr>
              <w:t>(1,978)</w:t>
            </w:r>
          </w:p>
        </w:tc>
        <w:tc>
          <w:tcPr>
            <w:tcW w:w="0" w:type="dxa"/>
            <w:vAlign w:val="bottom"/>
          </w:tcPr>
          <w:p>
            <w:pPr>
              <w:spacing w:after="0"/>
              <w:rPr>
                <w:sz w:val="1"/>
                <w:szCs w:val="1"/>
                <w:color w:val="auto"/>
              </w:rPr>
            </w:pPr>
          </w:p>
        </w:tc>
      </w:tr>
      <w:tr>
        <w:trPr>
          <w:trHeight w:val="20"/>
        </w:trPr>
        <w:tc>
          <w:tcPr>
            <w:tcW w:w="3960" w:type="dxa"/>
            <w:vAlign w:val="bottom"/>
            <w:shd w:val="clear" w:color="auto" w:fill="CFF0FC"/>
          </w:tcPr>
          <w:p>
            <w:pPr>
              <w:spacing w:after="0" w:line="20" w:lineRule="exact"/>
              <w:rPr>
                <w:sz w:val="1"/>
                <w:szCs w:val="1"/>
                <w:color w:val="auto"/>
              </w:rPr>
            </w:pPr>
          </w:p>
        </w:tc>
        <w:tc>
          <w:tcPr>
            <w:tcW w:w="2520" w:type="dxa"/>
            <w:vAlign w:val="bottom"/>
            <w:shd w:val="clear" w:color="auto" w:fill="CFF0FC"/>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60" w:type="dxa"/>
            <w:vAlign w:val="bottom"/>
          </w:tcPr>
          <w:p>
            <w:pPr>
              <w:ind w:left="160"/>
              <w:spacing w:after="0" w:line="196" w:lineRule="exact"/>
              <w:rPr>
                <w:sz w:val="20"/>
                <w:szCs w:val="20"/>
                <w:color w:val="auto"/>
              </w:rPr>
            </w:pPr>
            <w:r>
              <w:rPr>
                <w:rFonts w:ascii="Arial" w:cs="Arial" w:eastAsia="Arial" w:hAnsi="Arial"/>
                <w:sz w:val="18"/>
                <w:szCs w:val="18"/>
                <w:color w:val="auto"/>
              </w:rPr>
              <w:t>Total Adjusted EBITDA</w:t>
            </w:r>
          </w:p>
        </w:tc>
        <w:tc>
          <w:tcPr>
            <w:tcW w:w="3900" w:type="dxa"/>
            <w:vAlign w:val="bottom"/>
            <w:gridSpan w:val="2"/>
          </w:tcPr>
          <w:p>
            <w:pPr>
              <w:jc w:val="right"/>
              <w:ind w:right="1190"/>
              <w:spacing w:after="0" w:line="196" w:lineRule="exact"/>
              <w:rPr>
                <w:sz w:val="20"/>
                <w:szCs w:val="20"/>
                <w:color w:val="auto"/>
              </w:rPr>
            </w:pPr>
            <w:r>
              <w:rPr>
                <w:rFonts w:ascii="Arial" w:cs="Arial" w:eastAsia="Arial" w:hAnsi="Arial"/>
                <w:sz w:val="18"/>
                <w:szCs w:val="18"/>
                <w:color w:val="auto"/>
              </w:rPr>
              <w:t>$</w:t>
            </w: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78</w:t>
            </w:r>
          </w:p>
        </w:tc>
        <w:tc>
          <w:tcPr>
            <w:tcW w:w="200" w:type="dxa"/>
            <w:vAlign w:val="bottom"/>
          </w:tcPr>
          <w:p>
            <w:pPr>
              <w:spacing w:after="0"/>
              <w:rPr>
                <w:sz w:val="17"/>
                <w:szCs w:val="17"/>
                <w:color w:val="auto"/>
              </w:rPr>
            </w:pPr>
          </w:p>
        </w:tc>
        <w:tc>
          <w:tcPr>
            <w:tcW w:w="1620" w:type="dxa"/>
            <w:vAlign w:val="bottom"/>
            <w:gridSpan w:val="2"/>
          </w:tcPr>
          <w:p>
            <w:pPr>
              <w:jc w:val="right"/>
              <w:ind w:right="1400"/>
              <w:spacing w:after="0" w:line="196" w:lineRule="exact"/>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40"/>
              <w:spacing w:after="0" w:line="196" w:lineRule="exact"/>
              <w:rPr>
                <w:sz w:val="20"/>
                <w:szCs w:val="20"/>
                <w:color w:val="auto"/>
              </w:rPr>
            </w:pPr>
            <w:r>
              <w:rPr>
                <w:rFonts w:ascii="Arial" w:cs="Arial" w:eastAsia="Arial" w:hAnsi="Arial"/>
                <w:sz w:val="18"/>
                <w:szCs w:val="18"/>
                <w:color w:val="auto"/>
              </w:rPr>
              <w:t>(7,459)</w:t>
            </w: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2520" w:type="dxa"/>
            <w:vAlign w:val="bottom"/>
            <w:vMerge w:val="restart"/>
          </w:tcPr>
          <w:p>
            <w:pPr>
              <w:jc w:val="right"/>
              <w:ind w:right="670"/>
              <w:spacing w:after="0"/>
              <w:rPr>
                <w:sz w:val="20"/>
                <w:szCs w:val="20"/>
                <w:color w:val="auto"/>
              </w:rPr>
            </w:pPr>
            <w:r>
              <w:rPr>
                <w:rFonts w:ascii="Times New Roman" w:cs="Times New Roman" w:eastAsia="Times New Roman" w:hAnsi="Times New Roman"/>
                <w:sz w:val="18"/>
                <w:szCs w:val="18"/>
                <w:color w:val="auto"/>
              </w:rPr>
              <w:t>11</w:t>
            </w:r>
          </w:p>
        </w:tc>
        <w:tc>
          <w:tcPr>
            <w:tcW w:w="13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23"/>
        </w:trPr>
        <w:tc>
          <w:tcPr>
            <w:tcW w:w="396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1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3960" w:type="dxa"/>
            <w:vAlign w:val="bottom"/>
            <w:tcBorders>
              <w:bottom w:val="single" w:sz="8" w:color="9A9A9A"/>
            </w:tcBorders>
          </w:tcPr>
          <w:p>
            <w:pPr>
              <w:spacing w:after="0"/>
              <w:rPr>
                <w:sz w:val="24"/>
                <w:szCs w:val="24"/>
                <w:color w:val="auto"/>
              </w:rPr>
            </w:pPr>
          </w:p>
        </w:tc>
        <w:tc>
          <w:tcPr>
            <w:tcW w:w="252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-2485390</wp:posOffset>
            </wp:positionV>
            <wp:extent cx="6858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-2485390</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-1807845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-1807845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-1130935</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-1130935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jc w:val="center"/>
        <w:spacing w:after="0" w:line="231" w:lineRule="auto"/>
        <w:rPr>
          <w:sz w:val="20"/>
          <w:szCs w:val="20"/>
          <w:color w:val="auto"/>
        </w:rPr>
      </w:pPr>
      <w:r>
        <w:rPr>
          <w:rFonts w:ascii="Arial" w:cs="Arial" w:eastAsia="Arial" w:hAnsi="Arial"/>
          <w:sz w:val="20"/>
          <w:szCs w:val="20"/>
          <w:color w:val="auto"/>
        </w:rPr>
        <w:t>Supplemental Information</w:t>
      </w:r>
    </w:p>
    <w:p>
      <w:pPr>
        <w:jc w:val="center"/>
        <w:spacing w:after="0" w:line="226" w:lineRule="auto"/>
        <w:rPr>
          <w:sz w:val="20"/>
          <w:szCs w:val="20"/>
          <w:color w:val="auto"/>
        </w:rPr>
      </w:pPr>
      <w:r>
        <w:rPr>
          <w:rFonts w:ascii="Arial" w:cs="Arial" w:eastAsia="Arial" w:hAnsi="Arial"/>
          <w:sz w:val="20"/>
          <w:szCs w:val="20"/>
          <w:color w:val="auto"/>
        </w:rPr>
        <w:t>(In thousands)</w:t>
      </w:r>
    </w:p>
    <w:p>
      <w:pPr>
        <w:jc w:val="center"/>
        <w:spacing w:after="0"/>
        <w:rPr>
          <w:sz w:val="20"/>
          <w:szCs w:val="20"/>
          <w:color w:val="auto"/>
        </w:rPr>
      </w:pPr>
      <w:r>
        <w:rPr>
          <w:rFonts w:ascii="Arial" w:cs="Arial" w:eastAsia="Arial" w:hAnsi="Arial"/>
          <w:sz w:val="20"/>
          <w:szCs w:val="20"/>
          <w:color w:val="auto"/>
        </w:rPr>
        <w:t>(Unaudited)</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00" w:type="dxa"/>
            <w:vAlign w:val="bottom"/>
          </w:tcPr>
          <w:p>
            <w:pPr>
              <w:spacing w:after="0"/>
              <w:rPr>
                <w:sz w:val="17"/>
                <w:szCs w:val="17"/>
                <w:color w:val="auto"/>
              </w:rPr>
            </w:pPr>
          </w:p>
        </w:tc>
        <w:tc>
          <w:tcPr>
            <w:tcW w:w="3420" w:type="dxa"/>
            <w:vAlign w:val="bottom"/>
            <w:gridSpan w:val="4"/>
          </w:tcPr>
          <w:p>
            <w:pPr>
              <w:jc w:val="right"/>
              <w:ind w:right="500"/>
              <w:spacing w:after="0"/>
              <w:rPr>
                <w:sz w:val="20"/>
                <w:szCs w:val="20"/>
                <w:color w:val="auto"/>
              </w:rPr>
            </w:pPr>
            <w:r>
              <w:rPr>
                <w:rFonts w:ascii="Arial" w:cs="Arial" w:eastAsia="Arial" w:hAnsi="Arial"/>
                <w:sz w:val="18"/>
                <w:szCs w:val="18"/>
                <w:b w:val="1"/>
                <w:bCs w:val="1"/>
                <w:color w:val="auto"/>
              </w:rPr>
              <w:t>For the Three Months</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7100" w:type="dxa"/>
            <w:vAlign w:val="bottom"/>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2200" w:type="dxa"/>
            <w:vAlign w:val="bottom"/>
            <w:tcBorders>
              <w:bottom w:val="single" w:sz="8" w:color="auto"/>
            </w:tcBorders>
            <w:gridSpan w:val="3"/>
          </w:tcPr>
          <w:p>
            <w:pPr>
              <w:jc w:val="right"/>
              <w:ind w:right="700"/>
              <w:spacing w:after="0"/>
              <w:rPr>
                <w:sz w:val="20"/>
                <w:szCs w:val="20"/>
                <w:color w:val="auto"/>
              </w:rPr>
            </w:pPr>
            <w:r>
              <w:rPr>
                <w:rFonts w:ascii="Arial" w:cs="Arial" w:eastAsia="Arial" w:hAnsi="Arial"/>
                <w:sz w:val="18"/>
                <w:szCs w:val="18"/>
                <w:b w:val="1"/>
                <w:bCs w:val="1"/>
                <w:color w:val="auto"/>
              </w:rPr>
              <w:t>Ended March 31,</w:t>
            </w:r>
          </w:p>
        </w:tc>
        <w:tc>
          <w:tcPr>
            <w:tcW w:w="6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7100" w:type="dxa"/>
            <w:vAlign w:val="bottom"/>
          </w:tcPr>
          <w:p>
            <w:pPr>
              <w:spacing w:after="0"/>
              <w:rPr>
                <w:sz w:val="17"/>
                <w:szCs w:val="17"/>
                <w:color w:val="auto"/>
              </w:rPr>
            </w:pPr>
          </w:p>
        </w:tc>
        <w:tc>
          <w:tcPr>
            <w:tcW w:w="122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2025</w:t>
            </w:r>
          </w:p>
        </w:tc>
        <w:tc>
          <w:tcPr>
            <w:tcW w:w="660" w:type="dxa"/>
            <w:vAlign w:val="bottom"/>
          </w:tcPr>
          <w:p>
            <w:pPr>
              <w:spacing w:after="0"/>
              <w:rPr>
                <w:sz w:val="17"/>
                <w:szCs w:val="17"/>
                <w:color w:val="auto"/>
              </w:rPr>
            </w:pPr>
          </w:p>
        </w:tc>
        <w:tc>
          <w:tcPr>
            <w:tcW w:w="1540" w:type="dxa"/>
            <w:vAlign w:val="bottom"/>
            <w:gridSpan w:val="2"/>
          </w:tcPr>
          <w:p>
            <w:pPr>
              <w:jc w:val="right"/>
              <w:ind w:right="140"/>
              <w:spacing w:after="0" w:line="196" w:lineRule="exact"/>
              <w:rPr>
                <w:sz w:val="20"/>
                <w:szCs w:val="20"/>
                <w:color w:val="auto"/>
              </w:rPr>
            </w:pPr>
            <w:r>
              <w:rPr>
                <w:rFonts w:ascii="Arial" w:cs="Arial" w:eastAsia="Arial" w:hAnsi="Arial"/>
                <w:sz w:val="18"/>
                <w:szCs w:val="18"/>
                <w:b w:val="1"/>
                <w:bCs w:val="1"/>
                <w:color w:val="auto"/>
              </w:rPr>
              <w:t>2024</w:t>
            </w: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7100" w:type="dxa"/>
            <w:vAlign w:val="bottom"/>
            <w:shd w:val="clear" w:color="auto" w:fill="CFF0FC"/>
          </w:tcPr>
          <w:p>
            <w:pPr>
              <w:spacing w:after="0" w:line="177" w:lineRule="exact"/>
              <w:rPr>
                <w:sz w:val="20"/>
                <w:szCs w:val="20"/>
                <w:color w:val="auto"/>
              </w:rPr>
            </w:pPr>
            <w:r>
              <w:rPr>
                <w:rFonts w:ascii="Arial" w:cs="Arial" w:eastAsia="Arial" w:hAnsi="Arial"/>
                <w:sz w:val="18"/>
                <w:szCs w:val="18"/>
                <w:b w:val="1"/>
                <w:bCs w:val="1"/>
                <w:color w:val="auto"/>
              </w:rPr>
              <w:t>Summary of Stock-based Compensation Expense and Payroll Taxes Related to</w:t>
            </w:r>
          </w:p>
        </w:tc>
        <w:tc>
          <w:tcPr>
            <w:tcW w:w="1220" w:type="dxa"/>
            <w:vAlign w:val="bottom"/>
            <w:tcBorders>
              <w:top w:val="single" w:sz="8" w:color="auto"/>
            </w:tcBorders>
            <w:shd w:val="clear" w:color="auto" w:fill="CFF0FC"/>
          </w:tcPr>
          <w:p>
            <w:pPr>
              <w:spacing w:after="0"/>
              <w:rPr>
                <w:sz w:val="15"/>
                <w:szCs w:val="15"/>
                <w:color w:val="auto"/>
              </w:rPr>
            </w:pPr>
          </w:p>
        </w:tc>
        <w:tc>
          <w:tcPr>
            <w:tcW w:w="660" w:type="dxa"/>
            <w:vAlign w:val="bottom"/>
            <w:tcBorders>
              <w:top w:val="single" w:sz="8" w:color="auto"/>
            </w:tcBorders>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1260" w:type="dxa"/>
            <w:vAlign w:val="bottom"/>
            <w:tcBorders>
              <w:top w:val="single" w:sz="8" w:color="auto"/>
            </w:tcBorders>
            <w:shd w:val="clear" w:color="auto" w:fill="CFF0FC"/>
          </w:tcPr>
          <w:p>
            <w:pPr>
              <w:spacing w:after="0"/>
              <w:rPr>
                <w:sz w:val="15"/>
                <w:szCs w:val="15"/>
                <w:color w:val="auto"/>
              </w:rPr>
            </w:pPr>
          </w:p>
        </w:tc>
        <w:tc>
          <w:tcPr>
            <w:tcW w:w="60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71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Stock-based Compensation Expense</w:t>
            </w:r>
          </w:p>
        </w:tc>
        <w:tc>
          <w:tcPr>
            <w:tcW w:w="12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6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7100" w:type="dxa"/>
            <w:vAlign w:val="bottom"/>
          </w:tcPr>
          <w:p>
            <w:pPr>
              <w:spacing w:after="0" w:line="202" w:lineRule="exact"/>
              <w:rPr>
                <w:sz w:val="20"/>
                <w:szCs w:val="20"/>
                <w:color w:val="auto"/>
              </w:rPr>
            </w:pPr>
            <w:r>
              <w:rPr>
                <w:rFonts w:ascii="Arial" w:cs="Arial" w:eastAsia="Arial" w:hAnsi="Arial"/>
                <w:sz w:val="18"/>
                <w:szCs w:val="18"/>
                <w:color w:val="auto"/>
              </w:rPr>
              <w:t>Sales and marketing</w:t>
            </w:r>
          </w:p>
        </w:tc>
        <w:tc>
          <w:tcPr>
            <w:tcW w:w="1220" w:type="dxa"/>
            <w:vAlign w:val="bottom"/>
          </w:tcPr>
          <w:p>
            <w:pPr>
              <w:jc w:val="right"/>
              <w:ind w:right="1030"/>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2,382</w:t>
            </w:r>
          </w:p>
        </w:tc>
        <w:tc>
          <w:tcPr>
            <w:tcW w:w="1540" w:type="dxa"/>
            <w:vAlign w:val="bottom"/>
            <w:gridSpan w:val="2"/>
          </w:tcPr>
          <w:p>
            <w:pPr>
              <w:jc w:val="right"/>
              <w:ind w:right="1160"/>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1,520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Operations and support</w:t>
            </w:r>
          </w:p>
        </w:tc>
        <w:tc>
          <w:tcPr>
            <w:tcW w:w="12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2,978</w:t>
            </w:r>
          </w:p>
        </w:tc>
        <w:tc>
          <w:tcPr>
            <w:tcW w:w="2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2,092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spacing w:after="0" w:line="202" w:lineRule="exact"/>
              <w:rPr>
                <w:sz w:val="20"/>
                <w:szCs w:val="20"/>
                <w:color w:val="auto"/>
              </w:rPr>
            </w:pPr>
            <w:r>
              <w:rPr>
                <w:rFonts w:ascii="Arial" w:cs="Arial" w:eastAsia="Arial" w:hAnsi="Arial"/>
                <w:sz w:val="18"/>
                <w:szCs w:val="18"/>
                <w:color w:val="auto"/>
              </w:rPr>
              <w:t>Product development</w:t>
            </w:r>
          </w:p>
        </w:tc>
        <w:tc>
          <w:tcPr>
            <w:tcW w:w="1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2,016</w:t>
            </w: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1,416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Borders>
              <w:bottom w:val="single" w:sz="8" w:color="CFF0FC"/>
            </w:tcBorders>
            <w:shd w:val="clear" w:color="auto" w:fill="CFF0FC"/>
          </w:tcPr>
          <w:p>
            <w:pPr>
              <w:spacing w:after="0" w:line="202" w:lineRule="exact"/>
              <w:rPr>
                <w:sz w:val="20"/>
                <w:szCs w:val="20"/>
                <w:color w:val="auto"/>
              </w:rPr>
            </w:pPr>
            <w:r>
              <w:rPr>
                <w:rFonts w:ascii="Arial" w:cs="Arial" w:eastAsia="Arial" w:hAnsi="Arial"/>
                <w:sz w:val="18"/>
                <w:szCs w:val="18"/>
                <w:color w:val="auto"/>
              </w:rPr>
              <w:t>General and administrative</w:t>
            </w:r>
          </w:p>
        </w:tc>
        <w:tc>
          <w:tcPr>
            <w:tcW w:w="122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1,439</w:t>
            </w:r>
          </w:p>
        </w:tc>
        <w:tc>
          <w:tcPr>
            <w:tcW w:w="280" w:type="dxa"/>
            <w:vAlign w:val="bottom"/>
            <w:tcBorders>
              <w:bottom w:val="single" w:sz="8" w:color="CFF0FC"/>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jc w:val="right"/>
              <w:spacing w:after="0" w:line="202" w:lineRule="exact"/>
              <w:rPr>
                <w:sz w:val="20"/>
                <w:szCs w:val="20"/>
                <w:color w:val="auto"/>
              </w:rPr>
            </w:pPr>
            <w:r>
              <w:rPr>
                <w:rFonts w:ascii="Arial" w:cs="Arial" w:eastAsia="Arial" w:hAnsi="Arial"/>
                <w:sz w:val="18"/>
                <w:szCs w:val="18"/>
                <w:color w:val="auto"/>
              </w:rPr>
              <w:t>1,008</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7100" w:type="dxa"/>
            <w:vAlign w:val="bottom"/>
          </w:tcPr>
          <w:p>
            <w:pPr>
              <w:spacing w:after="0" w:line="177" w:lineRule="exact"/>
              <w:rPr>
                <w:sz w:val="20"/>
                <w:szCs w:val="20"/>
                <w:color w:val="auto"/>
              </w:rPr>
            </w:pPr>
            <w:r>
              <w:rPr>
                <w:rFonts w:ascii="Arial" w:cs="Arial" w:eastAsia="Arial" w:hAnsi="Arial"/>
                <w:sz w:val="18"/>
                <w:szCs w:val="18"/>
                <w:color w:val="auto"/>
              </w:rPr>
              <w:t>Total stock-based compensation expense and payroll taxes related to stock-based</w:t>
            </w:r>
          </w:p>
        </w:tc>
        <w:tc>
          <w:tcPr>
            <w:tcW w:w="1220" w:type="dxa"/>
            <w:vAlign w:val="bottom"/>
            <w:vMerge w:val="restart"/>
          </w:tcPr>
          <w:p>
            <w:pPr>
              <w:jc w:val="right"/>
              <w:ind w:right="1030"/>
              <w:spacing w:after="0"/>
              <w:rPr>
                <w:sz w:val="20"/>
                <w:szCs w:val="20"/>
                <w:color w:val="auto"/>
              </w:rPr>
            </w:pPr>
            <w:r>
              <w:rPr>
                <w:rFonts w:ascii="Arial" w:cs="Arial" w:eastAsia="Arial" w:hAnsi="Arial"/>
                <w:sz w:val="18"/>
                <w:szCs w:val="18"/>
                <w:color w:val="auto"/>
                <w:w w:val="79"/>
              </w:rPr>
              <w:t>$</w:t>
            </w: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8,815</w:t>
            </w:r>
          </w:p>
        </w:tc>
        <w:tc>
          <w:tcPr>
            <w:tcW w:w="1540" w:type="dxa"/>
            <w:vAlign w:val="bottom"/>
            <w:gridSpan w:val="2"/>
            <w:vMerge w:val="restart"/>
          </w:tcPr>
          <w:p>
            <w:pPr>
              <w:jc w:val="right"/>
              <w:ind w:right="1160"/>
              <w:spacing w:after="0"/>
              <w:rPr>
                <w:sz w:val="20"/>
                <w:szCs w:val="20"/>
                <w:color w:val="auto"/>
              </w:rPr>
            </w:pPr>
            <w:r>
              <w:rPr>
                <w:rFonts w:ascii="Arial" w:cs="Arial" w:eastAsia="Arial" w:hAnsi="Arial"/>
                <w:sz w:val="18"/>
                <w:szCs w:val="18"/>
                <w:color w:val="auto"/>
              </w:rPr>
              <w:t>$</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rPr>
              <w:t>6,036</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100" w:type="dxa"/>
            <w:vAlign w:val="bottom"/>
          </w:tcPr>
          <w:p>
            <w:pPr>
              <w:spacing w:after="0" w:line="161" w:lineRule="exact"/>
              <w:rPr>
                <w:sz w:val="20"/>
                <w:szCs w:val="20"/>
                <w:color w:val="auto"/>
              </w:rPr>
            </w:pPr>
            <w:r>
              <w:rPr>
                <w:rFonts w:ascii="Arial" w:cs="Arial" w:eastAsia="Arial" w:hAnsi="Arial"/>
                <w:sz w:val="18"/>
                <w:szCs w:val="18"/>
                <w:color w:val="auto"/>
              </w:rPr>
              <w:t>compensation</w:t>
            </w:r>
          </w:p>
        </w:tc>
        <w:tc>
          <w:tcPr>
            <w:tcW w:w="1220" w:type="dxa"/>
            <w:vAlign w:val="bottom"/>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rPr>
              <w:t>Summary of Depreciation and Amortization Expense</w:t>
            </w:r>
          </w:p>
        </w:tc>
        <w:tc>
          <w:tcPr>
            <w:tcW w:w="12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spacing w:after="0" w:line="202" w:lineRule="exact"/>
              <w:rPr>
                <w:sz w:val="20"/>
                <w:szCs w:val="20"/>
                <w:color w:val="auto"/>
              </w:rPr>
            </w:pPr>
            <w:r>
              <w:rPr>
                <w:rFonts w:ascii="Arial" w:cs="Arial" w:eastAsia="Arial" w:hAnsi="Arial"/>
                <w:sz w:val="18"/>
                <w:szCs w:val="18"/>
                <w:color w:val="auto"/>
              </w:rPr>
              <w:t>Cost of revenue</w:t>
            </w:r>
          </w:p>
        </w:tc>
        <w:tc>
          <w:tcPr>
            <w:tcW w:w="1220" w:type="dxa"/>
            <w:vAlign w:val="bottom"/>
          </w:tcPr>
          <w:p>
            <w:pPr>
              <w:jc w:val="right"/>
              <w:ind w:right="1030"/>
              <w:spacing w:after="0" w:line="202" w:lineRule="exact"/>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182</w:t>
            </w:r>
          </w:p>
        </w:tc>
        <w:tc>
          <w:tcPr>
            <w:tcW w:w="1540" w:type="dxa"/>
            <w:vAlign w:val="bottom"/>
            <w:gridSpan w:val="2"/>
          </w:tcPr>
          <w:p>
            <w:pPr>
              <w:jc w:val="right"/>
              <w:ind w:right="1160"/>
              <w:spacing w:after="0" w:line="202" w:lineRule="exact"/>
              <w:rPr>
                <w:sz w:val="20"/>
                <w:szCs w:val="20"/>
                <w:color w:val="auto"/>
              </w:rPr>
            </w:pPr>
            <w:r>
              <w:rPr>
                <w:rFonts w:ascii="Arial" w:cs="Arial" w:eastAsia="Arial" w:hAnsi="Arial"/>
                <w:sz w:val="18"/>
                <w:szCs w:val="18"/>
                <w:color w:val="auto"/>
              </w:rPr>
              <w:t>$</w:t>
            </w: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185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Sales and marketing</w:t>
            </w:r>
          </w:p>
        </w:tc>
        <w:tc>
          <w:tcPr>
            <w:tcW w:w="12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794</w:t>
            </w:r>
          </w:p>
        </w:tc>
        <w:tc>
          <w:tcPr>
            <w:tcW w:w="2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797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spacing w:after="0" w:line="202" w:lineRule="exact"/>
              <w:rPr>
                <w:sz w:val="20"/>
                <w:szCs w:val="20"/>
                <w:color w:val="auto"/>
              </w:rPr>
            </w:pPr>
            <w:r>
              <w:rPr>
                <w:rFonts w:ascii="Arial" w:cs="Arial" w:eastAsia="Arial" w:hAnsi="Arial"/>
                <w:sz w:val="18"/>
                <w:szCs w:val="18"/>
                <w:color w:val="auto"/>
              </w:rPr>
              <w:t>Operations and support</w:t>
            </w:r>
          </w:p>
        </w:tc>
        <w:tc>
          <w:tcPr>
            <w:tcW w:w="1220" w:type="dxa"/>
            <w:vAlign w:val="bottom"/>
          </w:tcPr>
          <w:p>
            <w:pPr>
              <w:spacing w:after="0"/>
              <w:rPr>
                <w:sz w:val="17"/>
                <w:szCs w:val="17"/>
                <w:color w:val="auto"/>
              </w:rPr>
            </w:pPr>
          </w:p>
        </w:tc>
        <w:tc>
          <w:tcPr>
            <w:tcW w:w="660" w:type="dxa"/>
            <w:vAlign w:val="bottom"/>
          </w:tcPr>
          <w:p>
            <w:pPr>
              <w:jc w:val="right"/>
              <w:spacing w:after="0" w:line="202" w:lineRule="exact"/>
              <w:rPr>
                <w:sz w:val="20"/>
                <w:szCs w:val="20"/>
                <w:color w:val="auto"/>
              </w:rPr>
            </w:pPr>
            <w:r>
              <w:rPr>
                <w:rFonts w:ascii="Arial" w:cs="Arial" w:eastAsia="Arial" w:hAnsi="Arial"/>
                <w:sz w:val="18"/>
                <w:szCs w:val="18"/>
                <w:color w:val="auto"/>
              </w:rPr>
              <w:t>39</w:t>
            </w: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600" w:type="dxa"/>
            <w:vAlign w:val="bottom"/>
          </w:tcPr>
          <w:p>
            <w:pPr>
              <w:jc w:val="right"/>
              <w:spacing w:after="0" w:line="202" w:lineRule="exact"/>
              <w:rPr>
                <w:sz w:val="20"/>
                <w:szCs w:val="20"/>
                <w:color w:val="auto"/>
              </w:rPr>
            </w:pPr>
            <w:r>
              <w:rPr>
                <w:rFonts w:ascii="Arial" w:cs="Arial" w:eastAsia="Arial" w:hAnsi="Arial"/>
                <w:sz w:val="18"/>
                <w:szCs w:val="18"/>
                <w:color w:val="auto"/>
              </w:rPr>
              <w:t>36</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shd w:val="clear" w:color="auto" w:fill="CFF0FC"/>
          </w:tcPr>
          <w:p>
            <w:pPr>
              <w:spacing w:after="0" w:line="202" w:lineRule="exact"/>
              <w:rPr>
                <w:sz w:val="20"/>
                <w:szCs w:val="20"/>
                <w:color w:val="auto"/>
              </w:rPr>
            </w:pPr>
            <w:r>
              <w:rPr>
                <w:rFonts w:ascii="Arial" w:cs="Arial" w:eastAsia="Arial" w:hAnsi="Arial"/>
                <w:sz w:val="18"/>
                <w:szCs w:val="18"/>
                <w:color w:val="auto"/>
              </w:rPr>
              <w:t>Product development</w:t>
            </w:r>
          </w:p>
        </w:tc>
        <w:tc>
          <w:tcPr>
            <w:tcW w:w="12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2,993</w:t>
            </w:r>
          </w:p>
        </w:tc>
        <w:tc>
          <w:tcPr>
            <w:tcW w:w="2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600" w:type="dxa"/>
            <w:vAlign w:val="bottom"/>
            <w:shd w:val="clear" w:color="auto" w:fill="CFF0FC"/>
          </w:tcPr>
          <w:p>
            <w:pPr>
              <w:jc w:val="right"/>
              <w:spacing w:after="0" w:line="202" w:lineRule="exact"/>
              <w:rPr>
                <w:sz w:val="20"/>
                <w:szCs w:val="20"/>
                <w:color w:val="auto"/>
              </w:rPr>
            </w:pPr>
            <w:r>
              <w:rPr>
                <w:rFonts w:ascii="Arial" w:cs="Arial" w:eastAsia="Arial" w:hAnsi="Arial"/>
                <w:sz w:val="18"/>
                <w:szCs w:val="18"/>
                <w:color w:val="auto"/>
              </w:rPr>
              <w:t>1,913</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10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1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238</w:t>
            </w:r>
          </w:p>
        </w:tc>
        <w:tc>
          <w:tcPr>
            <w:tcW w:w="28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222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10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Total depreciation and amortization expense</w:t>
            </w:r>
          </w:p>
        </w:tc>
        <w:tc>
          <w:tcPr>
            <w:tcW w:w="1220" w:type="dxa"/>
            <w:vAlign w:val="bottom"/>
            <w:shd w:val="clear" w:color="auto" w:fill="CFF0FC"/>
          </w:tcPr>
          <w:p>
            <w:pPr>
              <w:jc w:val="right"/>
              <w:ind w:right="1030"/>
              <w:spacing w:after="0" w:line="18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4,246</w:t>
            </w:r>
          </w:p>
        </w:tc>
        <w:tc>
          <w:tcPr>
            <w:tcW w:w="1540" w:type="dxa"/>
            <w:vAlign w:val="bottom"/>
            <w:gridSpan w:val="2"/>
            <w:shd w:val="clear" w:color="auto" w:fill="CFF0FC"/>
          </w:tcPr>
          <w:p>
            <w:pPr>
              <w:jc w:val="right"/>
              <w:ind w:right="1160"/>
              <w:spacing w:after="0" w:line="182" w:lineRule="exact"/>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3,153</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13"/>
        </w:trPr>
        <w:tc>
          <w:tcPr>
            <w:tcW w:w="7100" w:type="dxa"/>
            <w:vAlign w:val="bottom"/>
            <w:tcBorders>
              <w:top w:val="single" w:sz="8" w:color="CFF0FC"/>
            </w:tcBorders>
          </w:tcPr>
          <w:p>
            <w:pPr>
              <w:spacing w:after="0"/>
              <w:rPr>
                <w:sz w:val="20"/>
                <w:szCs w:val="20"/>
                <w:color w:val="auto"/>
              </w:rPr>
            </w:pPr>
            <w:r>
              <w:rPr>
                <w:rFonts w:ascii="Arial" w:cs="Arial" w:eastAsia="Arial" w:hAnsi="Arial"/>
                <w:sz w:val="18"/>
                <w:szCs w:val="18"/>
                <w:b w:val="1"/>
                <w:bCs w:val="1"/>
                <w:color w:val="auto"/>
              </w:rPr>
              <w:t>Summary of Restructuring Charges</w:t>
            </w:r>
          </w:p>
        </w:tc>
        <w:tc>
          <w:tcPr>
            <w:tcW w:w="12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Sales and marketing</w:t>
            </w:r>
          </w:p>
        </w:tc>
        <w:tc>
          <w:tcPr>
            <w:tcW w:w="1220" w:type="dxa"/>
            <w:vAlign w:val="bottom"/>
            <w:shd w:val="clear" w:color="auto" w:fill="CFF0FC"/>
          </w:tcPr>
          <w:p>
            <w:pPr>
              <w:jc w:val="right"/>
              <w:ind w:right="103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540" w:type="dxa"/>
            <w:vAlign w:val="bottom"/>
            <w:gridSpan w:val="2"/>
            <w:shd w:val="clear" w:color="auto" w:fill="CFF0FC"/>
          </w:tcPr>
          <w:p>
            <w:pPr>
              <w:jc w:val="right"/>
              <w:ind w:right="1160"/>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Operations and support</w:t>
            </w:r>
          </w:p>
        </w:tc>
        <w:tc>
          <w:tcPr>
            <w:tcW w:w="12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689</w:t>
            </w: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FF0FC"/>
          </w:tcPr>
          <w:p>
            <w:pPr>
              <w:spacing w:after="0"/>
              <w:rPr>
                <w:sz w:val="20"/>
                <w:szCs w:val="20"/>
                <w:color w:val="auto"/>
              </w:rPr>
            </w:pPr>
            <w:r>
              <w:rPr>
                <w:rFonts w:ascii="Arial" w:cs="Arial" w:eastAsia="Arial" w:hAnsi="Arial"/>
                <w:sz w:val="18"/>
                <w:szCs w:val="18"/>
                <w:color w:val="auto"/>
              </w:rPr>
              <w:t>Product development</w:t>
            </w:r>
          </w:p>
        </w:tc>
        <w:tc>
          <w:tcPr>
            <w:tcW w:w="122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534</w:t>
            </w:r>
          </w:p>
        </w:tc>
        <w:tc>
          <w:tcPr>
            <w:tcW w:w="2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100" w:type="dxa"/>
            <w:vAlign w:val="bottom"/>
          </w:tcPr>
          <w:p>
            <w:pPr>
              <w:spacing w:after="0" w:line="202" w:lineRule="exact"/>
              <w:rPr>
                <w:sz w:val="20"/>
                <w:szCs w:val="20"/>
                <w:color w:val="auto"/>
              </w:rPr>
            </w:pPr>
            <w:r>
              <w:rPr>
                <w:rFonts w:ascii="Arial" w:cs="Arial" w:eastAsia="Arial" w:hAnsi="Arial"/>
                <w:sz w:val="18"/>
                <w:szCs w:val="18"/>
                <w:color w:val="auto"/>
              </w:rPr>
              <w:t>General and administrative</w:t>
            </w:r>
          </w:p>
        </w:tc>
        <w:tc>
          <w:tcPr>
            <w:tcW w:w="1220" w:type="dxa"/>
            <w:vAlign w:val="bottom"/>
            <w:tcBorders>
              <w:bottom w:val="single" w:sz="8" w:color="auto"/>
            </w:tcBorders>
          </w:tcPr>
          <w:p>
            <w:pPr>
              <w:spacing w:after="0"/>
              <w:rPr>
                <w:sz w:val="17"/>
                <w:szCs w:val="17"/>
                <w:color w:val="auto"/>
              </w:rPr>
            </w:pPr>
          </w:p>
        </w:tc>
        <w:tc>
          <w:tcPr>
            <w:tcW w:w="66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153</w:t>
            </w:r>
          </w:p>
        </w:tc>
        <w:tc>
          <w:tcPr>
            <w:tcW w:w="28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jc w:val="right"/>
              <w:spacing w:after="0" w:line="202"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7100" w:type="dxa"/>
            <w:vAlign w:val="bottom"/>
            <w:shd w:val="clear" w:color="auto" w:fill="CFF0FC"/>
          </w:tcPr>
          <w:p>
            <w:pPr>
              <w:spacing w:after="0" w:line="182" w:lineRule="exact"/>
              <w:rPr>
                <w:sz w:val="20"/>
                <w:szCs w:val="20"/>
                <w:color w:val="auto"/>
              </w:rPr>
            </w:pPr>
            <w:r>
              <w:rPr>
                <w:rFonts w:ascii="Arial" w:cs="Arial" w:eastAsia="Arial" w:hAnsi="Arial"/>
                <w:sz w:val="18"/>
                <w:szCs w:val="18"/>
                <w:color w:val="auto"/>
              </w:rPr>
              <w:t>Total restructuring charges</w:t>
            </w:r>
          </w:p>
        </w:tc>
        <w:tc>
          <w:tcPr>
            <w:tcW w:w="1220" w:type="dxa"/>
            <w:vAlign w:val="bottom"/>
            <w:shd w:val="clear" w:color="auto" w:fill="CFF0FC"/>
          </w:tcPr>
          <w:p>
            <w:pPr>
              <w:jc w:val="right"/>
              <w:ind w:right="1030"/>
              <w:spacing w:after="0" w:line="182" w:lineRule="exact"/>
              <w:rPr>
                <w:sz w:val="20"/>
                <w:szCs w:val="20"/>
                <w:color w:val="auto"/>
              </w:rPr>
            </w:pPr>
            <w:r>
              <w:rPr>
                <w:rFonts w:ascii="Arial" w:cs="Arial" w:eastAsia="Arial" w:hAnsi="Arial"/>
                <w:sz w:val="18"/>
                <w:szCs w:val="18"/>
                <w:color w:val="auto"/>
                <w:w w:val="79"/>
              </w:rPr>
              <w:t>$</w:t>
            </w:r>
          </w:p>
        </w:tc>
        <w:tc>
          <w:tcPr>
            <w:tcW w:w="66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1,461</w:t>
            </w:r>
          </w:p>
        </w:tc>
        <w:tc>
          <w:tcPr>
            <w:tcW w:w="1540" w:type="dxa"/>
            <w:vAlign w:val="bottom"/>
            <w:gridSpan w:val="2"/>
            <w:shd w:val="clear" w:color="auto" w:fill="CFF0FC"/>
          </w:tcPr>
          <w:p>
            <w:pPr>
              <w:jc w:val="right"/>
              <w:ind w:right="1160"/>
              <w:spacing w:after="0" w:line="182" w:lineRule="exact"/>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line="182"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629"/>
        </w:trPr>
        <w:tc>
          <w:tcPr>
            <w:tcW w:w="7100" w:type="dxa"/>
            <w:vAlign w:val="bottom"/>
            <w:tcBorders>
              <w:top w:val="single" w:sz="8" w:color="CFF0FC"/>
            </w:tcBorders>
          </w:tcPr>
          <w:p>
            <w:pPr>
              <w:ind w:left="5540"/>
              <w:spacing w:after="0"/>
              <w:rPr>
                <w:sz w:val="20"/>
                <w:szCs w:val="20"/>
                <w:color w:val="auto"/>
              </w:rPr>
            </w:pPr>
            <w:r>
              <w:rPr>
                <w:rFonts w:ascii="Times New Roman" w:cs="Times New Roman" w:eastAsia="Times New Roman" w:hAnsi="Times New Roman"/>
                <w:sz w:val="18"/>
                <w:szCs w:val="18"/>
                <w:color w:val="auto"/>
              </w:rPr>
              <w:t>12</w:t>
            </w:r>
          </w:p>
        </w:tc>
        <w:tc>
          <w:tcPr>
            <w:tcW w:w="122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10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-3213735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-3213735</wp:posOffset>
            </wp:positionV>
            <wp:extent cx="7747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-1910715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-1893570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-1910715</wp:posOffset>
            </wp:positionV>
            <wp:extent cx="774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-1893570</wp:posOffset>
            </wp:positionV>
            <wp:extent cx="774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-933450</wp:posOffset>
            </wp:positionV>
            <wp:extent cx="6858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-916305</wp:posOffset>
            </wp:positionV>
            <wp:extent cx="6858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-933450</wp:posOffset>
            </wp:positionV>
            <wp:extent cx="7747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-916305</wp:posOffset>
            </wp:positionV>
            <wp:extent cx="7747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ectPr>
          <w:pgSz w:w="11900" w:h="16838" w:orient="portrait"/>
          <w:cols w:equalWidth="0" w:num="1">
            <w:col w:w="11240"/>
          </w:cols>
          <w:pgMar w:left="320" w:top="980" w:right="339" w:bottom="1440" w:gutter="0" w:footer="0" w:header="0"/>
        </w:sectPr>
      </w:pPr>
    </w:p>
    <w:bookmarkStart w:id="15" w:name="page16"/>
    <w:bookmarkEnd w:id="1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decimal"/>
      <w:start w:val="1"/>
    </w:lvl>
  </w:abstractNum>
  <w:abstractNum w:abstractNumId="5">
    <w:nsid w:val="79E2A9E3"/>
    <w:multiLevelType w:val="hybridMultilevel"/>
    <w:lvl w:ilvl="0">
      <w:lvlJc w:val="left"/>
      <w:lvlText w:val="(%1)"/>
      <w:numFmt w:val="decimal"/>
      <w:start w:val="2"/>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2025-05-06T06:25:50Z</dcterms:created>
  <dcterms:modified xsi:type="dcterms:W3CDTF">2025-05-06T06:25:50Z</dcterms:modified>
</cp:coreProperties>
</file>