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Clark Ranjana B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29,278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All of the shares underlying the RSUs will vest on January 1, 2026, subject to the Reporting Person's continuous service.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4051" TargetMode="External"/><Relationship Id="rId14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2025-03-13T16:04:54Z</dcterms:created>
  <dcterms:modified xsi:type="dcterms:W3CDTF">2025-03-13T16:04:54Z</dcterms:modified>
</cp:coreProperties>
</file>