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2"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9"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On May 10, 2023, Xometry, Inc. issued a press release announcing its financial results for the quarterly period ended March 31, 2023. A copy of the press release is furnished as Exhibit 99.1 to this report.</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19"/>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0" w:type="dxa"/>
            <w:vAlign w:val="bottom"/>
          </w:tcPr>
          <w:p>
            <w:pPr>
              <w:spacing w:after="0"/>
              <w:rPr>
                <w:sz w:val="16"/>
                <w:szCs w:val="16"/>
                <w:color w:val="auto"/>
              </w:rPr>
            </w:pPr>
          </w:p>
        </w:tc>
        <w:tc>
          <w:tcPr>
            <w:tcW w:w="3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May 10, 2023.</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First Quarter 2023 Results</w:t>
      </w:r>
    </w:p>
    <w:p>
      <w:pPr>
        <w:spacing w:after="0" w:line="197" w:lineRule="exact"/>
        <w:rPr>
          <w:sz w:val="20"/>
          <w:szCs w:val="20"/>
          <w:color w:val="auto"/>
        </w:rPr>
      </w:pPr>
    </w:p>
    <w:p>
      <w:pPr>
        <w:ind w:left="1020" w:right="12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revenue increased 26% year-over-year driven by stronger-than-expected marketplace growth of 35% year-over-year. Marketplace revenue up 10% quarter-over-quarter</w:t>
      </w:r>
    </w:p>
    <w:p>
      <w:pPr>
        <w:spacing w:after="0" w:line="47" w:lineRule="exact"/>
        <w:rPr>
          <w:rFonts w:ascii="Times New Roman" w:cs="Times New Roman" w:eastAsia="Times New Roman" w:hAnsi="Times New Roman"/>
          <w:sz w:val="20"/>
          <w:szCs w:val="20"/>
          <w:color w:val="auto"/>
        </w:rPr>
      </w:pPr>
    </w:p>
    <w:p>
      <w:pPr>
        <w:ind w:left="1020" w:right="16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gross profit increased 20% year-over-year driven by 41% growth in marketplace gross profit. Marketplace gross profit up 16% quarter-over-quarter</w:t>
      </w:r>
    </w:p>
    <w:p>
      <w:pPr>
        <w:spacing w:after="0" w:line="47" w:lineRule="exact"/>
        <w:rPr>
          <w:rFonts w:ascii="Times New Roman" w:cs="Times New Roman" w:eastAsia="Times New Roman" w:hAnsi="Times New Roman"/>
          <w:sz w:val="20"/>
          <w:szCs w:val="20"/>
          <w:color w:val="auto"/>
        </w:rPr>
      </w:pPr>
    </w:p>
    <w:p>
      <w:pPr>
        <w:ind w:left="1020" w:right="60" w:hanging="504"/>
        <w:spacing w:after="0" w:line="259" w:lineRule="auto"/>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Q1 Adjusted EBITDA loss of $11.8 million, a $2.5 million quarter-over-quarter improvement driven by higher revenue and gross profit, partly offset by approximately $0.8 million in incremental non-recurring accounting and legal costs associated with Sarbanes-Oxley Act implementation. Expect improved operating leverage through 2023</w:t>
      </w:r>
    </w:p>
    <w:p>
      <w:pPr>
        <w:spacing w:after="0" w:line="46" w:lineRule="exact"/>
        <w:rPr>
          <w:rFonts w:ascii="Times New Roman" w:cs="Times New Roman" w:eastAsia="Times New Roman" w:hAnsi="Times New Roman"/>
          <w:sz w:val="19"/>
          <w:szCs w:val="19"/>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Expect Q2 revenue growth of 14%-16% year-over-year to $109-$111 million, driven by healthy marketplace growth</w:t>
      </w:r>
    </w:p>
    <w:p>
      <w:pPr>
        <w:spacing w:after="0" w:line="106" w:lineRule="exact"/>
        <w:rPr>
          <w:rFonts w:ascii="Times New Roman" w:cs="Times New Roman" w:eastAsia="Times New Roman" w:hAnsi="Times New Roman"/>
          <w:sz w:val="20"/>
          <w:szCs w:val="20"/>
          <w:color w:val="auto"/>
        </w:rPr>
      </w:pPr>
    </w:p>
    <w:p>
      <w:pPr>
        <w:ind w:left="1020" w:right="2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Early positive results from our 5-point strategic plan with increasing focus on our top 200 accounts; rapidly expanding the marketplace menu; furthering international expansion and growth; driving adoption of new products, and aggressively reducing operating expenses</w:t>
      </w:r>
    </w:p>
    <w:p>
      <w:pPr>
        <w:spacing w:after="0" w:line="157"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b w:val="1"/>
          <w:bCs w:val="1"/>
          <w:color w:val="auto"/>
        </w:rPr>
        <w:t>NORTH BETHESDA, MD., May 10, 2023 /Globe Newswire/</w:t>
      </w:r>
      <w:r>
        <w:rPr>
          <w:rFonts w:ascii="Arial" w:cs="Arial" w:eastAsia="Arial" w:hAnsi="Arial"/>
          <w:sz w:val="20"/>
          <w:szCs w:val="20"/>
          <w:color w:val="auto"/>
        </w:rPr>
        <w:t>-- Xometry, Inc. (NASDAQ:XMTR), the global online marketplace</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connecting enterprise buyers with suppliers of manufacturing services, today reported financial results for the first quarter ended March 31, 2023.</w:t>
      </w:r>
    </w:p>
    <w:p>
      <w:pPr>
        <w:spacing w:after="0" w:line="75"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1D1C1D"/>
        </w:rPr>
        <w:t>“In Q1 2023, Xometry delivered stronger-than-expected 35% marketplace growth year-over-year, improved marketplace gross margin by 170 basis points quarter-over-quarter and improved operating leverage driven by our steadfast focus on our 5-point strategic plan,” said Randy Altschuler, Xometry’s CEO. “We continue to rapidly expand our network of buyers and suppliers and enhance our products and services. We expect to continue to rapidly gain market share fueling robust marketplace revenue growth while further tightening operating expenses to achieve Adjusted EBITDA profitability in Q4 2023.”</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2023 Financial Highlights</w:t>
      </w:r>
    </w:p>
    <w:p>
      <w:pPr>
        <w:spacing w:after="0" w:line="9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first quarter 2023 was $105.3 million, an increase of 26%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first quarter of 2023 was $86.7 million, an increase of 35%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first quarter of 2023 was $18.6 million, a decrease of 3%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first quarter 2023 was $39.4 million, an increase of 20%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46% from 30,683 as of March 31, 2022 to 44,716 as of March 31, 2023.</w:t>
      </w:r>
    </w:p>
    <w:p>
      <w:pPr>
        <w:spacing w:after="0" w:line="106" w:lineRule="exact"/>
        <w:rPr>
          <w:rFonts w:ascii="Times New Roman" w:cs="Times New Roman" w:eastAsia="Times New Roman" w:hAnsi="Times New Roman"/>
          <w:sz w:val="20"/>
          <w:szCs w:val="20"/>
          <w:color w:val="auto"/>
        </w:rPr>
      </w:pPr>
    </w:p>
    <w:p>
      <w:pPr>
        <w:ind w:left="1020" w:right="12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40% from 790 as of March 31, 2022, to 1,109 as of March 31, 2023.</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Percentage of Revenue from Existing Accounts was 96%.</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Active Paying Suppliers increased 11% from 6,872 as of March 31, 2022 to 7,621 as of March 31, 2023.</w:t>
      </w:r>
    </w:p>
    <w:p>
      <w:pPr>
        <w:spacing w:after="0" w:line="106" w:lineRule="exact"/>
        <w:rPr>
          <w:rFonts w:ascii="Times New Roman" w:cs="Times New Roman" w:eastAsia="Times New Roman" w:hAnsi="Times New Roman"/>
          <w:sz w:val="20"/>
          <w:szCs w:val="20"/>
          <w:color w:val="auto"/>
        </w:rPr>
      </w:pPr>
    </w:p>
    <w:p>
      <w:pPr>
        <w:ind w:left="1020" w:right="10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$18.3 million for the quarter, a decrease of $1.7 million year-over-year, and Adjusted EBITDA was negative $11.8 million for the quarter, reflecting an decrease of $1.0 million year-over-year. Net loss for Q1 2023 included $4.7 million of stock-based compensation.</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$296.2 million as of March 31, 2023.</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First Quarter 2023 Business Highlights</w:t>
      </w:r>
    </w:p>
    <w:p>
      <w:pPr>
        <w:spacing w:after="0" w:line="96" w:lineRule="exact"/>
        <w:rPr>
          <w:sz w:val="20"/>
          <w:szCs w:val="20"/>
          <w:color w:val="auto"/>
        </w:rPr>
      </w:pPr>
    </w:p>
    <w:p>
      <w:pPr>
        <w:ind w:left="1020" w:right="560" w:hanging="504"/>
        <w:spacing w:after="0" w:line="282"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Expanded further in Europe with the launch of xometry.uk, a localized marketplace for UK customers. Xometry’s localized marketplaces allow regional customers to get quotes and purchase parts directly in local currency.</w:t>
      </w:r>
    </w:p>
    <w:p>
      <w:pPr>
        <w:spacing w:after="0" w:line="24" w:lineRule="exact"/>
        <w:rPr>
          <w:rFonts w:ascii="Times New Roman" w:cs="Times New Roman" w:eastAsia="Times New Roman" w:hAnsi="Times New Roman"/>
          <w:sz w:val="19"/>
          <w:szCs w:val="19"/>
          <w:color w:val="auto"/>
        </w:rPr>
      </w:pPr>
    </w:p>
    <w:p>
      <w:pPr>
        <w:ind w:left="1020" w:right="120" w:hanging="504"/>
        <w:spacing w:after="0" w:line="282"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Introduced instant quoting for parts with multiple finishes. Buyers can identify parts requiring multiple finishes and the instant quoting engine will automatically price them. This instant feedback helps buyers make decisions in real-time.</w:t>
      </w:r>
    </w:p>
    <w:p>
      <w:pPr>
        <w:spacing w:after="0" w:line="24" w:lineRule="exact"/>
        <w:rPr>
          <w:rFonts w:ascii="Times New Roman" w:cs="Times New Roman" w:eastAsia="Times New Roman" w:hAnsi="Times New Roman"/>
          <w:sz w:val="19"/>
          <w:szCs w:val="19"/>
          <w:color w:val="auto"/>
        </w:rPr>
      </w:pPr>
    </w:p>
    <w:p>
      <w:pPr>
        <w:ind w:left="1020" w:right="32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a new quick-turn injection molding service for quotes in as fast as two hours and parts in as little as five business days.</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instant quoting for more than three dozen new materials.</w:t>
      </w:r>
    </w:p>
    <w:p>
      <w:pPr>
        <w:spacing w:after="0" w:line="106" w:lineRule="exact"/>
        <w:rPr>
          <w:rFonts w:ascii="Times New Roman" w:cs="Times New Roman" w:eastAsia="Times New Roman" w:hAnsi="Times New Roman"/>
          <w:sz w:val="20"/>
          <w:szCs w:val="20"/>
          <w:color w:val="auto"/>
        </w:rPr>
      </w:pPr>
    </w:p>
    <w:p>
      <w:pPr>
        <w:ind w:left="1020" w:right="26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Announced Xometry will be the exclusive provider of real-time pricing and lead times for Alibaba Group's 1688.com on-demand manufacturing services.</w:t>
      </w:r>
    </w:p>
    <w:p>
      <w:pPr>
        <w:spacing w:after="0" w:line="47" w:lineRule="exact"/>
        <w:rPr>
          <w:rFonts w:ascii="Times New Roman" w:cs="Times New Roman" w:eastAsia="Times New Roman" w:hAnsi="Times New Roman"/>
          <w:sz w:val="20"/>
          <w:szCs w:val="20"/>
          <w:color w:val="auto"/>
        </w:rPr>
      </w:pPr>
    </w:p>
    <w:p>
      <w:pPr>
        <w:ind w:left="1020" w:right="38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Acquired Tridi Teknoloj A.S. ("Tridi") located in Istanbul, Turkey. The acquisition of Tridi extends our marketplace capabilities in Europe by opening an array of affordable suppliers and the ability to serve all of Europe within a 24-hour turnaround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Financial Summary</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30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9"/>
              </w:rPr>
              <w:t>For the Three Months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99"/>
              </w:rPr>
              <w:t>Ended March 31,</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 Change</w:t>
            </w:r>
          </w:p>
        </w:tc>
        <w:tc>
          <w:tcPr>
            <w:tcW w:w="2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1120" w:type="dxa"/>
            <w:vAlign w:val="bottom"/>
          </w:tcPr>
          <w:p>
            <w:pPr>
              <w:spacing w:after="0"/>
              <w:rPr>
                <w:sz w:val="20"/>
                <w:szCs w:val="20"/>
                <w:color w:val="auto"/>
              </w:rPr>
            </w:pPr>
          </w:p>
        </w:tc>
        <w:tc>
          <w:tcPr>
            <w:tcW w:w="19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9"/>
              </w:rPr>
              <w:t>(unaudited)</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3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105,326</w:t>
            </w:r>
          </w:p>
        </w:tc>
        <w:tc>
          <w:tcPr>
            <w:tcW w:w="24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83,671</w:t>
            </w:r>
          </w:p>
        </w:tc>
        <w:tc>
          <w:tcPr>
            <w:tcW w:w="220" w:type="dxa"/>
            <w:vAlign w:val="bottom"/>
          </w:tcPr>
          <w:p>
            <w:pPr>
              <w:spacing w:after="0"/>
              <w:rPr>
                <w:sz w:val="19"/>
                <w:szCs w:val="19"/>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39,369</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32,939</w:t>
            </w:r>
          </w:p>
        </w:tc>
        <w:tc>
          <w:tcPr>
            <w:tcW w:w="220" w:type="dxa"/>
            <w:vAlign w:val="bottom"/>
          </w:tcPr>
          <w:p>
            <w:pPr>
              <w:spacing w:after="0"/>
              <w:rPr>
                <w:sz w:val="19"/>
                <w:szCs w:val="19"/>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(18,344 )</w:t>
            </w:r>
          </w:p>
        </w:tc>
        <w:tc>
          <w:tcPr>
            <w:tcW w:w="10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(20,012 )</w:t>
            </w: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EPS, basic and diluted</w:t>
            </w:r>
          </w:p>
        </w:tc>
        <w:tc>
          <w:tcPr>
            <w:tcW w:w="112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(0.38 )</w:t>
            </w:r>
          </w:p>
        </w:tc>
        <w:tc>
          <w:tcPr>
            <w:tcW w:w="10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(0.43 )</w:t>
            </w:r>
          </w:p>
        </w:tc>
        <w:tc>
          <w:tcPr>
            <w:tcW w:w="2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line="229"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(11,767 )</w:t>
            </w:r>
          </w:p>
        </w:tc>
        <w:tc>
          <w:tcPr>
            <w:tcW w:w="10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(12,726 )</w:t>
            </w: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line="229"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(9,766 )</w:t>
            </w:r>
          </w:p>
        </w:tc>
        <w:tc>
          <w:tcPr>
            <w:tcW w:w="10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(12,598 )</w:t>
            </w: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56"/>
        </w:trPr>
        <w:tc>
          <w:tcPr>
            <w:tcW w:w="5300" w:type="dxa"/>
            <w:vAlign w:val="bottom"/>
          </w:tcPr>
          <w:p>
            <w:pPr>
              <w:ind w:left="20"/>
              <w:spacing w:after="0" w:line="256" w:lineRule="exact"/>
              <w:rPr>
                <w:sz w:val="20"/>
                <w:szCs w:val="20"/>
                <w:color w:val="auto"/>
              </w:rPr>
            </w:pPr>
            <w:r>
              <w:rPr>
                <w:rFonts w:ascii="Arial" w:cs="Arial" w:eastAsia="Arial" w:hAnsi="Arial"/>
                <w:sz w:val="18"/>
                <w:szCs w:val="18"/>
                <w:color w:val="auto"/>
              </w:rPr>
              <w:t>Non-GAAP EPS, basic and diluted</w:t>
            </w:r>
            <w:r>
              <w:rPr>
                <w:rFonts w:ascii="Arial" w:cs="Arial" w:eastAsia="Arial" w:hAnsi="Arial"/>
                <w:sz w:val="24"/>
                <w:szCs w:val="24"/>
                <w:color w:val="auto"/>
                <w:vertAlign w:val="superscript"/>
              </w:rPr>
              <w:t>(1)</w:t>
            </w:r>
          </w:p>
        </w:tc>
        <w:tc>
          <w:tcPr>
            <w:tcW w:w="1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(0.20 )</w:t>
            </w:r>
          </w:p>
        </w:tc>
        <w:tc>
          <w:tcPr>
            <w:tcW w:w="106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(0.27 )</w:t>
            </w: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86,680</w:t>
            </w:r>
          </w:p>
        </w:tc>
        <w:tc>
          <w:tcPr>
            <w:tcW w:w="24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64,415</w:t>
            </w:r>
          </w:p>
        </w:tc>
        <w:tc>
          <w:tcPr>
            <w:tcW w:w="220" w:type="dxa"/>
            <w:vAlign w:val="bottom"/>
          </w:tcPr>
          <w:p>
            <w:pPr>
              <w:spacing w:after="0"/>
              <w:rPr>
                <w:sz w:val="19"/>
                <w:szCs w:val="19"/>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61,747</w:t>
            </w:r>
          </w:p>
        </w:tc>
        <w:tc>
          <w:tcPr>
            <w:tcW w:w="2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46,741</w:t>
            </w:r>
          </w:p>
        </w:tc>
        <w:tc>
          <w:tcPr>
            <w:tcW w:w="2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24,933</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w:t>
            </w:r>
          </w:p>
        </w:tc>
        <w:tc>
          <w:tcPr>
            <w:tcW w:w="220" w:type="dxa"/>
            <w:vAlign w:val="bottom"/>
          </w:tcPr>
          <w:p>
            <w:pPr>
              <w:spacing w:after="0"/>
              <w:rPr>
                <w:sz w:val="19"/>
                <w:szCs w:val="19"/>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Supplier services</w:t>
            </w:r>
          </w:p>
        </w:tc>
        <w:tc>
          <w:tcPr>
            <w:tcW w:w="1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18,646</w:t>
            </w:r>
          </w:p>
        </w:tc>
        <w:tc>
          <w:tcPr>
            <w:tcW w:w="24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19,256</w:t>
            </w:r>
          </w:p>
        </w:tc>
        <w:tc>
          <w:tcPr>
            <w:tcW w:w="2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2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2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14,436</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15,265</w:t>
            </w:r>
          </w:p>
        </w:tc>
        <w:tc>
          <w:tcPr>
            <w:tcW w:w="2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-2525395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25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ind w:left="380" w:right="220" w:hanging="372"/>
        <w:spacing w:after="0" w:line="257"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As of March 31,</w:t>
            </w: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5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50"/>
              <w:spacing w:after="0" w:line="190"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5"/>
        </w:trPr>
        <w:tc>
          <w:tcPr>
            <w:tcW w:w="5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gridSpan w:val="2"/>
          </w:tcPr>
          <w:p>
            <w:pPr>
              <w:spacing w:after="0"/>
              <w:rPr>
                <w:sz w:val="20"/>
                <w:szCs w:val="20"/>
                <w:color w:val="auto"/>
              </w:rPr>
            </w:pPr>
          </w:p>
        </w:tc>
      </w:tr>
      <w:tr>
        <w:trPr>
          <w:trHeight w:val="425"/>
        </w:trPr>
        <w:tc>
          <w:tcPr>
            <w:tcW w:w="534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44,716</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30,683</w:t>
            </w:r>
          </w:p>
        </w:tc>
        <w:tc>
          <w:tcPr>
            <w:tcW w:w="2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534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2740" w:type="dxa"/>
            <w:vAlign w:val="bottom"/>
            <w:gridSpan w:val="3"/>
          </w:tcPr>
          <w:p>
            <w:pPr>
              <w:jc w:val="right"/>
              <w:ind w:right="60"/>
              <w:spacing w:after="0"/>
              <w:rPr>
                <w:sz w:val="20"/>
                <w:szCs w:val="20"/>
                <w:color w:val="auto"/>
              </w:rPr>
            </w:pPr>
            <w:r>
              <w:rPr>
                <w:rFonts w:ascii="Arial" w:cs="Arial" w:eastAsia="Arial" w:hAnsi="Arial"/>
                <w:sz w:val="18"/>
                <w:szCs w:val="18"/>
                <w:color w:val="auto"/>
              </w:rPr>
              <w:t>96 %</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340" w:type="dxa"/>
            <w:vAlign w:val="bottom"/>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40 %</w:t>
            </w:r>
          </w:p>
        </w:tc>
      </w:tr>
      <w:tr>
        <w:trPr>
          <w:trHeight w:val="322"/>
        </w:trPr>
        <w:tc>
          <w:tcPr>
            <w:tcW w:w="5340" w:type="dxa"/>
            <w:vAlign w:val="bottom"/>
          </w:tcPr>
          <w:p>
            <w:pPr>
              <w:ind w:left="20"/>
              <w:spacing w:after="0"/>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7,621</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6,872</w:t>
            </w:r>
          </w:p>
        </w:tc>
        <w:tc>
          <w:tcPr>
            <w:tcW w:w="2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581"/>
        </w:trPr>
        <w:tc>
          <w:tcPr>
            <w:tcW w:w="5340" w:type="dxa"/>
            <w:vAlign w:val="bottom"/>
          </w:tcPr>
          <w:p>
            <w:pPr>
              <w:spacing w:after="0"/>
              <w:rPr>
                <w:sz w:val="24"/>
                <w:szCs w:val="24"/>
                <w:color w:val="auto"/>
              </w:rPr>
            </w:pPr>
          </w:p>
        </w:tc>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-1078230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32" w:right="239" w:bottom="1440" w:gutter="0" w:footer="0" w:header="0"/>
        </w:sectPr>
      </w:pPr>
    </w:p>
    <w:bookmarkStart w:id="5" w:name="page6"/>
    <w:bookmarkEnd w:id="5"/>
    <w:p>
      <w:pPr>
        <w:ind w:left="380" w:right="540" w:hanging="372"/>
        <w:spacing w:after="0" w:line="234"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These key operating metrics are for Marketplace and Supplier Services. See “Key Terms for our Key Metrics and Non-GAAP Financial Measures” below for definitions of these metrics.</w:t>
      </w:r>
    </w:p>
    <w:p>
      <w:pPr>
        <w:spacing w:after="0" w:line="1" w:lineRule="exact"/>
        <w:rPr>
          <w:rFonts w:ascii="Arial" w:cs="Arial" w:eastAsia="Arial" w:hAnsi="Arial"/>
          <w:sz w:val="20"/>
          <w:szCs w:val="20"/>
          <w:color w:val="auto"/>
        </w:rPr>
      </w:pPr>
    </w:p>
    <w:p>
      <w:pPr>
        <w:ind w:left="380" w:right="520" w:hanging="372"/>
        <w:spacing w:after="0" w:line="234"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Amounts shown for Active Buyers, Accounts with Last Twelve-Months Spend of at Least $50,000, and Active Paying Suppliers are as of March 31, 2023 and 2022, and Percentage of Revenue from Existing Accounts is presented for the quarters ended March 31, 2023 and 2022.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Q2 2023</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FY 2023</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w:t>
            </w: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0"/>
              </w:rPr>
              <w:t>millions)</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19"/>
                <w:szCs w:val="19"/>
                <w:color w:val="auto"/>
              </w:rPr>
            </w:pPr>
          </w:p>
        </w:tc>
        <w:tc>
          <w:tcPr>
            <w:tcW w:w="11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9"/>
                <w:szCs w:val="19"/>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Low</w:t>
            </w:r>
          </w:p>
        </w:tc>
        <w:tc>
          <w:tcPr>
            <w:tcW w:w="38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109.0</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470.0</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FF0FC"/>
          </w:tcPr>
          <w:p>
            <w:pPr>
              <w:spacing w:after="0"/>
              <w:rPr>
                <w:sz w:val="19"/>
                <w:szCs w:val="19"/>
                <w:color w:val="auto"/>
              </w:rPr>
            </w:pPr>
          </w:p>
        </w:tc>
      </w:tr>
      <w:tr>
        <w:trPr>
          <w:trHeight w:val="239"/>
        </w:trPr>
        <w:tc>
          <w:tcPr>
            <w:tcW w:w="5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(9.5 )</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(8.5 )</w:t>
            </w: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(26.0 )</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(24.0 )</w:t>
            </w:r>
          </w:p>
        </w:tc>
      </w:tr>
    </w:tbl>
    <w:p>
      <w:pPr>
        <w:spacing w:after="0" w:line="185"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Xometry’s second quarter and full year 2023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0" w:lineRule="exact"/>
        <w:rPr>
          <w:sz w:val="20"/>
          <w:szCs w:val="20"/>
          <w:color w:val="auto"/>
        </w:rPr>
      </w:pPr>
    </w:p>
    <w:p>
      <w:pPr>
        <w:ind w:right="220"/>
        <w:spacing w:after="0" w:line="248"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3"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ind w:right="280"/>
        <w:spacing w:after="0" w:line="449" w:lineRule="auto"/>
        <w:rPr>
          <w:sz w:val="20"/>
          <w:szCs w:val="20"/>
          <w:color w:val="auto"/>
        </w:rPr>
      </w:pPr>
      <w:r>
        <w:rPr>
          <w:rFonts w:ascii="Arial" w:cs="Arial" w:eastAsia="Arial" w:hAnsi="Arial"/>
          <w:sz w:val="20"/>
          <w:szCs w:val="20"/>
          <w:color w:val="auto"/>
        </w:rPr>
        <w:t xml:space="preserve">others are encouraged to review the Company’s financial information in its entirety and not rely on a single financial measure. </w:t>
      </w:r>
      <w:r>
        <w:rPr>
          <w:rFonts w:ascii="Arial" w:cs="Arial" w:eastAsia="Arial" w:hAnsi="Arial"/>
          <w:sz w:val="20"/>
          <w:szCs w:val="20"/>
          <w:b w:val="1"/>
          <w:bCs w:val="1"/>
          <w:color w:val="auto"/>
        </w:rPr>
        <w:t xml:space="preserve">Key Terms for our Key Metrics and Non-GAAP Financial Measures Marketplace revenue: </w:t>
      </w:r>
      <w:r>
        <w:rPr>
          <w:rFonts w:ascii="Arial" w:cs="Arial" w:eastAsia="Arial" w:hAnsi="Arial"/>
          <w:sz w:val="20"/>
          <w:szCs w:val="20"/>
          <w:color w:val="auto"/>
        </w:rPr>
        <w:t>includes the sale of parts and assemblies.</w:t>
      </w:r>
    </w:p>
    <w:p>
      <w:pPr>
        <w:spacing w:after="0" w:line="2" w:lineRule="exact"/>
        <w:rPr>
          <w:sz w:val="20"/>
          <w:szCs w:val="20"/>
          <w:color w:val="auto"/>
        </w:rPr>
      </w:pPr>
    </w:p>
    <w:p>
      <w:pPr>
        <w:ind w:right="520"/>
        <w:spacing w:after="0" w:line="259"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151" w:lineRule="exact"/>
        <w:rPr>
          <w:sz w:val="20"/>
          <w:szCs w:val="20"/>
          <w:color w:val="auto"/>
        </w:rPr>
      </w:pPr>
    </w:p>
    <w:p>
      <w:pPr>
        <w:ind w:right="46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67"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supplies. The Company defines Active Suppliers as suppliers that have used our platform at least once during the last twelve months to manufacture a product or buy tools or supplies.</w:t>
      </w:r>
    </w:p>
    <w:p>
      <w:pPr>
        <w:spacing w:after="0" w:line="170"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0"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supplies on our platforms during the last twelve months.</w:t>
      </w:r>
    </w:p>
    <w:p>
      <w:pPr>
        <w:spacing w:after="0" w:line="167"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unconsolidated joint venture, impairment of assets, restructuring charges and acquisition and other adjustments not reflective of the Company’s ongoing business, such as adjustments related to purchase accounting, the revaluation of contingent consideration and transaction costs.</w:t>
      </w:r>
    </w:p>
    <w:p>
      <w:pPr>
        <w:spacing w:after="0" w:line="170"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expense, amortization of lease intangible, amortization of deferred costs on convertible notes, loss on marketable securities, loss on sale of property and equipment, charitable contributions of common stock, impairment of assets, restructuring charges and acquisition and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 w:name="page8"/>
    <w:bookmarkEnd w:id="7"/>
    <w:p>
      <w:pPr>
        <w:ind w:right="740"/>
        <w:spacing w:after="0" w:line="257" w:lineRule="auto"/>
        <w:rPr>
          <w:sz w:val="20"/>
          <w:szCs w:val="20"/>
          <w:color w:val="auto"/>
        </w:rPr>
      </w:pPr>
      <w:r>
        <w:rPr>
          <w:rFonts w:ascii="Arial" w:cs="Arial" w:eastAsia="Arial" w:hAnsi="Arial"/>
          <w:sz w:val="20"/>
          <w:szCs w:val="20"/>
          <w:color w:val="auto"/>
        </w:rPr>
        <w:t>adjustments not reflective of the Company’s ongoing business, such as adjustments related to purchase accounting, the revaluation of contingent consideration and transaction costs.</w:t>
      </w:r>
    </w:p>
    <w:p>
      <w:pPr>
        <w:spacing w:after="0" w:line="153" w:lineRule="exact"/>
        <w:rPr>
          <w:sz w:val="20"/>
          <w:szCs w:val="20"/>
          <w:color w:val="auto"/>
        </w:rPr>
      </w:pPr>
    </w:p>
    <w:p>
      <w:pPr>
        <w:jc w:val="both"/>
        <w:ind w:right="46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common stock outstanding.</w:t>
      </w:r>
    </w:p>
    <w:p>
      <w:pPr>
        <w:spacing w:after="0" w:line="169"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20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and create locally resilient supply chains. Learn more at www.xometry.com or follow @xometry.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0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May 10, 2023. In addition to issuing a press release, the Company will post an earnings presentation to its investor website at investors.xometry.com.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Xometry, Inc. First Quarter 2023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 on Wednesday, May 10, 2023</w:t>
      </w:r>
    </w:p>
    <w:p>
      <w:pPr>
        <w:ind w:left="1020" w:right="3500" w:hanging="504"/>
        <w:spacing w:after="0" w:line="236"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To register please use the following link: https://register.vevent.com/register/BIb776f13895ac48c283ebd1dd5079490b</w:t>
      </w:r>
    </w:p>
    <w:p>
      <w:pPr>
        <w:ind w:left="1020" w:right="140" w:hanging="504"/>
        <w:spacing w:after="0" w:line="238"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6"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second quarter and full year 2023, our expectation regarding our operating leverage and 2023 operating expenses, our potential for growth,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the impact of the health crises such as COVID-19 on our business and operations,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9"/>
          <w:szCs w:val="19"/>
          <w:color w:val="auto"/>
        </w:rPr>
        <w:t>operating model, our brand and reputation, and the impact of fluctuations in general macroeconomic conditions, such as the current inflationary environment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2022. All forward-looking statements in this press release are based on information available to Xometry and assumptions and beliefs as of the date hereof, and we disclaim any obligation to update any forward-looking statements, except as</w:t>
      </w:r>
    </w:p>
    <w:p>
      <w:pPr>
        <w:spacing w:after="0" w:line="21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0"/>
          <w:szCs w:val="20"/>
          <w:b w:val="1"/>
          <w:bCs w:val="1"/>
          <w:color w:val="auto"/>
        </w:rPr>
        <w:t>Investor Contact:</w:t>
      </w:r>
      <w:r>
        <w:rPr>
          <w:sz w:val="20"/>
          <w:szCs w:val="20"/>
          <w:color w:val="auto"/>
        </w:rPr>
        <w:tab/>
      </w:r>
      <w:r>
        <w:rPr>
          <w:rFonts w:ascii="Arial" w:cs="Arial" w:eastAsia="Arial" w:hAnsi="Arial"/>
          <w:sz w:val="19"/>
          <w:szCs w:val="19"/>
          <w:b w:val="1"/>
          <w:bCs w:val="1"/>
          <w:color w:val="auto"/>
        </w:rPr>
        <w:t>Media Contact:</w:t>
      </w:r>
    </w:p>
    <w:p>
      <w:pPr>
        <w:sectPr>
          <w:pgSz w:w="11900" w:h="16838" w:orient="portrait"/>
          <w:cols w:equalWidth="0" w:num="1">
            <w:col w:w="11040"/>
          </w:cols>
          <w:pgMar w:left="320" w:top="334" w:right="5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29" w:lineRule="auto"/>
        <w:rPr>
          <w:sz w:val="20"/>
          <w:szCs w:val="20"/>
          <w:color w:val="auto"/>
        </w:rPr>
      </w:pPr>
      <w:r>
        <w:rPr>
          <w:rFonts w:ascii="Arial" w:cs="Arial" w:eastAsia="Arial" w:hAnsi="Arial"/>
          <w:sz w:val="20"/>
          <w:szCs w:val="20"/>
          <w:color w:val="auto"/>
        </w:rPr>
        <w:t>VP Investor Relations</w:t>
      </w:r>
    </w:p>
    <w:p>
      <w:pPr>
        <w:ind w:left="20"/>
        <w:spacing w:after="0" w:line="225" w:lineRule="auto"/>
        <w:rPr>
          <w:sz w:val="20"/>
          <w:szCs w:val="20"/>
          <w:color w:val="auto"/>
        </w:rPr>
      </w:pPr>
      <w:r>
        <w:rPr>
          <w:rFonts w:ascii="Arial" w:cs="Arial" w:eastAsia="Arial" w:hAnsi="Arial"/>
          <w:sz w:val="20"/>
          <w:szCs w:val="20"/>
          <w:color w:val="auto"/>
        </w:rPr>
        <w:t>240-335-8132</w:t>
      </w: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Matthew Hutchison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Corporate Communications for Xometry</w:t>
      </w:r>
    </w:p>
    <w:p>
      <w:pPr>
        <w:spacing w:after="0" w:line="225" w:lineRule="auto"/>
        <w:rPr>
          <w:sz w:val="20"/>
          <w:szCs w:val="20"/>
          <w:color w:val="auto"/>
        </w:rPr>
      </w:pPr>
      <w:r>
        <w:rPr>
          <w:rFonts w:ascii="Arial" w:cs="Arial" w:eastAsia="Arial" w:hAnsi="Arial"/>
          <w:sz w:val="20"/>
          <w:szCs w:val="20"/>
          <w:color w:val="auto"/>
        </w:rPr>
        <w:t>415-583-2119</w:t>
      </w:r>
    </w:p>
    <w:p>
      <w:pPr>
        <w:spacing w:after="0"/>
        <w:rPr>
          <w:sz w:val="20"/>
          <w:szCs w:val="20"/>
          <w:color w:val="auto"/>
        </w:rPr>
      </w:pPr>
      <w:r>
        <w:rPr>
          <w:rFonts w:ascii="Arial" w:cs="Arial" w:eastAsia="Arial" w:hAnsi="Arial"/>
          <w:sz w:val="20"/>
          <w:szCs w:val="20"/>
          <w:color w:val="auto"/>
        </w:rPr>
        <w:t>matthew.hutchison@xometry.com</w:t>
      </w:r>
    </w:p>
    <w:p>
      <w:pPr>
        <w:spacing w:after="0" w:line="200" w:lineRule="exact"/>
        <w:rPr>
          <w:sz w:val="20"/>
          <w:szCs w:val="20"/>
          <w:color w:val="auto"/>
        </w:rPr>
      </w:pPr>
    </w:p>
    <w:p>
      <w:pPr>
        <w:sectPr>
          <w:pgSz w:w="11900" w:h="16838" w:orient="portrait"/>
          <w:cols w:equalWidth="0" w:num="2">
            <w:col w:w="4920" w:space="720"/>
            <w:col w:w="5400"/>
          </w:cols>
          <w:pgMar w:left="320" w:top="334" w:right="5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4" w:right="53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280"/>
        <w:spacing w:after="0" w:line="231" w:lineRule="auto"/>
        <w:rPr>
          <w:sz w:val="20"/>
          <w:szCs w:val="20"/>
          <w:color w:val="auto"/>
        </w:rPr>
      </w:pPr>
      <w:r>
        <w:rPr>
          <w:rFonts w:ascii="Arial" w:cs="Arial" w:eastAsia="Arial" w:hAnsi="Arial"/>
          <w:sz w:val="20"/>
          <w:szCs w:val="20"/>
          <w:color w:val="auto"/>
        </w:rPr>
        <w:t>Unaudited Condensed Consolidated Balance Sheets</w:t>
      </w:r>
    </w:p>
    <w:p>
      <w:pPr>
        <w:ind w:left="3520"/>
        <w:spacing w:after="0"/>
        <w:rPr>
          <w:sz w:val="20"/>
          <w:szCs w:val="20"/>
          <w:color w:val="auto"/>
        </w:rPr>
      </w:pPr>
      <w:r>
        <w:rPr>
          <w:rFonts w:ascii="Arial" w:cs="Arial" w:eastAsia="Arial" w:hAnsi="Arial"/>
          <w:sz w:val="20"/>
          <w:szCs w:val="20"/>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39,705</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65,662</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256,458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253,770</w:t>
            </w:r>
          </w:p>
        </w:tc>
        <w:tc>
          <w:tcPr>
            <w:tcW w:w="100" w:type="dxa"/>
            <w:vAlign w:val="bottom"/>
          </w:tcPr>
          <w:p>
            <w:pPr>
              <w:spacing w:after="0"/>
              <w:rPr>
                <w:sz w:val="19"/>
                <w:szCs w:val="19"/>
                <w:color w:val="auto"/>
              </w:rPr>
            </w:pPr>
          </w:p>
        </w:tc>
      </w:tr>
      <w:tr>
        <w:trPr>
          <w:trHeight w:val="197"/>
        </w:trPr>
        <w:tc>
          <w:tcPr>
            <w:tcW w:w="800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Accounts receivable, less allowance for credit losses of $1.9 million and $2.0 million as of</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March 31, 2023 and December 31, 2022</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49,188</w:t>
            </w:r>
          </w:p>
        </w:tc>
        <w:tc>
          <w:tcPr>
            <w:tcW w:w="100" w:type="dxa"/>
            <w:vAlign w:val="bottom"/>
            <w:shd w:val="clear" w:color="auto" w:fill="CFF0FC"/>
          </w:tcPr>
          <w:p>
            <w:pPr>
              <w:spacing w:after="0"/>
              <w:rPr>
                <w:sz w:val="20"/>
                <w:szCs w:val="20"/>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9"/>
                <w:szCs w:val="19"/>
                <w:color w:val="auto"/>
              </w:rPr>
            </w:pPr>
          </w:p>
        </w:tc>
      </w:tr>
      <w:tr>
        <w:trPr>
          <w:trHeight w:val="223"/>
        </w:trPr>
        <w:tc>
          <w:tcPr>
            <w:tcW w:w="800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390,055</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262,441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258,036</w:t>
            </w:r>
          </w:p>
        </w:tc>
        <w:tc>
          <w:tcPr>
            <w:tcW w:w="100" w:type="dxa"/>
            <w:vAlign w:val="bottom"/>
          </w:tcPr>
          <w:p>
            <w:pPr>
              <w:spacing w:after="0"/>
              <w:rPr>
                <w:sz w:val="19"/>
                <w:szCs w:val="19"/>
                <w:color w:val="auto"/>
              </w:rPr>
            </w:pPr>
          </w:p>
        </w:tc>
      </w:tr>
      <w:tr>
        <w:trPr>
          <w:trHeight w:val="229"/>
        </w:trPr>
        <w:tc>
          <w:tcPr>
            <w:tcW w:w="8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724,677</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736,925</w:t>
            </w:r>
          </w:p>
        </w:tc>
        <w:tc>
          <w:tcPr>
            <w:tcW w:w="10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33,430</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r>
      <w:tr>
        <w:trPr>
          <w:trHeight w:val="229"/>
        </w:trPr>
        <w:tc>
          <w:tcPr>
            <w:tcW w:w="8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63,803</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notes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279,909</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r>
      <w:tr>
        <w:trPr>
          <w:trHeight w:val="223"/>
        </w:trPr>
        <w:tc>
          <w:tcPr>
            <w:tcW w:w="80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362,325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800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8000" w:type="dxa"/>
            <w:vAlign w:val="bottom"/>
          </w:tcPr>
          <w:p>
            <w:pPr>
              <w:ind w:left="280"/>
              <w:spacing w:after="0"/>
              <w:rPr>
                <w:sz w:val="20"/>
                <w:szCs w:val="20"/>
                <w:color w:val="auto"/>
              </w:rPr>
            </w:pPr>
            <w:r>
              <w:rPr>
                <w:rFonts w:ascii="Arial" w:cs="Arial" w:eastAsia="Arial" w:hAnsi="Arial"/>
                <w:sz w:val="18"/>
                <w:szCs w:val="18"/>
                <w:color w:val="auto"/>
              </w:rPr>
              <w:t>outstanding as of March 31, 2023 and December 31, 2022, respectively</w:t>
            </w:r>
          </w:p>
        </w:tc>
        <w:tc>
          <w:tcPr>
            <w:tcW w:w="2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800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Class A Common stock, $0.000001 par value. Authorized; 750,000,000 shares; 45,098,314</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8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44,822,264 shares issued and outstanding as of March 31, 2023 and December</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31, 2022, respectively</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8000" w:type="dxa"/>
            <w:vAlign w:val="bottom"/>
          </w:tcPr>
          <w:p>
            <w:pPr>
              <w:ind w:left="280"/>
              <w:spacing w:after="0" w:line="197"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8000" w:type="dxa"/>
            <w:vAlign w:val="bottom"/>
          </w:tcPr>
          <w:p>
            <w:pPr>
              <w:ind w:left="280"/>
              <w:spacing w:after="0"/>
              <w:rPr>
                <w:sz w:val="20"/>
                <w:szCs w:val="20"/>
                <w:color w:val="auto"/>
              </w:rPr>
            </w:pPr>
            <w:r>
              <w:rPr>
                <w:rFonts w:ascii="Arial" w:cs="Arial" w:eastAsia="Arial" w:hAnsi="Arial"/>
                <w:sz w:val="18"/>
                <w:szCs w:val="18"/>
                <w:color w:val="auto"/>
              </w:rPr>
              <w:t>shares issued and outstanding as of March 31, 2023 and December 31, 2022, respectively</w:t>
            </w:r>
          </w:p>
        </w:tc>
        <w:tc>
          <w:tcPr>
            <w:tcW w:w="2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623,081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(267,710 )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(249,366 )</w:t>
            </w:r>
          </w:p>
        </w:tc>
      </w:tr>
      <w:tr>
        <w:trPr>
          <w:trHeight w:val="223"/>
        </w:trPr>
        <w:tc>
          <w:tcPr>
            <w:tcW w:w="80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361,257</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373,743</w:t>
            </w:r>
          </w:p>
        </w:tc>
        <w:tc>
          <w:tcPr>
            <w:tcW w:w="100" w:type="dxa"/>
            <w:vAlign w:val="bottom"/>
            <w:tcBorders>
              <w:top w:val="single" w:sz="8" w:color="CFF0FC"/>
            </w:tcBorders>
          </w:tcPr>
          <w:p>
            <w:pPr>
              <w:spacing w:after="0"/>
              <w:rPr>
                <w:sz w:val="19"/>
                <w:szCs w:val="19"/>
                <w:color w:val="auto"/>
              </w:rPr>
            </w:pPr>
          </w:p>
        </w:tc>
      </w:tr>
      <w:tr>
        <w:trPr>
          <w:trHeight w:val="229"/>
        </w:trPr>
        <w:tc>
          <w:tcPr>
            <w:tcW w:w="80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374,833</w:t>
            </w:r>
          </w:p>
        </w:tc>
        <w:tc>
          <w:tcPr>
            <w:tcW w:w="100" w:type="dxa"/>
            <w:vAlign w:val="bottom"/>
          </w:tcPr>
          <w:p>
            <w:pPr>
              <w:spacing w:after="0"/>
              <w:rPr>
                <w:sz w:val="19"/>
                <w:szCs w:val="19"/>
                <w:color w:val="auto"/>
              </w:rPr>
            </w:pPr>
          </w:p>
        </w:tc>
      </w:tr>
      <w:tr>
        <w:trPr>
          <w:trHeight w:val="263"/>
        </w:trPr>
        <w:tc>
          <w:tcPr>
            <w:tcW w:w="8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724,677</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736,925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857"/>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-5051425</wp:posOffset>
            </wp:positionV>
            <wp:extent cx="685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-5051425</wp:posOffset>
            </wp:positionV>
            <wp:extent cx="685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-3852545</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-3852545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-2961640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-1275080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-975360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-667385</wp:posOffset>
            </wp:positionV>
            <wp:extent cx="113855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855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Unaudited Condensed Consolidated Statements of Operations and Comprehensive Loss</w:t>
      </w:r>
    </w:p>
    <w:p>
      <w:pPr>
        <w:jc w:val="center"/>
        <w:spacing w:after="0"/>
        <w:rPr>
          <w:sz w:val="20"/>
          <w:szCs w:val="20"/>
          <w:color w:val="auto"/>
        </w:rPr>
      </w:pPr>
      <w:r>
        <w:rPr>
          <w:rFonts w:ascii="Arial" w:cs="Arial" w:eastAsia="Arial" w:hAnsi="Arial"/>
          <w:sz w:val="20"/>
          <w:szCs w:val="20"/>
          <w:color w:val="auto"/>
        </w:rPr>
        <w:t>(In thousands, except share and per share amounts)</w:t>
      </w:r>
    </w:p>
    <w:p>
      <w:pPr>
        <w:jc w:val="center"/>
        <w:ind w:left="6980"/>
        <w:spacing w:after="0" w:line="236"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105,326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83,671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65,957</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39,369</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32,939</w:t>
            </w: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22,439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19,285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12,608</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15,957</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1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59,156</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51,892</w:t>
            </w: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(19,787 )</w:t>
            </w:r>
          </w:p>
        </w:tc>
        <w:tc>
          <w:tcPr>
            <w:tcW w:w="48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(18,953 )</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(1,198 )</w:t>
            </w:r>
          </w:p>
        </w:tc>
        <w:tc>
          <w:tcPr>
            <w:tcW w:w="48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(769 )</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dividend income</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Other income (expenses)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1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 other income (expenses)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(1,601 )</w:t>
            </w: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Loss before income taxes</w:t>
            </w:r>
          </w:p>
        </w:tc>
        <w:tc>
          <w:tcPr>
            <w:tcW w:w="18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(20,554</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(136 )</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Net loss</w:t>
            </w:r>
          </w:p>
        </w:tc>
        <w:tc>
          <w:tcPr>
            <w:tcW w:w="18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(18,343</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8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(0.38 )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(0.43 )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Weighted-average number of shares outstanding used to compute</w:t>
            </w:r>
          </w:p>
        </w:tc>
        <w:tc>
          <w:tcPr>
            <w:tcW w:w="18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47,699,561</w:t>
            </w: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46,789,585</w:t>
            </w: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net loss per share, basic and diluted</w:t>
            </w:r>
          </w:p>
        </w:tc>
        <w:tc>
          <w:tcPr>
            <w:tcW w:w="18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5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Pr>
          <w:p>
            <w:pPr>
              <w:ind w:left="520"/>
              <w:spacing w:after="0"/>
              <w:rPr>
                <w:sz w:val="20"/>
                <w:szCs w:val="20"/>
                <w:color w:val="auto"/>
              </w:rPr>
            </w:pPr>
            <w:r>
              <w:rPr>
                <w:rFonts w:ascii="Arial" w:cs="Arial" w:eastAsia="Arial" w:hAnsi="Arial"/>
                <w:sz w:val="18"/>
                <w:szCs w:val="18"/>
                <w:color w:val="auto"/>
              </w:rPr>
              <w:t>Total other comprehensive income (loss)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1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(18,208 )</w:t>
            </w:r>
          </w:p>
        </w:tc>
        <w:tc>
          <w:tcPr>
            <w:tcW w:w="48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(20,023 )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1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 attributable to common stockholders</w:t>
            </w:r>
          </w:p>
        </w:tc>
        <w:tc>
          <w:tcPr>
            <w:tcW w:w="2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(18,213 )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(20,057 )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5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-4871085</wp:posOffset>
            </wp:positionV>
            <wp:extent cx="685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-4871085</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-3980815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-3980815</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-3098800</wp:posOffset>
            </wp:positionV>
            <wp:extent cx="685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-3098800</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-2191385</wp:posOffset>
            </wp:positionV>
            <wp:extent cx="1310005"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0005" cy="19685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-1746250</wp:posOffset>
            </wp:positionV>
            <wp:extent cx="1310005" cy="316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10005" cy="31686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-1283970</wp:posOffset>
            </wp:positionV>
            <wp:extent cx="685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-1283970</wp:posOffset>
            </wp:positionV>
            <wp:extent cx="6858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-975360</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-975360</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-675640</wp:posOffset>
            </wp:positionV>
            <wp:extent cx="685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-675640</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Unaudited 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77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5"/>
                <w:szCs w:val="15"/>
                <w:color w:val="auto"/>
              </w:rPr>
            </w:pPr>
          </w:p>
        </w:tc>
        <w:tc>
          <w:tcPr>
            <w:tcW w:w="1800" w:type="dxa"/>
            <w:vAlign w:val="bottom"/>
            <w:gridSpan w:val="4"/>
            <w:shd w:val="clear" w:color="auto" w:fill="CFF0FC"/>
          </w:tcPr>
          <w:p>
            <w:pPr>
              <w:jc w:val="right"/>
              <w:ind w:right="648"/>
              <w:spacing w:after="0"/>
              <w:rPr>
                <w:sz w:val="20"/>
                <w:szCs w:val="20"/>
                <w:color w:val="auto"/>
              </w:rPr>
            </w:pPr>
            <w:r>
              <w:rPr>
                <w:rFonts w:ascii="Arial" w:cs="Arial" w:eastAsia="Arial" w:hAnsi="Arial"/>
                <w:sz w:val="14"/>
                <w:szCs w:val="14"/>
                <w:b w:val="1"/>
                <w:bCs w:val="1"/>
                <w:color w:val="auto"/>
              </w:rPr>
              <w:t>(unaudited)</w:t>
            </w: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(18,343 )</w:t>
            </w:r>
          </w:p>
        </w:tc>
        <w:tc>
          <w:tcPr>
            <w:tcW w:w="14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(19,995 )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(66 )</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(34 )</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Non-cash income tax benefit</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(559 )</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taxes benefit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(23 )</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 net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(2,804 )</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(6,145 )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Inventory</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(180 )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(3,687 )</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(1,787 )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(503 )</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(2,752 )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(2,119 )</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(2,843 )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(970 )</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(1,369 )</w:t>
            </w:r>
          </w:p>
        </w:tc>
      </w:tr>
      <w:tr>
        <w:trPr>
          <w:trHeight w:val="189"/>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Income taxes payable</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(16,455 )</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(24,259 )</w:t>
            </w: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Purchase of marketable securities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(2,688 )</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(280,091 )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(4,186 )</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(2,543 )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Cash paid for business combination, net of cash acquired</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(3,349 )</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(10,000 )</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(282,465 )</w:t>
            </w: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287,500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(9,301 )</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Payments on finance lease obligations</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(2 )</w:t>
            </w:r>
          </w:p>
        </w:tc>
      </w:tr>
      <w:tr>
        <w:trPr>
          <w:trHeight w:val="182"/>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279,460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740" w:type="dxa"/>
            <w:vAlign w:val="bottom"/>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(29 )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(25,957 )</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(27,293 )</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65,662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100" w:type="dxa"/>
            <w:vAlign w:val="bottom"/>
          </w:tcPr>
          <w:p>
            <w:pPr>
              <w:spacing w:after="0"/>
              <w:rPr>
                <w:sz w:val="16"/>
                <w:szCs w:val="16"/>
                <w:color w:val="auto"/>
              </w:rPr>
            </w:pPr>
          </w:p>
        </w:tc>
      </w:tr>
      <w:tr>
        <w:trPr>
          <w:trHeight w:val="222"/>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39,705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58,969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4"/>
        </w:trPr>
        <w:tc>
          <w:tcPr>
            <w:tcW w:w="7740" w:type="dxa"/>
            <w:vAlign w:val="bottom"/>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-2854325</wp:posOffset>
            </wp:positionV>
            <wp:extent cx="7683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-2854325</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-1869440</wp:posOffset>
            </wp:positionV>
            <wp:extent cx="7683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-1869440</wp:posOffset>
            </wp:positionV>
            <wp:extent cx="6858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-1132840</wp:posOffset>
            </wp:positionV>
            <wp:extent cx="7683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-1132840</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-628015</wp:posOffset>
            </wp:positionV>
            <wp:extent cx="12242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4280" cy="14541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Unaudited Reconciliations of Non-GAAP Financial Measures</w:t>
      </w:r>
    </w:p>
    <w:p>
      <w:pPr>
        <w:jc w:val="center"/>
        <w:spacing w:after="0"/>
        <w:rPr>
          <w:sz w:val="20"/>
          <w:szCs w:val="20"/>
          <w:color w:val="auto"/>
        </w:rPr>
      </w:pPr>
      <w:r>
        <w:rPr>
          <w:rFonts w:ascii="Arial" w:cs="Arial" w:eastAsia="Arial" w:hAnsi="Arial"/>
          <w:sz w:val="20"/>
          <w:szCs w:val="20"/>
          <w:color w:val="auto"/>
        </w:rPr>
        <w:t>(In thousands)</w:t>
      </w:r>
    </w:p>
    <w:p>
      <w:pPr>
        <w:jc w:val="center"/>
        <w:ind w:left="7400"/>
        <w:spacing w:after="0" w:line="236" w:lineRule="auto"/>
        <w:rPr>
          <w:sz w:val="20"/>
          <w:szCs w:val="20"/>
          <w:color w:val="auto"/>
        </w:rPr>
      </w:pPr>
      <w:r>
        <w:rPr>
          <w:rFonts w:ascii="Arial" w:cs="Arial" w:eastAsia="Arial" w:hAnsi="Arial"/>
          <w:sz w:val="18"/>
          <w:szCs w:val="18"/>
          <w:b w:val="1"/>
          <w:bCs w:val="1"/>
          <w:color w:val="auto"/>
        </w:rPr>
        <w:t>For the Three Months</w:t>
      </w:r>
    </w:p>
    <w:p>
      <w:pPr>
        <w:spacing w:after="0" w:line="1"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Ended March 31,</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154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03"/>
        </w:trPr>
        <w:tc>
          <w:tcPr>
            <w:tcW w:w="752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598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(18,343 )</w:t>
            </w:r>
          </w:p>
        </w:tc>
        <w:tc>
          <w:tcPr>
            <w:tcW w:w="340" w:type="dxa"/>
            <w:vAlign w:val="bottom"/>
            <w:tcBorders>
              <w:top w:val="single" w:sz="8" w:color="CFF0FC"/>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(19,995 )</w:t>
            </w:r>
          </w:p>
        </w:tc>
      </w:tr>
      <w:tr>
        <w:trPr>
          <w:trHeight w:val="229"/>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(deduct):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Interest expense, interest and dividend income and other expenses</w:t>
            </w:r>
          </w:p>
        </w:tc>
        <w:tc>
          <w:tcPr>
            <w:tcW w:w="360" w:type="dxa"/>
            <w:vAlign w:val="bottom"/>
          </w:tcPr>
          <w:p>
            <w:pPr>
              <w:spacing w:after="0"/>
              <w:rPr>
                <w:sz w:val="19"/>
                <w:szCs w:val="19"/>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(1,514 )</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r>
      <w:tr>
        <w:trPr>
          <w:trHeight w:val="229"/>
        </w:trPr>
        <w:tc>
          <w:tcPr>
            <w:tcW w:w="7520" w:type="dxa"/>
            <w:vAlign w:val="bottom"/>
            <w:gridSpan w:val="2"/>
            <w:shd w:val="clear" w:color="auto" w:fill="CFF0FC"/>
          </w:tcPr>
          <w:p>
            <w:pPr>
              <w:spacing w:after="0" w:line="229"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(559 )</w:t>
            </w:r>
          </w:p>
        </w:tc>
      </w:tr>
      <w:tr>
        <w:trPr>
          <w:trHeight w:val="229"/>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gridSpan w:val="2"/>
          </w:tcPr>
          <w:p>
            <w:pPr>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9"/>
                <w:szCs w:val="19"/>
                <w:color w:val="auto"/>
              </w:rPr>
            </w:pPr>
          </w:p>
        </w:tc>
      </w:tr>
      <w:tr>
        <w:trPr>
          <w:trHeight w:val="229"/>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Charitable contribution of common stock</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Income from unconsolidated joint venture</w:t>
            </w:r>
          </w:p>
        </w:tc>
        <w:tc>
          <w:tcPr>
            <w:tcW w:w="360" w:type="dxa"/>
            <w:vAlign w:val="bottom"/>
          </w:tcPr>
          <w:p>
            <w:pPr>
              <w:spacing w:after="0"/>
              <w:rPr>
                <w:sz w:val="19"/>
                <w:szCs w:val="19"/>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(66 )</w:t>
            </w: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7520" w:type="dxa"/>
            <w:vAlign w:val="bottom"/>
            <w:gridSpan w:val="2"/>
            <w:shd w:val="clear" w:color="auto" w:fill="CFF0FC"/>
          </w:tcPr>
          <w:p>
            <w:pPr>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63"/>
        </w:trPr>
        <w:tc>
          <w:tcPr>
            <w:tcW w:w="7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(11,767</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-179070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For the Three Months</w:t>
      </w:r>
    </w:p>
    <w:p>
      <w:pPr>
        <w:spacing w:after="0" w:line="1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Net Loss: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(18,343 )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(19,995 )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Add (deduct):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line="229"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Amortization of deferred costs on convertible notes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marketable securities</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sale of property and equipment</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Charitable contribution of common stock</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Non-GAAP 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(9,766</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7540" w:type="dxa"/>
            <w:vAlign w:val="bottom"/>
            <w:gridSpan w:val="2"/>
            <w:shd w:val="clear" w:color="auto" w:fill="CFF0FC"/>
          </w:tcPr>
          <w:p>
            <w:pPr>
              <w:spacing w:after="0" w:line="197" w:lineRule="exact"/>
              <w:rPr>
                <w:sz w:val="20"/>
                <w:szCs w:val="20"/>
                <w:color w:val="auto"/>
              </w:rPr>
            </w:pPr>
            <w:r>
              <w:rPr>
                <w:rFonts w:ascii="Arial" w:cs="Arial" w:eastAsia="Arial" w:hAnsi="Arial"/>
                <w:sz w:val="18"/>
                <w:szCs w:val="18"/>
                <w:color w:val="auto"/>
              </w:rPr>
              <w:t>Weighted-average number of shares outstanding used to compute Non-GAAP Net Loss per</w:t>
            </w:r>
          </w:p>
        </w:tc>
        <w:tc>
          <w:tcPr>
            <w:tcW w:w="38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47,699,561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46,789,585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7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share, basic and diluted</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Non-GAAP EPS, 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(0.20 )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-324485</wp:posOffset>
            </wp:positionV>
            <wp:extent cx="68580" cy="3251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325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161" w:lineRule="exact"/>
        <w:rPr>
          <w:sz w:val="20"/>
          <w:szCs w:val="20"/>
          <w:color w:val="auto"/>
        </w:rPr>
      </w:pPr>
    </w:p>
    <w:p>
      <w:pPr>
        <w:ind w:left="380" w:right="320" w:hanging="372"/>
        <w:spacing w:after="0" w:line="234"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20"/>
          <w:szCs w:val="20"/>
          <w:color w:val="auto"/>
        </w:rPr>
      </w:pPr>
    </w:p>
    <w:p>
      <w:pPr>
        <w:ind w:left="380" w:right="520" w:hanging="372"/>
        <w:spacing w:after="0" w:line="225"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the non-cash expense related to stock-based awards granted to employees, as included in the Company’s GAAP results of operations.</w:t>
      </w:r>
    </w:p>
    <w:p>
      <w:pPr>
        <w:ind w:left="380" w:hanging="372"/>
        <w:spacing w:after="0"/>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Includes adjustments related to purchase accounting, the revaluation of contingent consideration and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Unaudited Segment Results</w:t>
      </w:r>
    </w:p>
    <w:p>
      <w:pPr>
        <w:jc w:val="center"/>
        <w:spacing w:after="0"/>
        <w:rPr>
          <w:sz w:val="20"/>
          <w:szCs w:val="20"/>
          <w:color w:val="auto"/>
        </w:rPr>
      </w:pPr>
      <w:r>
        <w:rPr>
          <w:rFonts w:ascii="Arial" w:cs="Arial" w:eastAsia="Arial" w:hAnsi="Arial"/>
          <w:sz w:val="20"/>
          <w:szCs w:val="20"/>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tcPr>
          <w:p>
            <w:pPr>
              <w:spacing w:after="0"/>
              <w:rPr>
                <w:sz w:val="20"/>
                <w:szCs w:val="20"/>
                <w:color w:val="auto"/>
              </w:rPr>
            </w:pPr>
          </w:p>
        </w:tc>
        <w:tc>
          <w:tcPr>
            <w:tcW w:w="3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1400" w:type="dxa"/>
            <w:vAlign w:val="bottom"/>
            <w:shd w:val="clear" w:color="auto" w:fill="CFF0FC"/>
          </w:tcPr>
          <w:p>
            <w:pPr>
              <w:spacing w:after="0"/>
              <w:rPr>
                <w:sz w:val="19"/>
                <w:szCs w:val="19"/>
                <w:color w:val="auto"/>
              </w:rPr>
            </w:pPr>
          </w:p>
        </w:tc>
        <w:tc>
          <w:tcPr>
            <w:tcW w:w="2580" w:type="dxa"/>
            <w:vAlign w:val="bottom"/>
            <w:gridSpan w:val="3"/>
            <w:shd w:val="clear" w:color="auto" w:fill="CFF0FC"/>
          </w:tcPr>
          <w:p>
            <w:pPr>
              <w:jc w:val="right"/>
              <w:ind w:right="1090"/>
              <w:spacing w:after="0"/>
              <w:rPr>
                <w:sz w:val="20"/>
                <w:szCs w:val="20"/>
                <w:color w:val="auto"/>
              </w:rPr>
            </w:pPr>
            <w:r>
              <w:rPr>
                <w:rFonts w:ascii="Arial" w:cs="Arial" w:eastAsia="Arial" w:hAnsi="Arial"/>
                <w:sz w:val="18"/>
                <w:szCs w:val="18"/>
                <w:b w:val="1"/>
                <w:bCs w:val="1"/>
                <w:color w:val="auto"/>
              </w:rPr>
              <w:t>(unaudited)</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93,903</w:t>
            </w:r>
          </w:p>
        </w:tc>
        <w:tc>
          <w:tcPr>
            <w:tcW w:w="320" w:type="dxa"/>
            <w:vAlign w:val="bottom"/>
          </w:tcPr>
          <w:p>
            <w:pPr>
              <w:spacing w:after="0"/>
              <w:rPr>
                <w:sz w:val="19"/>
                <w:szCs w:val="19"/>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77,209</w:t>
            </w:r>
          </w:p>
        </w:tc>
        <w:tc>
          <w:tcPr>
            <w:tcW w:w="100" w:type="dxa"/>
            <w:vAlign w:val="bottom"/>
          </w:tcPr>
          <w:p>
            <w:pPr>
              <w:spacing w:after="0"/>
              <w:rPr>
                <w:sz w:val="19"/>
                <w:szCs w:val="19"/>
                <w:color w:val="auto"/>
              </w:rPr>
            </w:pPr>
          </w:p>
        </w:tc>
      </w:tr>
      <w:tr>
        <w:trPr>
          <w:trHeight w:val="229"/>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11,423</w:t>
            </w:r>
          </w:p>
        </w:tc>
        <w:tc>
          <w:tcPr>
            <w:tcW w:w="3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w:t>
            </w:r>
          </w:p>
        </w:tc>
        <w:tc>
          <w:tcPr>
            <w:tcW w:w="320" w:type="dxa"/>
            <w:vAlign w:val="bottom"/>
          </w:tcPr>
          <w:p>
            <w:pPr>
              <w:spacing w:after="0"/>
              <w:rPr>
                <w:sz w:val="19"/>
                <w:szCs w:val="19"/>
                <w:color w:val="auto"/>
              </w:rPr>
            </w:pPr>
          </w:p>
        </w:tc>
        <w:tc>
          <w:tcPr>
            <w:tcW w:w="15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83,671</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1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(12,937 )</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(16,296 )</w:t>
            </w:r>
          </w:p>
        </w:tc>
      </w:tr>
      <w:tr>
        <w:trPr>
          <w:trHeight w:val="22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(5,407 )</w:t>
            </w:r>
          </w:p>
        </w:tc>
        <w:tc>
          <w:tcPr>
            <w:tcW w:w="15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(3,716 )</w:t>
            </w:r>
          </w:p>
        </w:tc>
      </w:tr>
      <w:tr>
        <w:trPr>
          <w:trHeight w:val="20"/>
        </w:trPr>
        <w:tc>
          <w:tcPr>
            <w:tcW w:w="65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50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(18,344 )</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(20,012 )</w:t>
            </w:r>
          </w:p>
        </w:tc>
      </w:tr>
      <w:tr>
        <w:trPr>
          <w:trHeight w:val="20"/>
        </w:trPr>
        <w:tc>
          <w:tcPr>
            <w:tcW w:w="65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-941070</wp:posOffset>
            </wp:positionV>
            <wp:extent cx="76835" cy="325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325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-179070</wp:posOffset>
            </wp:positionV>
            <wp:extent cx="76835"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Unaudited Supplemental Information</w:t>
      </w:r>
    </w:p>
    <w:p>
      <w:pPr>
        <w:jc w:val="center"/>
        <w:spacing w:after="0"/>
        <w:rPr>
          <w:sz w:val="20"/>
          <w:szCs w:val="20"/>
          <w:color w:val="auto"/>
        </w:rPr>
      </w:pPr>
      <w:r>
        <w:rPr>
          <w:rFonts w:ascii="Arial" w:cs="Arial" w:eastAsia="Arial" w:hAnsi="Arial"/>
          <w:sz w:val="20"/>
          <w:szCs w:val="20"/>
          <w:color w:val="auto"/>
        </w:rPr>
        <w:t>(In thousands)</w:t>
      </w:r>
    </w:p>
    <w:p>
      <w:pPr>
        <w:spacing w:after="0" w:line="213"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For the Three Months</w:t>
      </w:r>
    </w:p>
    <w:p>
      <w:pPr>
        <w:spacing w:after="0" w:line="13"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20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(unaudited)</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36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1,052</w:t>
            </w:r>
          </w:p>
        </w:tc>
        <w:tc>
          <w:tcPr>
            <w:tcW w:w="8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0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1,076</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r>
      <w:tr>
        <w:trPr>
          <w:trHeight w:val="22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36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4,694</w:t>
            </w:r>
          </w:p>
        </w:tc>
        <w:tc>
          <w:tcPr>
            <w:tcW w:w="8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20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36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8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0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20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63"/>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206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3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28"/>
        </w:trPr>
        <w:tc>
          <w:tcPr>
            <w:tcW w:w="5020" w:type="dxa"/>
            <w:vAlign w:val="bottom"/>
          </w:tcPr>
          <w:p>
            <w:pPr>
              <w:spacing w:after="0"/>
              <w:rPr>
                <w:sz w:val="24"/>
                <w:szCs w:val="24"/>
                <w:color w:val="auto"/>
              </w:rPr>
            </w:pPr>
          </w:p>
        </w:tc>
        <w:tc>
          <w:tcPr>
            <w:tcW w:w="20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-1874520</wp:posOffset>
            </wp:positionV>
            <wp:extent cx="76835" cy="325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3251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-521970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-504825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2023-05-10T06:36:29Z</dcterms:created>
  <dcterms:modified xsi:type="dcterms:W3CDTF">2023-05-10T06:36:29Z</dcterms:modified>
</cp:coreProperties>
</file>