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November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Xometry,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001-40546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32-0415449</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1624"/>
        <w:spacing w:after="0"/>
        <w:rPr>
          <w:sz w:val="20"/>
          <w:szCs w:val="20"/>
          <w:color w:val="auto"/>
        </w:rPr>
      </w:pPr>
      <w:r>
        <w:rPr>
          <w:rFonts w:ascii="Arial" w:cs="Arial" w:eastAsia="Arial" w:hAnsi="Arial"/>
          <w:sz w:val="15"/>
          <w:szCs w:val="15"/>
          <w:b w:val="1"/>
          <w:bCs w:val="1"/>
          <w:color w:val="auto"/>
        </w:rPr>
        <w:t>7529 Standish Place, Suite 200</w:t>
      </w:r>
    </w:p>
    <w:p>
      <w:pPr>
        <w:spacing w:after="0" w:line="62" w:lineRule="exact"/>
        <w:rPr>
          <w:sz w:val="24"/>
          <w:szCs w:val="24"/>
          <w:color w:val="auto"/>
        </w:rPr>
      </w:pPr>
    </w:p>
    <w:p>
      <w:pPr>
        <w:ind w:left="2004"/>
        <w:spacing w:after="0"/>
        <w:rPr>
          <w:sz w:val="20"/>
          <w:szCs w:val="20"/>
          <w:color w:val="auto"/>
        </w:rPr>
      </w:pPr>
      <w:r>
        <w:rPr>
          <w:rFonts w:ascii="Arial" w:cs="Arial" w:eastAsia="Arial" w:hAnsi="Arial"/>
          <w:sz w:val="18"/>
          <w:szCs w:val="18"/>
          <w:b w:val="1"/>
          <w:bCs w:val="1"/>
          <w:color w:val="auto"/>
        </w:rPr>
        <w:t>Derwood, Maryland</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20855</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240 335-7914</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$0.000001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XMTR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Lock-Up Expiration Date</w:t>
      </w:r>
    </w:p>
    <w:p>
      <w:pPr>
        <w:spacing w:after="0" w:line="11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In connection with the initial public offering of Class A common stock (the “IPO”) of Xometry, Inc. (the “Company”), each of the Company’s directors, executive officers, and holders of substantially all of the Company’s outstanding capital stock and securities convertible into its capital stock entered into a lock-up agreement with the underwriters for the IPO (the “Underwriters”), or were subject to market stand-off agreements, that, subject to certain exceptions, restricts such holder’s ability to sell or transfer any shares of the Company’s capital stock until the earlier of (a) December 27, 2021 and (b) the closing of trading of the Company’s common stock on The NASDAQ Stock Market LLC on the second trading day immediately following the Company’s public release of quarterly financial results for the fiscal quarter ended September 30, 2021 (the “Lock-Up Expiration Date”).</w:t>
      </w:r>
    </w:p>
    <w:p>
      <w:pPr>
        <w:spacing w:after="0" w:line="164"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On November 10, 2021, the Company plans to release its quarterly financial results for the fiscal quarter ended September 30, 2021. Accordingly, the Lock-Up Expiration Date will be at the closing of trading on November 12, 2021. As a result, following the Lock-Up Expiration Date,</w:t>
      </w:r>
    </w:p>
    <w:p>
      <w:pPr>
        <w:ind w:right="20"/>
        <w:spacing w:after="0" w:line="273" w:lineRule="auto"/>
        <w:rPr>
          <w:sz w:val="20"/>
          <w:szCs w:val="20"/>
          <w:color w:val="auto"/>
        </w:rPr>
      </w:pPr>
      <w:r>
        <w:rPr>
          <w:rFonts w:ascii="Arial" w:cs="Arial" w:eastAsia="Arial" w:hAnsi="Arial"/>
          <w:sz w:val="17"/>
          <w:szCs w:val="17"/>
          <w:color w:val="auto"/>
        </w:rPr>
        <w:t>the lock-up restrictions applicable to all shares of the Company’s equity securities that remain subject to a lock-up agreement entered into with the Underwriters in connection with the IPO shall expire, and such shares of the Company’s common stock will become eligible for sale, subject to any trading limitations that may exist as of such date (x) on any such shares held by affiliates of the Company, (y) in compliance with federal securities laws or the Company’s insider trading policy, or (z) to the extent subject to continued vesting of any unvested equity awards.</w:t>
      </w:r>
    </w:p>
    <w:p>
      <w:pPr>
        <w:sectPr>
          <w:pgSz w:w="11900" w:h="16838" w:orient="portrait"/>
          <w:cols w:equalWidth="0" w:num="1">
            <w:col w:w="10960"/>
          </w:cols>
          <w:pgMar w:left="440" w:top="297" w:right="4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XOMETRY, INC.</w:t>
      </w:r>
    </w:p>
    <w:p>
      <w:pPr>
        <w:spacing w:after="0" w:line="229" w:lineRule="exact"/>
        <w:rPr>
          <w:sz w:val="20"/>
          <w:szCs w:val="20"/>
          <w:color w:val="auto"/>
        </w:rPr>
      </w:pPr>
    </w:p>
    <w:p>
      <w:pPr>
        <w:spacing w:after="0"/>
        <w:tabs>
          <w:tab w:leader="none" w:pos="600" w:val="left"/>
          <w:tab w:leader="none" w:pos="5600" w:val="left"/>
          <w:tab w:leader="none" w:pos="6040" w:val="left"/>
        </w:tabs>
        <w:rPr>
          <w:sz w:val="20"/>
          <w:szCs w:val="20"/>
          <w:color w:val="auto"/>
        </w:rPr>
      </w:pPr>
      <w:r>
        <w:rPr>
          <w:rFonts w:ascii="Arial" w:cs="Arial" w:eastAsia="Arial" w:hAnsi="Arial"/>
          <w:sz w:val="18"/>
          <w:szCs w:val="18"/>
          <w:color w:val="auto"/>
        </w:rPr>
        <w:t>Date:</w:t>
        <w:tab/>
        <w:t>November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Randolph Altschuler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0700"/>
      </w:cols>
      <w:pgMar w:left="440" w:top="29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2021-11-05T16:28:41Z</dcterms:created>
  <dcterms:modified xsi:type="dcterms:W3CDTF">2021-11-05T16:28:41Z</dcterms:modified>
</cp:coreProperties>
</file>