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Weymouth Katharine</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Xometry,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XMTR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8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80" w:type="dxa"/>
            <w:vAlign w:val="bottom"/>
            <w:gridSpan w:val="6"/>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vMerge w:val="restart"/>
          </w:tcPr>
          <w:p>
            <w:pPr>
              <w:spacing w:after="0"/>
              <w:rPr>
                <w:sz w:val="9"/>
                <w:szCs w:val="9"/>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540" w:type="dxa"/>
            <w:vAlign w:val="bottom"/>
            <w:tcBorders>
              <w:top w:val="single" w:sz="8" w:color="EEEEEE"/>
            </w:tcBorders>
          </w:tcPr>
          <w:p>
            <w:pPr>
              <w:spacing w:after="0"/>
              <w:rPr>
                <w:sz w:val="4"/>
                <w:szCs w:val="4"/>
                <w:color w:val="auto"/>
              </w:rPr>
            </w:pPr>
          </w:p>
        </w:tc>
        <w:tc>
          <w:tcPr>
            <w:tcW w:w="240" w:type="dxa"/>
            <w:vAlign w:val="bottom"/>
            <w:tcBorders>
              <w:top w:val="single" w:sz="8" w:color="EEEEEE"/>
            </w:tcBorders>
          </w:tcPr>
          <w:p>
            <w:pPr>
              <w:spacing w:after="0"/>
              <w:rPr>
                <w:sz w:val="4"/>
                <w:szCs w:val="4"/>
                <w:color w:val="auto"/>
              </w:rPr>
            </w:pPr>
          </w:p>
        </w:tc>
        <w:tc>
          <w:tcPr>
            <w:tcW w:w="420" w:type="dxa"/>
            <w:vAlign w:val="bottom"/>
            <w:tcBorders>
              <w:top w:val="single" w:sz="8" w:color="EEEEEE"/>
            </w:tcBorders>
          </w:tcPr>
          <w:p>
            <w:pPr>
              <w:spacing w:after="0"/>
              <w:rPr>
                <w:sz w:val="4"/>
                <w:szCs w:val="4"/>
                <w:color w:val="auto"/>
              </w:rPr>
            </w:pPr>
          </w:p>
        </w:tc>
        <w:tc>
          <w:tcPr>
            <w:tcW w:w="46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3"/>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XOMETRY, INC.</w:t>
            </w:r>
          </w:p>
        </w:tc>
        <w:tc>
          <w:tcPr>
            <w:tcW w:w="1340" w:type="dxa"/>
            <w:vAlign w:val="bottom"/>
          </w:tcPr>
          <w:p>
            <w:pPr>
              <w:spacing w:after="0"/>
              <w:rPr>
                <w:sz w:val="19"/>
                <w:szCs w:val="19"/>
                <w:color w:val="auto"/>
              </w:rPr>
            </w:pPr>
          </w:p>
        </w:tc>
        <w:tc>
          <w:tcPr>
            <w:tcW w:w="13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03/11/2025</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6116 EXECUTIVE BLVD, SUITE 800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NORTH</w:t>
            </w:r>
          </w:p>
        </w:tc>
        <w:tc>
          <w:tcPr>
            <w:tcW w:w="540" w:type="dxa"/>
            <w:vAlign w:val="bottom"/>
          </w:tcPr>
          <w:p>
            <w:pPr>
              <w:spacing w:after="0"/>
              <w:rPr>
                <w:sz w:val="11"/>
                <w:szCs w:val="11"/>
                <w:color w:val="auto"/>
              </w:rPr>
            </w:pPr>
          </w:p>
        </w:tc>
        <w:tc>
          <w:tcPr>
            <w:tcW w:w="1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rPr>
              <w:t>MD</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20852</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BETHESDA</w:t>
            </w:r>
          </w:p>
        </w:tc>
        <w:tc>
          <w:tcPr>
            <w:tcW w:w="112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gridSpan w:val="2"/>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3"/>
          </w:tcPr>
          <w:p>
            <w:pPr>
              <w:spacing w:after="0"/>
              <w:rPr>
                <w:sz w:val="10"/>
                <w:szCs w:val="10"/>
                <w:color w:val="auto"/>
              </w:rPr>
            </w:pPr>
          </w:p>
        </w:tc>
        <w:tc>
          <w:tcPr>
            <w:tcW w:w="258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380" w:type="dxa"/>
            <w:vAlign w:val="bottom"/>
            <w:tcBorders>
              <w:top w:val="single" w:sz="8" w:color="2C2C2C"/>
            </w:tcBorders>
            <w:gridSpan w:val="20"/>
          </w:tcPr>
          <w:p>
            <w:pPr>
              <w:jc w:val="right"/>
              <w:ind w:righ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10"/>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03/11/2025</w:t>
            </w: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5,689</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r>
              <w:rPr>
                <w:rFonts w:ascii="Times New Roman" w:cs="Times New Roman" w:eastAsia="Times New Roman" w:hAnsi="Times New Roman"/>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28,244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03/11/2025</w:t>
            </w: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2,064</w:t>
            </w:r>
            <w:r>
              <w:rPr>
                <w:rFonts w:ascii="Times New Roman" w:cs="Times New Roman" w:eastAsia="Times New Roman" w:hAnsi="Times New Roman"/>
                <w:sz w:val="22"/>
                <w:szCs w:val="22"/>
                <w:color w:val="008000"/>
                <w:vertAlign w:val="superscript"/>
              </w:rPr>
              <w:t>(3)</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r>
              <w:rPr>
                <w:rFonts w:ascii="Times New Roman" w:cs="Times New Roman" w:eastAsia="Times New Roman" w:hAnsi="Times New Roman"/>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30,308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("RSU") grant. All of the shares underlying the RSUs will vest on January 1, 2026, subject to the Reporting Person's continuous service.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the Class A Common Stock of the Issuer.</w:t>
      </w:r>
    </w:p>
    <w:p>
      <w:pPr>
        <w:spacing w:after="0" w:line="50" w:lineRule="exact"/>
        <w:rPr>
          <w:rFonts w:ascii="Times New Roman" w:cs="Times New Roman" w:eastAsia="Times New Roman" w:hAnsi="Times New Roman"/>
          <w:sz w:val="13"/>
          <w:szCs w:val="13"/>
          <w:color w:val="008000"/>
        </w:rPr>
      </w:pPr>
    </w:p>
    <w:p>
      <w:pPr>
        <w:ind w:left="40" w:right="7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("RSU") grant. The shares underlying the RSUs will vest in four equal quarterly installments with the first installment vesting on April 1, 2025, subject to the Reporting Person's continuous service.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03/13/2025</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01808" TargetMode="External"/><Relationship Id="rId14"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2025-03-13T15:51:28Z</dcterms:created>
  <dcterms:modified xsi:type="dcterms:W3CDTF">2025-03-13T15:51:28Z</dcterms:modified>
</cp:coreProperties>
</file>