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March 18,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Pr>
          <w:p>
            <w:pPr>
              <w:jc w:val="right"/>
              <w:ind w:right="273"/>
              <w:spacing w:after="0"/>
              <w:rPr>
                <w:sz w:val="20"/>
                <w:szCs w:val="20"/>
                <w:color w:val="auto"/>
              </w:rPr>
            </w:pPr>
            <w:r>
              <w:rPr>
                <w:rFonts w:ascii="Arial" w:cs="Arial" w:eastAsia="Arial" w:hAnsi="Arial"/>
                <w:sz w:val="18"/>
                <w:szCs w:val="18"/>
                <w:b w:val="1"/>
                <w:bCs w:val="1"/>
                <w:color w:val="auto"/>
              </w:rPr>
              <w:t>32-0415449</w:t>
            </w:r>
          </w:p>
        </w:tc>
      </w:tr>
      <w:tr>
        <w:trPr>
          <w:trHeight w:val="148"/>
        </w:trPr>
        <w:tc>
          <w:tcPr>
            <w:tcW w:w="5740" w:type="dxa"/>
            <w:vAlign w:val="bottom"/>
          </w:tcPr>
          <w:p>
            <w:pPr>
              <w:jc w:val="center"/>
              <w:ind w:right="345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720" w:type="dxa"/>
            <w:vAlign w:val="bottom"/>
          </w:tcPr>
          <w:p>
            <w:pPr>
              <w:jc w:val="center"/>
              <w:ind w:left="3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5740" w:type="dxa"/>
            <w:vAlign w:val="bottom"/>
          </w:tcPr>
          <w:p>
            <w:pPr>
              <w:jc w:val="center"/>
              <w:ind w:right="3453"/>
              <w:spacing w:after="0"/>
              <w:rPr>
                <w:sz w:val="20"/>
                <w:szCs w:val="20"/>
                <w:color w:val="auto"/>
              </w:rPr>
            </w:pPr>
            <w:r>
              <w:rPr>
                <w:rFonts w:ascii="Arial" w:cs="Arial" w:eastAsia="Arial" w:hAnsi="Arial"/>
                <w:sz w:val="14"/>
                <w:szCs w:val="14"/>
                <w:b w:val="1"/>
                <w:bCs w:val="1"/>
                <w:color w:val="auto"/>
                <w:w w:val="94"/>
              </w:rPr>
              <w:t>incorporation or organization)</w:t>
            </w:r>
          </w:p>
        </w:tc>
        <w:tc>
          <w:tcPr>
            <w:tcW w:w="1720" w:type="dxa"/>
            <w:vAlign w:val="bottom"/>
          </w:tcPr>
          <w:p>
            <w:pPr>
              <w:jc w:val="center"/>
              <w:ind w:left="33"/>
              <w:spacing w:after="0"/>
              <w:rPr>
                <w:sz w:val="20"/>
                <w:szCs w:val="20"/>
                <w:color w:val="auto"/>
              </w:rPr>
            </w:pPr>
            <w:r>
              <w:rPr>
                <w:rFonts w:ascii="Arial" w:cs="Arial" w:eastAsia="Arial" w:hAnsi="Arial"/>
                <w:sz w:val="14"/>
                <w:szCs w:val="14"/>
                <w:b w:val="1"/>
                <w:bCs w:val="1"/>
                <w:color w:val="auto"/>
                <w:w w:val="94"/>
              </w:rPr>
              <w:t>Identification No.)</w:t>
            </w:r>
          </w:p>
        </w:tc>
      </w:tr>
      <w:tr>
        <w:trPr>
          <w:trHeight w:val="216"/>
        </w:trPr>
        <w:tc>
          <w:tcPr>
            <w:tcW w:w="5740" w:type="dxa"/>
            <w:vAlign w:val="bottom"/>
          </w:tcPr>
          <w:p>
            <w:pPr>
              <w:jc w:val="center"/>
              <w:ind w:left="1813"/>
              <w:spacing w:after="0"/>
              <w:rPr>
                <w:sz w:val="20"/>
                <w:szCs w:val="20"/>
                <w:color w:val="auto"/>
              </w:rPr>
            </w:pPr>
            <w:r>
              <w:rPr>
                <w:rFonts w:ascii="Arial" w:cs="Arial" w:eastAsia="Arial" w:hAnsi="Arial"/>
                <w:sz w:val="18"/>
                <w:szCs w:val="18"/>
                <w:b w:val="1"/>
                <w:bCs w:val="1"/>
                <w:color w:val="auto"/>
                <w:w w:val="87"/>
              </w:rPr>
              <w:t>7529 Standish Place</w:t>
            </w:r>
          </w:p>
        </w:tc>
        <w:tc>
          <w:tcPr>
            <w:tcW w:w="1720" w:type="dxa"/>
            <w:vAlign w:val="bottom"/>
          </w:tcPr>
          <w:p>
            <w:pPr>
              <w:spacing w:after="0"/>
              <w:rPr>
                <w:sz w:val="18"/>
                <w:szCs w:val="18"/>
                <w:color w:val="auto"/>
              </w:rPr>
            </w:pPr>
          </w:p>
        </w:tc>
      </w:tr>
      <w:tr>
        <w:trPr>
          <w:trHeight w:val="216"/>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color w:val="auto"/>
                <w:w w:val="88"/>
              </w:rPr>
              <w:t>Suite 200</w:t>
            </w:r>
          </w:p>
        </w:tc>
        <w:tc>
          <w:tcPr>
            <w:tcW w:w="1720" w:type="dxa"/>
            <w:vAlign w:val="bottom"/>
          </w:tcPr>
          <w:p>
            <w:pPr>
              <w:spacing w:after="0"/>
              <w:rPr>
                <w:sz w:val="18"/>
                <w:szCs w:val="18"/>
                <w:color w:val="auto"/>
              </w:rPr>
            </w:pPr>
          </w:p>
        </w:tc>
      </w:tr>
      <w:tr>
        <w:trPr>
          <w:trHeight w:val="216"/>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color w:val="auto"/>
                <w:w w:val="92"/>
              </w:rPr>
              <w:t>Derwood, MD 20855</w:t>
            </w:r>
          </w:p>
        </w:tc>
        <w:tc>
          <w:tcPr>
            <w:tcW w:w="1720" w:type="dxa"/>
            <w:vAlign w:val="bottom"/>
          </w:tcPr>
          <w:p>
            <w:pPr>
              <w:spacing w:after="0"/>
              <w:rPr>
                <w:sz w:val="18"/>
                <w:szCs w:val="18"/>
                <w:color w:val="auto"/>
              </w:rPr>
            </w:pPr>
          </w:p>
        </w:tc>
      </w:tr>
      <w:tr>
        <w:trPr>
          <w:trHeight w:val="212"/>
        </w:trPr>
        <w:tc>
          <w:tcPr>
            <w:tcW w:w="5740" w:type="dxa"/>
            <w:vAlign w:val="bottom"/>
          </w:tcPr>
          <w:p>
            <w:pPr>
              <w:jc w:val="center"/>
              <w:ind w:left="1813"/>
              <w:spacing w:after="0"/>
              <w:rPr>
                <w:sz w:val="20"/>
                <w:szCs w:val="20"/>
                <w:color w:val="auto"/>
              </w:rPr>
            </w:pPr>
            <w:r>
              <w:rPr>
                <w:rFonts w:ascii="Arial" w:cs="Arial" w:eastAsia="Arial" w:hAnsi="Arial"/>
                <w:sz w:val="18"/>
                <w:szCs w:val="18"/>
                <w:b w:val="1"/>
                <w:bCs w:val="1"/>
                <w:color w:val="auto"/>
                <w:w w:val="90"/>
              </w:rPr>
              <w:t>(240) 335-7914</w:t>
            </w:r>
          </w:p>
        </w:tc>
        <w:tc>
          <w:tcPr>
            <w:tcW w:w="1720" w:type="dxa"/>
            <w:vAlign w:val="bottom"/>
          </w:tcPr>
          <w:p>
            <w:pPr>
              <w:spacing w:after="0"/>
              <w:rPr>
                <w:sz w:val="18"/>
                <w:szCs w:val="18"/>
                <w:color w:val="auto"/>
              </w:rPr>
            </w:pPr>
          </w:p>
        </w:tc>
      </w:tr>
      <w:tr>
        <w:trPr>
          <w:trHeight w:val="186"/>
        </w:trPr>
        <w:tc>
          <w:tcPr>
            <w:tcW w:w="5740" w:type="dxa"/>
            <w:vAlign w:val="bottom"/>
          </w:tcPr>
          <w:p>
            <w:pPr>
              <w:jc w:val="center"/>
              <w:ind w:left="1813"/>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20" w:type="dxa"/>
            <w:vAlign w:val="bottom"/>
          </w:tcPr>
          <w:p>
            <w:pPr>
              <w:spacing w:after="0"/>
              <w:rPr>
                <w:sz w:val="16"/>
                <w:szCs w:val="16"/>
                <w:color w:val="auto"/>
              </w:rPr>
            </w:pPr>
          </w:p>
        </w:tc>
      </w:tr>
      <w:tr>
        <w:trPr>
          <w:trHeight w:val="394"/>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color w:val="auto"/>
                <w:w w:val="92"/>
              </w:rPr>
              <w:t>Xometry, Inc. 2021 Equity Incentive Plan</w:t>
            </w:r>
          </w:p>
        </w:tc>
        <w:tc>
          <w:tcPr>
            <w:tcW w:w="1720" w:type="dxa"/>
            <w:vAlign w:val="bottom"/>
          </w:tcPr>
          <w:p>
            <w:pPr>
              <w:spacing w:after="0"/>
              <w:rPr>
                <w:sz w:val="24"/>
                <w:szCs w:val="24"/>
                <w:color w:val="auto"/>
              </w:rPr>
            </w:pPr>
          </w:p>
        </w:tc>
      </w:tr>
      <w:tr>
        <w:trPr>
          <w:trHeight w:val="186"/>
        </w:trPr>
        <w:tc>
          <w:tcPr>
            <w:tcW w:w="5740" w:type="dxa"/>
            <w:vAlign w:val="bottom"/>
          </w:tcPr>
          <w:p>
            <w:pPr>
              <w:jc w:val="center"/>
              <w:ind w:left="1813"/>
              <w:spacing w:after="0"/>
              <w:rPr>
                <w:sz w:val="20"/>
                <w:szCs w:val="20"/>
                <w:color w:val="auto"/>
              </w:rPr>
            </w:pPr>
            <w:r>
              <w:rPr>
                <w:rFonts w:ascii="Arial" w:cs="Arial" w:eastAsia="Arial" w:hAnsi="Arial"/>
                <w:sz w:val="14"/>
                <w:szCs w:val="14"/>
                <w:b w:val="1"/>
                <w:bCs w:val="1"/>
                <w:color w:val="auto"/>
                <w:w w:val="95"/>
              </w:rPr>
              <w:t>(Full title of the plan)</w:t>
            </w:r>
          </w:p>
        </w:tc>
        <w:tc>
          <w:tcPr>
            <w:tcW w:w="1720" w:type="dxa"/>
            <w:vAlign w:val="bottom"/>
          </w:tcPr>
          <w:p>
            <w:pPr>
              <w:spacing w:after="0"/>
              <w:rPr>
                <w:sz w:val="16"/>
                <w:szCs w:val="16"/>
                <w:color w:val="auto"/>
              </w:rPr>
            </w:pPr>
          </w:p>
        </w:tc>
      </w:tr>
      <w:tr>
        <w:trPr>
          <w:trHeight w:val="399"/>
        </w:trPr>
        <w:tc>
          <w:tcPr>
            <w:tcW w:w="5740" w:type="dxa"/>
            <w:vAlign w:val="bottom"/>
          </w:tcPr>
          <w:p>
            <w:pPr>
              <w:jc w:val="center"/>
              <w:ind w:left="1813"/>
              <w:spacing w:after="0"/>
              <w:rPr>
                <w:sz w:val="20"/>
                <w:szCs w:val="20"/>
                <w:color w:val="auto"/>
              </w:rPr>
            </w:pPr>
            <w:r>
              <w:rPr>
                <w:rFonts w:ascii="Arial" w:cs="Arial" w:eastAsia="Arial" w:hAnsi="Arial"/>
                <w:sz w:val="18"/>
                <w:szCs w:val="18"/>
                <w:b w:val="1"/>
                <w:bCs w:val="1"/>
                <w:color w:val="auto"/>
                <w:w w:val="90"/>
              </w:rPr>
              <w:t>Randolph Altschuler</w:t>
            </w:r>
          </w:p>
        </w:tc>
        <w:tc>
          <w:tcPr>
            <w:tcW w:w="1720" w:type="dxa"/>
            <w:vAlign w:val="bottom"/>
          </w:tcPr>
          <w:p>
            <w:pPr>
              <w:spacing w:after="0"/>
              <w:rPr>
                <w:sz w:val="24"/>
                <w:szCs w:val="24"/>
                <w:color w:val="auto"/>
              </w:rPr>
            </w:pPr>
          </w:p>
        </w:tc>
      </w:tr>
      <w:tr>
        <w:trPr>
          <w:trHeight w:val="216"/>
        </w:trPr>
        <w:tc>
          <w:tcPr>
            <w:tcW w:w="5740" w:type="dxa"/>
            <w:vAlign w:val="bottom"/>
          </w:tcPr>
          <w:p>
            <w:pPr>
              <w:jc w:val="center"/>
              <w:ind w:left="1813"/>
              <w:spacing w:after="0"/>
              <w:rPr>
                <w:sz w:val="20"/>
                <w:szCs w:val="20"/>
                <w:color w:val="auto"/>
              </w:rPr>
            </w:pPr>
            <w:r>
              <w:rPr>
                <w:rFonts w:ascii="Arial" w:cs="Arial" w:eastAsia="Arial" w:hAnsi="Arial"/>
                <w:sz w:val="18"/>
                <w:szCs w:val="18"/>
                <w:b w:val="1"/>
                <w:bCs w:val="1"/>
                <w:color w:val="auto"/>
                <w:w w:val="91"/>
              </w:rPr>
              <w:t>Chief Executive Officer</w:t>
            </w:r>
          </w:p>
        </w:tc>
        <w:tc>
          <w:tcPr>
            <w:tcW w:w="1720" w:type="dxa"/>
            <w:vAlign w:val="bottom"/>
          </w:tcPr>
          <w:p>
            <w:pPr>
              <w:spacing w:after="0"/>
              <w:rPr>
                <w:sz w:val="18"/>
                <w:szCs w:val="18"/>
                <w:color w:val="auto"/>
              </w:rPr>
            </w:pPr>
          </w:p>
        </w:tc>
      </w:tr>
      <w:tr>
        <w:trPr>
          <w:trHeight w:val="216"/>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color w:val="auto"/>
                <w:w w:val="93"/>
              </w:rPr>
              <w:t>Xometry, Inc.</w:t>
            </w:r>
          </w:p>
        </w:tc>
        <w:tc>
          <w:tcPr>
            <w:tcW w:w="1720" w:type="dxa"/>
            <w:vAlign w:val="bottom"/>
          </w:tcPr>
          <w:p>
            <w:pPr>
              <w:spacing w:after="0"/>
              <w:rPr>
                <w:sz w:val="18"/>
                <w:szCs w:val="18"/>
                <w:color w:val="auto"/>
              </w:rPr>
            </w:pPr>
          </w:p>
        </w:tc>
      </w:tr>
      <w:tr>
        <w:trPr>
          <w:trHeight w:val="216"/>
        </w:trPr>
        <w:tc>
          <w:tcPr>
            <w:tcW w:w="5740" w:type="dxa"/>
            <w:vAlign w:val="bottom"/>
          </w:tcPr>
          <w:p>
            <w:pPr>
              <w:jc w:val="center"/>
              <w:ind w:left="1813"/>
              <w:spacing w:after="0"/>
              <w:rPr>
                <w:sz w:val="20"/>
                <w:szCs w:val="20"/>
                <w:color w:val="auto"/>
              </w:rPr>
            </w:pPr>
            <w:r>
              <w:rPr>
                <w:rFonts w:ascii="Arial" w:cs="Arial" w:eastAsia="Arial" w:hAnsi="Arial"/>
                <w:sz w:val="18"/>
                <w:szCs w:val="18"/>
                <w:b w:val="1"/>
                <w:bCs w:val="1"/>
                <w:color w:val="auto"/>
                <w:w w:val="87"/>
              </w:rPr>
              <w:t>7529 Standish Place</w:t>
            </w:r>
          </w:p>
        </w:tc>
        <w:tc>
          <w:tcPr>
            <w:tcW w:w="1720" w:type="dxa"/>
            <w:vAlign w:val="bottom"/>
          </w:tcPr>
          <w:p>
            <w:pPr>
              <w:spacing w:after="0"/>
              <w:rPr>
                <w:sz w:val="18"/>
                <w:szCs w:val="18"/>
                <w:color w:val="auto"/>
              </w:rPr>
            </w:pPr>
          </w:p>
        </w:tc>
      </w:tr>
      <w:tr>
        <w:trPr>
          <w:trHeight w:val="216"/>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color w:val="auto"/>
                <w:w w:val="88"/>
              </w:rPr>
              <w:t>Suite 200</w:t>
            </w:r>
          </w:p>
        </w:tc>
        <w:tc>
          <w:tcPr>
            <w:tcW w:w="1720" w:type="dxa"/>
            <w:vAlign w:val="bottom"/>
          </w:tcPr>
          <w:p>
            <w:pPr>
              <w:spacing w:after="0"/>
              <w:rPr>
                <w:sz w:val="18"/>
                <w:szCs w:val="18"/>
                <w:color w:val="auto"/>
              </w:rPr>
            </w:pPr>
          </w:p>
        </w:tc>
      </w:tr>
      <w:tr>
        <w:trPr>
          <w:trHeight w:val="216"/>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color w:val="auto"/>
                <w:w w:val="92"/>
              </w:rPr>
              <w:t>Derwood, MD 20855</w:t>
            </w:r>
          </w:p>
        </w:tc>
        <w:tc>
          <w:tcPr>
            <w:tcW w:w="1720" w:type="dxa"/>
            <w:vAlign w:val="bottom"/>
          </w:tcPr>
          <w:p>
            <w:pPr>
              <w:spacing w:after="0"/>
              <w:rPr>
                <w:sz w:val="18"/>
                <w:szCs w:val="18"/>
                <w:color w:val="auto"/>
              </w:rPr>
            </w:pPr>
          </w:p>
        </w:tc>
      </w:tr>
      <w:tr>
        <w:trPr>
          <w:trHeight w:val="212"/>
        </w:trPr>
        <w:tc>
          <w:tcPr>
            <w:tcW w:w="5740" w:type="dxa"/>
            <w:vAlign w:val="bottom"/>
          </w:tcPr>
          <w:p>
            <w:pPr>
              <w:jc w:val="center"/>
              <w:ind w:left="1813"/>
              <w:spacing w:after="0"/>
              <w:rPr>
                <w:sz w:val="20"/>
                <w:szCs w:val="20"/>
                <w:color w:val="auto"/>
              </w:rPr>
            </w:pPr>
            <w:r>
              <w:rPr>
                <w:rFonts w:ascii="Arial" w:cs="Arial" w:eastAsia="Arial" w:hAnsi="Arial"/>
                <w:sz w:val="18"/>
                <w:szCs w:val="18"/>
                <w:b w:val="1"/>
                <w:bCs w:val="1"/>
                <w:color w:val="auto"/>
                <w:w w:val="90"/>
              </w:rPr>
              <w:t>(240) 335-7914</w:t>
            </w:r>
          </w:p>
        </w:tc>
        <w:tc>
          <w:tcPr>
            <w:tcW w:w="1720" w:type="dxa"/>
            <w:vAlign w:val="bottom"/>
          </w:tcPr>
          <w:p>
            <w:pPr>
              <w:spacing w:after="0"/>
              <w:rPr>
                <w:sz w:val="18"/>
                <w:szCs w:val="18"/>
                <w:color w:val="auto"/>
              </w:rPr>
            </w:pPr>
          </w:p>
        </w:tc>
      </w:tr>
      <w:tr>
        <w:trPr>
          <w:trHeight w:val="186"/>
        </w:trPr>
        <w:tc>
          <w:tcPr>
            <w:tcW w:w="746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417"/>
        </w:trPr>
        <w:tc>
          <w:tcPr>
            <w:tcW w:w="5740" w:type="dxa"/>
            <w:vAlign w:val="bottom"/>
          </w:tcPr>
          <w:p>
            <w:pPr>
              <w:jc w:val="center"/>
              <w:ind w:left="1833"/>
              <w:spacing w:after="0"/>
              <w:rPr>
                <w:sz w:val="20"/>
                <w:szCs w:val="20"/>
                <w:color w:val="auto"/>
              </w:rPr>
            </w:pPr>
            <w:r>
              <w:rPr>
                <w:rFonts w:ascii="Arial" w:cs="Arial" w:eastAsia="Arial" w:hAnsi="Arial"/>
                <w:sz w:val="18"/>
                <w:szCs w:val="18"/>
                <w:b w:val="1"/>
                <w:bCs w:val="1"/>
                <w:i w:val="1"/>
                <w:iCs w:val="1"/>
                <w:color w:val="auto"/>
                <w:w w:val="84"/>
              </w:rPr>
              <w:t>Copies to:</w:t>
            </w:r>
          </w:p>
        </w:tc>
        <w:tc>
          <w:tcPr>
            <w:tcW w:w="1720" w:type="dxa"/>
            <w:vAlign w:val="bottom"/>
          </w:tcPr>
          <w:p>
            <w:pPr>
              <w:spacing w:after="0"/>
              <w:rPr>
                <w:sz w:val="24"/>
                <w:szCs w:val="24"/>
                <w:color w:val="auto"/>
              </w:rPr>
            </w:pPr>
          </w:p>
        </w:tc>
      </w:tr>
      <w:tr>
        <w:trPr>
          <w:trHeight w:val="319"/>
        </w:trPr>
        <w:tc>
          <w:tcPr>
            <w:tcW w:w="5740" w:type="dxa"/>
            <w:vAlign w:val="bottom"/>
          </w:tcPr>
          <w:p>
            <w:pPr>
              <w:jc w:val="center"/>
              <w:ind w:right="3473"/>
              <w:spacing w:after="0"/>
              <w:rPr>
                <w:sz w:val="20"/>
                <w:szCs w:val="20"/>
                <w:color w:val="auto"/>
              </w:rPr>
            </w:pPr>
            <w:r>
              <w:rPr>
                <w:rFonts w:ascii="Arial" w:cs="Arial" w:eastAsia="Arial" w:hAnsi="Arial"/>
                <w:sz w:val="18"/>
                <w:szCs w:val="18"/>
                <w:b w:val="1"/>
                <w:bCs w:val="1"/>
                <w:color w:val="auto"/>
                <w:w w:val="92"/>
              </w:rPr>
              <w:t>Eric Blanchard</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87"/>
              </w:rPr>
              <w:t>James Rallo</w:t>
            </w:r>
          </w:p>
        </w:tc>
      </w:tr>
      <w:tr>
        <w:trPr>
          <w:trHeight w:val="216"/>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89"/>
              </w:rPr>
              <w:t>David Peinsipp</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4"/>
              </w:rPr>
              <w:t>Laurence Zuriff</w:t>
            </w:r>
          </w:p>
        </w:tc>
      </w:tr>
      <w:tr>
        <w:trPr>
          <w:trHeight w:val="216"/>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93"/>
              </w:rPr>
              <w:t>Michael R. Lincoln</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0"/>
              </w:rPr>
              <w:t>Kristie Scott</w:t>
            </w:r>
          </w:p>
        </w:tc>
      </w:tr>
      <w:tr>
        <w:trPr>
          <w:trHeight w:val="216"/>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94"/>
              </w:rPr>
              <w:t>Derek O. Colla</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1"/>
              </w:rPr>
              <w:t>Xometry, Inc.</w:t>
            </w:r>
          </w:p>
        </w:tc>
      </w:tr>
      <w:tr>
        <w:trPr>
          <w:trHeight w:val="216"/>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92"/>
              </w:rPr>
              <w:t>Cooley LLP</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87"/>
              </w:rPr>
              <w:t>7529 Standish Place</w:t>
            </w:r>
          </w:p>
        </w:tc>
      </w:tr>
      <w:tr>
        <w:trPr>
          <w:trHeight w:val="216"/>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90"/>
              </w:rPr>
              <w:t>1299 Pennsylvania Ave. NW</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1"/>
              </w:rPr>
              <w:t>Suite 200</w:t>
            </w:r>
          </w:p>
        </w:tc>
      </w:tr>
      <w:tr>
        <w:trPr>
          <w:trHeight w:val="216"/>
        </w:trPr>
        <w:tc>
          <w:tcPr>
            <w:tcW w:w="5740" w:type="dxa"/>
            <w:vAlign w:val="bottom"/>
          </w:tcPr>
          <w:p>
            <w:pPr>
              <w:jc w:val="center"/>
              <w:ind w:right="3473"/>
              <w:spacing w:after="0"/>
              <w:rPr>
                <w:sz w:val="20"/>
                <w:szCs w:val="20"/>
                <w:color w:val="auto"/>
              </w:rPr>
            </w:pPr>
            <w:r>
              <w:rPr>
                <w:rFonts w:ascii="Arial" w:cs="Arial" w:eastAsia="Arial" w:hAnsi="Arial"/>
                <w:sz w:val="18"/>
                <w:szCs w:val="18"/>
                <w:b w:val="1"/>
                <w:bCs w:val="1"/>
                <w:color w:val="auto"/>
                <w:w w:val="88"/>
              </w:rPr>
              <w:t>Suite 700</w:t>
            </w:r>
          </w:p>
        </w:tc>
        <w:tc>
          <w:tcPr>
            <w:tcW w:w="1720" w:type="dxa"/>
            <w:vAlign w:val="bottom"/>
          </w:tcPr>
          <w:p>
            <w:pPr>
              <w:jc w:val="center"/>
              <w:ind w:left="33"/>
              <w:spacing w:after="0"/>
              <w:rPr>
                <w:sz w:val="20"/>
                <w:szCs w:val="20"/>
                <w:color w:val="auto"/>
              </w:rPr>
            </w:pPr>
            <w:r>
              <w:rPr>
                <w:rFonts w:ascii="Arial" w:cs="Arial" w:eastAsia="Arial" w:hAnsi="Arial"/>
                <w:sz w:val="18"/>
                <w:szCs w:val="18"/>
                <w:b w:val="1"/>
                <w:bCs w:val="1"/>
                <w:color w:val="auto"/>
                <w:w w:val="94"/>
              </w:rPr>
              <w:t>Derwood, MD 20855</w:t>
            </w:r>
          </w:p>
        </w:tc>
      </w:tr>
      <w:tr>
        <w:trPr>
          <w:trHeight w:val="216"/>
        </w:trPr>
        <w:tc>
          <w:tcPr>
            <w:tcW w:w="5740" w:type="dxa"/>
            <w:vAlign w:val="bottom"/>
          </w:tcPr>
          <w:p>
            <w:pPr>
              <w:jc w:val="center"/>
              <w:ind w:right="3473"/>
              <w:spacing w:after="0"/>
              <w:rPr>
                <w:sz w:val="20"/>
                <w:szCs w:val="20"/>
                <w:color w:val="auto"/>
              </w:rPr>
            </w:pPr>
            <w:r>
              <w:rPr>
                <w:rFonts w:ascii="Arial" w:cs="Arial" w:eastAsia="Arial" w:hAnsi="Arial"/>
                <w:sz w:val="18"/>
                <w:szCs w:val="18"/>
                <w:b w:val="1"/>
                <w:bCs w:val="1"/>
                <w:color w:val="auto"/>
                <w:w w:val="90"/>
              </w:rPr>
              <w:t>Washington, DC 20004-2400</w:t>
            </w:r>
          </w:p>
        </w:tc>
        <w:tc>
          <w:tcPr>
            <w:tcW w:w="1720" w:type="dxa"/>
            <w:vAlign w:val="bottom"/>
          </w:tcPr>
          <w:p>
            <w:pPr>
              <w:jc w:val="right"/>
              <w:ind w:right="153"/>
              <w:spacing w:after="0"/>
              <w:rPr>
                <w:sz w:val="20"/>
                <w:szCs w:val="20"/>
                <w:color w:val="auto"/>
              </w:rPr>
            </w:pPr>
            <w:r>
              <w:rPr>
                <w:rFonts w:ascii="Arial" w:cs="Arial" w:eastAsia="Arial" w:hAnsi="Arial"/>
                <w:sz w:val="18"/>
                <w:szCs w:val="18"/>
                <w:b w:val="1"/>
                <w:bCs w:val="1"/>
                <w:color w:val="auto"/>
              </w:rPr>
              <w:t>(240) 335-7914</w:t>
            </w:r>
          </w:p>
        </w:tc>
      </w:tr>
      <w:tr>
        <w:trPr>
          <w:trHeight w:val="234"/>
        </w:trPr>
        <w:tc>
          <w:tcPr>
            <w:tcW w:w="5740" w:type="dxa"/>
            <w:vAlign w:val="bottom"/>
          </w:tcPr>
          <w:p>
            <w:pPr>
              <w:jc w:val="center"/>
              <w:ind w:right="3453"/>
              <w:spacing w:after="0"/>
              <w:rPr>
                <w:sz w:val="20"/>
                <w:szCs w:val="20"/>
                <w:color w:val="auto"/>
              </w:rPr>
            </w:pPr>
            <w:r>
              <w:rPr>
                <w:rFonts w:ascii="Arial" w:cs="Arial" w:eastAsia="Arial" w:hAnsi="Arial"/>
                <w:sz w:val="18"/>
                <w:szCs w:val="18"/>
                <w:b w:val="1"/>
                <w:bCs w:val="1"/>
                <w:color w:val="auto"/>
                <w:w w:val="90"/>
              </w:rPr>
              <w:t>(202) 842-7800</w:t>
            </w:r>
          </w:p>
        </w:tc>
        <w:tc>
          <w:tcPr>
            <w:tcW w:w="17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1116"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The Registrant is filing this Registration Statement on Form S-8 for the purpose of registering an additional 2,333,727 shares of Class A common stock under the Xometry, Inc. 2021 Equity Incentive Plan, pursuant to the provisions of the plan, which provide for annual automatic increase in the number of shares of Class A common stock reserved for issuance under the plan.</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following documents filed by Xometry,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are incorporated by reference into this Registration Statement:</w:t>
      </w:r>
    </w:p>
    <w:p>
      <w:pPr>
        <w:spacing w:after="0" w:line="62" w:lineRule="exact"/>
        <w:rPr>
          <w:sz w:val="20"/>
          <w:szCs w:val="20"/>
          <w:color w:val="auto"/>
        </w:rPr>
      </w:pPr>
    </w:p>
    <w:p>
      <w:pPr>
        <w:ind w:left="4" w:right="360" w:hanging="4"/>
        <w:spacing w:after="0" w:line="277" w:lineRule="auto"/>
        <w:tabs>
          <w:tab w:leader="none" w:pos="25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2021, filed with the Commission on </w:t>
      </w:r>
      <w:hyperlink r:id="rId17">
        <w:r>
          <w:rPr>
            <w:rFonts w:ascii="Arial" w:cs="Arial" w:eastAsia="Arial" w:hAnsi="Arial"/>
            <w:sz w:val="18"/>
            <w:szCs w:val="18"/>
            <w:u w:val="single" w:color="auto"/>
            <w:color w:val="0000EE"/>
          </w:rPr>
          <w:t>March 18,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w:t>
      </w:r>
      <w:r>
        <w:rPr>
          <w:rFonts w:ascii="Arial" w:cs="Arial" w:eastAsia="Arial" w:hAnsi="Arial"/>
          <w:sz w:val="18"/>
          <w:szCs w:val="18"/>
          <w:b w:val="1"/>
          <w:bCs w:val="1"/>
          <w:i w:val="1"/>
          <w:iCs w:val="1"/>
          <w:color w:val="auto"/>
        </w:rPr>
        <w:t>FY2021 10-K</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hyperlink r:id="rId18">
        <w:r>
          <w:rPr>
            <w:rFonts w:ascii="Arial" w:cs="Arial" w:eastAsia="Arial" w:hAnsi="Arial"/>
            <w:sz w:val="18"/>
            <w:szCs w:val="18"/>
            <w:u w:val="single" w:color="auto"/>
            <w:color w:val="0000EE"/>
          </w:rPr>
          <w:t>February 4, 2022</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February 11,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March 9, 2022</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4" w:hanging="244"/>
        <w:spacing w:after="0"/>
        <w:tabs>
          <w:tab w:leader="none" w:pos="244"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which is contained in a registration statement on Form 8-A filed on </w:t>
      </w:r>
      <w:hyperlink r:id="rId21">
        <w:r>
          <w:rPr>
            <w:rFonts w:ascii="Arial" w:cs="Arial" w:eastAsia="Arial" w:hAnsi="Arial"/>
            <w:sz w:val="17"/>
            <w:szCs w:val="17"/>
            <w:u w:val="single" w:color="auto"/>
            <w:color w:val="0000EE"/>
          </w:rPr>
          <w:t>June 25,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w:t>
      </w:r>
    </w:p>
    <w:p>
      <w:pPr>
        <w:spacing w:after="0" w:line="35" w:lineRule="exact"/>
        <w:rPr>
          <w:rFonts w:ascii="Arial" w:cs="Arial" w:eastAsia="Arial" w:hAnsi="Arial"/>
          <w:sz w:val="18"/>
          <w:szCs w:val="18"/>
          <w:color w:val="auto"/>
        </w:rPr>
      </w:pPr>
    </w:p>
    <w:p>
      <w:pPr>
        <w:ind w:left="4" w:right="580"/>
        <w:spacing w:after="0" w:line="260" w:lineRule="auto"/>
        <w:rPr>
          <w:sz w:val="20"/>
          <w:szCs w:val="20"/>
          <w:color w:val="auto"/>
        </w:rPr>
      </w:pPr>
      <w:r>
        <w:rPr>
          <w:rFonts w:ascii="Arial" w:cs="Arial" w:eastAsia="Arial" w:hAnsi="Arial"/>
          <w:sz w:val="18"/>
          <w:szCs w:val="18"/>
          <w:color w:val="auto"/>
        </w:rPr>
        <w:t>No. 001-40546)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77" w:lineRule="exact"/>
        <w:rPr>
          <w:rFonts w:ascii="Arial" w:cs="Arial" w:eastAsia="Arial" w:hAnsi="Arial"/>
          <w:sz w:val="18"/>
          <w:szCs w:val="18"/>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Registration Statement on Form S-8, previously filed with the Commission on </w:t>
      </w:r>
      <w:hyperlink r:id="rId22">
        <w:r>
          <w:rPr>
            <w:rFonts w:ascii="Arial" w:cs="Arial" w:eastAsia="Arial" w:hAnsi="Arial"/>
            <w:sz w:val="18"/>
            <w:szCs w:val="18"/>
            <w:u w:val="single" w:color="auto"/>
            <w:color w:val="0000EE"/>
          </w:rPr>
          <w:t>July 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333-257671).</w:t>
      </w:r>
    </w:p>
    <w:p>
      <w:pPr>
        <w:spacing w:after="0" w:line="117" w:lineRule="exact"/>
        <w:rPr>
          <w:rFonts w:ascii="Arial" w:cs="Arial" w:eastAsia="Arial" w:hAnsi="Arial"/>
          <w:sz w:val="18"/>
          <w:szCs w:val="18"/>
          <w:color w:val="auto"/>
        </w:rPr>
      </w:pPr>
    </w:p>
    <w:p>
      <w:pPr>
        <w:ind w:left="4" w:hanging="4"/>
        <w:spacing w:after="0" w:line="270" w:lineRule="auto"/>
        <w:tabs>
          <w:tab w:leader="none" w:pos="249"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or incorporated by reference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rFonts w:ascii="Arial" w:cs="Arial" w:eastAsia="Arial" w:hAnsi="Arial"/>
          <w:sz w:val="18"/>
          <w:szCs w:val="18"/>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See the description of the Registrant’s registered securities contained in Exhibit 4.3 to FY 2021 10-K.</w:t>
      </w:r>
    </w:p>
    <w:p>
      <w:pPr>
        <w:spacing w:after="0" w:line="370" w:lineRule="exact"/>
        <w:rPr>
          <w:rFonts w:ascii="Arial" w:cs="Arial" w:eastAsia="Arial" w:hAnsi="Arial"/>
          <w:sz w:val="18"/>
          <w:szCs w:val="18"/>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NAMES EXPERTS AND COUNSEL</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4"/>
          </w:cols>
          <w:pgMar w:left="436" w:top="270" w:right="45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145 of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permits indemnification of the Registrant’s directors, officers, employees and other agents to the maximum extent permitted by the DGCL, and the Registrant’s amended and restated bylaws provide that the Registrant will indemnify its directors and executive officers and permit the Registrant to indemnify its other officers, employees and other agents, in each case to the maximum extent permitted by the DGCL.</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Registrant has entered into indemnification agreements with its directors and officers, whereby the Registrant has agreed to indemnify its directors and officers to the fullest extent permitted by the DGCL, including indemnification against expenses and liabilities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Registrant maintains insurance policies that indemnify its directors and officers against various liabilities arising under the Securities Act and the Securities Exchange Act of 1934, as amended, that might be incurred by any director or officer in his or her capacity as such.</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80"/>
          </w:cols>
          <w:pgMar w:left="440" w:top="270" w:right="5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6760" w:type="dxa"/>
            <w:vAlign w:val="bottom"/>
            <w:gridSpan w:val="15"/>
          </w:tcPr>
          <w:p>
            <w:pPr>
              <w:ind w:left="36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853"/>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720" w:type="dxa"/>
            <w:vAlign w:val="bottom"/>
            <w:gridSpan w:val="2"/>
            <w:vMerge w:val="continue"/>
          </w:tcPr>
          <w:p>
            <w:pPr>
              <w:spacing w:after="0"/>
              <w:rPr>
                <w:sz w:val="10"/>
                <w:szCs w:val="10"/>
                <w:color w:val="auto"/>
              </w:rPr>
            </w:pPr>
          </w:p>
        </w:tc>
        <w:tc>
          <w:tcPr>
            <w:tcW w:w="1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40" w:type="dxa"/>
            <w:vAlign w:val="bottom"/>
            <w:gridSpan w:val="11"/>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7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3"/>
              </w:rPr>
              <w:t>Schedule</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File Number</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1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40" w:type="dxa"/>
            <w:vAlign w:val="bottom"/>
            <w:gridSpan w:val="11"/>
            <w:vMerge w:val="continue"/>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Form</w:t>
            </w:r>
          </w:p>
        </w:tc>
        <w:tc>
          <w:tcPr>
            <w:tcW w:w="11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Amended and Restated Certificate of Incorporation of Xometry, Inc., as currently in effect.</w:t>
              </w:r>
            </w:hyperlink>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001-40546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100" w:type="dxa"/>
            <w:vAlign w:val="bottom"/>
          </w:tcPr>
          <w:p>
            <w:pPr>
              <w:jc w:val="right"/>
              <w:spacing w:after="0"/>
              <w:rPr>
                <w:sz w:val="20"/>
                <w:szCs w:val="20"/>
                <w:color w:val="auto"/>
              </w:rPr>
            </w:pPr>
            <w:r>
              <w:rPr>
                <w:rFonts w:ascii="Arial" w:cs="Arial" w:eastAsia="Arial" w:hAnsi="Arial"/>
                <w:sz w:val="18"/>
                <w:szCs w:val="18"/>
                <w:color w:val="auto"/>
              </w:rPr>
              <w:t>July 2,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6760" w:type="dxa"/>
            <w:vAlign w:val="bottom"/>
            <w:gridSpan w:val="15"/>
          </w:tcPr>
          <w:p>
            <w:pPr>
              <w:spacing w:after="0"/>
              <w:rPr>
                <w:rFonts w:ascii="Arial" w:cs="Arial" w:eastAsia="Arial" w:hAnsi="Arial"/>
                <w:sz w:val="18"/>
                <w:szCs w:val="18"/>
                <w:color w:val="0000EE"/>
              </w:rPr>
            </w:pPr>
            <w:hyperlink r:id="rId25">
              <w:r>
                <w:rPr>
                  <w:rFonts w:ascii="Arial" w:cs="Arial" w:eastAsia="Arial" w:hAnsi="Arial"/>
                  <w:sz w:val="18"/>
                  <w:szCs w:val="18"/>
                  <w:color w:val="0000EE"/>
                </w:rPr>
                <w:t>Amended and Restated Bylaws of the Registrant, as currently in effect.</w:t>
              </w:r>
            </w:hyperlink>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001-40546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100" w:type="dxa"/>
            <w:vAlign w:val="bottom"/>
          </w:tcPr>
          <w:p>
            <w:pPr>
              <w:jc w:val="right"/>
              <w:spacing w:after="0"/>
              <w:rPr>
                <w:sz w:val="20"/>
                <w:szCs w:val="20"/>
                <w:color w:val="auto"/>
              </w:rPr>
            </w:pPr>
            <w:r>
              <w:rPr>
                <w:rFonts w:ascii="Arial" w:cs="Arial" w:eastAsia="Arial" w:hAnsi="Arial"/>
                <w:sz w:val="18"/>
                <w:szCs w:val="18"/>
                <w:color w:val="auto"/>
              </w:rPr>
              <w:t>July 2,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Form of Class A Common Stock Certificate.</w:t>
              </w:r>
            </w:hyperlink>
          </w:p>
        </w:tc>
        <w:tc>
          <w:tcPr>
            <w:tcW w:w="1900" w:type="dxa"/>
            <w:vAlign w:val="bottom"/>
            <w:tcBorders>
              <w:top w:val="single" w:sz="8" w:color="0000EE"/>
            </w:tcBorders>
            <w:gridSpan w:val="3"/>
          </w:tcPr>
          <w:p>
            <w:pPr>
              <w:spacing w:after="0"/>
              <w:rPr>
                <w:sz w:val="24"/>
                <w:szCs w:val="24"/>
                <w:color w:val="auto"/>
              </w:rPr>
            </w:pPr>
          </w:p>
        </w:tc>
        <w:tc>
          <w:tcPr>
            <w:tcW w:w="1660" w:type="dxa"/>
            <w:vAlign w:val="bottom"/>
            <w:gridSpan w:val="6"/>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333-256769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June 25,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740" w:type="dxa"/>
            <w:vAlign w:val="bottom"/>
            <w:tcBorders>
              <w:bottom w:val="single" w:sz="8" w:color="0000EE"/>
            </w:tcBorders>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Opinion of Cooley LLP.</w:t>
              </w:r>
            </w:hyperlink>
          </w:p>
        </w:tc>
        <w:tc>
          <w:tcPr>
            <w:tcW w:w="502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Consent of KPMG LLP, independent registered public accounting firm.</w:t>
              </w:r>
            </w:hyperlink>
          </w:p>
        </w:tc>
        <w:tc>
          <w:tcPr>
            <w:tcW w:w="162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67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Cooley LLP (included in Exhibit 5.1).</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4"/>
                <w:szCs w:val="24"/>
                <w:color w:val="auto"/>
              </w:rPr>
            </w:pPr>
          </w:p>
        </w:tc>
        <w:tc>
          <w:tcPr>
            <w:tcW w:w="67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the signature page of this Form S-8).</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Xometry, Inc. 2021 Equity Incentive Plan.</w:t>
              </w:r>
            </w:hyperlink>
          </w:p>
        </w:tc>
        <w:tc>
          <w:tcPr>
            <w:tcW w:w="1920" w:type="dxa"/>
            <w:vAlign w:val="bottom"/>
            <w:tcBorders>
              <w:top w:val="single" w:sz="8" w:color="0000EE"/>
            </w:tcBorders>
            <w:gridSpan w:val="3"/>
          </w:tcPr>
          <w:p>
            <w:pPr>
              <w:spacing w:after="0"/>
              <w:rPr>
                <w:sz w:val="24"/>
                <w:szCs w:val="24"/>
                <w:color w:val="auto"/>
              </w:rPr>
            </w:pPr>
          </w:p>
        </w:tc>
        <w:tc>
          <w:tcPr>
            <w:tcW w:w="1800" w:type="dxa"/>
            <w:vAlign w:val="bottom"/>
            <w:gridSpan w:val="7"/>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333-256769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June 25, 2021</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99.11</w:t>
            </w:r>
          </w:p>
        </w:tc>
        <w:tc>
          <w:tcPr>
            <w:tcW w:w="220" w:type="dxa"/>
            <w:vAlign w:val="bottom"/>
          </w:tcPr>
          <w:p>
            <w:pPr>
              <w:spacing w:after="0"/>
              <w:rPr>
                <w:sz w:val="24"/>
                <w:szCs w:val="24"/>
                <w:color w:val="auto"/>
              </w:rPr>
            </w:pPr>
          </w:p>
        </w:tc>
        <w:tc>
          <w:tcPr>
            <w:tcW w:w="6380" w:type="dxa"/>
            <w:vAlign w:val="bottom"/>
            <w:tcBorders>
              <w:bottom w:val="single" w:sz="8" w:color="0000EE"/>
            </w:tcBorders>
            <w:gridSpan w:val="12"/>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Forms of grant notice, stock option agreement and notice of exercise under the Xometry,</w:t>
              </w:r>
            </w:hyperlink>
          </w:p>
        </w:tc>
        <w:tc>
          <w:tcPr>
            <w:tcW w:w="380" w:type="dxa"/>
            <w:vAlign w:val="bottom"/>
            <w:gridSpan w:val="3"/>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333-256769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10.10</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June 25, 2021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Inc. 2021 Equity Incentive Plan.</w:t>
              </w:r>
            </w:hyperlink>
          </w:p>
        </w:tc>
        <w:tc>
          <w:tcPr>
            <w:tcW w:w="444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99.12</w:t>
            </w:r>
          </w:p>
        </w:tc>
        <w:tc>
          <w:tcPr>
            <w:tcW w:w="220" w:type="dxa"/>
            <w:vAlign w:val="bottom"/>
          </w:tcPr>
          <w:p>
            <w:pPr>
              <w:spacing w:after="0"/>
              <w:rPr>
                <w:sz w:val="24"/>
                <w:szCs w:val="24"/>
                <w:color w:val="auto"/>
              </w:rPr>
            </w:pPr>
          </w:p>
        </w:tc>
        <w:tc>
          <w:tcPr>
            <w:tcW w:w="6760" w:type="dxa"/>
            <w:vAlign w:val="bottom"/>
            <w:gridSpan w:val="15"/>
          </w:tcPr>
          <w:p>
            <w:pPr>
              <w:spacing w:after="0"/>
              <w:rPr>
                <w:rFonts w:ascii="Arial" w:cs="Arial" w:eastAsia="Arial" w:hAnsi="Arial"/>
                <w:sz w:val="18"/>
                <w:szCs w:val="18"/>
                <w:color w:val="0000EE"/>
                <w:w w:val="95"/>
              </w:rPr>
            </w:pPr>
            <w:hyperlink r:id="rId29">
              <w:r>
                <w:rPr>
                  <w:rFonts w:ascii="Arial" w:cs="Arial" w:eastAsia="Arial" w:hAnsi="Arial"/>
                  <w:sz w:val="18"/>
                  <w:szCs w:val="18"/>
                  <w:color w:val="0000EE"/>
                  <w:w w:val="95"/>
                </w:rPr>
                <w:t>Forms of restricted stock unit grant notice and award agreement under the Xometry, Inc.</w:t>
              </w:r>
            </w:hyperlink>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333-256769</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10.11</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June 25, 2021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2021 Equity Incentive Plan.</w:t>
              </w:r>
            </w:hyperlink>
          </w:p>
        </w:tc>
        <w:tc>
          <w:tcPr>
            <w:tcW w:w="42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22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Calculation of Filing Fee Table</w:t>
              </w:r>
            </w:hyperlink>
          </w:p>
        </w:tc>
        <w:tc>
          <w:tcPr>
            <w:tcW w:w="452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left="184" w:hanging="184"/>
        <w:spacing w:after="0"/>
        <w:tabs>
          <w:tab w:leader="none" w:pos="18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b w:val="1"/>
          <w:bCs w:val="1"/>
          <w:color w:val="auto"/>
        </w:rPr>
      </w:pPr>
    </w:p>
    <w:p>
      <w:pPr>
        <w:ind w:left="4" w:right="180" w:hanging="4"/>
        <w:spacing w:after="0" w:line="259" w:lineRule="auto"/>
        <w:tabs>
          <w:tab w:leader="none" w:pos="269"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w:t>
      </w:r>
    </w:p>
    <w:p>
      <w:pPr>
        <w:sectPr>
          <w:pgSz w:w="11900" w:h="16838" w:orient="portrait"/>
          <w:cols w:equalWidth="0" w:num="1">
            <w:col w:w="11024"/>
          </w:cols>
          <w:pgMar w:left="436" w:top="270" w:right="439" w:bottom="1440" w:gutter="0" w:footer="0" w:header="0"/>
        </w:sectPr>
      </w:pPr>
    </w:p>
    <w:bookmarkStart w:id="4" w:name="page5"/>
    <w:bookmarkEnd w:id="4"/>
    <w:p>
      <w:pPr>
        <w:ind w:left="4"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41" w:lineRule="exact"/>
        <w:rPr>
          <w:sz w:val="20"/>
          <w:szCs w:val="20"/>
          <w:color w:val="auto"/>
        </w:rPr>
      </w:pPr>
    </w:p>
    <w:p>
      <w:pPr>
        <w:ind w:left="4" w:right="300" w:hanging="4"/>
        <w:spacing w:after="0" w:line="277" w:lineRule="auto"/>
        <w:tabs>
          <w:tab w:leader="none" w:pos="31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ind w:left="4" w:right="160" w:hanging="4"/>
        <w:spacing w:after="0" w:line="263" w:lineRule="auto"/>
        <w:tabs>
          <w:tab w:leader="none" w:pos="26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75" w:lineRule="exact"/>
        <w:rPr>
          <w:rFonts w:ascii="Arial" w:cs="Arial" w:eastAsia="Arial" w:hAnsi="Arial"/>
          <w:sz w:val="18"/>
          <w:szCs w:val="18"/>
          <w:b w:val="1"/>
          <w:bCs w:val="1"/>
          <w:color w:val="auto"/>
        </w:rPr>
      </w:pPr>
    </w:p>
    <w:p>
      <w:pPr>
        <w:ind w:left="4" w:hanging="4"/>
        <w:spacing w:after="0" w:line="277" w:lineRule="auto"/>
        <w:tabs>
          <w:tab w:leader="none" w:pos="24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b w:val="1"/>
          <w:bCs w:val="1"/>
          <w:color w:val="auto"/>
        </w:rPr>
      </w:pPr>
    </w:p>
    <w:p>
      <w:pPr>
        <w:ind w:left="4" w:right="120" w:hanging="4"/>
        <w:spacing w:after="0" w:line="257" w:lineRule="auto"/>
        <w:tabs>
          <w:tab w:leader="none" w:pos="26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224" w:hanging="224"/>
        <w:spacing w:after="0"/>
        <w:tabs>
          <w:tab w:leader="none" w:pos="224"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b w:val="1"/>
          <w:bCs w:val="1"/>
          <w:color w:val="auto"/>
        </w:rPr>
      </w:pPr>
    </w:p>
    <w:p>
      <w:pPr>
        <w:ind w:left="4" w:right="80" w:hanging="4"/>
        <w:spacing w:after="0" w:line="277" w:lineRule="auto"/>
        <w:tabs>
          <w:tab w:leader="none" w:pos="269"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b w:val="1"/>
          <w:bCs w:val="1"/>
          <w:color w:val="auto"/>
        </w:rPr>
      </w:pPr>
    </w:p>
    <w:p>
      <w:pPr>
        <w:ind w:left="4" w:right="380" w:hanging="4"/>
        <w:spacing w:after="0" w:line="277" w:lineRule="auto"/>
        <w:tabs>
          <w:tab w:leader="none" w:pos="319"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b w:val="1"/>
          <w:bCs w:val="1"/>
          <w:color w:val="auto"/>
        </w:rPr>
      </w:pPr>
    </w:p>
    <w:p>
      <w:pPr>
        <w:ind w:left="304" w:hanging="304"/>
        <w:spacing w:after="0"/>
        <w:tabs>
          <w:tab w:leader="none" w:pos="30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4" w:right="140" w:hanging="4"/>
        <w:spacing w:after="0" w:line="257"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7" w:lineRule="exact"/>
        <w:rPr>
          <w:rFonts w:ascii="Arial" w:cs="Arial" w:eastAsia="Arial" w:hAnsi="Arial"/>
          <w:sz w:val="18"/>
          <w:szCs w:val="18"/>
          <w:b w:val="1"/>
          <w:bCs w:val="1"/>
          <w:color w:val="auto"/>
        </w:rPr>
      </w:pPr>
    </w:p>
    <w:p>
      <w:pPr>
        <w:ind w:left="4" w:right="40" w:hanging="4"/>
        <w:spacing w:after="0" w:line="254"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84"/>
          </w:cols>
          <w:pgMar w:left="436" w:top="274"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Montgomery County in the State of Maryland, on this 18th day of March, 2022.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XOMETRY,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Randolph Altschuler as</w:t>
      </w:r>
      <w:r>
        <w:rPr>
          <w:rFonts w:ascii="Arial" w:cs="Arial" w:eastAsia="Arial" w:hAnsi="Arial"/>
          <w:sz w:val="17"/>
          <w:szCs w:val="17"/>
          <w:b w:val="1"/>
          <w:bCs w:val="1"/>
          <w:color w:val="auto"/>
        </w:rPr>
        <w:t xml:space="preserve"> </w:t>
      </w:r>
      <w:r>
        <w:rPr>
          <w:rFonts w:ascii="Arial" w:cs="Arial" w:eastAsia="Arial" w:hAnsi="Arial"/>
          <w:sz w:val="17"/>
          <w:szCs w:val="17"/>
          <w:color w:val="auto"/>
        </w:rPr>
        <w:t>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Randolph Altschuler</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Co-Founder and 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Randolph Altschuler</w:t>
            </w:r>
          </w:p>
        </w:tc>
        <w:tc>
          <w:tcPr>
            <w:tcW w:w="12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Rallo</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182"/>
        </w:trPr>
        <w:tc>
          <w:tcPr>
            <w:tcW w:w="4620" w:type="dxa"/>
            <w:vAlign w:val="bottom"/>
          </w:tcPr>
          <w:p>
            <w:pPr>
              <w:jc w:val="center"/>
              <w:spacing w:after="0" w:line="182" w:lineRule="exact"/>
              <w:rPr>
                <w:sz w:val="20"/>
                <w:szCs w:val="20"/>
                <w:color w:val="auto"/>
              </w:rPr>
            </w:pPr>
            <w:r>
              <w:rPr>
                <w:rFonts w:ascii="Arial" w:cs="Arial" w:eastAsia="Arial" w:hAnsi="Arial"/>
                <w:sz w:val="18"/>
                <w:szCs w:val="18"/>
                <w:color w:val="auto"/>
                <w:w w:val="86"/>
              </w:rPr>
              <w:t>James Rallo</w:t>
            </w:r>
          </w:p>
        </w:tc>
        <w:tc>
          <w:tcPr>
            <w:tcW w:w="120" w:type="dxa"/>
            <w:vAlign w:val="bottom"/>
          </w:tcPr>
          <w:p>
            <w:pPr>
              <w:spacing w:after="0"/>
              <w:rPr>
                <w:sz w:val="15"/>
                <w:szCs w:val="15"/>
                <w:color w:val="auto"/>
              </w:rPr>
            </w:pPr>
          </w:p>
        </w:tc>
        <w:tc>
          <w:tcPr>
            <w:tcW w:w="452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 and Principal Accounting</w:t>
            </w:r>
          </w:p>
        </w:tc>
        <w:tc>
          <w:tcPr>
            <w:tcW w:w="1760" w:type="dxa"/>
            <w:vAlign w:val="bottom"/>
          </w:tcPr>
          <w:p>
            <w:pPr>
              <w:spacing w:after="0"/>
              <w:rPr>
                <w:sz w:val="15"/>
                <w:szCs w:val="15"/>
                <w:color w:val="auto"/>
              </w:rPr>
            </w:pPr>
          </w:p>
        </w:tc>
      </w:tr>
      <w:tr>
        <w:trPr>
          <w:trHeight w:val="23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1760" w:type="dxa"/>
            <w:vAlign w:val="bottom"/>
          </w:tcPr>
          <w:p>
            <w:pPr>
              <w:spacing w:after="0"/>
              <w:rPr>
                <w:sz w:val="20"/>
                <w:szCs w:val="20"/>
                <w:color w:val="auto"/>
              </w:rPr>
            </w:pPr>
          </w:p>
        </w:tc>
      </w:tr>
      <w:tr>
        <w:trPr>
          <w:trHeight w:val="44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Laurence Zuriff</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Chief Strategy Officer, Co-Founder and 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4"/>
              </w:rPr>
              <w:t>Laurence Zuriff</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George Hornig</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George Hornig</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Deborah Bial</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4"/>
              </w:rPr>
              <w:t>Deborah Bial</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Ranjana B. Clark</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2"/>
              </w:rPr>
              <w:t>Ranjana B. Clark</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Craig Driscoll</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5"/>
              </w:rPr>
              <w:t>Craig Driscoll</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Emily Rollins</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8"/>
              </w:rPr>
              <w:t>Emily Rollins</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Fabio Rosati</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Fabio Rosati</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Katharine Weymouth</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18, 2022</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Katharine Weymouth</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Eric Blanchard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+1 212 479 6565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eblanchard@cooley.com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acted as counsel to Xometry,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2,333,727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$0.000001 par value per share issuable pursuant to the Xometry, Inc. 2021 Equity Incentive Plan (the “</w:t>
      </w:r>
      <w:r>
        <w:rPr>
          <w:rFonts w:ascii="Arial" w:cs="Arial" w:eastAsia="Arial" w:hAnsi="Arial"/>
          <w:sz w:val="18"/>
          <w:szCs w:val="18"/>
          <w:b w:val="1"/>
          <w:bCs w:val="1"/>
          <w:i w:val="1"/>
          <w:iCs w:val="1"/>
          <w:color w:val="auto"/>
        </w:rPr>
        <w:t>2021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 (b) the Company’s Amended and Restated Certificate of Incorporation and Amended and Restated Bylaws, each as currently in effect, (c) the 2021 Plan, and (d) originals or copies certified to our satisfaction of such records, documents, certificates, memoranda and other instruments as in our judgment are necessary or appropriate to enable us to render the opinion expressed below.</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2021 Plan, the Registration Statement and related prospectus, will be validly issued, fully paid, and nonassessable (except as to shares issued pursuant to certain deferred payment arrangements, which will be fully paid and nonassessable when such deferred payments are made in full).</w:t>
      </w:r>
    </w:p>
    <w:p>
      <w:pPr>
        <w:spacing w:after="0" w:line="16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jc w:val="right"/>
        <w:ind w:right="8359"/>
        <w:spacing w:after="0"/>
        <w:rPr>
          <w:sz w:val="20"/>
          <w:szCs w:val="20"/>
          <w:color w:val="auto"/>
        </w:rPr>
      </w:pPr>
      <w:r>
        <w:rPr>
          <w:rFonts w:ascii="Arial" w:cs="Arial" w:eastAsia="Arial" w:hAnsi="Arial"/>
          <w:sz w:val="17"/>
          <w:szCs w:val="17"/>
          <w:color w:val="auto"/>
        </w:rPr>
        <w:t>By: /s/ 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22225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8" w:lineRule="exact"/>
        <w:rPr>
          <w:sz w:val="20"/>
          <w:szCs w:val="20"/>
          <w:color w:val="auto"/>
        </w:rPr>
      </w:pPr>
    </w:p>
    <w:p>
      <w:pPr>
        <w:jc w:val="right"/>
        <w:ind w:right="8359"/>
        <w:spacing w:after="0"/>
        <w:rPr>
          <w:sz w:val="20"/>
          <w:szCs w:val="20"/>
          <w:color w:val="auto"/>
        </w:rPr>
      </w:pPr>
      <w:r>
        <w:rPr>
          <w:rFonts w:ascii="Arial" w:cs="Arial" w:eastAsia="Arial" w:hAnsi="Arial"/>
          <w:sz w:val="18"/>
          <w:szCs w:val="18"/>
          <w:color w:val="auto"/>
        </w:rPr>
        <w:t>Eric Blanchard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Cooley LLP 55 Hudson Yards, New York, NY 10001-2157</w:t>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019"/>
          </w:cols>
          <w:pgMar w:left="440" w:top="1016"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consent to the use of our report dated March 18, 2022, with respect to the consolidated financial statements and financial statement Schedule II – Valuation and Qualifying Accounts of Xometry, Inc., incorporated herein by reference.</w:t>
      </w:r>
    </w:p>
    <w:p>
      <w:pPr>
        <w:spacing w:after="0" w:line="278"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Calculation of Filing Fee Tables</w:t>
      </w:r>
    </w:p>
    <w:p>
      <w:pPr>
        <w:spacing w:after="0" w:line="229" w:lineRule="exact"/>
        <w:rPr>
          <w:sz w:val="20"/>
          <w:szCs w:val="20"/>
          <w:color w:val="auto"/>
        </w:rPr>
      </w:pPr>
    </w:p>
    <w:p>
      <w:pPr>
        <w:jc w:val="center"/>
        <w:ind w:right="300"/>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u w:val="single" w:color="auto"/>
          <w:color w:val="auto"/>
        </w:rPr>
        <w:t>Xometry, Inc.</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160" w:type="dxa"/>
            <w:vAlign w:val="bottom"/>
            <w:tcBorders>
              <w:top w:val="single" w:sz="8" w:color="auto"/>
              <w:left w:val="single" w:sz="8" w:color="auto"/>
              <w:right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1"/>
              </w:rPr>
              <w:t>Security</w:t>
            </w:r>
          </w:p>
        </w:tc>
        <w:tc>
          <w:tcPr>
            <w:tcW w:w="1340" w:type="dxa"/>
            <w:vAlign w:val="bottom"/>
            <w:tcBorders>
              <w:top w:val="single" w:sz="8" w:color="auto"/>
              <w:righ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1"/>
              </w:rPr>
              <w:t>Security</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Fee Rate</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of</w:t>
            </w:r>
          </w:p>
        </w:tc>
      </w:tr>
      <w:tr>
        <w:trPr>
          <w:trHeight w:val="206"/>
        </w:trPr>
        <w:tc>
          <w:tcPr>
            <w:tcW w:w="1160" w:type="dxa"/>
            <w:vAlign w:val="bottom"/>
            <w:tcBorders>
              <w:left w:val="single" w:sz="8" w:color="auto"/>
              <w:right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0"/>
              </w:rPr>
              <w:t>Type</w:t>
            </w: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2"/>
              </w:rPr>
              <w:t>Class Title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Calculation</w:t>
            </w:r>
          </w:p>
        </w:tc>
        <w:tc>
          <w:tcPr>
            <w:tcW w:w="13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4"/>
                <w:szCs w:val="14"/>
                <w:b w:val="1"/>
                <w:bCs w:val="1"/>
                <w:color w:val="auto"/>
                <w:w w:val="98"/>
              </w:rPr>
              <w:t>Registered</w:t>
            </w:r>
            <w:r>
              <w:rPr>
                <w:rFonts w:ascii="Arial" w:cs="Arial" w:eastAsia="Arial" w:hAnsi="Arial"/>
                <w:sz w:val="23"/>
                <w:szCs w:val="23"/>
                <w:b w:val="1"/>
                <w:bCs w:val="1"/>
                <w:color w:val="auto"/>
                <w:w w:val="98"/>
                <w:vertAlign w:val="superscript"/>
              </w:rPr>
              <w:t>(1)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Registration</w:t>
            </w: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Rule</w:t>
            </w: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Offering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Offering Price</w:t>
            </w: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Price Per</w:t>
            </w: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23"/>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Unit</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189"/>
        </w:trPr>
        <w:tc>
          <w:tcPr>
            <w:tcW w:w="1160" w:type="dxa"/>
            <w:vAlign w:val="bottom"/>
            <w:tcBorders>
              <w:left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8"/>
              </w:rPr>
              <w:t>Equity</w:t>
            </w:r>
          </w:p>
        </w:tc>
        <w:tc>
          <w:tcPr>
            <w:tcW w:w="1340" w:type="dxa"/>
            <w:vAlign w:val="bottom"/>
            <w:tcBorders>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Other</w:t>
            </w:r>
          </w:p>
        </w:tc>
        <w:tc>
          <w:tcPr>
            <w:tcW w:w="13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3"/>
                <w:szCs w:val="13"/>
                <w:color w:val="auto"/>
              </w:rPr>
              <w:t>2,333,727</w:t>
            </w:r>
            <w:r>
              <w:rPr>
                <w:rFonts w:ascii="Arial" w:cs="Arial" w:eastAsia="Arial" w:hAnsi="Arial"/>
                <w:sz w:val="21"/>
                <w:szCs w:val="21"/>
                <w:color w:val="auto"/>
                <w:vertAlign w:val="superscript"/>
              </w:rPr>
              <w:t>(2)</w:t>
            </w:r>
          </w:p>
        </w:tc>
        <w:tc>
          <w:tcPr>
            <w:tcW w:w="13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3"/>
                <w:szCs w:val="13"/>
                <w:color w:val="auto"/>
              </w:rPr>
              <w:t>$37.58</w:t>
            </w:r>
            <w:r>
              <w:rPr>
                <w:rFonts w:ascii="Arial" w:cs="Arial" w:eastAsia="Arial" w:hAnsi="Arial"/>
                <w:sz w:val="21"/>
                <w:szCs w:val="21"/>
                <w:color w:val="auto"/>
                <w:vertAlign w:val="superscript"/>
              </w:rPr>
              <w:t>(3)</w:t>
            </w:r>
          </w:p>
        </w:tc>
        <w:tc>
          <w:tcPr>
            <w:tcW w:w="13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3"/>
                <w:szCs w:val="13"/>
                <w:color w:val="auto"/>
              </w:rPr>
              <w:t>$87,689,792.03</w:t>
            </w:r>
            <w:r>
              <w:rPr>
                <w:rFonts w:ascii="Arial" w:cs="Arial" w:eastAsia="Arial" w:hAnsi="Arial"/>
                <w:sz w:val="21"/>
                <w:szCs w:val="21"/>
                <w:color w:val="auto"/>
                <w:vertAlign w:val="superscript"/>
              </w:rPr>
              <w:t>(3)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$92.70 per</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$8,128.84</w:t>
            </w: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3"/>
              </w:rPr>
              <w:t>Equity</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$1,000,000</w:t>
            </w:r>
          </w:p>
        </w:tc>
        <w:tc>
          <w:tcPr>
            <w:tcW w:w="1240" w:type="dxa"/>
            <w:vAlign w:val="bottom"/>
            <w:tcBorders>
              <w:right w:val="single" w:sz="8" w:color="auto"/>
            </w:tcBorders>
          </w:tcPr>
          <w:p>
            <w:pPr>
              <w:spacing w:after="0"/>
              <w:rPr>
                <w:sz w:val="17"/>
                <w:szCs w:val="17"/>
                <w:color w:val="auto"/>
              </w:rPr>
            </w:pP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9"/>
              </w:rPr>
              <w:t>Incentive</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7"/>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8"/>
              </w:rPr>
              <w:t>Plan</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w w:val="93"/>
              </w:rPr>
              <w:t>(Common</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w w:val="94"/>
              </w:rPr>
              <w:t>Stock,</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color w:val="auto"/>
              </w:rPr>
              <w:t>$0.000001</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03"/>
        </w:trPr>
        <w:tc>
          <w:tcPr>
            <w:tcW w:w="1160" w:type="dxa"/>
            <w:vAlign w:val="bottom"/>
            <w:tcBorders>
              <w:left w:val="single" w:sz="8" w:color="auto"/>
              <w:right w:val="single" w:sz="8" w:color="auto"/>
            </w:tcBorders>
          </w:tcPr>
          <w:p>
            <w:pPr>
              <w:spacing w:after="0"/>
              <w:rPr>
                <w:sz w:val="17"/>
                <w:szCs w:val="17"/>
                <w:color w:val="auto"/>
              </w:rPr>
            </w:pPr>
          </w:p>
        </w:tc>
        <w:tc>
          <w:tcPr>
            <w:tcW w:w="1340" w:type="dxa"/>
            <w:vAlign w:val="bottom"/>
            <w:tcBorders>
              <w:right w:val="single" w:sz="8" w:color="auto"/>
            </w:tcBorders>
          </w:tcPr>
          <w:p>
            <w:pPr>
              <w:jc w:val="center"/>
              <w:ind w:left="39"/>
              <w:spacing w:after="0"/>
              <w:rPr>
                <w:sz w:val="20"/>
                <w:szCs w:val="20"/>
                <w:color w:val="auto"/>
              </w:rPr>
            </w:pPr>
            <w:r>
              <w:rPr>
                <w:rFonts w:ascii="Arial" w:cs="Arial" w:eastAsia="Arial" w:hAnsi="Arial"/>
                <w:sz w:val="16"/>
                <w:szCs w:val="16"/>
                <w:color w:val="auto"/>
                <w:w w:val="88"/>
              </w:rPr>
              <w:t>par value</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19"/>
        </w:trPr>
        <w:tc>
          <w:tcPr>
            <w:tcW w:w="116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6"/>
                <w:szCs w:val="16"/>
                <w:color w:val="auto"/>
                <w:w w:val="90"/>
              </w:rPr>
              <w:t>per share)</w:t>
            </w:r>
          </w:p>
        </w:tc>
        <w:tc>
          <w:tcPr>
            <w:tcW w:w="134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03"/>
        </w:trPr>
        <w:tc>
          <w:tcPr>
            <w:tcW w:w="1160" w:type="dxa"/>
            <w:vAlign w:val="bottom"/>
            <w:tcBorders>
              <w:left w:val="single" w:sz="8" w:color="auto"/>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w w:val="94"/>
              </w:rPr>
              <w:t>Total Offering Amount</w:t>
            </w: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right"/>
              <w:ind w:right="62"/>
              <w:spacing w:after="0"/>
              <w:rPr>
                <w:sz w:val="20"/>
                <w:szCs w:val="20"/>
                <w:color w:val="auto"/>
              </w:rPr>
            </w:pPr>
            <w:r>
              <w:rPr>
                <w:rFonts w:ascii="Arial" w:cs="Arial" w:eastAsia="Arial" w:hAnsi="Arial"/>
                <w:sz w:val="16"/>
                <w:szCs w:val="16"/>
                <w:color w:val="auto"/>
              </w:rPr>
              <w:t>$87,689,792.03</w:t>
            </w:r>
          </w:p>
        </w:tc>
        <w:tc>
          <w:tcPr>
            <w:tcW w:w="13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$8,128.84</w:t>
            </w:r>
          </w:p>
        </w:tc>
      </w:tr>
      <w:tr>
        <w:trPr>
          <w:trHeight w:val="196"/>
        </w:trPr>
        <w:tc>
          <w:tcPr>
            <w:tcW w:w="1160" w:type="dxa"/>
            <w:vAlign w:val="bottom"/>
            <w:tcBorders>
              <w:left w:val="single" w:sz="8" w:color="auto"/>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w w:val="89"/>
              </w:rPr>
              <w:t>Total Fee Offsets</w:t>
            </w: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196"/>
        </w:trPr>
        <w:tc>
          <w:tcPr>
            <w:tcW w:w="1160" w:type="dxa"/>
            <w:vAlign w:val="bottom"/>
            <w:tcBorders>
              <w:left w:val="single" w:sz="8" w:color="auto"/>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w w:val="90"/>
              </w:rPr>
              <w:t>Net Fee Due</w:t>
            </w: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$8,128.84</w:t>
            </w:r>
          </w:p>
        </w:tc>
      </w:tr>
    </w:tbl>
    <w:p>
      <w:pPr>
        <w:spacing w:after="0" w:line="229" w:lineRule="exact"/>
        <w:rPr>
          <w:sz w:val="20"/>
          <w:szCs w:val="20"/>
          <w:color w:val="auto"/>
        </w:rPr>
      </w:pPr>
    </w:p>
    <w:p>
      <w:pPr>
        <w:ind w:left="680" w:right="100" w:hanging="532"/>
        <w:spacing w:after="0" w:line="286"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Class A common stock that become issuable under the Xometry, Inc. 2021 Equity Incentive Plan (the “2021 Plan”) by reason of any stock dividend, stock split, recapitalization or any other similar transaction effected without receipt of consideration which results in an increase in the number of Xometry, Inc.’s (the “Registrant”) outstanding shares of Class A and Class B common stock.</w:t>
      </w:r>
    </w:p>
    <w:p>
      <w:pPr>
        <w:spacing w:after="0" w:line="1" w:lineRule="exact"/>
        <w:rPr>
          <w:rFonts w:ascii="Arial" w:cs="Arial" w:eastAsia="Arial" w:hAnsi="Arial"/>
          <w:sz w:val="16"/>
          <w:szCs w:val="16"/>
          <w:color w:val="auto"/>
        </w:rPr>
      </w:pPr>
    </w:p>
    <w:p>
      <w:pPr>
        <w:ind w:left="680" w:right="20" w:hanging="532"/>
        <w:spacing w:after="0" w:line="281"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additional shares of the Registrant’s Class A common stock reserved for future grant under the 2021 Plan as a result of the automatic increase in shares reserved thereunder on January 1</w:t>
      </w:r>
      <w:r>
        <w:rPr>
          <w:rFonts w:ascii="Arial" w:cs="Arial" w:eastAsia="Arial" w:hAnsi="Arial"/>
          <w:sz w:val="13"/>
          <w:szCs w:val="13"/>
          <w:color w:val="auto"/>
        </w:rPr>
        <w:t>st</w:t>
      </w:r>
      <w:r>
        <w:rPr>
          <w:rFonts w:ascii="Arial" w:cs="Arial" w:eastAsia="Arial" w:hAnsi="Arial"/>
          <w:sz w:val="16"/>
          <w:szCs w:val="16"/>
          <w:color w:val="auto"/>
        </w:rPr>
        <w:t xml:space="preserve"> of each year, commencing on January 1, 2022 and ending on (and including) January 1, 2031, in an amount equal to 5% of the total number of shares of the Registrant’s Class A common stock and Class B common stock outstanding on December 31 of the preceding year; provided, however, that the Registrant’s board of directors may act prior to January 1 of a given year to provide that the increase for such year will be a lesser number of shares of Class A common stock.</w:t>
      </w:r>
    </w:p>
    <w:p>
      <w:pPr>
        <w:spacing w:after="0" w:line="2" w:lineRule="exact"/>
        <w:rPr>
          <w:rFonts w:ascii="Arial" w:cs="Arial" w:eastAsia="Arial" w:hAnsi="Arial"/>
          <w:sz w:val="16"/>
          <w:szCs w:val="16"/>
          <w:color w:val="auto"/>
        </w:rPr>
      </w:pPr>
    </w:p>
    <w:p>
      <w:pPr>
        <w:ind w:left="680" w:right="300" w:hanging="532"/>
        <w:spacing w:after="0" w:line="277"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Estimated pursuant to Rule 457(c) and Rule 457(h) solely for the purpose of calculating the registration fee. The proposed maximum offering price per share and proposed maximum aggregate offering price are based on the average of the high and low sale prices of the Registrant’s common stock as reported on The Nasdaq Global Select Market on March 16, 2022.</w:t>
      </w:r>
    </w:p>
    <w:sectPr>
      <w:pgSz w:w="11900" w:h="16838" w:orient="portrait"/>
      <w:cols w:equalWidth="0" w:num="1">
        <w:col w:w="10740"/>
      </w:cols>
      <w:pgMar w:left="7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lowerRoman"/>
      <w:start w:val="3"/>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7" Type="http://schemas.openxmlformats.org/officeDocument/2006/relationships/hyperlink" Target="http://www.sec.gov/ix?doc=/Archives/edgar/data/0001657573/000095017022004158/xmtr-20211231.htm" TargetMode="External"/><Relationship Id="rId18" Type="http://schemas.openxmlformats.org/officeDocument/2006/relationships/hyperlink" Target="http://www.sec.gov/ix?doc=/Archives/edgar/data/1657573/000119312522028542/d278632d8k.htm" TargetMode="External"/><Relationship Id="rId19" Type="http://schemas.openxmlformats.org/officeDocument/2006/relationships/hyperlink" Target="http://www.sec.gov/ix?doc=/Archives/edgar/data/1657573/000119312522036981/d270244d8k.htm" TargetMode="External"/><Relationship Id="rId20" Type="http://schemas.openxmlformats.org/officeDocument/2006/relationships/hyperlink" Target="http://www.sec.gov/ix?doc=/Archives/edgar/data/1657573/000119312522069447/d669602d8k.htm" TargetMode="External"/><Relationship Id="rId21" Type="http://schemas.openxmlformats.org/officeDocument/2006/relationships/hyperlink" Target="http://www.sec.gov/Archives/edgar/data/1657573/000119312521200432/d194865d8a12b.htm" TargetMode="External"/><Relationship Id="rId22" Type="http://schemas.openxmlformats.org/officeDocument/2006/relationships/hyperlink" Target="http://www.sec.gov/Archives/edgar/data/1657573/000119312521207718/d123069ds8.htm" TargetMode="External"/><Relationship Id="rId24" Type="http://schemas.openxmlformats.org/officeDocument/2006/relationships/hyperlink" Target="http://www.sec.gov/Archives/edgar/data/1657573/000119312521207643/d184650dex31.htm" TargetMode="External"/><Relationship Id="rId25" Type="http://schemas.openxmlformats.org/officeDocument/2006/relationships/hyperlink" Target="http://www.sec.gov/Archives/edgar/data/1657573/000119312521207643/d184650dex32.htm" TargetMode="External"/><Relationship Id="rId26" Type="http://schemas.openxmlformats.org/officeDocument/2006/relationships/hyperlink" Target="http://www.sec.gov/Archives/edgar/data/1657573/000119312521200359/d120843dex41.htm" TargetMode="External"/><Relationship Id="rId27" Type="http://schemas.openxmlformats.org/officeDocument/2006/relationships/hyperlink" Target="http://www.sec.gov/Archives/edgar/data/1657573/000119312521194064/d120843dex109.htm" TargetMode="External"/><Relationship Id="rId28" Type="http://schemas.openxmlformats.org/officeDocument/2006/relationships/hyperlink" Target="http://www.sec.gov/Archives/edgar/data/1657573/000119312521200359/d120843dex1010.htm" TargetMode="External"/><Relationship Id="rId29" Type="http://schemas.openxmlformats.org/officeDocument/2006/relationships/hyperlink" Target="http://www.sec.gov/Archives/edgar/data/1657573/000119312521200359/d120843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2022-03-18T16:25:19Z</dcterms:created>
  <dcterms:modified xsi:type="dcterms:W3CDTF">2022-03-18T16:25:19Z</dcterms:modified>
</cp:coreProperties>
</file>