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199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1991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2"/>
                <w:szCs w:val="12"/>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2"/>
                <w:szCs w:val="12"/>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jc w:val="right"/>
              <w:ind w:right="4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80" w:type="dxa"/>
            <w:vAlign w:val="bottom"/>
            <w:tcBorders>
              <w:top w:val="single" w:sz="8" w:color="2C2C2C"/>
            </w:tcBorders>
          </w:tcPr>
          <w:p>
            <w:pPr>
              <w:spacing w:after="0"/>
              <w:rPr>
                <w:sz w:val="7"/>
                <w:szCs w:val="7"/>
                <w:color w:val="auto"/>
              </w:rPr>
            </w:pPr>
          </w:p>
        </w:tc>
        <w:tc>
          <w:tcPr>
            <w:tcW w:w="6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01/05/2026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926</w:t>
            </w:r>
          </w:p>
        </w:tc>
        <w:tc>
          <w:tcPr>
            <w:tcW w:w="36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gridSpan w:val="3"/>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63.3219</w:t>
            </w:r>
            <w:r>
              <w:rPr>
                <w:rFonts w:ascii="Times New Roman" w:cs="Times New Roman" w:eastAsia="Times New Roman" w:hAnsi="Times New Roman"/>
                <w:sz w:val="22"/>
                <w:szCs w:val="22"/>
                <w:color w:val="008000"/>
                <w:w w:val="97"/>
                <w:vertAlign w:val="superscript"/>
              </w:rPr>
              <w:t>(3)</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309,345</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01/05/2026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1,315</w:t>
            </w:r>
          </w:p>
        </w:tc>
        <w:tc>
          <w:tcPr>
            <w:tcW w:w="36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gridSpan w:val="3"/>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64.3801</w:t>
            </w:r>
            <w:r>
              <w:rPr>
                <w:rFonts w:ascii="Times New Roman" w:cs="Times New Roman" w:eastAsia="Times New Roman" w:hAnsi="Times New Roman"/>
                <w:sz w:val="22"/>
                <w:szCs w:val="22"/>
                <w:color w:val="008000"/>
                <w:w w:val="97"/>
                <w:vertAlign w:val="superscript"/>
              </w:rPr>
              <w:t>(4)</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308,030</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01/05/2026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825</w:t>
            </w:r>
          </w:p>
        </w:tc>
        <w:tc>
          <w:tcPr>
            <w:tcW w:w="36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gridSpan w:val="3"/>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66.0725</w:t>
            </w:r>
            <w:r>
              <w:rPr>
                <w:rFonts w:ascii="Times New Roman" w:cs="Times New Roman" w:eastAsia="Times New Roman" w:hAnsi="Times New Roman"/>
                <w:sz w:val="22"/>
                <w:szCs w:val="22"/>
                <w:color w:val="008000"/>
                <w:w w:val="97"/>
                <w:vertAlign w:val="superscript"/>
              </w:rPr>
              <w:t>(5)</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307,205</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01/05/2026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8,836</w:t>
            </w:r>
          </w:p>
        </w:tc>
        <w:tc>
          <w:tcPr>
            <w:tcW w:w="36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gridSpan w:val="3"/>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66.8491</w:t>
            </w:r>
            <w:r>
              <w:rPr>
                <w:rFonts w:ascii="Times New Roman" w:cs="Times New Roman" w:eastAsia="Times New Roman" w:hAnsi="Times New Roman"/>
                <w:sz w:val="22"/>
                <w:szCs w:val="22"/>
                <w:color w:val="008000"/>
                <w:w w:val="97"/>
                <w:vertAlign w:val="superscript"/>
              </w:rPr>
              <w:t>(6)</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298,369</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01/05/2026</w:t>
            </w: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2,924</w:t>
            </w:r>
          </w:p>
        </w:tc>
        <w:tc>
          <w:tcPr>
            <w:tcW w:w="360" w:type="dxa"/>
            <w:vAlign w:val="bottom"/>
            <w:tcBorders>
              <w:bottom w:val="single" w:sz="8" w:color="2C2C2C"/>
            </w:tcBorders>
          </w:tcPr>
          <w:p>
            <w:pPr>
              <w:jc w:val="center"/>
              <w:ind w:left="121"/>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gridSpan w:val="3"/>
          </w:tcPr>
          <w:p>
            <w:pPr>
              <w:jc w:val="center"/>
              <w:ind w:left="92"/>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67.6935</w:t>
            </w:r>
            <w:r>
              <w:rPr>
                <w:rFonts w:ascii="Times New Roman" w:cs="Times New Roman" w:eastAsia="Times New Roman" w:hAnsi="Times New Roman"/>
                <w:sz w:val="22"/>
                <w:szCs w:val="22"/>
                <w:color w:val="008000"/>
                <w:w w:val="97"/>
                <w:vertAlign w:val="superscript"/>
              </w:rPr>
              <w:t>(7)</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295,445</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1,475,311</w:t>
            </w:r>
          </w:p>
        </w:tc>
        <w:tc>
          <w:tcPr>
            <w:tcW w:w="320" w:type="dxa"/>
            <w:vAlign w:val="bottom"/>
          </w:tcPr>
          <w:p>
            <w:pPr>
              <w:spacing w:after="0"/>
              <w:rPr>
                <w:sz w:val="23"/>
                <w:szCs w:val="23"/>
                <w:color w:val="auto"/>
              </w:rPr>
            </w:pPr>
          </w:p>
        </w:tc>
        <w:tc>
          <w:tcPr>
            <w:tcW w:w="500" w:type="dxa"/>
            <w:vAlign w:val="bottom"/>
          </w:tcPr>
          <w:p>
            <w:pPr>
              <w:jc w:val="center"/>
              <w:ind w:right="304"/>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85,582</w:t>
            </w:r>
          </w:p>
        </w:tc>
        <w:tc>
          <w:tcPr>
            <w:tcW w:w="320" w:type="dxa"/>
            <w:vAlign w:val="bottom"/>
          </w:tcPr>
          <w:p>
            <w:pPr>
              <w:spacing w:after="0"/>
              <w:rPr>
                <w:sz w:val="21"/>
                <w:szCs w:val="21"/>
                <w:color w:val="auto"/>
              </w:rPr>
            </w:pPr>
          </w:p>
        </w:tc>
        <w:tc>
          <w:tcPr>
            <w:tcW w:w="500" w:type="dxa"/>
            <w:vAlign w:val="bottom"/>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324,533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324,533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324,533</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475,248</w:t>
            </w:r>
          </w:p>
        </w:tc>
        <w:tc>
          <w:tcPr>
            <w:tcW w:w="3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591,270</w:t>
            </w:r>
          </w:p>
        </w:tc>
        <w:tc>
          <w:tcPr>
            <w:tcW w:w="320" w:type="dxa"/>
            <w:vAlign w:val="bottom"/>
          </w:tcPr>
          <w:p>
            <w:pPr>
              <w:spacing w:after="0"/>
              <w:rPr>
                <w:sz w:val="21"/>
                <w:szCs w:val="21"/>
                <w:color w:val="auto"/>
              </w:rPr>
            </w:pPr>
          </w:p>
        </w:tc>
        <w:tc>
          <w:tcPr>
            <w:tcW w:w="500" w:type="dxa"/>
            <w:vAlign w:val="bottom"/>
            <w:vMerge w:val="restart"/>
          </w:tcPr>
          <w:p>
            <w:pPr>
              <w:jc w:val="center"/>
              <w:ind w:right="304"/>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jc w:val="center"/>
              <w:ind w:left="172"/>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jc w:val="right"/>
              <w:ind w:righ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jc w:val="center"/>
              <w:ind w:left="172"/>
              <w:spacing w:after="0" w:line="133"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jc w:val="right"/>
              <w:ind w:right="5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$62.945 to $63.79,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(5), (6) and (7)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$64.005 to $65.00,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$65.36 to $66.24,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$66.37 to $67.285,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$67.465 to $67.89,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2021 Tigers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Matthew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Sasha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Noah Sladkin Altschuler 2012 Trust, over which the Reporting Person may be deemed to exercise voting control.</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Altschuler Family Trust (2020), over which the Reporting Person may be deemed to exercise voting control.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2026-01-06T16:55:23Z</dcterms:created>
  <dcterms:modified xsi:type="dcterms:W3CDTF">2026-01-06T16:55:23Z</dcterms:modified>
</cp:coreProperties>
</file>