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60616.htm"/>
      <w:bookmarkStart w:id="1" w:name="ksxmtr2026061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Xometry, Inc. (the “Company”) held its 2026 Annual Meeting of Stockholders on June 16, 2026 (the “Meeting”). At the Meeting, the Company’s stockholders voted on the three proposals set forth below. A detailed description of each proposal is set forth in the Company’s 2026 Proxy Statement filed with the U.S. Securities and Exchange Commission on April 29, 2026 with additional materials filed on May 21, 2026 (collectively the “Proxy Statement”).</w:t>
      </w:r>
    </w:p>
    <w:p>
      <w:pPr>
        <w:pStyle w:val="TextBody"/>
        <w:bidi w:val="0"/>
        <w:jc w:val="both"/>
        <w:rPr>
          <w:rFonts w:ascii="Times New Roman" w:hAnsi="Times New Roman"/>
          <w:color w:val="000000"/>
          <w:sz w:val="20"/>
        </w:rPr>
      </w:pPr>
      <w:r>
        <w:rPr>
          <w:rFonts w:ascii="Times New Roman" w:hAnsi="Times New Roman"/>
          <w:color w:val="000000"/>
          <w:sz w:val="20"/>
        </w:rPr>
        <w:t xml:space="preserve">At the Meeting, the Company’s stockholders elected the three persons nominated by the Company’s board of directors (the “Board”) to serve as Class II directors until the Company’s 2029 Annual Meeting of Stockholders and until each director’s successor is duly elected and qualified, or, if sooner, until the director’s death, resignation or removal. The Company’s stockholders also (1) approved, on an advisory basis, the compensation of the Company’s named executive officers as disclosed in the Proxy Statement, and (2) ratified the selection of Deloitte and Touche LLP as the Company’s independent registered public accounting firm for the fiscal year ending December 31, 2026. Based on the results of the stockholder vote on the frequency of future non-binding advisory votes to approve the compensation of the Company’s named executive officers during the Company’s annual meeting of stockholders in 2023, and consistent with the Board’s recommendation, the Company holds an advisory vote to approve the compensation of its named executive officers on an annual basis until the next required advisory vote on the frequency of holding future votes regarding the compensation of the Company's named executive officers.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final voting results for each of the proposals are set forth below.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1. Election of Directors.</w:t>
      </w:r>
    </w:p>
    <w:tbl>
      <w:tblPr>
        <w:tblW w:w="6063" w:type="dxa"/>
        <w:jc w:val="left"/>
        <w:tblInd w:w="0" w:type="dxa"/>
        <w:tblLayout w:type="fixed"/>
        <w:tblCellMar>
          <w:top w:w="28" w:type="dxa"/>
          <w:left w:w="28" w:type="dxa"/>
          <w:bottom w:w="28" w:type="dxa"/>
          <w:right w:w="28" w:type="dxa"/>
        </w:tblCellMar>
      </w:tblPr>
      <w:tblGrid>
        <w:gridCol w:w="1861"/>
        <w:gridCol w:w="146"/>
        <w:gridCol w:w="1036"/>
        <w:gridCol w:w="146"/>
        <w:gridCol w:w="961"/>
        <w:gridCol w:w="146"/>
        <w:gridCol w:w="157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Withheld</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 Azevedo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71,923,642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234,367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4,648,244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Fabio Rosati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64,954,369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7,203,640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4,648,244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Katharine Weymouth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62,574,906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9,583,103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4,648,244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2. Approval, on an Advisory Basis, of the Compensation of the Company’s Named Executive Officers.</w:t>
      </w:r>
    </w:p>
    <w:tbl>
      <w:tblPr>
        <w:tblW w:w="4812" w:type="dxa"/>
        <w:jc w:val="left"/>
        <w:tblInd w:w="0" w:type="dxa"/>
        <w:tblLayout w:type="fixed"/>
        <w:tblCellMar>
          <w:top w:w="28" w:type="dxa"/>
          <w:left w:w="28" w:type="dxa"/>
          <w:bottom w:w="28" w:type="dxa"/>
          <w:right w:w="28" w:type="dxa"/>
        </w:tblCellMar>
      </w:tblPr>
      <w:tblGrid>
        <w:gridCol w:w="1051"/>
        <w:gridCol w:w="109"/>
        <w:gridCol w:w="931"/>
        <w:gridCol w:w="109"/>
        <w:gridCol w:w="736"/>
        <w:gridCol w:w="109"/>
        <w:gridCol w:w="1576"/>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70,965,612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1,155,515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4,648,244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3. Ratification of the selection of Deloitte and Touche LLP as the Company’s independent registered public accounting firm for the fiscal year ending December 31, 2026.</w:t>
      </w:r>
    </w:p>
    <w:tbl>
      <w:tblPr>
        <w:tblW w:w="2895" w:type="dxa"/>
        <w:jc w:val="left"/>
        <w:tblInd w:w="0" w:type="dxa"/>
        <w:tblLayout w:type="fixed"/>
        <w:tblCellMar>
          <w:top w:w="28" w:type="dxa"/>
          <w:left w:w="28" w:type="dxa"/>
          <w:bottom w:w="28" w:type="dxa"/>
          <w:right w:w="28" w:type="dxa"/>
        </w:tblCellMar>
      </w:tblPr>
      <w:tblGrid>
        <w:gridCol w:w="1051"/>
        <w:gridCol w:w="109"/>
        <w:gridCol w:w="736"/>
        <w:gridCol w:w="109"/>
        <w:gridCol w:w="73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76,747,556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339" w:type="dxa"/>
        <w:jc w:val="left"/>
        <w:tblInd w:w="0" w:type="dxa"/>
        <w:tblLayout w:type="fixed"/>
        <w:tblCellMar>
          <w:top w:w="28" w:type="dxa"/>
          <w:left w:w="28" w:type="dxa"/>
          <w:bottom w:w="28" w:type="dxa"/>
          <w:right w:w="28" w:type="dxa"/>
        </w:tblCellMar>
      </w:tblPr>
      <w:tblGrid>
        <w:gridCol w:w="556"/>
        <w:gridCol w:w="124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4001</Characters>
  <CharactersWithSpaces>4690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