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1,023,231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5,183,592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5,183,592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11.6%</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52-0791372</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4,016,135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320" w:right="3499" w:hanging="312"/>
        <w:spacing w:after="0" w:line="346"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4,016,135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9.0%</w:t>
      </w:r>
    </w:p>
    <w:p>
      <w:pPr>
        <w:spacing w:after="0" w:line="169"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7529 STANDISH PLACE, SUITE 200, DERWOOD, MARYLAND 20855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9"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169" w:lineRule="exact"/>
        <w:rPr>
          <w:sz w:val="20"/>
          <w:szCs w:val="20"/>
          <w:color w:val="auto"/>
        </w:rPr>
      </w:pPr>
    </w:p>
    <w:p>
      <w:pPr>
        <w:ind w:left="420" w:right="1919" w:hanging="412"/>
        <w:spacing w:after="0" w:line="292"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9"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ind w:left="420" w:right="3079" w:hanging="412"/>
        <w:spacing w:after="0" w:line="30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2339" w:hanging="852"/>
        <w:spacing w:after="0" w:line="42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w:t>
      </w:r>
    </w:p>
    <w:p>
      <w:pPr>
        <w:sectPr>
          <w:pgSz w:w="11900" w:h="16942" w:orient="portrait"/>
          <w:cols w:equalWidth="0" w:num="1">
            <w:col w:w="10139"/>
          </w:cols>
          <w:pgMar w:left="320" w:top="110" w:right="1440" w:bottom="0" w:gutter="0" w:footer="0" w:header="0"/>
        </w:sectPr>
      </w:pPr>
    </w:p>
    <w:bookmarkStart w:id="2" w:name="page3"/>
    <w:bookmarkEnd w:id="2"/>
    <w:p>
      <w:pPr>
        <w:ind w:left="860" w:right="1919"/>
        <w:spacing w:after="0" w:line="274" w:lineRule="auto"/>
        <w:rPr>
          <w:sz w:val="20"/>
          <w:szCs w:val="20"/>
          <w:color w:val="auto"/>
        </w:rPr>
      </w:pPr>
      <w:r>
        <w:rPr>
          <w:rFonts w:ascii="Courier New" w:cs="Courier New" w:eastAsia="Courier New" w:hAnsi="Courier New"/>
          <w:sz w:val="18"/>
          <w:szCs w:val="18"/>
          <w:color w:val="auto"/>
        </w:rPr>
        <w:t>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81"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12,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12,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08/31/2022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Associates, Inc. (an investment adviser</w:t>
      </w:r>
    </w:p>
    <w:p>
      <w:pPr>
        <w:spacing w:after="0" w:line="29"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registered under the Investment Advisers Act of 1940),</w:t>
      </w:r>
      <w:r>
        <w:rPr>
          <w:sz w:val="20"/>
          <w:szCs w:val="20"/>
          <w:color w:val="auto"/>
        </w:rPr>
        <w:tab/>
      </w:r>
      <w:r>
        <w:rPr>
          <w:rFonts w:ascii="Courier New" w:cs="Courier New" w:eastAsia="Courier New" w:hAnsi="Courier New"/>
          <w:sz w:val="16"/>
          <w:szCs w:val="16"/>
          <w:color w:val="auto"/>
        </w:rPr>
        <w:t>and</w:t>
      </w:r>
    </w:p>
    <w:p>
      <w:pPr>
        <w:spacing w:after="0" w:line="238" w:lineRule="auto"/>
        <w:rPr>
          <w:sz w:val="20"/>
          <w:szCs w:val="20"/>
          <w:color w:val="auto"/>
        </w:rPr>
      </w:pPr>
      <w:r>
        <w:rPr>
          <w:rFonts w:ascii="Courier New" w:cs="Courier New" w:eastAsia="Courier New" w:hAnsi="Courier New"/>
          <w:sz w:val="18"/>
          <w:szCs w:val="18"/>
          <w:color w:val="auto"/>
        </w:rPr>
        <w:t>T. ROWE PRICE NEW HORIZONS FUND, INC.,</w:t>
      </w:r>
    </w:p>
    <w:p>
      <w:pPr>
        <w:ind w:right="1919"/>
        <w:spacing w:after="0" w:line="261"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93" w:lineRule="exact"/>
        <w:rPr>
          <w:sz w:val="20"/>
          <w:szCs w:val="20"/>
          <w:color w:val="auto"/>
        </w:rPr>
      </w:pPr>
    </w:p>
    <w:p>
      <w:pPr>
        <w:ind w:right="1819"/>
        <w:spacing w:after="0" w:line="260"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92"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12,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12,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6"/>
          <w:szCs w:val="16"/>
          <w:color w:val="auto"/>
        </w:rPr>
        <w:t>Name &amp; Title: David Oestreicher, Executive 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2022-09-12T13:09:41Z</dcterms:created>
  <dcterms:modified xsi:type="dcterms:W3CDTF">2022-09-12T13:09:41Z</dcterms:modified>
</cp:coreProperties>
</file>