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467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6735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Rollins Emily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NORTH</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Xometry,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1020" w:type="dxa"/>
            <w:vAlign w:val="bottom"/>
            <w:tcBorders>
              <w:top w:val="single" w:sz="8" w:color="0000EE"/>
              <w:bottom w:val="single" w:sz="8" w:color="2C2C2C"/>
            </w:tcBorders>
          </w:tcPr>
          <w:p>
            <w:pPr>
              <w:spacing w:after="0"/>
              <w:rPr>
                <w:sz w:val="11"/>
                <w:szCs w:val="11"/>
                <w:color w:val="auto"/>
              </w:rPr>
            </w:pPr>
          </w:p>
        </w:tc>
        <w:tc>
          <w:tcPr>
            <w:tcW w:w="26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8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8"/>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01/26/2024</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01/26/2024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12.32</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11,770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01/26/2024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32.3938</w:t>
            </w:r>
            <w:r>
              <w:rPr>
                <w:rFonts w:ascii="Times New Roman" w:cs="Times New Roman" w:eastAsia="Times New Roman" w:hAnsi="Times New Roman"/>
                <w:sz w:val="21"/>
                <w:szCs w:val="21"/>
                <w:color w:val="008000"/>
                <w:w w:val="96"/>
                <w:vertAlign w:val="superscript"/>
              </w:rPr>
              <w:t>(3)</w:t>
            </w:r>
          </w:p>
        </w:tc>
        <w:tc>
          <w:tcPr>
            <w:tcW w:w="12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10,770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1,000</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12.32</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01/26/2024</w:t>
            </w: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1,000</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02/24/2031</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gridSpan w:val="2"/>
            <w:vMerge w:val="restart"/>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and amended by the reporting person at least 90 days prior to the trading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$32.10 to $32.72,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vest in 48 monthly installments beginning on April 2, 2021, subject to the Reporting Person's continuous service.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01/29/2024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70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2024-01-29T16:34:54Z</dcterms:created>
  <dcterms:modified xsi:type="dcterms:W3CDTF">2024-01-29T16:34:54Z</dcterms:modified>
</cp:coreProperties>
</file>