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Clark Ranjana B</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7529 STANDISH PLACE</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07/20/2021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200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07/20/2021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275</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2,547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vest in two equal quarterly installments with the first installment vesting on October 1, 2021 and the second installment vesting on January 1, 2022, subject to the Reporting Person's continuous service.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 Dorothy Vinsky, Attorney-</w:t>
      </w:r>
      <w:r>
        <w:rPr>
          <w:sz w:val="20"/>
          <w:szCs w:val="20"/>
          <w:color w:val="auto"/>
        </w:rPr>
        <w:tab/>
      </w:r>
      <w:r>
        <w:rPr>
          <w:rFonts w:ascii="Arial" w:cs="Arial" w:eastAsia="Arial" w:hAnsi="Arial"/>
          <w:sz w:val="23"/>
          <w:szCs w:val="23"/>
          <w:color w:val="0000FF"/>
          <w:vertAlign w:val="subscript"/>
        </w:rPr>
        <w:t>07/22/2021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311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405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2021-07-22T15:12:53Z</dcterms:created>
  <dcterms:modified xsi:type="dcterms:W3CDTF">2021-07-22T15:12:53Z</dcterms:modified>
</cp:coreProperties>
</file>