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26,740</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188,733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March 2024 subject to performance-based vesting conditions pertaining to 2024 performance, the achievement of which was certified by the Board on February 25, 2025. Of these RSUs, 1/3rd of the shares vested on February 25, 2025, and the remainder of the shares underlying the RSUs will vest in equal installments on each of February 25, 2026 and February 25, 2027, subject to the reporting person's continuous service.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02/27/2025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011"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2025-02-27T17:39:30Z</dcterms:created>
  <dcterms:modified xsi:type="dcterms:W3CDTF">2025-02-27T17:39:30Z</dcterms:modified>
</cp:coreProperties>
</file>