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pPr>
      <w:bookmarkStart w:id="0" w:name="xmtr-20261105.htm"/>
      <w:bookmarkStart w:id="1" w:name="ksxmtr20261105"/>
      <w:bookmarkEnd w:id="0"/>
      <w:bookmarkEnd w:id="1"/>
      <w:r>
        <w:t> </w:t>
      </w:r>
    </w:p>
    <w:p>
      <w:pPr>
        <w:pStyle w:val="TextBody"/>
        <w:bidi w:val="0"/>
        <w:jc w:val="left"/>
      </w:pPr>
      <w:r>
        <w:t> </w:t>
      </w:r>
    </w:p>
    <w:p>
      <w:pPr>
        <w:pStyle w:val="TextBody"/>
        <w:bidi w:val="0"/>
        <w:jc w:val="left"/>
      </w:pPr>
      <w: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pPr>
      <w: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pPr>
      <w: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c>
          <w:tcPr>
            <w:tcW w:w="5866" w:type="dxa"/>
            <w:tcBorders/>
            <w:vAlign w:val="center"/>
          </w:tcPr>
          <w:p>
            <w:pPr>
              <w:pStyle w:val="TableContents"/>
              <w:bidi w:val="0"/>
              <w:spacing w:before="0" w:after="283"/>
              <w:jc w:val="left"/>
              <w:rPr>
                <w:sz w:val="4"/>
                <w:szCs w:val="4"/>
              </w:rPr>
            </w:pPr>
            <w:r>
              <w:rPr>
                <w:sz w:val="4"/>
                <w:szCs w:val="4"/>
              </w:rPr>
            </w:r>
          </w:p>
        </w:tc>
      </w:tr>
      <w:t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05, 2026</w:t>
            </w:r>
          </w:p>
        </w:tc>
      </w:tr>
    </w:tbl>
    <w:p>
      <w:pPr>
        <w:pStyle w:val="TextBody"/>
        <w:pBdr>
          <w:bottom w:val="single" w:sz="6" w:space="1" w:color="000000"/>
        </w:pBdr>
        <w:bidi w:val="0"/>
        <w:spacing w:before="100" w:after="283"/>
        <w:jc w:val="left"/>
      </w:pPr>
      <w:r>
        <w:t> </w:t>
      </w:r>
    </w:p>
    <w:p>
      <w:pPr>
        <w:pStyle w:val="TextBody"/>
        <w:bidi w:val="0"/>
        <w:jc w:val="left"/>
      </w:pPr>
      <w: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Xometry,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pPr>
      <w:r>
        <w:t> </w:t>
      </w:r>
    </w:p>
    <w:p>
      <w:pPr>
        <w:pStyle w:val="TextBody"/>
        <w:bidi w:val="0"/>
        <w:jc w:val="left"/>
      </w:pPr>
      <w:r>
        <w:t> </w:t>
      </w:r>
    </w:p>
    <w:tbl>
      <w:tblPr>
        <w:tblW w:w="5926" w:type="dxa"/>
        <w:jc w:val="left"/>
        <w:tblInd w:w="0" w:type="dxa"/>
        <w:tblLayout w:type="fixed"/>
        <w:tblCellMar>
          <w:top w:w="28" w:type="dxa"/>
          <w:left w:w="28" w:type="dxa"/>
          <w:bottom w:w="28" w:type="dxa"/>
          <w:right w:w="28" w:type="dxa"/>
        </w:tblCellMar>
      </w:tblPr>
      <w:tblGrid>
        <w:gridCol w:w="970"/>
        <w:gridCol w:w="885"/>
        <w:gridCol w:w="889"/>
        <w:gridCol w:w="1846"/>
        <w:gridCol w:w="1336"/>
      </w:tblGrid>
      <w:tr>
        <w:tc>
          <w:tcPr>
            <w:tcW w:w="97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32-0415449</w:t>
            </w:r>
          </w:p>
        </w:tc>
      </w:tr>
      <w:t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c>
          <w:tcPr>
            <w:tcW w:w="970" w:type="dxa"/>
            <w:tcBorders/>
            <w:tcMar>
              <w:top w:w="0" w:type="dxa"/>
              <w:left w:w="0" w:type="dxa"/>
              <w:bottom w:w="0" w:type="dxa"/>
              <w:right w:w="0" w:type="dxa"/>
            </w:tcMar>
            <w:vAlign w:val="center"/>
          </w:tcPr>
          <w:p>
            <w:pPr>
              <w:pStyle w:val="TableContents"/>
              <w:bidi w:val="0"/>
              <w:spacing w:before="0" w:after="283"/>
              <w:jc w:val="center"/>
            </w:pPr>
            <w:r>
              <w:t> </w:t>
            </w:r>
          </w:p>
        </w:tc>
        <w:tc>
          <w:tcPr>
            <w:tcW w:w="885" w:type="dxa"/>
            <w:tcBorders/>
            <w:tcMar>
              <w:top w:w="0" w:type="dxa"/>
              <w:left w:w="0" w:type="dxa"/>
              <w:bottom w:w="0" w:type="dxa"/>
              <w:right w:w="0" w:type="dxa"/>
            </w:tcMar>
            <w:vAlign w:val="center"/>
          </w:tcPr>
          <w:p>
            <w:pPr>
              <w:pStyle w:val="TableContents"/>
              <w:bidi w:val="0"/>
              <w:spacing w:before="0" w:after="283"/>
              <w:jc w:val="center"/>
            </w:pPr>
            <w:r>
              <w:t> </w:t>
            </w:r>
          </w:p>
        </w:tc>
        <w:tc>
          <w:tcPr>
            <w:tcW w:w="889" w:type="dxa"/>
            <w:tcBorders/>
            <w:tcMar>
              <w:top w:w="0" w:type="dxa"/>
              <w:left w:w="0" w:type="dxa"/>
              <w:bottom w:w="0" w:type="dxa"/>
              <w:right w:w="0" w:type="dxa"/>
            </w:tcMar>
            <w:vAlign w:val="center"/>
          </w:tcPr>
          <w:p>
            <w:pPr>
              <w:pStyle w:val="TableContents"/>
              <w:bidi w:val="0"/>
              <w:spacing w:before="0" w:after="283"/>
              <w:jc w:val="center"/>
            </w:pPr>
            <w:r>
              <w:t> </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r>
      <w:t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6116 Executive Blvd, Suite 800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pPr>
            <w:r>
              <w:t> </w:t>
            </w:r>
          </w:p>
        </w:tc>
      </w:tr>
      <w:t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 Bethesda, Maryland</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20852</w:t>
            </w:r>
          </w:p>
        </w:tc>
      </w:tr>
      <w:t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pPr>
      <w:r>
        <w:t> </w:t>
      </w:r>
    </w:p>
    <w:tbl>
      <w:tblPr>
        <w:tblW w:w="6076" w:type="dxa"/>
        <w:jc w:val="left"/>
        <w:tblInd w:w="0" w:type="dxa"/>
        <w:tblLayout w:type="fixed"/>
        <w:tblCellMar>
          <w:top w:w="28" w:type="dxa"/>
          <w:left w:w="28" w:type="dxa"/>
          <w:bottom w:w="28" w:type="dxa"/>
          <w:right w:w="28" w:type="dxa"/>
        </w:tblCellMar>
      </w:tblPr>
      <w:tblGrid>
        <w:gridCol w:w="6076"/>
      </w:tblGrid>
      <w:tr>
        <w:tc>
          <w:tcPr>
            <w:tcW w:w="6076" w:type="dxa"/>
            <w:tcBorders/>
            <w:vAlign w:val="center"/>
          </w:tcPr>
          <w:p>
            <w:pPr>
              <w:pStyle w:val="TableContents"/>
              <w:bidi w:val="0"/>
              <w:spacing w:before="0" w:after="283"/>
              <w:jc w:val="left"/>
              <w:rPr>
                <w:sz w:val="4"/>
                <w:szCs w:val="4"/>
              </w:rPr>
            </w:pPr>
            <w:r>
              <w:rPr>
                <w:sz w:val="4"/>
                <w:szCs w:val="4"/>
              </w:rPr>
            </w:r>
          </w:p>
        </w:tc>
      </w:tr>
      <w:t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(240)</w:t>
            </w:r>
            <w:r>
              <w:rPr>
                <w:rFonts w:ascii="Times New Roman" w:hAnsi="Times New Roman"/>
                <w:color w:val="000000"/>
                <w:sz w:val="20"/>
              </w:rPr>
              <w:t xml:space="preserve"> </w:t>
            </w:r>
            <w:r>
              <w:rPr>
                <w:rFonts w:ascii="Times New Roman" w:hAnsi="Times New Roman"/>
                <w:b/>
                <w:color w:val="000000"/>
                <w:sz w:val="20"/>
              </w:rPr>
              <w:t>252-1138</w:t>
            </w:r>
          </w:p>
        </w:tc>
      </w:tr>
    </w:tbl>
    <w:p>
      <w:pPr>
        <w:pStyle w:val="TextBody"/>
        <w:bidi w:val="0"/>
        <w:jc w:val="left"/>
      </w:pPr>
      <w:r>
        <w:t> </w:t>
      </w:r>
    </w:p>
    <w:tbl>
      <w:tblPr>
        <w:tblW w:w="1396" w:type="dxa"/>
        <w:jc w:val="left"/>
        <w:tblInd w:w="0" w:type="dxa"/>
        <w:tblLayout w:type="fixed"/>
        <w:tblCellMar>
          <w:top w:w="28" w:type="dxa"/>
          <w:left w:w="28" w:type="dxa"/>
          <w:bottom w:w="28" w:type="dxa"/>
          <w:right w:w="28" w:type="dxa"/>
        </w:tblCellMar>
      </w:tblPr>
      <w:tblGrid>
        <w:gridCol w:w="1396"/>
      </w:tblGrid>
      <w:tr>
        <w:tc>
          <w:tcPr>
            <w:tcW w:w="1396" w:type="dxa"/>
            <w:tcBorders/>
            <w:vAlign w:val="center"/>
          </w:tcPr>
          <w:p>
            <w:pPr>
              <w:pStyle w:val="TableContents"/>
              <w:bidi w:val="0"/>
              <w:spacing w:before="0" w:after="283"/>
              <w:jc w:val="left"/>
              <w:rPr>
                <w:sz w:val="4"/>
                <w:szCs w:val="4"/>
              </w:rPr>
            </w:pPr>
            <w:r>
              <w:rPr>
                <w:sz w:val="4"/>
                <w:szCs w:val="4"/>
              </w:rPr>
            </w:r>
          </w:p>
        </w:tc>
      </w:tr>
      <w:t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pPr>
      <w: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pPr>
      <w: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pPr>
      <w: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565" w:type="dxa"/>
        <w:jc w:val="left"/>
        <w:tblInd w:w="0" w:type="dxa"/>
        <w:tblLayout w:type="fixed"/>
        <w:tblCellMar>
          <w:top w:w="28" w:type="dxa"/>
          <w:left w:w="28" w:type="dxa"/>
          <w:bottom w:w="28" w:type="dxa"/>
          <w:right w:w="28" w:type="dxa"/>
        </w:tblCellMar>
      </w:tblPr>
      <w:tblGrid>
        <w:gridCol w:w="4501"/>
        <w:gridCol w:w="146"/>
        <w:gridCol w:w="946"/>
        <w:gridCol w:w="146"/>
        <w:gridCol w:w="3826"/>
      </w:tblGrid>
      <w:t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c>
          <w:tcPr>
            <w:tcW w:w="45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c>
          <w:tcPr>
            <w:tcW w:w="4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XMTR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pPr>
      <w:r>
        <w:t> </w:t>
      </w:r>
    </w:p>
    <w:p>
      <w:pPr>
        <w:pStyle w:val="HorizontalLine"/>
        <w:pBdr>
          <w:bottom w:val="double" w:sz="2" w:space="0" w:color="808080"/>
        </w:pBdr>
        <w:bidi w:val="0"/>
        <w:spacing w:before="0" w:after="283"/>
        <w:jc w:val="left"/>
      </w:pPr>
      <w:r/>
    </w:p>
    <w:tbl>
      <w:tblPr>
        <w:tblW w:w="2222" w:type="dxa"/>
        <w:jc w:val="left"/>
        <w:tblInd w:w="0" w:type="dxa"/>
        <w:tblLayout w:type="fixed"/>
        <w:tblCellMar>
          <w:top w:w="28" w:type="dxa"/>
          <w:left w:w="28" w:type="dxa"/>
          <w:bottom w:w="28" w:type="dxa"/>
          <w:right w:w="28" w:type="dxa"/>
        </w:tblCellMar>
      </w:tblPr>
      <w:tblGrid>
        <w:gridCol w:w="916"/>
        <w:gridCol w:w="1306"/>
      </w:tblGrid>
      <w:tr>
        <w:tc>
          <w:tcPr>
            <w:tcW w:w="91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Other Events.</w:t>
            </w:r>
          </w:p>
        </w:tc>
      </w:tr>
    </w:tbl>
    <w:p>
      <w:pPr>
        <w:pStyle w:val="TextBody"/>
        <w:bidi w:val="0"/>
        <w:jc w:val="both"/>
        <w:rPr>
          <w:rFonts w:ascii="Times New Roman" w:hAnsi="Times New Roman"/>
          <w:sz w:val="20"/>
        </w:rPr>
      </w:pPr>
      <w:r>
        <w:rPr>
          <w:rFonts w:ascii="Times New Roman" w:hAnsi="Times New Roman"/>
          <w:color w:val="000000"/>
          <w:sz w:val="20"/>
        </w:rPr>
        <w:t>On November 5, 2026, Xometry, Inc. (the “Company”) issued a notice of redemption (the “</w:t>
      </w:r>
      <w:r>
        <w:rPr>
          <w:rFonts w:ascii="Times New Roman" w:hAnsi="Times New Roman"/>
          <w:b/>
          <w:color w:val="000000"/>
          <w:sz w:val="20"/>
        </w:rPr>
        <w:t>Redemption Notice</w:t>
      </w:r>
      <w:r>
        <w:rPr>
          <w:rFonts w:ascii="Times New Roman" w:hAnsi="Times New Roman"/>
          <w:color w:val="000000"/>
          <w:sz w:val="20"/>
        </w:rPr>
        <w:t>”) for all approximately $85.0 million aggregate principal amount outstanding of its 1.00% Convertible Senior Notes due 2027 (the “</w:t>
      </w:r>
      <w:r>
        <w:rPr>
          <w:rFonts w:ascii="Times New Roman" w:hAnsi="Times New Roman"/>
          <w:b/>
          <w:color w:val="000000"/>
          <w:sz w:val="20"/>
        </w:rPr>
        <w:t>Notes</w:t>
      </w:r>
      <w:r>
        <w:rPr>
          <w:rFonts w:ascii="Times New Roman" w:hAnsi="Times New Roman"/>
          <w:color w:val="000000"/>
          <w:sz w:val="20"/>
        </w:rPr>
        <w:t>”), which were issued pursuant to the Indenture, dated as of February 4, 2022 (the “</w:t>
      </w:r>
      <w:r>
        <w:rPr>
          <w:rFonts w:ascii="Times New Roman" w:hAnsi="Times New Roman"/>
          <w:b/>
          <w:color w:val="000000"/>
          <w:sz w:val="20"/>
        </w:rPr>
        <w:t>Indenture</w:t>
      </w:r>
      <w:r>
        <w:rPr>
          <w:rFonts w:ascii="Times New Roman" w:hAnsi="Times New Roman"/>
          <w:color w:val="000000"/>
          <w:sz w:val="20"/>
        </w:rPr>
        <w:t xml:space="preserve">”), between the Company and U.S. Bank Trust Company, National Association, as Trustee, relating to the Notes. </w:t>
      </w:r>
    </w:p>
    <w:p>
      <w:pPr>
        <w:pStyle w:val="TextBody"/>
        <w:bidi w:val="0"/>
        <w:jc w:val="both"/>
      </w:pPr>
      <w:r>
        <w:t> </w:t>
      </w:r>
    </w:p>
    <w:p>
      <w:pPr>
        <w:pStyle w:val="TextBody"/>
        <w:bidi w:val="0"/>
        <w:jc w:val="both"/>
        <w:rPr>
          <w:rFonts w:ascii="Times New Roman" w:hAnsi="Times New Roman"/>
          <w:sz w:val="20"/>
        </w:rPr>
      </w:pPr>
      <w:r>
        <w:rPr>
          <w:rFonts w:ascii="Times New Roman" w:hAnsi="Times New Roman"/>
          <w:color w:val="000000"/>
          <w:sz w:val="20"/>
        </w:rPr>
        <w:t>Pursuant to the Redemption Notice, on November 20, 2026 (the “</w:t>
      </w:r>
      <w:r>
        <w:rPr>
          <w:rFonts w:ascii="Times New Roman" w:hAnsi="Times New Roman"/>
          <w:b/>
          <w:color w:val="000000"/>
          <w:sz w:val="20"/>
        </w:rPr>
        <w:t>Redemption Date</w:t>
      </w:r>
      <w:r>
        <w:rPr>
          <w:rFonts w:ascii="Times New Roman" w:hAnsi="Times New Roman"/>
          <w:color w:val="000000"/>
          <w:sz w:val="20"/>
        </w:rPr>
        <w:t>”), the Company will redeem any Notes that have not been converted prior to the close of business on the Scheduled Trading Day (as defined in the Indenture) immediately preceding the Redemption Date at a redemption price in cash equal to 100% of the principal amount of such Notes, plus accrued and unpaid interest, if any, from August 1, 2026 to, but not including, the Redemption Date (the “</w:t>
      </w:r>
      <w:r>
        <w:rPr>
          <w:rFonts w:ascii="Times New Roman" w:hAnsi="Times New Roman"/>
          <w:b/>
          <w:color w:val="000000"/>
          <w:sz w:val="20"/>
        </w:rPr>
        <w:t>Redemption Price</w:t>
      </w:r>
      <w:r>
        <w:rPr>
          <w:rFonts w:ascii="Times New Roman" w:hAnsi="Times New Roman"/>
          <w:color w:val="000000"/>
          <w:sz w:val="20"/>
        </w:rPr>
        <w:t>”). On the Redemption Date, the Redemption Price will become due and payable upon each Note to be redeemed, and interest thereon, if any, shall cease to accrue on and after the Redemption Date.</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The Notes called for redemption may be converted by holders at any time before 5:00 p.m. (New York City time) on November 19, 2026 (the “</w:t>
      </w:r>
      <w:r>
        <w:rPr>
          <w:rFonts w:ascii="Times New Roman" w:hAnsi="Times New Roman"/>
          <w:b/>
          <w:color w:val="000000"/>
          <w:sz w:val="20"/>
        </w:rPr>
        <w:t>Conversion Deadline Date</w:t>
      </w:r>
      <w:r>
        <w:rPr>
          <w:rFonts w:ascii="Times New Roman" w:hAnsi="Times New Roman"/>
          <w:color w:val="000000"/>
          <w:sz w:val="20"/>
        </w:rPr>
        <w:t>”). Each $1,000 principal amount of the Notes is convertible into 17.8213 shares of Class A common stock of the Company, par value $0.000001 per share, subject to adjustment under certain circumstances as set forth in the Indenture. Pursuant to the Indenture, the conversion rate will be increased by 0.0018 additional shares per $1,000 principal amount of the Notes for conversions prior to 5:00 p.m. (New York City time) on the Conversion Deadline Date. The Company has elected to settle any conversions occurring after the date of the Redemption Notice and prior to 5:00 p.m. (New York City time) on the Conversion Deadline Date by Physical Settlement (as defined in the Indenture).</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Section 27A of the Securities Act of 1933, as amended, and Section 21E of the Securities Exchange Act of 1934, as amended. Forward-looking statements generally relate to future events or our future financial or operating performance. Forward-looking statements in this Current Report on Form 6-K include, but are not limited to, statements related to the planned redemption of the Notes. These forward-looking statements are based on the Company’s current expectations and inherently involve significant risks and uncertainties. Actual results and the timing of events could differ materially from those anticipated in such forward looking statements as a result of these risks and uncertainties, which include, without limitation, risks associated with executing the redemption of the Notes and events that could impact the terms of the redemption, as well as those described in the Company’s filings with the United States Securities and Exchange Commission (“SEC”), including those factors discussed under the caption “Risk Factors” in the Company’s Annual Report on Form 10-K for the year ended December 31, 2025 and the Company’s other filings and reports that we may file from time to time with the SEC. Forward-looking statements speak only as of the date of this press release and the Company does not undertake any obligation to update or revise these statements, except as may be required by law.</w:t>
      </w:r>
    </w:p>
    <w:p>
      <w:pPr>
        <w:pStyle w:val="HorizontalLine"/>
        <w:pBdr>
          <w:bottom w:val="double" w:sz="2" w:space="0" w:color="808080"/>
        </w:pBdr>
        <w:bidi w:val="0"/>
        <w:spacing w:before="0" w:after="283"/>
        <w:jc w:val="left"/>
      </w:p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624" w:type="dxa"/>
        <w:jc w:val="left"/>
        <w:tblInd w:w="0" w:type="dxa"/>
        <w:tblLayout w:type="fixed"/>
        <w:tblCellMar>
          <w:top w:w="28" w:type="dxa"/>
          <w:left w:w="28" w:type="dxa"/>
          <w:bottom w:w="28" w:type="dxa"/>
          <w:right w:w="28" w:type="dxa"/>
        </w:tblCellMar>
      </w:tblPr>
      <w:tblGrid>
        <w:gridCol w:w="556"/>
        <w:gridCol w:w="1606"/>
        <w:gridCol w:w="451"/>
        <w:gridCol w:w="2011"/>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2011"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sz w:val="20"/>
              </w:rPr>
            </w:pPr>
            <w:r>
              <w:rPr>
                <w:rFonts w:ascii="Times New Roman" w:hAnsi="Times New Roman"/>
                <w:b/>
                <w:color w:val="000000"/>
                <w:sz w:val="20"/>
              </w:rPr>
              <w:t>XOMETRY, INC.</w:t>
            </w:r>
            <w:r>
              <w:rPr>
                <w:rFonts w:ascii="Times New Roman" w:hAnsi="Times New Roman"/>
                <w:color w:val="000000"/>
                <w:sz w:val="20"/>
              </w:rPr>
              <w:t xml:space="preserve"> </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2011" w:type="dxa"/>
            <w:tcBorders/>
            <w:tcMar>
              <w:top w:w="0" w:type="dxa"/>
              <w:left w:w="0" w:type="dxa"/>
              <w:bottom w:w="0" w:type="dxa"/>
              <w:right w:w="0" w:type="dxa"/>
            </w:tcMar>
            <w:vAlign w:val="center"/>
          </w:tcPr>
          <w:p>
            <w:pPr>
              <w:pStyle w:val="TableContents"/>
              <w:bidi w:val="0"/>
              <w:spacing w:before="0" w:after="283"/>
              <w:jc w:val="left"/>
            </w:pPr>
            <w:r>
              <w:t> </w:t>
            </w:r>
          </w:p>
        </w:tc>
      </w:tr>
      <w:t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James Miln</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James Miln</w:t>
              <w:br/>
              <w:t>Chief Financial Officer</w:t>
            </w:r>
          </w:p>
        </w:tc>
      </w:tr>
    </w:tbl>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907</Words>
  <Characters>4896</Characters>
  <CharactersWithSpaces>5799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