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Prospectus Supplement Dated July 20,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Prospectus, dated June 29,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333-256769</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6,875,000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94615</wp:posOffset>
            </wp:positionV>
            <wp:extent cx="21774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4"/>
          <w:szCs w:val="24"/>
          <w:color w:val="auto"/>
        </w:rPr>
      </w:pPr>
    </w:p>
    <w:p>
      <w:pPr>
        <w:ind w:left="4" w:right="100"/>
        <w:spacing w:after="0" w:line="263" w:lineRule="auto"/>
        <w:rPr>
          <w:sz w:val="20"/>
          <w:szCs w:val="20"/>
          <w:color w:val="auto"/>
        </w:rPr>
      </w:pPr>
      <w:r>
        <w:rPr>
          <w:rFonts w:ascii="Arial" w:cs="Arial" w:eastAsia="Arial" w:hAnsi="Arial"/>
          <w:sz w:val="18"/>
          <w:szCs w:val="18"/>
          <w:color w:val="auto"/>
        </w:rPr>
        <w:t>This Prospectus Supplement amends and supplements our Prospectus dated June 29, 2021. You should read this supplement together with the Prospectus, as it contains information that amends and supplements the Prospectus. Capitalized terms contained in this Prospectus Supplement have the same meanings as in the Prospectus unless otherwise stated herein.</w:t>
      </w:r>
    </w:p>
    <w:p>
      <w:pPr>
        <w:spacing w:after="0" w:line="180" w:lineRule="exact"/>
        <w:rPr>
          <w:sz w:val="24"/>
          <w:szCs w:val="24"/>
          <w:color w:val="auto"/>
        </w:rPr>
      </w:pPr>
    </w:p>
    <w:p>
      <w:pPr>
        <w:ind w:left="4" w:right="4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4" w:lineRule="exact"/>
        <w:rPr>
          <w:sz w:val="24"/>
          <w:szCs w:val="24"/>
          <w:color w:val="auto"/>
        </w:rPr>
      </w:pPr>
    </w:p>
    <w:p>
      <w:pPr>
        <w:ind w:left="4" w:right="820"/>
        <w:spacing w:after="0" w:line="277" w:lineRule="auto"/>
        <w:rPr>
          <w:sz w:val="20"/>
          <w:szCs w:val="20"/>
          <w:color w:val="auto"/>
        </w:rPr>
      </w:pPr>
      <w:r>
        <w:rPr>
          <w:rFonts w:ascii="Arial" w:cs="Arial" w:eastAsia="Arial" w:hAnsi="Arial"/>
          <w:sz w:val="18"/>
          <w:szCs w:val="18"/>
          <w:color w:val="auto"/>
        </w:rPr>
        <w:t>The initial public offering described in the Prospectus was consummated on July 2, 2021. This Supplement is provided in connection with the underwriters’ prospectus delivery requirements under the Securities Act of 1933.</w:t>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On July 20, 2021, we announced supplemental key operational and business metrics for the quarter ended June 30, 2021 and revised Active Buyer metrics for 2020 and the quarter ended March 31, 2021.</w:t>
      </w:r>
    </w:p>
    <w:p>
      <w:pPr>
        <w:spacing w:after="0" w:line="170" w:lineRule="exact"/>
        <w:rPr>
          <w:sz w:val="24"/>
          <w:szCs w:val="24"/>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The following information amends and supplements information in the Prospectus. Other than the disclosures set forth below, this Prospectus Supplement does not amend or supplement the Prospectus in any way.</w:t>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PROSPECTUS SUMMARY</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Page 16</w:t>
      </w:r>
    </w:p>
    <w:p>
      <w:pPr>
        <w:spacing w:after="0" w:line="229" w:lineRule="exact"/>
        <w:rPr>
          <w:sz w:val="24"/>
          <w:szCs w:val="24"/>
          <w:color w:val="auto"/>
        </w:rPr>
      </w:pPr>
    </w:p>
    <w:tbl>
      <w:tblPr>
        <w:tblLayout w:type="fixed"/>
        <w:tblInd w:w="444"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0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Operational and Business Metrics</w:t>
            </w:r>
            <w:r>
              <w:rPr>
                <w:rFonts w:ascii="Arial" w:cs="Arial" w:eastAsia="Arial" w:hAnsi="Arial"/>
                <w:sz w:val="15"/>
                <w:szCs w:val="15"/>
                <w:color w:val="auto"/>
              </w:rPr>
              <w:t>(1)</w:t>
            </w: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Active Buyers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11,527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18,846</w:t>
            </w:r>
          </w:p>
        </w:tc>
        <w:tc>
          <w:tcPr>
            <w:tcW w:w="880" w:type="dxa"/>
            <w:vAlign w:val="bottom"/>
          </w:tcPr>
          <w:p>
            <w:pPr>
              <w:jc w:val="right"/>
              <w:ind w:right="199"/>
              <w:spacing w:after="0"/>
              <w:rPr>
                <w:sz w:val="20"/>
                <w:szCs w:val="20"/>
                <w:color w:val="auto"/>
              </w:rPr>
            </w:pPr>
            <w:r>
              <w:rPr>
                <w:rFonts w:ascii="Arial" w:cs="Arial" w:eastAsia="Arial" w:hAnsi="Arial"/>
                <w:sz w:val="18"/>
                <w:szCs w:val="18"/>
                <w:color w:val="auto"/>
              </w:rPr>
              <w:t>21,345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23,942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Accounts with Last Twelve-Month Spend of at least $50,000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r>
    </w:tbl>
    <w:p>
      <w:pPr>
        <w:spacing w:after="0" w:line="229" w:lineRule="exact"/>
        <w:rPr>
          <w:sz w:val="24"/>
          <w:szCs w:val="24"/>
          <w:color w:val="auto"/>
        </w:rPr>
      </w:pPr>
    </w:p>
    <w:p>
      <w:pPr>
        <w:ind w:left="424" w:right="480" w:hanging="424"/>
        <w:spacing w:after="0" w:line="31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Amounts shown for Active Buyers and Accounts with Last Twelve-Month Spend of at least $50,000 are as of December 31, 2019 and 2020, March 31, 2021 and June 30, 2021. See the section titled “Management’s Discussion and Analysis of Financial Condition and Results of Operations—Key Operational and Business Metrics” included elsewhere in this prospectus for our definitions of these metrics.</w:t>
      </w:r>
    </w:p>
    <w:p>
      <w:pPr>
        <w:sectPr>
          <w:pgSz w:w="11900" w:h="16838" w:orient="portrait"/>
          <w:cols w:equalWidth="0" w:num="1">
            <w:col w:w="11024"/>
          </w:cols>
          <w:pgMar w:left="436" w:top="229" w:right="439" w:bottom="1440" w:gutter="0" w:footer="0" w:header="0"/>
        </w:sectPr>
      </w:pPr>
    </w:p>
    <w:bookmarkStart w:id="1" w:name="page2"/>
    <w:bookmarkEnd w:id="1"/>
    <w:p>
      <w:pPr>
        <w:jc w:val="center"/>
        <w:ind w:left="660" w:right="6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MANAGEMENT’S DISCUSSION AND ANALYSIS OF FINANCIAL CONDITION AND RESULTS OF OPERATIONS Page 76</w:t>
      </w:r>
    </w:p>
    <w:p>
      <w:pPr>
        <w:spacing w:after="0" w:line="5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Buyers</w:t>
      </w:r>
    </w:p>
    <w:p>
      <w:pPr>
        <w:spacing w:after="0" w:line="11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2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21,345 as of March 31, 2021, up 64% from 13,041 as of March 31, 2020. The number of Active Buyers on our platform reached 23,942 as of June 30, 2021, up 66% from 14,460 as of June 30,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5332095" cy="2417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3209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412 as of March 31, 2021, up 34% from 307 as of March 31, 2020. The number of accounts with LTM Spend of at least $50,000 on our platform reached 508 as of June 30, 2021, up 54% from 330 as of June 30, 2020.</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440" w:top="270" w:right="6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2021-07-20T16:02:56Z</dcterms:created>
  <dcterms:modified xsi:type="dcterms:W3CDTF">2021-07-20T16:02:56Z</dcterms:modified>
</cp:coreProperties>
</file>