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20"/>
        </w:rPr>
      </w:pPr>
      <w:bookmarkStart w:id="0" w:name="xmtr-20260224.htm"/>
      <w:bookmarkStart w:id="1" w:name="ksxmtr20260224"/>
      <w:bookmarkEnd w:id="0"/>
      <w:bookmarkEnd w:id="1"/>
      <w:r>
        <w:rPr>
          <w:rFonts w:ascii="Times New Roman" w:hAnsi="Times New Roman"/>
          <w:b/>
          <w:color w:val="000000"/>
          <w:sz w:val="20"/>
        </w:rPr>
        <w:t>As filed with the U.S. Securities and Exchange Commission on February 24, 2026</w:t>
      </w:r>
    </w:p>
    <w:p>
      <w:pPr>
        <w:pStyle w:val="TextBody"/>
        <w:bidi w:val="0"/>
        <w:jc w:val="right"/>
        <w:rPr>
          <w:rFonts w:ascii="Times New Roman" w:hAnsi="Times New Roman"/>
          <w:sz w:val="20"/>
        </w:rPr>
      </w:pPr>
      <w:r>
        <w:rPr>
          <w:rFonts w:ascii="Times New Roman" w:hAnsi="Times New Roman"/>
          <w:b/>
          <w:color w:val="000000"/>
          <w:sz w:val="20"/>
        </w:rPr>
        <w:t>Registration No. 333-</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FORM S-8</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REGISTRATION STATEMENT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4"/>
        </w:rPr>
        <w:t>UNDER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4"/>
        </w:rPr>
        <w:t>THE SECURITIES ACT OF 1933</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48"/>
        </w:rPr>
        <w:t>Xometry,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4003" w:type="dxa"/>
        <w:jc w:val="left"/>
        <w:tblInd w:w="0" w:type="dxa"/>
        <w:tblLayout w:type="fixed"/>
        <w:tblCellMar>
          <w:top w:w="28" w:type="dxa"/>
          <w:left w:w="28" w:type="dxa"/>
          <w:bottom w:w="28" w:type="dxa"/>
          <w:right w:w="28" w:type="dxa"/>
        </w:tblCellMar>
      </w:tblPr>
      <w:tblGrid>
        <w:gridCol w:w="2371"/>
        <w:gridCol w:w="146"/>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32-0415449</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center"/>
        <w:rPr>
          <w:rFonts w:ascii="Times New Roman" w:hAnsi="Times New Roman"/>
          <w:b/>
          <w:color w:val="000000"/>
          <w:sz w:val="20"/>
        </w:rPr>
      </w:pPr>
      <w:r>
        <w:rPr>
          <w:rFonts w:ascii="Times New Roman" w:hAnsi="Times New Roman"/>
          <w:b/>
          <w:color w:val="000000"/>
          <w:sz w:val="20"/>
        </w:rPr>
        <w:t>6116 Executive Blvd.</w:t>
      </w:r>
    </w:p>
    <w:p>
      <w:pPr>
        <w:pStyle w:val="TextBody"/>
        <w:bidi w:val="0"/>
        <w:jc w:val="center"/>
        <w:rPr>
          <w:rFonts w:ascii="Times New Roman" w:hAnsi="Times New Roman"/>
          <w:b/>
          <w:color w:val="000000"/>
          <w:sz w:val="20"/>
        </w:rPr>
      </w:pPr>
      <w:r>
        <w:rPr>
          <w:rFonts w:ascii="Times New Roman" w:hAnsi="Times New Roman"/>
          <w:b/>
          <w:color w:val="000000"/>
          <w:sz w:val="20"/>
        </w:rPr>
        <w:t>Suite 800</w:t>
      </w:r>
    </w:p>
    <w:p>
      <w:pPr>
        <w:pStyle w:val="TextBody"/>
        <w:bidi w:val="0"/>
        <w:jc w:val="center"/>
        <w:rPr>
          <w:rFonts w:ascii="Times New Roman" w:hAnsi="Times New Roman"/>
          <w:b/>
          <w:color w:val="000000"/>
          <w:sz w:val="20"/>
        </w:rPr>
      </w:pPr>
      <w:r>
        <w:rPr>
          <w:rFonts w:ascii="Times New Roman" w:hAnsi="Times New Roman"/>
          <w:b/>
          <w:color w:val="000000"/>
          <w:sz w:val="20"/>
        </w:rPr>
        <w:t>North Bethesda, MD 20852</w:t>
      </w:r>
    </w:p>
    <w:p>
      <w:pPr>
        <w:pStyle w:val="TextBody"/>
        <w:bidi w:val="0"/>
        <w:jc w:val="center"/>
        <w:rPr>
          <w:rFonts w:ascii="Times New Roman" w:hAnsi="Times New Roman"/>
          <w:b/>
          <w:color w:val="000000"/>
          <w:sz w:val="20"/>
        </w:rPr>
      </w:pPr>
      <w:r>
        <w:rPr>
          <w:rFonts w:ascii="Times New Roman" w:hAnsi="Times New Roman"/>
          <w:b/>
          <w:color w:val="000000"/>
          <w:sz w:val="20"/>
        </w:rPr>
        <w:t>(240) 252-1138</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p>
      <w:pPr>
        <w:pStyle w:val="TextBody"/>
        <w:bidi w:val="0"/>
        <w:jc w:val="center"/>
        <w:rPr>
          <w:rFonts w:ascii="Times New Roman" w:hAnsi="Times New Roman"/>
          <w:sz w:val="20"/>
        </w:rPr>
      </w:pPr>
      <w:r>
        <w:rPr>
          <w:rFonts w:ascii="Times New Roman" w:hAnsi="Times New Roman"/>
          <w:b/>
          <w:color w:val="000000"/>
          <w:sz w:val="20"/>
        </w:rPr>
        <w:t>Xometry, Inc. 2021 Equity Incentive Plan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(Full title of the plan)</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Randolph Altschuler</w:t>
      </w:r>
    </w:p>
    <w:p>
      <w:pPr>
        <w:pStyle w:val="TextBody"/>
        <w:bidi w:val="0"/>
        <w:jc w:val="center"/>
        <w:rPr>
          <w:rFonts w:ascii="Times New Roman" w:hAnsi="Times New Roman"/>
          <w:b/>
          <w:color w:val="000000"/>
          <w:sz w:val="20"/>
        </w:rPr>
      </w:pPr>
      <w:r>
        <w:rPr>
          <w:rFonts w:ascii="Times New Roman" w:hAnsi="Times New Roman"/>
          <w:b/>
          <w:color w:val="000000"/>
          <w:sz w:val="20"/>
        </w:rPr>
        <w:t>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Xometry, Inc.</w:t>
      </w:r>
    </w:p>
    <w:p>
      <w:pPr>
        <w:pStyle w:val="TextBody"/>
        <w:bidi w:val="0"/>
        <w:jc w:val="center"/>
        <w:rPr>
          <w:rFonts w:ascii="Times New Roman" w:hAnsi="Times New Roman"/>
          <w:b/>
          <w:color w:val="000000"/>
          <w:sz w:val="20"/>
        </w:rPr>
      </w:pPr>
      <w:r>
        <w:rPr>
          <w:rFonts w:ascii="Times New Roman" w:hAnsi="Times New Roman"/>
          <w:b/>
          <w:color w:val="000000"/>
          <w:sz w:val="20"/>
        </w:rPr>
        <w:t>6116 Executive Blvd.</w:t>
      </w:r>
    </w:p>
    <w:p>
      <w:pPr>
        <w:pStyle w:val="TextBody"/>
        <w:bidi w:val="0"/>
        <w:jc w:val="center"/>
        <w:rPr>
          <w:rFonts w:ascii="Times New Roman" w:hAnsi="Times New Roman"/>
          <w:b/>
          <w:color w:val="000000"/>
          <w:sz w:val="20"/>
        </w:rPr>
      </w:pPr>
      <w:r>
        <w:rPr>
          <w:rFonts w:ascii="Times New Roman" w:hAnsi="Times New Roman"/>
          <w:b/>
          <w:color w:val="000000"/>
          <w:sz w:val="20"/>
        </w:rPr>
        <w:t>Suite 800</w:t>
      </w:r>
    </w:p>
    <w:p>
      <w:pPr>
        <w:pStyle w:val="TextBody"/>
        <w:bidi w:val="0"/>
        <w:jc w:val="center"/>
        <w:rPr>
          <w:rFonts w:ascii="Times New Roman" w:hAnsi="Times New Roman"/>
          <w:b/>
          <w:color w:val="000000"/>
          <w:sz w:val="20"/>
        </w:rPr>
      </w:pPr>
      <w:r>
        <w:rPr>
          <w:rFonts w:ascii="Times New Roman" w:hAnsi="Times New Roman"/>
          <w:b/>
          <w:color w:val="000000"/>
          <w:sz w:val="20"/>
        </w:rPr>
        <w:t>North Bethesda, MD 20852</w:t>
      </w:r>
    </w:p>
    <w:p>
      <w:pPr>
        <w:pStyle w:val="TextBody"/>
        <w:bidi w:val="0"/>
        <w:jc w:val="center"/>
        <w:rPr>
          <w:rFonts w:ascii="Times New Roman" w:hAnsi="Times New Roman"/>
          <w:b/>
          <w:color w:val="000000"/>
          <w:sz w:val="20"/>
        </w:rPr>
      </w:pPr>
      <w:r>
        <w:rPr>
          <w:rFonts w:ascii="Times New Roman" w:hAnsi="Times New Roman"/>
          <w:b/>
          <w:color w:val="000000"/>
          <w:sz w:val="20"/>
        </w:rPr>
        <w:t>(240) 252-1138</w:t>
      </w:r>
    </w:p>
    <w:p>
      <w:pPr>
        <w:pStyle w:val="TextBody"/>
        <w:bidi w:val="0"/>
        <w:jc w:val="center"/>
        <w:rPr>
          <w:rFonts w:ascii="Times New Roman" w:hAnsi="Times New Roman"/>
          <w:sz w:val="20"/>
        </w:rPr>
      </w:pPr>
      <w:r>
        <w:rPr>
          <w:rFonts w:ascii="Times New Roman" w:hAnsi="Times New Roman"/>
          <w:b/>
          <w:color w:val="000000"/>
          <w:sz w:val="16"/>
        </w:rPr>
        <w:t>(Name, address and telephone number, including area code, of agent for service)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0"/>
        </w:rPr>
        <w:t>Copies to:</w:t>
      </w:r>
      <w:r>
        <w:rPr>
          <w:rFonts w:ascii="Times New Roman" w:hAnsi="Times New Roman"/>
          <w:color w:val="000000"/>
          <w:sz w:val="20"/>
        </w:rPr>
        <w:t xml:space="preserve"> </w:t>
      </w:r>
    </w:p>
    <w:tbl>
      <w:tblPr>
        <w:tblW w:w="5145" w:type="dxa"/>
        <w:jc w:val="left"/>
        <w:tblInd w:w="0" w:type="dxa"/>
        <w:tblLayout w:type="fixed"/>
        <w:tblCellMar>
          <w:top w:w="28" w:type="dxa"/>
          <w:left w:w="28" w:type="dxa"/>
          <w:bottom w:w="28" w:type="dxa"/>
          <w:right w:w="28" w:type="dxa"/>
        </w:tblCellMar>
      </w:tblPr>
      <w:tblGrid>
        <w:gridCol w:w="1286"/>
        <w:gridCol w:w="874"/>
        <w:gridCol w:w="109"/>
        <w:gridCol w:w="146"/>
        <w:gridCol w:w="1328"/>
        <w:gridCol w:w="1402"/>
      </w:tblGrid>
      <w:tr>
        <w:trPr/>
        <w:tc>
          <w:tcPr>
            <w:tcW w:w="128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r>
      <w:tr>
        <w:trPr/>
        <w:tc>
          <w:tcPr>
            <w:tcW w:w="1286" w:type="dxa"/>
            <w:tcBorders/>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2"/>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Eric Blanchard</w:t>
            </w:r>
          </w:p>
          <w:p>
            <w:pPr>
              <w:pStyle w:val="TableContents"/>
              <w:bidi w:val="0"/>
              <w:jc w:val="center"/>
              <w:rPr>
                <w:rFonts w:ascii="Times New Roman" w:hAnsi="Times New Roman"/>
                <w:b/>
                <w:color w:val="000000"/>
                <w:sz w:val="20"/>
              </w:rPr>
            </w:pPr>
            <w:r>
              <w:rPr>
                <w:rFonts w:ascii="Times New Roman" w:hAnsi="Times New Roman"/>
                <w:b/>
                <w:color w:val="000000"/>
                <w:sz w:val="20"/>
              </w:rPr>
              <w:t>Trey Reilly</w:t>
            </w:r>
          </w:p>
          <w:p>
            <w:pPr>
              <w:pStyle w:val="TableContents"/>
              <w:bidi w:val="0"/>
              <w:jc w:val="center"/>
              <w:rPr>
                <w:rFonts w:ascii="Times New Roman" w:hAnsi="Times New Roman"/>
                <w:b/>
                <w:color w:val="000000"/>
                <w:sz w:val="20"/>
              </w:rPr>
            </w:pPr>
            <w:r>
              <w:rPr>
                <w:rFonts w:ascii="Times New Roman" w:hAnsi="Times New Roman"/>
                <w:b/>
                <w:color w:val="000000"/>
                <w:sz w:val="20"/>
              </w:rPr>
              <w:t>Cooley LLP</w:t>
            </w:r>
          </w:p>
          <w:p>
            <w:pPr>
              <w:pStyle w:val="TableContents"/>
              <w:bidi w:val="0"/>
              <w:jc w:val="center"/>
              <w:rPr>
                <w:rFonts w:ascii="Times New Roman" w:hAnsi="Times New Roman"/>
                <w:b/>
                <w:color w:val="000000"/>
                <w:sz w:val="20"/>
              </w:rPr>
            </w:pPr>
            <w:r>
              <w:rPr>
                <w:rFonts w:ascii="Times New Roman" w:hAnsi="Times New Roman"/>
                <w:b/>
                <w:color w:val="000000"/>
                <w:sz w:val="20"/>
              </w:rPr>
              <w:t>500 Boylston Street</w:t>
            </w:r>
          </w:p>
          <w:p>
            <w:pPr>
              <w:pStyle w:val="TableContents"/>
              <w:bidi w:val="0"/>
              <w:jc w:val="center"/>
              <w:rPr>
                <w:rFonts w:ascii="Times New Roman" w:hAnsi="Times New Roman"/>
                <w:b/>
                <w:color w:val="000000"/>
                <w:sz w:val="20"/>
              </w:rPr>
            </w:pPr>
            <w:r>
              <w:rPr>
                <w:rFonts w:ascii="Times New Roman" w:hAnsi="Times New Roman"/>
                <w:b/>
                <w:color w:val="000000"/>
                <w:sz w:val="20"/>
              </w:rPr>
              <w:t>14th Floor</w:t>
            </w:r>
          </w:p>
          <w:p>
            <w:pPr>
              <w:pStyle w:val="TableContents"/>
              <w:bidi w:val="0"/>
              <w:jc w:val="center"/>
              <w:rPr>
                <w:rFonts w:ascii="Times New Roman" w:hAnsi="Times New Roman"/>
                <w:b/>
                <w:color w:val="000000"/>
                <w:sz w:val="20"/>
              </w:rPr>
            </w:pPr>
            <w:r>
              <w:rPr>
                <w:rFonts w:ascii="Times New Roman" w:hAnsi="Times New Roman"/>
                <w:b/>
                <w:color w:val="000000"/>
                <w:sz w:val="20"/>
              </w:rPr>
              <w:t>Boston, MA 02116-3736</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(617) 937-2300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30" w:type="dxa"/>
            <w:gridSpan w:val="2"/>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James Miln</w:t>
            </w:r>
          </w:p>
          <w:p>
            <w:pPr>
              <w:pStyle w:val="TableContents"/>
              <w:bidi w:val="0"/>
              <w:jc w:val="center"/>
              <w:rPr>
                <w:rFonts w:ascii="Times New Roman" w:hAnsi="Times New Roman"/>
                <w:b/>
                <w:color w:val="000000"/>
                <w:sz w:val="20"/>
              </w:rPr>
            </w:pPr>
            <w:r>
              <w:rPr>
                <w:rFonts w:ascii="Times New Roman" w:hAnsi="Times New Roman"/>
                <w:b/>
                <w:color w:val="000000"/>
                <w:sz w:val="20"/>
              </w:rPr>
              <w:t>Kristie Scott</w:t>
            </w:r>
          </w:p>
          <w:p>
            <w:pPr>
              <w:pStyle w:val="TableContents"/>
              <w:bidi w:val="0"/>
              <w:jc w:val="center"/>
              <w:rPr>
                <w:rFonts w:ascii="Times New Roman" w:hAnsi="Times New Roman"/>
                <w:b/>
                <w:color w:val="000000"/>
                <w:sz w:val="20"/>
              </w:rPr>
            </w:pPr>
            <w:r>
              <w:rPr>
                <w:rFonts w:ascii="Times New Roman" w:hAnsi="Times New Roman"/>
                <w:b/>
                <w:color w:val="000000"/>
                <w:sz w:val="20"/>
              </w:rPr>
              <w:t>Xometry, Inc.</w:t>
            </w:r>
          </w:p>
          <w:p>
            <w:pPr>
              <w:pStyle w:val="TableContents"/>
              <w:bidi w:val="0"/>
              <w:jc w:val="center"/>
              <w:rPr>
                <w:rFonts w:ascii="Times New Roman" w:hAnsi="Times New Roman"/>
                <w:b/>
                <w:color w:val="000000"/>
                <w:sz w:val="20"/>
              </w:rPr>
            </w:pPr>
            <w:r>
              <w:rPr>
                <w:rFonts w:ascii="Times New Roman" w:hAnsi="Times New Roman"/>
                <w:b/>
                <w:color w:val="000000"/>
                <w:sz w:val="20"/>
              </w:rPr>
              <w:t>6116 Executive Blvd Suite 800</w:t>
            </w:r>
          </w:p>
          <w:p>
            <w:pPr>
              <w:pStyle w:val="TableContents"/>
              <w:bidi w:val="0"/>
              <w:jc w:val="center"/>
              <w:rPr>
                <w:rFonts w:ascii="Times New Roman" w:hAnsi="Times New Roman"/>
                <w:b/>
                <w:color w:val="000000"/>
                <w:sz w:val="20"/>
              </w:rPr>
            </w:pPr>
            <w:r>
              <w:rPr>
                <w:rFonts w:ascii="Times New Roman" w:hAnsi="Times New Roman"/>
                <w:b/>
                <w:color w:val="000000"/>
                <w:sz w:val="20"/>
              </w:rPr>
              <w:t>North Bethesda, MD 20852</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(240) 252-1138</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347" w:type="dxa"/>
        <w:jc w:val="left"/>
        <w:tblInd w:w="0" w:type="dxa"/>
        <w:tblLayout w:type="fixed"/>
        <w:tblCellMar>
          <w:top w:w="28" w:type="dxa"/>
          <w:left w:w="28" w:type="dxa"/>
          <w:bottom w:w="28" w:type="dxa"/>
          <w:right w:w="28" w:type="dxa"/>
        </w:tblCellMar>
      </w:tblPr>
      <w:tblGrid>
        <w:gridCol w:w="1921"/>
        <w:gridCol w:w="146"/>
        <w:gridCol w:w="316"/>
        <w:gridCol w:w="146"/>
        <w:gridCol w:w="2311"/>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jc w:val="left"/>
        <w:rPr>
          <w:rFonts w:ascii="Times New Roman" w:hAnsi="Times New Roman"/>
          <w:sz w:val="20"/>
        </w:rPr>
      </w:pPr>
      <w:r>
        <w:rPr>
          <w:rFonts w:ascii="Times New Roman" w:hAnsi="Times New Roman"/>
          <w:b/>
          <w:color w:val="000000"/>
          <w:sz w:val="20"/>
        </w:rPr>
        <w:br/>
      </w:r>
      <w:r>
        <w:rPr>
          <w:rFonts w:ascii="Times New Roman" w:hAnsi="Times New Roman"/>
          <w:color w:val="000000"/>
          <w:sz w:val="20"/>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REGISTRATION OF ADDITIONAL SHARES</w:t>
      </w:r>
    </w:p>
    <w:p>
      <w:pPr>
        <w:pStyle w:val="TextBody"/>
        <w:bidi w:val="0"/>
        <w:jc w:val="center"/>
        <w:rPr>
          <w:rFonts w:ascii="Times New Roman" w:hAnsi="Times New Roman"/>
          <w:b/>
          <w:color w:val="000000"/>
          <w:sz w:val="20"/>
        </w:rPr>
      </w:pPr>
      <w:r>
        <w:rPr>
          <w:rFonts w:ascii="Times New Roman" w:hAnsi="Times New Roman"/>
          <w:b/>
          <w:color w:val="000000"/>
          <w:sz w:val="20"/>
        </w:rPr>
        <w:t>PURSUANT TO GENERAL INSTRUCTION E</w:t>
      </w:r>
    </w:p>
    <w:p>
      <w:pPr>
        <w:pStyle w:val="TextBody"/>
        <w:bidi w:val="0"/>
        <w:jc w:val="both"/>
        <w:rPr>
          <w:rFonts w:ascii="Times New Roman" w:hAnsi="Times New Roman"/>
          <w:sz w:val="20"/>
        </w:rPr>
      </w:pPr>
      <w:r>
        <w:rPr>
          <w:rFonts w:ascii="Times New Roman" w:hAnsi="Times New Roman"/>
          <w:color w:val="000000"/>
          <w:sz w:val="20"/>
        </w:rPr>
        <w:t>Pursuant to General Instruction E of Form S-8, Xometry, Inc. (the “</w:t>
      </w:r>
      <w:r>
        <w:rPr>
          <w:rFonts w:ascii="Times New Roman" w:hAnsi="Times New Roman"/>
          <w:b/>
          <w:i/>
          <w:color w:val="000000"/>
          <w:sz w:val="20"/>
        </w:rPr>
        <w:t>Registrant</w:t>
      </w:r>
      <w:r>
        <w:rPr>
          <w:rFonts w:ascii="Times New Roman" w:hAnsi="Times New Roman"/>
          <w:color w:val="000000"/>
          <w:sz w:val="20"/>
        </w:rPr>
        <w:t>”) is filing this Registration Statement on Form S-8 for the purpose of registering an additional 2,565,876 shares of Class A common stock under the Xometry, Inc. 2021 Equity Incentive Plan (the “</w:t>
      </w:r>
      <w:r>
        <w:rPr>
          <w:rFonts w:ascii="Times New Roman" w:hAnsi="Times New Roman"/>
          <w:b/>
          <w:i/>
          <w:color w:val="000000"/>
          <w:sz w:val="20"/>
        </w:rPr>
        <w:t>2021 Plan</w:t>
      </w:r>
      <w:r>
        <w:rPr>
          <w:rFonts w:ascii="Times New Roman" w:hAnsi="Times New Roman"/>
          <w:color w:val="000000"/>
          <w:sz w:val="20"/>
        </w:rPr>
        <w:t>”), pursuant to the provisions of the 2021 Plan providing for annual automatic increase in the number of shares of Class A common stock reserved and available for issuance under the 2021 Plan. In accordance with the instructional note to Part I of Form S-8 as promulgated by the Commission, the information specified by Part I of the Form S-8 has been omitted from this Registration Statement.</w:t>
      </w:r>
    </w:p>
    <w:p>
      <w:pPr>
        <w:pStyle w:val="TextBody"/>
        <w:bidi w:val="0"/>
        <w:jc w:val="center"/>
        <w:rPr>
          <w:rFonts w:ascii="Times New Roman" w:hAnsi="Times New Roman"/>
          <w:b/>
          <w:color w:val="000000"/>
          <w:sz w:val="20"/>
        </w:rPr>
      </w:pPr>
      <w:r>
        <w:rPr>
          <w:rFonts w:ascii="Times New Roman" w:hAnsi="Times New Roman"/>
          <w:b/>
          <w:color w:val="000000"/>
          <w:sz w:val="20"/>
        </w:rPr>
        <w:t>PART II</w:t>
      </w:r>
    </w:p>
    <w:p>
      <w:pPr>
        <w:pStyle w:val="TextBody"/>
        <w:bidi w:val="0"/>
        <w:jc w:val="center"/>
        <w:rPr>
          <w:rFonts w:ascii="Times New Roman" w:hAnsi="Times New Roman"/>
          <w:b/>
          <w:color w:val="000000"/>
          <w:sz w:val="20"/>
        </w:rPr>
      </w:pPr>
      <w:r>
        <w:rPr>
          <w:rFonts w:ascii="Times New Roman" w:hAnsi="Times New Roman"/>
          <w:b/>
          <w:color w:val="000000"/>
          <w:sz w:val="20"/>
        </w:rPr>
        <w:t>INFORMATION REQUIRED IN THE REGISTRATION STATEMENT</w:t>
      </w:r>
    </w:p>
    <w:tbl>
      <w:tblPr>
        <w:tblW w:w="6842" w:type="dxa"/>
        <w:jc w:val="left"/>
        <w:tblInd w:w="0" w:type="dxa"/>
        <w:tblLayout w:type="fixed"/>
        <w:tblCellMar>
          <w:top w:w="28" w:type="dxa"/>
          <w:left w:w="28" w:type="dxa"/>
          <w:bottom w:w="28" w:type="dxa"/>
          <w:right w:w="28" w:type="dxa"/>
        </w:tblCellMar>
      </w:tblPr>
      <w:tblGrid>
        <w:gridCol w:w="841"/>
        <w:gridCol w:w="6001"/>
      </w:tblGrid>
      <w:tr>
        <w:trPr/>
        <w:tc>
          <w:tcPr>
            <w:tcW w:w="841" w:type="dxa"/>
            <w:tcBorders/>
            <w:vAlign w:val="center"/>
          </w:tcPr>
          <w:p>
            <w:pPr>
              <w:pStyle w:val="TableContents"/>
              <w:bidi w:val="0"/>
              <w:spacing w:before="0" w:after="283"/>
              <w:jc w:val="left"/>
              <w:rPr>
                <w:sz w:val="4"/>
                <w:szCs w:val="4"/>
              </w:rPr>
            </w:pPr>
            <w:r>
              <w:rPr>
                <w:sz w:val="4"/>
                <w:szCs w:val="4"/>
              </w:rPr>
            </w:r>
          </w:p>
        </w:tc>
        <w:tc>
          <w:tcPr>
            <w:tcW w:w="6001" w:type="dxa"/>
            <w:tcBorders/>
            <w:vAlign w:val="center"/>
          </w:tcPr>
          <w:p>
            <w:pPr>
              <w:pStyle w:val="TableContents"/>
              <w:bidi w:val="0"/>
              <w:spacing w:before="0" w:after="283"/>
              <w:jc w:val="left"/>
              <w:rPr>
                <w:sz w:val="4"/>
                <w:szCs w:val="4"/>
              </w:rPr>
            </w:pPr>
            <w:r>
              <w:rPr>
                <w:sz w:val="4"/>
                <w:szCs w:val="4"/>
              </w:rPr>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3.</w:t>
            </w:r>
          </w:p>
        </w:tc>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INCORPORATION OF CERTAIN DOCUMENTS BY REFERENCE.</w:t>
            </w:r>
            <w:r>
              <w:rPr>
                <w:rFonts w:ascii="Times New Roman" w:hAnsi="Times New Roman"/>
                <w:color w:val="000000"/>
                <w:sz w:val="20"/>
              </w:rPr>
              <w:t xml:space="preserve"> </w:t>
            </w:r>
          </w:p>
        </w:tc>
      </w:tr>
    </w:tbl>
    <w:p>
      <w:pPr>
        <w:pStyle w:val="TextBody"/>
        <w:bidi w:val="0"/>
        <w:spacing w:before="120" w:after="283"/>
        <w:jc w:val="both"/>
        <w:rPr>
          <w:rFonts w:ascii="Times New Roman" w:hAnsi="Times New Roman"/>
          <w:sz w:val="20"/>
        </w:rPr>
      </w:pPr>
      <w:r>
        <w:rPr>
          <w:rFonts w:ascii="Times New Roman" w:hAnsi="Times New Roman"/>
          <w:color w:val="000000"/>
          <w:sz w:val="20"/>
        </w:rPr>
        <w:t>The following documents filed by the Registrant with the Securities and Exchange Commission (the “</w:t>
      </w:r>
      <w:r>
        <w:rPr>
          <w:rFonts w:ascii="Times New Roman" w:hAnsi="Times New Roman"/>
          <w:b/>
          <w:i/>
          <w:color w:val="000000"/>
          <w:sz w:val="20"/>
        </w:rPr>
        <w:t>Commission</w:t>
      </w:r>
      <w:r>
        <w:rPr>
          <w:rFonts w:ascii="Times New Roman" w:hAnsi="Times New Roman"/>
          <w:color w:val="000000"/>
          <w:sz w:val="20"/>
        </w:rPr>
        <w:t xml:space="preserve">”) are incorporated by reference into this Registration Statement: </w:t>
      </w:r>
    </w:p>
    <w:p>
      <w:pPr>
        <w:pStyle w:val="TextBody"/>
        <w:bidi w:val="0"/>
        <w:spacing w:before="240" w:after="283"/>
        <w:jc w:val="both"/>
        <w:rPr/>
      </w:pPr>
      <w:r>
        <w:rPr>
          <w:rFonts w:ascii="Times New Roman" w:hAnsi="Times New Roman"/>
          <w:b/>
          <w:color w:val="000000"/>
          <w:sz w:val="20"/>
        </w:rPr>
        <w:t>(a)</w:t>
      </w:r>
      <w:r>
        <w:rPr>
          <w:rFonts w:ascii="Times New Roman" w:hAnsi="Times New Roman"/>
          <w:color w:val="000000"/>
          <w:sz w:val="20"/>
        </w:rPr>
        <w:t xml:space="preserve"> The Registrant’s Registration Statements on Form S-8, previously filed with the Commission on </w:t>
      </w:r>
      <w:hyperlink r:id="rId2">
        <w:r>
          <w:rPr>
            <w:rStyle w:val="InternetLink"/>
            <w:rFonts w:ascii="Times New Roman" w:hAnsi="Times New Roman"/>
            <w:color w:val="0000FF"/>
            <w:sz w:val="20"/>
            <w:u w:val="single"/>
          </w:rPr>
          <w:t>July 2, 2021</w:t>
        </w:r>
      </w:hyperlink>
      <w:r>
        <w:rPr>
          <w:rFonts w:ascii="Times New Roman" w:hAnsi="Times New Roman"/>
          <w:color w:val="000000"/>
          <w:sz w:val="20"/>
        </w:rPr>
        <w:t xml:space="preserve">, </w:t>
      </w:r>
      <w:hyperlink r:id="rId3">
        <w:r>
          <w:rPr>
            <w:rStyle w:val="InternetLink"/>
            <w:rFonts w:ascii="Times New Roman" w:hAnsi="Times New Roman"/>
            <w:color w:val="0000FF"/>
            <w:sz w:val="20"/>
            <w:u w:val="single"/>
          </w:rPr>
          <w:t>March 18, 2022</w:t>
        </w:r>
      </w:hyperlink>
      <w:r>
        <w:rPr>
          <w:rFonts w:ascii="Times New Roman" w:hAnsi="Times New Roman"/>
          <w:color w:val="000000"/>
          <w:sz w:val="20"/>
        </w:rPr>
        <w:t xml:space="preserve">, </w:t>
      </w:r>
      <w:hyperlink r:id="rId4">
        <w:r>
          <w:rPr>
            <w:rStyle w:val="InternetLink"/>
            <w:rFonts w:ascii="Times New Roman" w:hAnsi="Times New Roman"/>
            <w:color w:val="0000FF"/>
            <w:sz w:val="20"/>
            <w:u w:val="single"/>
          </w:rPr>
          <w:t>March 17, 2023</w:t>
        </w:r>
      </w:hyperlink>
      <w:r>
        <w:rPr>
          <w:rFonts w:ascii="Times New Roman" w:hAnsi="Times New Roman"/>
          <w:color w:val="000000"/>
          <w:sz w:val="20"/>
        </w:rPr>
        <w:t xml:space="preserve">, </w:t>
      </w:r>
      <w:hyperlink r:id="rId5">
        <w:r>
          <w:rPr>
            <w:rStyle w:val="InternetLink"/>
            <w:rFonts w:ascii="Times New Roman" w:hAnsi="Times New Roman"/>
            <w:color w:val="0000FF"/>
            <w:sz w:val="20"/>
            <w:u w:val="single"/>
          </w:rPr>
          <w:t>February 29, 2024</w:t>
        </w:r>
      </w:hyperlink>
      <w:r>
        <w:rPr>
          <w:rFonts w:ascii="Times New Roman" w:hAnsi="Times New Roman"/>
          <w:color w:val="000000"/>
          <w:sz w:val="20"/>
        </w:rPr>
        <w:t xml:space="preserve"> and </w:t>
      </w:r>
      <w:hyperlink r:id="rId6">
        <w:r>
          <w:rPr>
            <w:rStyle w:val="InternetLink"/>
            <w:rFonts w:ascii="Times New Roman" w:hAnsi="Times New Roman"/>
            <w:color w:val="0000FF"/>
            <w:sz w:val="20"/>
            <w:u w:val="single"/>
          </w:rPr>
          <w:t>February 25, 2025</w:t>
        </w:r>
      </w:hyperlink>
      <w:r>
        <w:rPr>
          <w:rFonts w:ascii="Times New Roman" w:hAnsi="Times New Roman"/>
          <w:color w:val="000000"/>
          <w:sz w:val="20"/>
        </w:rPr>
        <w:t xml:space="preserve"> (File Nos. 333-257671, 333-263716, 333-270663, 333-277546 and 333-285213 respectively). </w:t>
      </w:r>
    </w:p>
    <w:p>
      <w:pPr>
        <w:pStyle w:val="TextBody"/>
        <w:bidi w:val="0"/>
        <w:spacing w:before="240" w:after="283"/>
        <w:jc w:val="both"/>
        <w:rPr/>
      </w:pPr>
      <w:r>
        <w:rPr>
          <w:rFonts w:ascii="Times New Roman" w:hAnsi="Times New Roman"/>
          <w:b/>
          <w:color w:val="000000"/>
          <w:sz w:val="20"/>
        </w:rPr>
        <w:t>(b)</w:t>
      </w:r>
      <w:r>
        <w:rPr>
          <w:rFonts w:ascii="Times New Roman" w:hAnsi="Times New Roman"/>
          <w:color w:val="000000"/>
          <w:sz w:val="20"/>
        </w:rPr>
        <w:t xml:space="preserve"> The Registrant’s Annual Report on Form 10-K for the fiscal year ended </w:t>
      </w:r>
      <w:hyperlink r:id="rId7">
        <w:r>
          <w:rPr>
            <w:rStyle w:val="InternetLink"/>
            <w:rFonts w:ascii="Times New Roman" w:hAnsi="Times New Roman"/>
            <w:color w:val="0000FF"/>
            <w:sz w:val="20"/>
            <w:u w:val="single"/>
          </w:rPr>
          <w:t>December 31, 2025</w:t>
        </w:r>
      </w:hyperlink>
      <w:r>
        <w:rPr>
          <w:rFonts w:ascii="Times New Roman" w:hAnsi="Times New Roman"/>
          <w:color w:val="000000"/>
          <w:sz w:val="20"/>
        </w:rPr>
        <w:t>, filed with the Commission on February 24, 2026.</w:t>
      </w:r>
    </w:p>
    <w:p>
      <w:pPr>
        <w:pStyle w:val="TextBody"/>
        <w:bidi w:val="0"/>
        <w:spacing w:before="240" w:after="283"/>
        <w:jc w:val="both"/>
        <w:rPr/>
      </w:pPr>
      <w:r>
        <w:rPr>
          <w:rFonts w:ascii="Times New Roman" w:hAnsi="Times New Roman"/>
          <w:b/>
          <w:color w:val="000000"/>
          <w:sz w:val="20"/>
        </w:rPr>
        <w:t>(c)</w:t>
      </w:r>
      <w:r>
        <w:rPr>
          <w:rFonts w:ascii="Times New Roman" w:hAnsi="Times New Roman"/>
          <w:color w:val="000000"/>
          <w:sz w:val="20"/>
        </w:rPr>
        <w:t xml:space="preserve"> The Registrant’s Current Report on Form 8-K, filed with the Commission on </w:t>
      </w:r>
      <w:hyperlink r:id="rId8">
        <w:r>
          <w:rPr>
            <w:rStyle w:val="InternetLink"/>
            <w:rFonts w:ascii="Times New Roman" w:hAnsi="Times New Roman"/>
            <w:color w:val="0000FF"/>
            <w:sz w:val="20"/>
            <w:u w:val="single"/>
          </w:rPr>
          <w:t>February 24, 2026</w:t>
        </w:r>
      </w:hyperlink>
      <w:r>
        <w:rPr>
          <w:rFonts w:ascii="Times New Roman" w:hAnsi="Times New Roman"/>
          <w:color w:val="000000"/>
          <w:sz w:val="20"/>
        </w:rPr>
        <w:t xml:space="preserve">. </w:t>
      </w:r>
    </w:p>
    <w:p>
      <w:pPr>
        <w:pStyle w:val="TextBody"/>
        <w:bidi w:val="0"/>
        <w:spacing w:before="240" w:after="283"/>
        <w:jc w:val="both"/>
        <w:rPr/>
      </w:pPr>
      <w:r>
        <w:rPr>
          <w:rFonts w:ascii="Times New Roman" w:hAnsi="Times New Roman"/>
          <w:b/>
          <w:color w:val="000000"/>
          <w:sz w:val="20"/>
        </w:rPr>
        <w:t>(d)</w:t>
      </w:r>
      <w:r>
        <w:rPr>
          <w:rFonts w:ascii="Times New Roman" w:hAnsi="Times New Roman"/>
          <w:color w:val="000000"/>
          <w:sz w:val="20"/>
        </w:rPr>
        <w:t xml:space="preserve"> The description of the Registrant’s Common Stock which is contained in a registration statement on </w:t>
      </w:r>
      <w:hyperlink r:id="rId9">
        <w:r>
          <w:rPr>
            <w:rStyle w:val="InternetLink"/>
            <w:rFonts w:ascii="Times New Roman" w:hAnsi="Times New Roman"/>
            <w:color w:val="0000FF"/>
            <w:sz w:val="20"/>
            <w:u w:val="single"/>
          </w:rPr>
          <w:t>Form 8-A</w:t>
        </w:r>
      </w:hyperlink>
      <w:r>
        <w:rPr>
          <w:rFonts w:ascii="Times New Roman" w:hAnsi="Times New Roman"/>
          <w:color w:val="000000"/>
          <w:sz w:val="20"/>
        </w:rPr>
        <w:t xml:space="preserve"> filed on June 25, 2021 (File No. 001-40546) under the Exchange Act of 1934, as amended (the “</w:t>
      </w:r>
      <w:r>
        <w:rPr>
          <w:rFonts w:ascii="Times New Roman" w:hAnsi="Times New Roman"/>
          <w:b/>
          <w:i/>
          <w:color w:val="000000"/>
          <w:sz w:val="20"/>
        </w:rPr>
        <w:t>Exchange Act</w:t>
      </w:r>
      <w:r>
        <w:rPr>
          <w:rFonts w:ascii="Times New Roman" w:hAnsi="Times New Roman"/>
          <w:color w:val="000000"/>
          <w:sz w:val="20"/>
        </w:rPr>
        <w:t xml:space="preserve">”), as updated by </w:t>
      </w:r>
      <w:hyperlink r:id="rId10">
        <w:r>
          <w:rPr>
            <w:rStyle w:val="InternetLink"/>
            <w:rFonts w:ascii="Times New Roman" w:hAnsi="Times New Roman"/>
            <w:color w:val="0000FF"/>
            <w:sz w:val="20"/>
            <w:u w:val="single"/>
          </w:rPr>
          <w:t>Exhibit 4.3</w:t>
        </w:r>
      </w:hyperlink>
      <w:r>
        <w:rPr>
          <w:rFonts w:ascii="Times New Roman" w:hAnsi="Times New Roman"/>
          <w:color w:val="000000"/>
          <w:sz w:val="20"/>
        </w:rPr>
        <w:t xml:space="preserve"> to the Registrant’s Annual Report on Form 10-K for the fiscal year ended December 31, 2021, including any amendment or report filed for the purpose of updating such description. </w:t>
      </w:r>
    </w:p>
    <w:p>
      <w:pPr>
        <w:pStyle w:val="TextBody"/>
        <w:bidi w:val="0"/>
        <w:spacing w:before="240" w:after="283"/>
        <w:jc w:val="both"/>
        <w:rPr>
          <w:rFonts w:ascii="Times New Roman" w:hAnsi="Times New Roman"/>
          <w:sz w:val="20"/>
        </w:rPr>
      </w:pPr>
      <w:r>
        <w:rPr>
          <w:rFonts w:ascii="Times New Roman" w:hAnsi="Times New Roman"/>
          <w:b/>
          <w:color w:val="000000"/>
          <w:sz w:val="20"/>
        </w:rPr>
        <w:t>(e)</w:t>
      </w:r>
      <w:r>
        <w:rPr>
          <w:rFonts w:ascii="Times New Roman" w:hAnsi="Times New Roman"/>
          <w:color w:val="000000"/>
          <w:sz w:val="20"/>
        </w:rPr>
        <w:t xml:space="preserve"> 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or incorporated by reference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 </w:t>
      </w:r>
    </w:p>
    <w:p>
      <w:pPr>
        <w:pStyle w:val="TextBody"/>
        <w:bidi w:val="0"/>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r>
        <w:rPr/>
        <w:t> </w:t>
      </w:r>
    </w:p>
    <w:tbl>
      <w:tblPr>
        <w:tblW w:w="1982" w:type="dxa"/>
        <w:jc w:val="left"/>
        <w:tblInd w:w="0" w:type="dxa"/>
        <w:tblLayout w:type="fixed"/>
        <w:tblCellMar>
          <w:top w:w="28" w:type="dxa"/>
          <w:left w:w="28" w:type="dxa"/>
          <w:bottom w:w="28" w:type="dxa"/>
          <w:right w:w="28" w:type="dxa"/>
        </w:tblCellMar>
      </w:tblPr>
      <w:tblGrid>
        <w:gridCol w:w="841"/>
        <w:gridCol w:w="1141"/>
      </w:tblGrid>
      <w:tr>
        <w:trPr/>
        <w:tc>
          <w:tcPr>
            <w:tcW w:w="84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8.</w:t>
            </w:r>
          </w:p>
        </w:tc>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EXHIBITS</w:t>
            </w:r>
            <w:r>
              <w:rPr>
                <w:rFonts w:ascii="Times New Roman" w:hAnsi="Times New Roman"/>
                <w:color w:val="000000"/>
                <w:sz w:val="20"/>
              </w:rPr>
              <w:t xml:space="preserve">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4401"/>
        <w:gridCol w:w="146"/>
        <w:gridCol w:w="205"/>
        <w:gridCol w:w="545"/>
        <w:gridCol w:w="146"/>
        <w:gridCol w:w="146"/>
        <w:gridCol w:w="146"/>
        <w:gridCol w:w="873"/>
        <w:gridCol w:w="146"/>
        <w:gridCol w:w="146"/>
        <w:gridCol w:w="146"/>
        <w:gridCol w:w="571"/>
        <w:gridCol w:w="146"/>
        <w:gridCol w:w="146"/>
        <w:gridCol w:w="146"/>
        <w:gridCol w:w="1106"/>
        <w:gridCol w:w="192"/>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14" w:type="dxa"/>
            <w:gridSpan w:val="14"/>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9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0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4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0"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Schedule</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9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42"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01"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Amended and Restated Certificate of Incorporation of Xometry, Inc., as currently in effect.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001-40546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July 2, 2021</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01"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Amended and Restated Bylaws of the Registrant, as currently in effect.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001-40546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July 2, 2021</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01"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Form of Class A Common Stock Certificate.</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333-256769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25, 2021</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01" w:type="dxa"/>
            <w:tcBorders/>
            <w:tcMar>
              <w:top w:w="0" w:type="dxa"/>
              <w:left w:w="0" w:type="dxa"/>
              <w:bottom w:w="0" w:type="dxa"/>
              <w:right w:w="0" w:type="dxa"/>
            </w:tcMar>
            <w:vAlign w:val="center"/>
          </w:tcPr>
          <w:p>
            <w:pPr>
              <w:pStyle w:val="TableContents"/>
              <w:bidi w:val="0"/>
              <w:spacing w:before="0" w:after="283"/>
              <w:jc w:val="left"/>
              <w:rPr/>
            </w:pPr>
            <w:hyperlink w:anchor="xmtr-ex5_1.htm">
              <w:r>
                <w:rPr>
                  <w:rStyle w:val="InternetLink"/>
                  <w:rFonts w:ascii="Times New Roman" w:hAnsi="Times New Roman"/>
                  <w:color w:val="0000FF"/>
                  <w:sz w:val="20"/>
                  <w:u w:val="single"/>
                </w:rPr>
                <w:t>Opinion of Cooley LLP.</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01" w:type="dxa"/>
            <w:tcBorders/>
            <w:tcMar>
              <w:top w:w="0" w:type="dxa"/>
              <w:left w:w="0" w:type="dxa"/>
              <w:bottom w:w="0" w:type="dxa"/>
              <w:right w:w="0" w:type="dxa"/>
            </w:tcMar>
            <w:vAlign w:val="center"/>
          </w:tcPr>
          <w:p>
            <w:pPr>
              <w:pStyle w:val="TableContents"/>
              <w:bidi w:val="0"/>
              <w:spacing w:before="0" w:after="283"/>
              <w:jc w:val="left"/>
              <w:rPr/>
            </w:pPr>
            <w:hyperlink w:anchor="xmtr-ex23_1.htm">
              <w:r>
                <w:rPr>
                  <w:rStyle w:val="InternetLink"/>
                  <w:rFonts w:ascii="Times New Roman" w:hAnsi="Times New Roman"/>
                  <w:color w:val="0000FF"/>
                  <w:sz w:val="20"/>
                  <w:u w:val="single"/>
                </w:rPr>
                <w:t>Consent of Deloitte &amp; Touche LLP,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01" w:type="dxa"/>
            <w:tcBorders/>
            <w:tcMar>
              <w:top w:w="0" w:type="dxa"/>
              <w:left w:w="0" w:type="dxa"/>
              <w:bottom w:w="0" w:type="dxa"/>
              <w:right w:w="0" w:type="dxa"/>
            </w:tcMar>
            <w:vAlign w:val="center"/>
          </w:tcPr>
          <w:p>
            <w:pPr>
              <w:pStyle w:val="TableContents"/>
              <w:bidi w:val="0"/>
              <w:spacing w:before="0" w:after="283"/>
              <w:jc w:val="left"/>
              <w:rPr/>
            </w:pPr>
            <w:hyperlink w:anchor="xmtr-ex23_2.htm">
              <w:r>
                <w:rPr>
                  <w:rStyle w:val="InternetLink"/>
                  <w:rFonts w:ascii="Times New Roman" w:hAnsi="Times New Roman"/>
                  <w:color w:val="0000FF"/>
                  <w:sz w:val="20"/>
                  <w:u w:val="single"/>
                </w:rPr>
                <w:t>Consent of KPMG LLP,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0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0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01" w:type="dxa"/>
            <w:tcBorders/>
            <w:tcMar>
              <w:top w:w="0" w:type="dxa"/>
              <w:left w:w="0" w:type="dxa"/>
              <w:bottom w:w="0" w:type="dxa"/>
              <w:right w:w="0" w:type="dxa"/>
            </w:tcMar>
            <w:vAlign w:val="center"/>
          </w:tcPr>
          <w:p>
            <w:pPr>
              <w:pStyle w:val="TableContents"/>
              <w:bidi w:val="0"/>
              <w:spacing w:before="0" w:after="283"/>
              <w:jc w:val="left"/>
              <w:rPr/>
            </w:pPr>
            <w:hyperlink w:anchor="xmtr-ex5_1.htm">
              <w:r>
                <w:rPr>
                  <w:rStyle w:val="InternetLink"/>
                  <w:rFonts w:ascii="Times New Roman" w:hAnsi="Times New Roman"/>
                  <w:color w:val="0000FF"/>
                  <w:sz w:val="20"/>
                  <w:u w:val="single"/>
                </w:rPr>
                <w:t>Consent of Cooley LLP (included in Exhibit 5.1).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01"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Power of Attorney (included on the signature page of this Form S-8)</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Xometry, Inc. 2021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333-256769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21, 2021</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Forms of grant notice, stock option agreement and notice of exercise under the Xometry, Inc. 2021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333-256769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25, 2021</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Forms of restricted stock unit grant notice and award agreement under the Xometry, Inc. 2021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333-256769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25, 2021</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tcBorders/>
            <w:tcMar>
              <w:top w:w="0" w:type="dxa"/>
              <w:left w:w="0" w:type="dxa"/>
              <w:bottom w:w="0" w:type="dxa"/>
              <w:right w:w="0" w:type="dxa"/>
            </w:tcMar>
            <w:vAlign w:val="center"/>
          </w:tcPr>
          <w:p>
            <w:pPr>
              <w:pStyle w:val="TableContents"/>
              <w:bidi w:val="0"/>
              <w:jc w:val="left"/>
              <w:rPr/>
            </w:pPr>
            <w:hyperlink r:id="rId17">
              <w:r>
                <w:rPr>
                  <w:rStyle w:val="InternetLink"/>
                  <w:rFonts w:ascii="Times New Roman" w:hAnsi="Times New Roman"/>
                  <w:color w:val="0000FF"/>
                  <w:sz w:val="20"/>
                  <w:u w:val="single"/>
                </w:rPr>
                <w:t>Form of performance restricted stock unit award agreement</w:t>
              </w:r>
            </w:hyperlink>
            <w:hyperlink r:id="rId18">
              <w:r>
                <w:rPr>
                  <w:rStyle w:val="InternetLink"/>
                  <w:rFonts w:ascii="Times New Roman" w:hAnsi="Times New Roman"/>
                  <w:color w:val="0000FF"/>
                  <w:sz w:val="24"/>
                  <w:u w:val="single"/>
                </w:rPr>
                <w:t xml:space="preserve"> </w:t>
              </w:r>
            </w:hyperlink>
            <w:hyperlink r:id="rId19">
              <w:r>
                <w:rPr>
                  <w:rStyle w:val="InternetLink"/>
                  <w:rFonts w:ascii="Times New Roman" w:hAnsi="Times New Roman"/>
                  <w:color w:val="0000FF"/>
                  <w:sz w:val="20"/>
                  <w:u w:val="single"/>
                </w:rPr>
                <w:t>under the Xometry, Inc. 2021 Equity Incentive Plan.</w:t>
              </w:r>
            </w:hyperlink>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001-40546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25, 2025</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tcBorders/>
            <w:tcMar>
              <w:top w:w="0" w:type="dxa"/>
              <w:left w:w="0" w:type="dxa"/>
              <w:bottom w:w="0" w:type="dxa"/>
              <w:right w:w="0" w:type="dxa"/>
            </w:tcMar>
            <w:vAlign w:val="center"/>
          </w:tcPr>
          <w:p>
            <w:pPr>
              <w:pStyle w:val="TableContents"/>
              <w:bidi w:val="0"/>
              <w:spacing w:before="0" w:after="283"/>
              <w:jc w:val="left"/>
              <w:rPr/>
            </w:pPr>
            <w:hyperlink w:anchor="xmtr-exfiling_fees.htm">
              <w:r>
                <w:rPr>
                  <w:rStyle w:val="InternetLink"/>
                  <w:rFonts w:ascii="Times New Roman" w:hAnsi="Times New Roman"/>
                  <w:color w:val="0000FF"/>
                  <w:sz w:val="20"/>
                  <w:u w:val="single"/>
                </w:rPr>
                <w:t>Calculation of Filing Fee Table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37" w:type="dxa"/>
        <w:jc w:val="left"/>
        <w:tblInd w:w="0" w:type="dxa"/>
        <w:tblLayout w:type="fixed"/>
        <w:tblCellMar>
          <w:top w:w="28" w:type="dxa"/>
          <w:left w:w="28" w:type="dxa"/>
          <w:bottom w:w="28" w:type="dxa"/>
          <w:right w:w="28" w:type="dxa"/>
        </w:tblCellMar>
      </w:tblPr>
      <w:tblGrid>
        <w:gridCol w:w="226"/>
        <w:gridCol w:w="1411"/>
      </w:tblGrid>
      <w:tr>
        <w:trPr/>
        <w:tc>
          <w:tcPr>
            <w:tcW w:w="22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Filed herewith.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z w:val="20"/>
        </w:rPr>
      </w:pPr>
      <w:bookmarkStart w:id="2" w:name="signatures"/>
      <w:bookmarkEnd w:id="2"/>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North Bethesda, in the State of Maryland, on this 24</w:t>
      </w:r>
      <w:r>
        <w:rPr>
          <w:rFonts w:ascii="Times New Roman" w:hAnsi="Times New Roman"/>
          <w:color w:val="000000"/>
          <w:sz w:val="13"/>
        </w:rPr>
        <w:t>th</w:t>
      </w:r>
      <w:r>
        <w:rPr>
          <w:rFonts w:ascii="Times New Roman" w:hAnsi="Times New Roman"/>
          <w:color w:val="000000"/>
          <w:sz w:val="20"/>
        </w:rPr>
        <w:t xml:space="preserve"> day of February, 2026. </w:t>
      </w:r>
    </w:p>
    <w:tbl>
      <w:tblPr>
        <w:tblW w:w="3718" w:type="dxa"/>
        <w:jc w:val="left"/>
        <w:tblInd w:w="0" w:type="dxa"/>
        <w:tblLayout w:type="fixed"/>
        <w:tblCellMar>
          <w:top w:w="28" w:type="dxa"/>
          <w:left w:w="28" w:type="dxa"/>
          <w:bottom w:w="28" w:type="dxa"/>
          <w:right w:w="28" w:type="dxa"/>
        </w:tblCellMar>
      </w:tblPr>
      <w:tblGrid>
        <w:gridCol w:w="421"/>
        <w:gridCol w:w="146"/>
        <w:gridCol w:w="3151"/>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1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XOMETRY, INC.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29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color w:val="000000"/>
                <w:sz w:val="20"/>
              </w:rPr>
            </w:pPr>
            <w:r>
              <w:rPr>
                <w:rFonts w:ascii="Times New Roman" w:hAnsi="Times New Roman"/>
                <w:color w:val="000000"/>
                <w:sz w:val="20"/>
              </w:rPr>
              <w:t>/s/ Randolph Altschuler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Randolph Altschuler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Executive Officer and Director</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POWER OF ATTORNEY</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color w:val="000000"/>
          <w:sz w:val="20"/>
        </w:rPr>
        <w:t>KNOW ALL PERSONS BY THESE PRESENTS</w:t>
      </w:r>
      <w:r>
        <w:rPr>
          <w:rFonts w:ascii="Times New Roman" w:hAnsi="Times New Roman"/>
          <w:color w:val="000000"/>
          <w:sz w:val="20"/>
        </w:rPr>
        <w:t xml:space="preserve">, that each person whose signature appears below constitutes and appoints Randolph Altschuler as his or her true and lawful attorney-in-fact and agent, with full power of substitution and resubstitution, for him or her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or she might or could do in person, hereby ratifying and confirming all that said attorney-in-fact and agent or his or her substitute or substitutes, may lawfully do or cause to be done by virtue hereof.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Act, this Registration Statement has been signed by the following persons in the capacities and on the dates indicated.</w:t>
      </w:r>
    </w:p>
    <w:p>
      <w:pPr>
        <w:pStyle w:val="TextBody"/>
        <w:bidi w:val="0"/>
        <w:jc w:val="both"/>
        <w:rPr/>
      </w:pPr>
      <w:r>
        <w:rPr/>
        <w:t> </w:t>
      </w:r>
    </w:p>
    <w:tbl>
      <w:tblPr>
        <w:tblW w:w="9643" w:type="dxa"/>
        <w:jc w:val="left"/>
        <w:tblInd w:w="0" w:type="dxa"/>
        <w:tblLayout w:type="fixed"/>
        <w:tblCellMar>
          <w:top w:w="28" w:type="dxa"/>
          <w:left w:w="28" w:type="dxa"/>
          <w:bottom w:w="28" w:type="dxa"/>
          <w:right w:w="28" w:type="dxa"/>
        </w:tblCellMar>
      </w:tblPr>
      <w:tblGrid>
        <w:gridCol w:w="2101"/>
        <w:gridCol w:w="286"/>
        <w:gridCol w:w="5466"/>
        <w:gridCol w:w="109"/>
        <w:gridCol w:w="1681"/>
      </w:tblGrid>
      <w:tr>
        <w:trPr/>
        <w:tc>
          <w:tcPr>
            <w:tcW w:w="210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Signature</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Title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pBdr>
                <w:bottom w:val="single" w:sz="8" w:space="1" w:color="000000"/>
              </w:pBdr>
              <w:bidi w:val="0"/>
              <w:jc w:val="center"/>
              <w:rPr>
                <w:rFonts w:ascii="Times New Roman" w:hAnsi="Times New Roman"/>
                <w:color w:val="000000"/>
                <w:sz w:val="20"/>
              </w:rPr>
            </w:pPr>
            <w:r>
              <w:rPr>
                <w:rFonts w:ascii="Times New Roman" w:hAnsi="Times New Roman"/>
                <w:color w:val="000000"/>
                <w:sz w:val="20"/>
              </w:rPr>
              <w:t>/s/ Randolph Altschuler</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Randolph Altschuler</w:t>
            </w:r>
          </w:p>
        </w:tc>
        <w:tc>
          <w:tcPr>
            <w:tcW w:w="28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5466" w:type="dxa"/>
            <w:tcBorders/>
            <w:tcMar>
              <w:top w:w="0" w:type="dxa"/>
              <w:left w:w="0" w:type="dxa"/>
              <w:bottom w:w="0" w:type="dxa"/>
              <w:right w:w="0" w:type="dxa"/>
            </w:tcMar>
            <w:vAlign w:val="center"/>
          </w:tcPr>
          <w:p>
            <w:pPr>
              <w:pStyle w:val="TableContents"/>
              <w:bidi w:val="0"/>
              <w:ind w:left="0" w:right="0" w:firstLine="200"/>
              <w:jc w:val="center"/>
              <w:rPr>
                <w:rFonts w:ascii="Times New Roman" w:hAnsi="Times New Roman"/>
                <w:color w:val="000000"/>
                <w:sz w:val="20"/>
              </w:rPr>
            </w:pPr>
            <w:r>
              <w:rPr>
                <w:rFonts w:ascii="Times New Roman" w:hAnsi="Times New Roman"/>
                <w:color w:val="000000"/>
                <w:sz w:val="20"/>
              </w:rPr>
              <w:t>Chief Executive Officer, Co-Founder and Director</w:t>
            </w:r>
          </w:p>
          <w:p>
            <w:pPr>
              <w:pStyle w:val="TableContents"/>
              <w:bidi w:val="0"/>
              <w:spacing w:before="0" w:after="20"/>
              <w:ind w:left="0" w:right="0" w:firstLine="20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24, 2026</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pBdr>
                <w:bottom w:val="single" w:sz="8" w:space="1" w:color="000000"/>
              </w:pBdr>
              <w:bidi w:val="0"/>
              <w:jc w:val="center"/>
              <w:rPr>
                <w:rFonts w:ascii="Times New Roman" w:hAnsi="Times New Roman"/>
                <w:color w:val="000000"/>
                <w:sz w:val="20"/>
              </w:rPr>
            </w:pPr>
            <w:r>
              <w:rPr>
                <w:rFonts w:ascii="Times New Roman" w:hAnsi="Times New Roman"/>
                <w:color w:val="000000"/>
                <w:sz w:val="20"/>
              </w:rPr>
              <w:t>/s/ James Miln</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James Miln</w:t>
            </w:r>
          </w:p>
        </w:tc>
        <w:tc>
          <w:tcPr>
            <w:tcW w:w="28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5466" w:type="dxa"/>
            <w:tcBorders/>
            <w:tcMar>
              <w:top w:w="0" w:type="dxa"/>
              <w:left w:w="0" w:type="dxa"/>
              <w:bottom w:w="0" w:type="dxa"/>
              <w:right w:w="0" w:type="dxa"/>
            </w:tcMar>
            <w:vAlign w:val="center"/>
          </w:tcPr>
          <w:p>
            <w:pPr>
              <w:pStyle w:val="TableContents"/>
              <w:bidi w:val="0"/>
              <w:ind w:left="0" w:right="0" w:firstLine="20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0"/>
              <w:ind w:left="0" w:right="0" w:firstLine="20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 and Principal Accounting Officer</w:t>
            </w: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February 24, 2026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Roy Azevedo</w:t>
            </w:r>
          </w:p>
        </w:tc>
        <w:tc>
          <w:tcPr>
            <w:tcW w:w="286"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5466" w:type="dxa"/>
            <w:tcBorders/>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 xml:space="preserve">Director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24, 2026</w:t>
            </w:r>
          </w:p>
        </w:tc>
      </w:tr>
      <w:tr>
        <w:trPr/>
        <w:tc>
          <w:tcPr>
            <w:tcW w:w="2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Roy Azevedo</w:t>
            </w:r>
          </w:p>
        </w:tc>
        <w:tc>
          <w:tcPr>
            <w:tcW w:w="575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Ranjana Clark</w:t>
            </w:r>
          </w:p>
        </w:tc>
        <w:tc>
          <w:tcPr>
            <w:tcW w:w="286"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5466" w:type="dxa"/>
            <w:tcBorders/>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24, 2026</w:t>
            </w:r>
          </w:p>
        </w:tc>
      </w:tr>
      <w:tr>
        <w:trPr/>
        <w:tc>
          <w:tcPr>
            <w:tcW w:w="2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Ranjana Clark</w:t>
            </w:r>
          </w:p>
        </w:tc>
        <w:tc>
          <w:tcPr>
            <w:tcW w:w="575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Emily Rollins</w:t>
            </w:r>
          </w:p>
        </w:tc>
        <w:tc>
          <w:tcPr>
            <w:tcW w:w="286"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5466" w:type="dxa"/>
            <w:tcBorders/>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24, 2026</w:t>
            </w:r>
          </w:p>
        </w:tc>
      </w:tr>
      <w:tr>
        <w:trPr/>
        <w:tc>
          <w:tcPr>
            <w:tcW w:w="2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Emily Rollins</w:t>
            </w:r>
          </w:p>
        </w:tc>
        <w:tc>
          <w:tcPr>
            <w:tcW w:w="28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546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546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Fabio Rosati</w:t>
            </w:r>
          </w:p>
        </w:tc>
        <w:tc>
          <w:tcPr>
            <w:tcW w:w="286"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5466" w:type="dxa"/>
            <w:tcBorders/>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24, 2026</w:t>
            </w:r>
          </w:p>
        </w:tc>
      </w:tr>
      <w:tr>
        <w:trPr/>
        <w:tc>
          <w:tcPr>
            <w:tcW w:w="2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Fabio Rosati</w:t>
            </w:r>
          </w:p>
        </w:tc>
        <w:tc>
          <w:tcPr>
            <w:tcW w:w="28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546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546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Katharine Weymouth</w:t>
            </w:r>
          </w:p>
        </w:tc>
        <w:tc>
          <w:tcPr>
            <w:tcW w:w="286"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5466" w:type="dxa"/>
            <w:tcBorders/>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24, 2026</w:t>
            </w:r>
          </w:p>
        </w:tc>
      </w:tr>
      <w:tr>
        <w:trPr/>
        <w:tc>
          <w:tcPr>
            <w:tcW w:w="2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Katharine Weymouth</w:t>
            </w:r>
          </w:p>
        </w:tc>
        <w:tc>
          <w:tcPr>
            <w:tcW w:w="28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546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480"/>
        <w:jc w:val="left"/>
        <w:rPr/>
      </w:pPr>
      <w:bookmarkStart w:id="3" w:name="xmtr-ex5_1.htm"/>
      <w:bookmarkStart w:id="4" w:name="ksxmtrex5_1"/>
      <w:bookmarkEnd w:id="3"/>
      <w:bookmarkEnd w:id="4"/>
      <w:r>
        <w:rPr/>
        <w:drawing>
          <wp:inline distT="0" distB="0" distL="0" distR="0">
            <wp:extent cx="129540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0"/>
                    <a:stretch>
                      <a:fillRect/>
                    </a:stretch>
                  </pic:blipFill>
                  <pic:spPr bwMode="auto">
                    <a:xfrm>
                      <a:off x="0" y="0"/>
                      <a:ext cx="1295400" cy="428625"/>
                    </a:xfrm>
                    <a:prstGeom prst="rect">
                      <a:avLst/>
                    </a:prstGeom>
                  </pic:spPr>
                </pic:pic>
              </a:graphicData>
            </a:graphic>
          </wp:inline>
        </w:drawing>
      </w:r>
      <w:r>
        <w:rPr>
          <w:color w:val="000000"/>
        </w:rPr>
        <w:t xml:space="preserve"> </w:t>
      </w:r>
      <w:r>
        <w:br w:type="page"/>
      </w:r>
    </w:p>
    <w:p>
      <w:pPr>
        <w:pStyle w:val="TextBody"/>
        <w:bidi w:val="0"/>
        <w:spacing w:before="0" w:after="480"/>
        <w:jc w:val="right"/>
        <w:rPr>
          <w:rFonts w:ascii="Times New Roman" w:hAnsi="Times New Roman"/>
          <w:sz w:val="20"/>
        </w:rPr>
      </w:pPr>
      <w:r>
        <w:rPr>
          <w:rFonts w:ascii="Arial" w:hAnsi="Arial"/>
          <w:b/>
          <w:color w:val="000000"/>
          <w:sz w:val="22"/>
        </w:rPr>
        <w:t>Exhibit 5.1</w:t>
      </w:r>
      <w:r>
        <w:rPr>
          <w:rFonts w:ascii="Times New Roman" w:hAnsi="Times New Roman"/>
          <w:color w:val="000000"/>
          <w:sz w:val="20"/>
        </w:rPr>
        <w:t xml:space="preserve"> </w:t>
      </w:r>
    </w:p>
    <w:tbl>
      <w:tblPr>
        <w:tblW w:w="2673" w:type="dxa"/>
        <w:jc w:val="left"/>
        <w:tblInd w:w="0" w:type="dxa"/>
        <w:tblLayout w:type="fixed"/>
        <w:tblCellMar>
          <w:top w:w="28" w:type="dxa"/>
          <w:left w:w="28" w:type="dxa"/>
          <w:bottom w:w="28" w:type="dxa"/>
          <w:right w:w="28" w:type="dxa"/>
        </w:tblCellMar>
      </w:tblPr>
      <w:tblGrid>
        <w:gridCol w:w="2374"/>
        <w:gridCol w:w="299"/>
      </w:tblGrid>
      <w:tr>
        <w:trPr/>
        <w:tc>
          <w:tcPr>
            <w:tcW w:w="237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ind w:left="0" w:right="0" w:firstLine="108"/>
              <w:jc w:val="left"/>
              <w:rPr>
                <w:sz w:val="4"/>
                <w:szCs w:val="4"/>
              </w:rPr>
            </w:pPr>
            <w:r>
              <w:rPr>
                <w:sz w:val="4"/>
                <w:szCs w:val="4"/>
              </w:rPr>
            </w:r>
          </w:p>
        </w:tc>
      </w:tr>
      <w:tr>
        <w:trPr/>
        <w:tc>
          <w:tcPr>
            <w:tcW w:w="2374" w:type="dxa"/>
            <w:tcBorders/>
            <w:tcMar>
              <w:top w:w="0" w:type="dxa"/>
              <w:left w:w="0" w:type="dxa"/>
              <w:bottom w:w="0" w:type="dxa"/>
              <w:right w:w="0" w:type="dxa"/>
            </w:tcMar>
            <w:vAlign w:val="center"/>
          </w:tcPr>
          <w:p>
            <w:pPr>
              <w:pStyle w:val="TableContents"/>
              <w:bidi w:val="0"/>
              <w:ind w:left="0" w:right="0" w:firstLine="108"/>
              <w:jc w:val="left"/>
              <w:rPr>
                <w:rFonts w:ascii="Arial" w:hAnsi="Arial"/>
                <w:color w:val="000000"/>
                <w:sz w:val="20"/>
              </w:rPr>
            </w:pPr>
            <w:r>
              <w:rPr>
                <w:rFonts w:ascii="Arial" w:hAnsi="Arial"/>
                <w:color w:val="000000"/>
                <w:sz w:val="20"/>
              </w:rPr>
              <w:t>Eric Blanchard</w:t>
            </w:r>
          </w:p>
          <w:p>
            <w:pPr>
              <w:pStyle w:val="TableContents"/>
              <w:bidi w:val="0"/>
              <w:ind w:left="0" w:right="0" w:firstLine="108"/>
              <w:jc w:val="left"/>
              <w:rPr>
                <w:rFonts w:ascii="Arial" w:hAnsi="Arial"/>
                <w:color w:val="000000"/>
                <w:sz w:val="20"/>
              </w:rPr>
            </w:pPr>
            <w:r>
              <w:rPr>
                <w:rFonts w:ascii="Arial" w:hAnsi="Arial"/>
                <w:color w:val="000000"/>
                <w:sz w:val="20"/>
              </w:rPr>
              <w:t>+1 617 937 2445</w:t>
            </w:r>
          </w:p>
          <w:p>
            <w:pPr>
              <w:pStyle w:val="TableContents"/>
              <w:bidi w:val="0"/>
              <w:spacing w:before="0" w:after="283"/>
              <w:ind w:left="0" w:right="0" w:firstLine="108"/>
              <w:jc w:val="left"/>
              <w:rPr>
                <w:rFonts w:ascii="Arial" w:hAnsi="Arial"/>
                <w:color w:val="000000"/>
                <w:sz w:val="20"/>
              </w:rPr>
            </w:pPr>
            <w:r>
              <w:rPr>
                <w:rFonts w:ascii="Arial" w:hAnsi="Arial"/>
                <w:color w:val="000000"/>
                <w:sz w:val="20"/>
              </w:rPr>
              <w:t>eblanchard@cooley.com</w:t>
            </w:r>
          </w:p>
        </w:tc>
        <w:tc>
          <w:tcPr>
            <w:tcW w:w="299"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r>
    </w:tbl>
    <w:p>
      <w:pPr>
        <w:pStyle w:val="TextBody"/>
        <w:bidi w:val="0"/>
        <w:jc w:val="left"/>
        <w:rPr/>
      </w:pPr>
      <w:r>
        <w:rPr/>
        <w:t> </w:t>
      </w:r>
    </w:p>
    <w:p>
      <w:pPr>
        <w:pStyle w:val="TextBody"/>
        <w:bidi w:val="0"/>
        <w:spacing w:before="360" w:after="240"/>
        <w:jc w:val="left"/>
        <w:rPr>
          <w:rFonts w:ascii="Arial" w:hAnsi="Arial"/>
          <w:color w:val="000000"/>
          <w:sz w:val="20"/>
        </w:rPr>
      </w:pPr>
      <w:r>
        <w:rPr>
          <w:rFonts w:ascii="Arial" w:hAnsi="Arial"/>
          <w:color w:val="000000"/>
          <w:sz w:val="20"/>
        </w:rPr>
        <w:t>February 24, 2026</w:t>
      </w:r>
    </w:p>
    <w:p>
      <w:pPr>
        <w:pStyle w:val="TextBody"/>
        <w:bidi w:val="0"/>
        <w:jc w:val="left"/>
        <w:rPr>
          <w:rFonts w:ascii="Arial" w:hAnsi="Arial"/>
          <w:color w:val="000000"/>
          <w:sz w:val="20"/>
        </w:rPr>
      </w:pPr>
      <w:r>
        <w:rPr>
          <w:rFonts w:ascii="Arial" w:hAnsi="Arial"/>
          <w:color w:val="000000"/>
          <w:sz w:val="20"/>
        </w:rPr>
        <w:t>Xometry, Inc.</w:t>
      </w:r>
    </w:p>
    <w:p>
      <w:pPr>
        <w:pStyle w:val="TextBody"/>
        <w:bidi w:val="0"/>
        <w:jc w:val="left"/>
        <w:rPr>
          <w:rFonts w:ascii="Times New Roman" w:hAnsi="Times New Roman"/>
          <w:sz w:val="20"/>
        </w:rPr>
      </w:pPr>
      <w:r>
        <w:rPr>
          <w:rFonts w:ascii="Arial" w:hAnsi="Arial"/>
          <w:color w:val="000000"/>
          <w:sz w:val="20"/>
        </w:rPr>
        <w:t>6116 Executive Blvd</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Suite 800</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North Bethesda, MD 20852</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Ladies and Gentlemen:</w:t>
      </w:r>
    </w:p>
    <w:p>
      <w:pPr>
        <w:pStyle w:val="TextBody"/>
        <w:bidi w:val="0"/>
        <w:jc w:val="left"/>
        <w:rPr/>
      </w:pPr>
      <w:r>
        <w:rPr/>
        <w:t> </w:t>
      </w:r>
    </w:p>
    <w:p>
      <w:pPr>
        <w:pStyle w:val="TextBody"/>
        <w:bidi w:val="0"/>
        <w:spacing w:before="0" w:after="240"/>
        <w:jc w:val="both"/>
        <w:rPr>
          <w:rFonts w:ascii="Times New Roman" w:hAnsi="Times New Roman"/>
          <w:sz w:val="20"/>
        </w:rPr>
      </w:pPr>
      <w:r>
        <w:rPr>
          <w:rFonts w:ascii="Arial" w:hAnsi="Arial"/>
          <w:color w:val="000000"/>
          <w:sz w:val="20"/>
        </w:rPr>
        <w:t>We have acted as counsel to Xometry, Inc., a Delaware corporation (the “</w:t>
      </w:r>
      <w:r>
        <w:rPr>
          <w:rFonts w:ascii="Arial" w:hAnsi="Arial"/>
          <w:b/>
          <w:i/>
          <w:color w:val="000000"/>
          <w:sz w:val="20"/>
        </w:rPr>
        <w:t>Company</w:t>
      </w:r>
      <w:r>
        <w:rPr>
          <w:rFonts w:ascii="Times New Roman" w:hAnsi="Times New Roman"/>
          <w:color w:val="000000"/>
          <w:sz w:val="20"/>
        </w:rPr>
        <w:t>”</w:t>
      </w:r>
      <w:r>
        <w:rPr>
          <w:rFonts w:ascii="Arial" w:hAnsi="Arial"/>
          <w:color w:val="000000"/>
          <w:sz w:val="20"/>
        </w:rPr>
        <w:t>), in connection with the filing of a Registration Statement on Form S-8 (the “</w:t>
      </w:r>
      <w:r>
        <w:rPr>
          <w:rFonts w:ascii="Arial" w:hAnsi="Arial"/>
          <w:b/>
          <w:i/>
          <w:color w:val="000000"/>
          <w:sz w:val="20"/>
        </w:rPr>
        <w:t>Registration Statement</w:t>
      </w:r>
      <w:r>
        <w:rPr>
          <w:rFonts w:ascii="Times New Roman" w:hAnsi="Times New Roman"/>
          <w:color w:val="000000"/>
          <w:sz w:val="20"/>
        </w:rPr>
        <w:t>”</w:t>
      </w:r>
      <w:r>
        <w:rPr>
          <w:rFonts w:ascii="Arial" w:hAnsi="Arial"/>
          <w:color w:val="000000"/>
          <w:sz w:val="20"/>
        </w:rPr>
        <w:t>) with the Securities and Exchange Commission (the “</w:t>
      </w:r>
      <w:r>
        <w:rPr>
          <w:rFonts w:ascii="Arial" w:hAnsi="Arial"/>
          <w:b/>
          <w:i/>
          <w:color w:val="000000"/>
          <w:sz w:val="20"/>
        </w:rPr>
        <w:t>Commission</w:t>
      </w:r>
      <w:r>
        <w:rPr>
          <w:rFonts w:ascii="Times New Roman" w:hAnsi="Times New Roman"/>
          <w:color w:val="000000"/>
          <w:sz w:val="20"/>
        </w:rPr>
        <w:t>”</w:t>
      </w:r>
      <w:r>
        <w:rPr>
          <w:rFonts w:ascii="Arial" w:hAnsi="Arial"/>
          <w:color w:val="000000"/>
          <w:sz w:val="20"/>
        </w:rPr>
        <w:t>) covering the offering of up to 2,565,876 shares (the “</w:t>
      </w:r>
      <w:r>
        <w:rPr>
          <w:rFonts w:ascii="Arial" w:hAnsi="Arial"/>
          <w:b/>
          <w:i/>
          <w:color w:val="000000"/>
          <w:sz w:val="20"/>
        </w:rPr>
        <w:t>Shares</w:t>
      </w:r>
      <w:r>
        <w:rPr>
          <w:rFonts w:ascii="Times New Roman" w:hAnsi="Times New Roman"/>
          <w:color w:val="000000"/>
          <w:sz w:val="20"/>
        </w:rPr>
        <w:t>”</w:t>
      </w:r>
      <w:r>
        <w:rPr>
          <w:rFonts w:ascii="Arial" w:hAnsi="Arial"/>
          <w:color w:val="000000"/>
          <w:sz w:val="20"/>
        </w:rPr>
        <w:t>) of the Company’s Class A Common Stock, $0.000001 par value per share issuable pursuant to the Xometry, Inc. 2021 Equity Incentive Plan (the “</w:t>
      </w:r>
      <w:r>
        <w:rPr>
          <w:rFonts w:ascii="Arial" w:hAnsi="Arial"/>
          <w:b/>
          <w:i/>
          <w:color w:val="000000"/>
          <w:sz w:val="20"/>
        </w:rPr>
        <w:t>2021 Plan</w:t>
      </w:r>
      <w:r>
        <w:rPr>
          <w:rFonts w:ascii="Times New Roman" w:hAnsi="Times New Roman"/>
          <w:color w:val="000000"/>
          <w:sz w:val="20"/>
        </w:rPr>
        <w:t>”</w:t>
      </w:r>
      <w:r>
        <w:rPr>
          <w:rFonts w:ascii="Arial" w:hAnsi="Arial"/>
          <w:color w:val="000000"/>
          <w:sz w:val="20"/>
        </w:rPr>
        <w:t>).</w:t>
      </w:r>
    </w:p>
    <w:p>
      <w:pPr>
        <w:pStyle w:val="TextBody"/>
        <w:bidi w:val="0"/>
        <w:spacing w:before="0" w:after="240"/>
        <w:jc w:val="both"/>
        <w:rPr>
          <w:rFonts w:ascii="Times New Roman" w:hAnsi="Times New Roman"/>
          <w:sz w:val="20"/>
        </w:rPr>
      </w:pPr>
      <w:r>
        <w:rPr>
          <w:rFonts w:ascii="Arial" w:hAnsi="Arial"/>
          <w:color w:val="000000"/>
          <w:sz w:val="20"/>
        </w:rPr>
        <w:t>In connection with this opinion, we have examined and relied upon (a) the Registration Statement and related prospectus, (b) the Company’s certificate of incorporation and bylaws, each as currently in effect, (c) the 2021 Plan, and (d) originals or copies certified to our satisfaction of such records, documents, opinions, certificates, memoranda and instruments as in our judgment are necessary or appropriate to enable us to render the opinion expressed below.</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0"/>
        </w:rPr>
        <w:t>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pStyle w:val="TextBody"/>
        <w:bidi w:val="0"/>
        <w:spacing w:before="0" w:after="240"/>
        <w:jc w:val="both"/>
        <w:rPr>
          <w:rFonts w:ascii="Arial" w:hAnsi="Arial"/>
          <w:color w:val="000000"/>
          <w:sz w:val="20"/>
        </w:rPr>
      </w:pPr>
      <w:r>
        <w:rPr>
          <w:rFonts w:ascii="Arial" w:hAnsi="Arial"/>
          <w:color w:val="000000"/>
          <w:sz w:val="20"/>
        </w:rPr>
        <w:t>On the basis of the foregoing, and in reliance thereon, we are of the opinion that the Shares, when sold and issued in accordance with the 2021 Plan, the Registration Statement and the related prospectus, will be validly issued, fully paid, and nonassessable (except as to shares issued pursuant to certain deferred payment arrangements, which will be fully paid and nonassessable when such deferred payments are made in full).</w:t>
      </w:r>
    </w:p>
    <w:p>
      <w:pPr>
        <w:pStyle w:val="TextBody"/>
        <w:bidi w:val="0"/>
        <w:jc w:val="both"/>
        <w:rPr>
          <w:rFonts w:ascii="Times New Roman" w:hAnsi="Times New Roman"/>
          <w:sz w:val="20"/>
        </w:rPr>
      </w:pPr>
      <w:r>
        <w:rPr>
          <w:rFonts w:ascii="Arial" w:hAnsi="Arial"/>
          <w:color w:val="000000"/>
          <w:sz w:val="20"/>
        </w:rPr>
        <w:t>This opinion is limited to the matters stated herein and no opinion is implied or may be inferred beyond the matters expressly stated. This opinion speaks only as to law and facts in effect or existing as of the date hereof and we have no obligation or responsibility to update or supplement this letter opinion to reflect any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14"/>
        </w:rPr>
        <w:t>Cooley LLP 500 Boylston Street 14</w:t>
      </w:r>
      <w:r>
        <w:rPr>
          <w:rFonts w:ascii="Arial" w:hAnsi="Arial"/>
          <w:color w:val="000000"/>
          <w:sz w:val="9"/>
        </w:rPr>
        <w:t>th</w:t>
      </w:r>
      <w:r>
        <w:rPr>
          <w:rFonts w:ascii="Times New Roman" w:hAnsi="Times New Roman"/>
          <w:color w:val="000000"/>
          <w:sz w:val="20"/>
        </w:rPr>
        <w:t xml:space="preserve"> </w:t>
      </w:r>
      <w:r>
        <w:rPr>
          <w:rFonts w:ascii="Arial" w:hAnsi="Arial"/>
          <w:color w:val="000000"/>
          <w:sz w:val="14"/>
        </w:rPr>
        <w:t>Floor Boston, MA 02116-3736</w:t>
        <w:br/>
        <w:t>t: (617) 937-2400 f: (617) 937-2300 cooley.com</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2553" w:type="dxa"/>
        <w:jc w:val="left"/>
        <w:tblInd w:w="0" w:type="dxa"/>
        <w:tblLayout w:type="fixed"/>
        <w:tblCellMar>
          <w:top w:w="28" w:type="dxa"/>
          <w:left w:w="28" w:type="dxa"/>
          <w:bottom w:w="28" w:type="dxa"/>
          <w:right w:w="28" w:type="dxa"/>
        </w:tblCellMar>
      </w:tblPr>
      <w:tblGrid>
        <w:gridCol w:w="2249"/>
        <w:gridCol w:w="304"/>
      </w:tblGrid>
      <w:tr>
        <w:trPr/>
        <w:tc>
          <w:tcPr>
            <w:tcW w:w="224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ind w:left="0" w:right="0" w:firstLine="108"/>
              <w:jc w:val="left"/>
              <w:rPr>
                <w:sz w:val="4"/>
                <w:szCs w:val="4"/>
              </w:rPr>
            </w:pPr>
            <w:r>
              <w:rPr>
                <w:sz w:val="4"/>
                <w:szCs w:val="4"/>
              </w:rPr>
            </w:r>
          </w:p>
        </w:tc>
      </w:tr>
      <w:tr>
        <w:trPr/>
        <w:tc>
          <w:tcPr>
            <w:tcW w:w="2249" w:type="dxa"/>
            <w:tcBorders/>
            <w:tcMar>
              <w:top w:w="0" w:type="dxa"/>
              <w:left w:w="0" w:type="dxa"/>
              <w:bottom w:w="0" w:type="dxa"/>
              <w:right w:w="0" w:type="dxa"/>
            </w:tcMar>
            <w:vAlign w:val="center"/>
          </w:tcPr>
          <w:p>
            <w:pPr>
              <w:pStyle w:val="TableContents"/>
              <w:bidi w:val="0"/>
              <w:spacing w:before="0" w:after="120"/>
              <w:ind w:left="0" w:right="0" w:firstLine="108"/>
              <w:jc w:val="left"/>
              <w:rPr/>
            </w:pPr>
            <w:r>
              <w:rPr/>
              <w:drawing>
                <wp:inline distT="0" distB="0" distL="0" distR="0">
                  <wp:extent cx="1295400" cy="428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1"/>
                          <a:stretch>
                            <a:fillRect/>
                          </a:stretch>
                        </pic:blipFill>
                        <pic:spPr bwMode="auto">
                          <a:xfrm>
                            <a:off x="0" y="0"/>
                            <a:ext cx="1295400" cy="428625"/>
                          </a:xfrm>
                          <a:prstGeom prst="rect">
                            <a:avLst/>
                          </a:prstGeom>
                        </pic:spPr>
                      </pic:pic>
                    </a:graphicData>
                  </a:graphic>
                </wp:inline>
              </w:drawing>
            </w:r>
          </w:p>
        </w:tc>
        <w:tc>
          <w:tcPr>
            <w:tcW w:w="304" w:type="dxa"/>
            <w:tcBorders/>
            <w:tcMar>
              <w:top w:w="0" w:type="dxa"/>
              <w:left w:w="0" w:type="dxa"/>
              <w:bottom w:w="0" w:type="dxa"/>
              <w:right w:w="0" w:type="dxa"/>
            </w:tcMar>
            <w:vAlign w:val="center"/>
          </w:tcPr>
          <w:p>
            <w:pPr>
              <w:pStyle w:val="TableContents"/>
              <w:bidi w:val="0"/>
              <w:spacing w:before="0" w:after="283"/>
              <w:ind w:left="0" w:right="0" w:firstLine="108"/>
              <w:jc w:val="right"/>
              <w:rPr/>
            </w:pPr>
            <w:r>
              <w:rPr/>
              <w:t> </w:t>
            </w:r>
          </w:p>
        </w:tc>
      </w:tr>
      <w:tr>
        <w:trPr/>
        <w:tc>
          <w:tcPr>
            <w:tcW w:w="2249" w:type="dxa"/>
            <w:tcBorders/>
            <w:tcMar>
              <w:top w:w="0" w:type="dxa"/>
              <w:left w:w="0" w:type="dxa"/>
              <w:bottom w:w="0" w:type="dxa"/>
              <w:right w:w="0" w:type="dxa"/>
            </w:tcMar>
            <w:vAlign w:val="center"/>
          </w:tcPr>
          <w:p>
            <w:pPr>
              <w:pStyle w:val="TableContents"/>
              <w:bidi w:val="0"/>
              <w:ind w:left="0" w:right="0" w:firstLine="108"/>
              <w:jc w:val="left"/>
              <w:rPr/>
            </w:pPr>
            <w:r>
              <w:rPr/>
              <w:t> </w:t>
            </w:r>
          </w:p>
          <w:p>
            <w:pPr>
              <w:pStyle w:val="TableContents"/>
              <w:bidi w:val="0"/>
              <w:spacing w:before="0" w:after="283"/>
              <w:ind w:left="0" w:right="0" w:firstLine="108"/>
              <w:jc w:val="left"/>
              <w:rPr/>
            </w:pPr>
            <w:r>
              <w:rPr/>
              <w:t> </w:t>
            </w:r>
          </w:p>
        </w:tc>
        <w:tc>
          <w:tcPr>
            <w:tcW w:w="30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r>
      <w:tr>
        <w:trPr/>
        <w:tc>
          <w:tcPr>
            <w:tcW w:w="2249"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304"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r>
      <w:tr>
        <w:trPr/>
        <w:tc>
          <w:tcPr>
            <w:tcW w:w="2249" w:type="dxa"/>
            <w:tcBorders/>
            <w:tcMar>
              <w:top w:w="0" w:type="dxa"/>
              <w:left w:w="0" w:type="dxa"/>
              <w:bottom w:w="0" w:type="dxa"/>
              <w:right w:w="0" w:type="dxa"/>
            </w:tcMar>
            <w:vAlign w:val="center"/>
          </w:tcPr>
          <w:p>
            <w:pPr>
              <w:pStyle w:val="TableContents"/>
              <w:bidi w:val="0"/>
              <w:ind w:left="0" w:right="0" w:firstLine="113"/>
              <w:jc w:val="left"/>
              <w:rPr>
                <w:rFonts w:ascii="Arial" w:hAnsi="Arial"/>
                <w:color w:val="000000"/>
                <w:sz w:val="20"/>
              </w:rPr>
            </w:pPr>
            <w:r>
              <w:rPr>
                <w:rFonts w:ascii="Arial" w:hAnsi="Arial"/>
                <w:color w:val="000000"/>
                <w:sz w:val="20"/>
              </w:rPr>
              <w:t>Xometry, Inc.</w:t>
            </w:r>
          </w:p>
          <w:p>
            <w:pPr>
              <w:pStyle w:val="TableContents"/>
              <w:bidi w:val="0"/>
              <w:ind w:left="0" w:right="0" w:firstLine="113"/>
              <w:jc w:val="left"/>
              <w:rPr>
                <w:rFonts w:ascii="Arial" w:hAnsi="Arial"/>
                <w:color w:val="000000"/>
                <w:sz w:val="20"/>
              </w:rPr>
            </w:pPr>
            <w:r>
              <w:rPr>
                <w:rFonts w:ascii="Arial" w:hAnsi="Arial"/>
                <w:color w:val="000000"/>
                <w:sz w:val="20"/>
              </w:rPr>
              <w:t>February 24, 2026</w:t>
            </w:r>
          </w:p>
          <w:p>
            <w:pPr>
              <w:pStyle w:val="TableContents"/>
              <w:bidi w:val="0"/>
              <w:spacing w:before="0" w:after="283"/>
              <w:ind w:left="0" w:right="0" w:firstLine="108"/>
              <w:jc w:val="left"/>
              <w:rPr>
                <w:rFonts w:ascii="Arial" w:hAnsi="Arial"/>
                <w:color w:val="000000"/>
                <w:sz w:val="20"/>
              </w:rPr>
            </w:pPr>
            <w:r>
              <w:rPr>
                <w:rFonts w:ascii="Arial" w:hAnsi="Arial"/>
                <w:color w:val="000000"/>
                <w:sz w:val="20"/>
              </w:rPr>
              <w:t>Page 2</w:t>
            </w:r>
          </w:p>
        </w:tc>
        <w:tc>
          <w:tcPr>
            <w:tcW w:w="30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r>
    </w:tbl>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facts or circumstances that may hereafter come to our attention or any changes in law that may hereafter occur.</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We hereby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Sincerely,</w:t>
      </w:r>
    </w:p>
    <w:p>
      <w:pPr>
        <w:pStyle w:val="TextBody"/>
        <w:bidi w:val="0"/>
        <w:jc w:val="left"/>
        <w:rPr>
          <w:rFonts w:ascii="Arial" w:hAnsi="Arial"/>
          <w:color w:val="000000"/>
          <w:sz w:val="20"/>
        </w:rPr>
      </w:pPr>
      <w:r>
        <w:rPr>
          <w:rFonts w:ascii="Arial" w:hAnsi="Arial"/>
          <w:color w:val="000000"/>
          <w:sz w:val="20"/>
        </w:rPr>
        <w:t>Cooley LLP</w:t>
      </w:r>
    </w:p>
    <w:p>
      <w:pPr>
        <w:pStyle w:val="TextBody"/>
        <w:bidi w:val="0"/>
        <w:spacing w:before="720" w:after="283"/>
        <w:jc w:val="left"/>
        <w:rPr>
          <w:rFonts w:ascii="Times New Roman" w:hAnsi="Times New Roman"/>
          <w:sz w:val="20"/>
        </w:rPr>
      </w:pPr>
      <w:r>
        <w:rPr>
          <w:rFonts w:ascii="Arial" w:hAnsi="Arial"/>
          <w:color w:val="000000"/>
          <w:sz w:val="20"/>
        </w:rPr>
        <w:t>By:</w:t>
      </w:r>
      <w:r>
        <w:rPr>
          <w:rFonts w:ascii="Times New Roman" w:hAnsi="Times New Roman"/>
          <w:color w:val="000000"/>
          <w:sz w:val="20"/>
          <w:u w:val="single"/>
        </w:rPr>
        <w:t xml:space="preserve"> </w:t>
      </w:r>
      <w:r>
        <w:rPr>
          <w:rFonts w:ascii="Arial" w:hAnsi="Arial"/>
          <w:color w:val="000000"/>
          <w:sz w:val="20"/>
          <w:u w:val="single"/>
        </w:rPr>
        <w:t>/s/ Eric Blanchard</w:t>
      </w:r>
      <w:r>
        <w:rPr>
          <w:rFonts w:ascii="Times New Roman" w:hAnsi="Times New Roman"/>
          <w:color w:val="000000"/>
          <w:sz w:val="20"/>
          <w:u w:val="single"/>
        </w:rPr>
        <w:t xml:space="preserve"> </w:t>
      </w:r>
    </w:p>
    <w:p>
      <w:pPr>
        <w:pStyle w:val="TextBody"/>
        <w:bidi w:val="0"/>
        <w:jc w:val="left"/>
        <w:rPr>
          <w:rFonts w:ascii="Arial" w:hAnsi="Arial"/>
          <w:color w:val="000000"/>
          <w:sz w:val="20"/>
        </w:rPr>
      </w:pPr>
      <w:r>
        <w:rPr>
          <w:rFonts w:ascii="Arial" w:hAnsi="Arial"/>
          <w:color w:val="000000"/>
          <w:sz w:val="20"/>
        </w:rPr>
        <w:t>Eric Blanchard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Arial" w:hAnsi="Arial"/>
          <w:color w:val="000000"/>
          <w:sz w:val="14"/>
        </w:rPr>
        <w:t>Cooley LLP 500 Boylston Street 14</w:t>
      </w:r>
      <w:r>
        <w:rPr>
          <w:rFonts w:ascii="Arial" w:hAnsi="Arial"/>
          <w:color w:val="000000"/>
          <w:sz w:val="9"/>
        </w:rPr>
        <w:t>th</w:t>
      </w:r>
      <w:r>
        <w:rPr>
          <w:rFonts w:ascii="Times New Roman" w:hAnsi="Times New Roman"/>
          <w:color w:val="000000"/>
          <w:sz w:val="20"/>
        </w:rPr>
        <w:t xml:space="preserve"> </w:t>
      </w:r>
      <w:r>
        <w:rPr>
          <w:rFonts w:ascii="Arial" w:hAnsi="Arial"/>
          <w:color w:val="000000"/>
          <w:sz w:val="14"/>
        </w:rPr>
        <w:t>Floor Boston, MA 02116-3736</w:t>
        <w:br/>
        <w:t>t: (617) 937-2400 f: (617) 937-2300 cooley.com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720" w:after="360"/>
        <w:jc w:val="right"/>
        <w:rPr>
          <w:rFonts w:ascii="Arial" w:hAnsi="Arial"/>
          <w:b/>
          <w:color w:val="000000"/>
          <w:sz w:val="20"/>
        </w:rPr>
      </w:pPr>
      <w:bookmarkStart w:id="5" w:name="xmtr-ex23_1.htm"/>
      <w:bookmarkStart w:id="6" w:name="ksxmtrex23_1"/>
      <w:bookmarkEnd w:id="5"/>
      <w:bookmarkEnd w:id="6"/>
      <w:r>
        <w:rPr>
          <w:rFonts w:ascii="Arial" w:hAnsi="Arial"/>
          <w:b/>
          <w:color w:val="000000"/>
          <w:sz w:val="20"/>
        </w:rPr>
        <w:t>Exhibit 23.1</w:t>
      </w:r>
      <w:r>
        <w:br w:type="page"/>
      </w:r>
    </w:p>
    <w:p>
      <w:pPr>
        <w:pStyle w:val="TextBody"/>
        <w:bidi w:val="0"/>
        <w:spacing w:before="0" w:after="40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We consent to the incorporation by reference in this Registration Statement on Form S-8 of our reports dated February 24, 2026 relating to the financial statements of Xometry, Inc. and the effectiveness of Xometry, Inc.'s internal control over financial reporting, appearing in the Annual Report on Form 10-K of Xometry, Inc. for the year ended December 31, 2025. </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McLean, Virginia</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February 24, 2026</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7" w:name="xmtr-ex23_2.htm"/>
      <w:bookmarkStart w:id="8" w:name="ksxmtrex23_2"/>
      <w:bookmarkEnd w:id="7"/>
      <w:bookmarkEnd w:id="8"/>
      <w:r>
        <w:rPr>
          <w:rFonts w:ascii="Arial" w:hAnsi="Arial"/>
          <w:b/>
          <w:color w:val="000000"/>
          <w:sz w:val="20"/>
        </w:rPr>
        <w:t>Exhibit 23.2</w:t>
      </w:r>
      <w:r>
        <w:br w:type="page"/>
      </w:r>
    </w:p>
    <w:p>
      <w:pPr>
        <w:pStyle w:val="TextBody"/>
        <w:bidi w:val="0"/>
        <w:jc w:val="right"/>
        <w:rPr/>
      </w:pPr>
      <w:r>
        <w:rPr/>
        <w:t> </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consent to the use of our report dated February 25, 2025, with respect to the consolidated financial statements of Xometry, Inc., incorporated herein by reference.</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/s/ KPMG LLP</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McLean, Virginia</w:t>
        <w:br/>
        <w:t>February 24,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9" w:name="xmtr-exfiling_fees.htm"/>
      <w:bookmarkStart w:id="10" w:name="ksxmtrexfiling_fees"/>
      <w:bookmarkStart w:id="11" w:name="xmtr-exfiling_fees.htm"/>
      <w:bookmarkStart w:id="12" w:name="ksxmtrexfiling_fees"/>
      <w:bookmarkEnd w:id="11"/>
      <w:bookmarkEnd w:id="12"/>
      <w:r>
        <w:br w:type="page"/>
      </w:r>
    </w:p>
    <w:tbl>
      <w:tblPr>
        <w:tblW w:w="3555" w:type="dxa"/>
        <w:jc w:val="left"/>
        <w:tblInd w:w="0" w:type="dxa"/>
        <w:tblLayout w:type="fixed"/>
        <w:tblCellMar>
          <w:top w:w="28" w:type="dxa"/>
          <w:left w:w="28" w:type="dxa"/>
          <w:bottom w:w="28" w:type="dxa"/>
          <w:right w:w="28" w:type="dxa"/>
        </w:tblCellMar>
      </w:tblPr>
      <w:tblGrid>
        <w:gridCol w:w="3401"/>
        <w:gridCol w:w="154"/>
      </w:tblGrid>
      <w:tr>
        <w:trPr/>
        <w:tc>
          <w:tcPr>
            <w:tcW w:w="355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1"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01" w:type="dxa"/>
            <w:tcBorders/>
            <w:vAlign w:val="center"/>
          </w:tcPr>
          <w:p>
            <w:pPr>
              <w:pStyle w:val="TableContents"/>
              <w:bidi w:val="0"/>
              <w:spacing w:before="0" w:after="283"/>
              <w:jc w:val="left"/>
              <w:rPr>
                <w:b/>
              </w:rPr>
            </w:pPr>
            <w:r>
              <w:rPr>
                <w:b/>
              </w:rPr>
              <w:t xml:space="preserve">Xometry,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49"/>
        <w:gridCol w:w="1033"/>
        <w:gridCol w:w="1282"/>
        <w:gridCol w:w="1191"/>
        <w:gridCol w:w="1176"/>
        <w:gridCol w:w="1798"/>
        <w:gridCol w:w="1126"/>
        <w:gridCol w:w="1409"/>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49"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33"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82"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91"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7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98"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09"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49" w:type="dxa"/>
            <w:tcBorders/>
            <w:shd w:fill="E7E7E2" w:val="clear"/>
            <w:vAlign w:val="center"/>
          </w:tcPr>
          <w:p>
            <w:pPr>
              <w:pStyle w:val="TableContents"/>
              <w:bidi w:val="0"/>
              <w:spacing w:before="0" w:after="283"/>
              <w:jc w:val="left"/>
              <w:rPr/>
            </w:pPr>
            <w:r>
              <w:rPr/>
              <w:t xml:space="preserve">Equity </w:t>
            </w:r>
          </w:p>
        </w:tc>
        <w:tc>
          <w:tcPr>
            <w:tcW w:w="1033" w:type="dxa"/>
            <w:tcBorders/>
            <w:shd w:fill="E7E7E2" w:val="clear"/>
            <w:vAlign w:val="center"/>
          </w:tcPr>
          <w:p>
            <w:pPr>
              <w:pStyle w:val="TableContents"/>
              <w:bidi w:val="0"/>
              <w:spacing w:before="0" w:after="283"/>
              <w:jc w:val="left"/>
              <w:rPr/>
            </w:pPr>
            <w:r>
              <w:rPr/>
              <w:t xml:space="preserve">Class A Common Stock, $0.000001 par value per share, 2021 Equity Incentive Plan </w:t>
            </w:r>
          </w:p>
        </w:tc>
        <w:tc>
          <w:tcPr>
            <w:tcW w:w="1282" w:type="dxa"/>
            <w:tcBorders/>
            <w:shd w:fill="E7E7E2" w:val="clear"/>
            <w:vAlign w:val="center"/>
          </w:tcPr>
          <w:p>
            <w:pPr>
              <w:pStyle w:val="TableContents"/>
              <w:bidi w:val="0"/>
              <w:spacing w:before="0" w:after="283"/>
              <w:jc w:val="center"/>
              <w:rPr/>
            </w:pPr>
            <w:r>
              <w:rPr/>
              <w:t xml:space="preserve">Other </w:t>
            </w:r>
          </w:p>
        </w:tc>
        <w:tc>
          <w:tcPr>
            <w:tcW w:w="1191" w:type="dxa"/>
            <w:tcBorders/>
            <w:shd w:fill="E7E7E2" w:val="clear"/>
            <w:vAlign w:val="center"/>
          </w:tcPr>
          <w:p>
            <w:pPr>
              <w:pStyle w:val="TableContents"/>
              <w:bidi w:val="0"/>
              <w:spacing w:before="0" w:after="283"/>
              <w:jc w:val="right"/>
              <w:rPr/>
            </w:pPr>
            <w:r>
              <w:rPr/>
              <w:t xml:space="preserve">2,565,876 </w:t>
            </w:r>
          </w:p>
        </w:tc>
        <w:tc>
          <w:tcPr>
            <w:tcW w:w="1176" w:type="dxa"/>
            <w:tcBorders/>
            <w:shd w:fill="E7E7E2" w:val="clear"/>
            <w:vAlign w:val="center"/>
          </w:tcPr>
          <w:p>
            <w:pPr>
              <w:pStyle w:val="TableContents"/>
              <w:bidi w:val="0"/>
              <w:spacing w:before="0" w:after="283"/>
              <w:jc w:val="right"/>
              <w:rPr/>
            </w:pPr>
            <w:r>
              <w:rPr/>
              <w:t xml:space="preserve">$ 54.82 </w:t>
            </w:r>
          </w:p>
        </w:tc>
        <w:tc>
          <w:tcPr>
            <w:tcW w:w="1798" w:type="dxa"/>
            <w:tcBorders/>
            <w:shd w:fill="E7E7E2" w:val="clear"/>
            <w:vAlign w:val="center"/>
          </w:tcPr>
          <w:p>
            <w:pPr>
              <w:pStyle w:val="TableContents"/>
              <w:bidi w:val="0"/>
              <w:spacing w:before="0" w:after="283"/>
              <w:jc w:val="right"/>
              <w:rPr/>
            </w:pPr>
            <w:r>
              <w:rPr/>
              <w:t xml:space="preserve">$ 140,661,322.32 </w:t>
            </w:r>
          </w:p>
        </w:tc>
        <w:tc>
          <w:tcPr>
            <w:tcW w:w="1126" w:type="dxa"/>
            <w:tcBorders/>
            <w:shd w:fill="E7E7E2" w:val="clear"/>
            <w:vAlign w:val="center"/>
          </w:tcPr>
          <w:p>
            <w:pPr>
              <w:pStyle w:val="TableContents"/>
              <w:bidi w:val="0"/>
              <w:spacing w:before="0" w:after="283"/>
              <w:jc w:val="right"/>
              <w:rPr/>
            </w:pPr>
            <w:r>
              <w:rPr/>
              <w:t xml:space="preserve">0.0001381 </w:t>
            </w:r>
          </w:p>
        </w:tc>
        <w:tc>
          <w:tcPr>
            <w:tcW w:w="1409" w:type="dxa"/>
            <w:tcBorders/>
            <w:shd w:fill="E7E7E2" w:val="clear"/>
            <w:vAlign w:val="center"/>
          </w:tcPr>
          <w:p>
            <w:pPr>
              <w:pStyle w:val="TableContents"/>
              <w:bidi w:val="0"/>
              <w:spacing w:before="0" w:after="283"/>
              <w:jc w:val="right"/>
              <w:rPr/>
            </w:pPr>
            <w:r>
              <w:rPr/>
              <w:t xml:space="preserve">$ 19,425.33 </w:t>
            </w:r>
          </w:p>
        </w:tc>
      </w:tr>
      <w:tr>
        <w:trPr/>
        <w:tc>
          <w:tcPr>
            <w:tcW w:w="4696" w:type="dxa"/>
            <w:gridSpan w:val="5"/>
            <w:tcBorders/>
            <w:vAlign w:val="center"/>
          </w:tcPr>
          <w:p>
            <w:pPr>
              <w:pStyle w:val="TableContents"/>
              <w:bidi w:val="0"/>
              <w:spacing w:before="0" w:after="0"/>
              <w:ind w:left="0" w:right="0" w:hanging="0"/>
              <w:jc w:val="right"/>
              <w:rPr/>
            </w:pPr>
            <w:r>
              <w:rPr/>
              <w:t>Total Offering Amounts:</w:t>
            </w:r>
          </w:p>
        </w:tc>
        <w:tc>
          <w:tcPr>
            <w:tcW w:w="1176"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0"/>
              <w:ind w:left="0" w:right="0" w:hanging="0"/>
              <w:jc w:val="right"/>
              <w:rPr/>
            </w:pPr>
            <w:bookmarkStart w:id="13" w:name="MaxAggtOfferingPrice"/>
            <w:bookmarkEnd w:id="13"/>
            <w:r>
              <w:rPr/>
              <w:t xml:space="preserve">$ 140,661,322.32 </w:t>
            </w:r>
          </w:p>
        </w:tc>
        <w:tc>
          <w:tcPr>
            <w:tcW w:w="1126" w:type="dxa"/>
            <w:tcBorders/>
            <w:vAlign w:val="center"/>
          </w:tcPr>
          <w:p>
            <w:pPr>
              <w:pStyle w:val="TableContents"/>
              <w:bidi w:val="0"/>
              <w:spacing w:before="0" w:after="283"/>
              <w:jc w:val="left"/>
              <w:rPr>
                <w:sz w:val="4"/>
                <w:szCs w:val="4"/>
              </w:rPr>
            </w:pPr>
            <w:r>
              <w:rPr>
                <w:sz w:val="4"/>
                <w:szCs w:val="4"/>
              </w:rPr>
            </w:r>
          </w:p>
        </w:tc>
        <w:tc>
          <w:tcPr>
            <w:tcW w:w="1409"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4" w:name="TotalFeeAmt"/>
            <w:bookmarkEnd w:id="14"/>
            <w:r>
              <w:rPr/>
              <w:t xml:space="preserve">$ 19,425.33 </w:t>
            </w:r>
          </w:p>
        </w:tc>
      </w:tr>
      <w:tr>
        <w:trPr/>
        <w:tc>
          <w:tcPr>
            <w:tcW w:w="4696" w:type="dxa"/>
            <w:gridSpan w:val="5"/>
            <w:tcBorders/>
            <w:vAlign w:val="center"/>
          </w:tcPr>
          <w:p>
            <w:pPr>
              <w:pStyle w:val="TableContents"/>
              <w:bidi w:val="0"/>
              <w:spacing w:before="0" w:after="0"/>
              <w:ind w:left="0" w:right="0" w:hanging="0"/>
              <w:jc w:val="right"/>
              <w:rPr/>
            </w:pPr>
            <w:r>
              <w:rPr/>
              <w:t xml:space="preserve">Total Fee Offsets: </w:t>
            </w:r>
          </w:p>
        </w:tc>
        <w:tc>
          <w:tcPr>
            <w:tcW w:w="1176"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0"/>
              <w:ind w:left="0" w:right="0" w:hanging="0"/>
              <w:jc w:val="right"/>
              <w:rPr/>
            </w:pPr>
            <w:bookmarkStart w:id="15" w:name="TotalOffsetAmt"/>
            <w:bookmarkEnd w:id="15"/>
            <w:r>
              <w:rPr/>
              <w:t xml:space="preserve">$ 0.00 </w:t>
            </w:r>
          </w:p>
        </w:tc>
      </w:tr>
      <w:tr>
        <w:trPr/>
        <w:tc>
          <w:tcPr>
            <w:tcW w:w="4696" w:type="dxa"/>
            <w:gridSpan w:val="5"/>
            <w:tcBorders/>
            <w:vAlign w:val="center"/>
          </w:tcPr>
          <w:p>
            <w:pPr>
              <w:pStyle w:val="TableContents"/>
              <w:bidi w:val="0"/>
              <w:spacing w:before="0" w:after="0"/>
              <w:ind w:left="0" w:right="0" w:hanging="0"/>
              <w:jc w:val="right"/>
              <w:rPr/>
            </w:pPr>
            <w:r>
              <w:rPr/>
              <w:t xml:space="preserve">Net Fee Due: </w:t>
            </w:r>
          </w:p>
        </w:tc>
        <w:tc>
          <w:tcPr>
            <w:tcW w:w="1176"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0"/>
              <w:ind w:left="0" w:right="0" w:hanging="0"/>
              <w:jc w:val="right"/>
              <w:rPr/>
            </w:pPr>
            <w:bookmarkStart w:id="16" w:name="NetFeeAmt"/>
            <w:bookmarkEnd w:id="16"/>
            <w:r>
              <w:rPr/>
              <w:t xml:space="preserve">$ 19,425.33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5"/>
        <w:gridCol w:w="8710"/>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Pursuant to Rule 416(a) promulgated under the Securities Act of 1933, as amended (the "Securities Act"), this Registration Statement shall also cover any additional shares of Class A common stock of Xometry, Inc. (the "Registrant") that become issuable under the Registrant's 2021 Equity Incentive Plan (the "2021 Plan") by reason of any stock dividend, stock split, recapitalization, or other similar transaction effected that results in an increase to the number of outstanding shares of the Registrant's Class A common stock, as applicable. The amount registered represents shares of Class A common stock that were added to the shares reserved for future issuance under the 2021 Plan on January 1, 2026, pursuant to an automatic annual increase equal to 5.0% of the total number of shares of the Registrant's Class A common stock and Class B common stock outstanding on December 31 of the preceding year, which annual increase is provided by the 2021 Plan. The proposed maximum offering price per unit and proposed maximum aggregate offering price are estimated in accordance with Rules 457(c) and 457(h) solely for the purpose of calculating the registration fee on the basis of $54.82 per share, which is the average of the high and low prices per share of the Registrant's Class A common stock on February 23, 2026 as reported on the Nasdaq Global Select Market.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2107" w:type="dxa"/>
        <w:jc w:val="left"/>
        <w:tblInd w:w="0" w:type="dxa"/>
        <w:tblLayout w:type="fixed"/>
        <w:tblCellMar>
          <w:top w:w="28" w:type="dxa"/>
          <w:left w:w="28" w:type="dxa"/>
          <w:bottom w:w="28" w:type="dxa"/>
          <w:right w:w="28" w:type="dxa"/>
        </w:tblCellMar>
      </w:tblPr>
      <w:tblGrid>
        <w:gridCol w:w="871"/>
        <w:gridCol w:w="346"/>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346"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57573/000119312521207718/d123069ds8.htm" TargetMode="External"/><Relationship Id="rId3" Type="http://schemas.openxmlformats.org/officeDocument/2006/relationships/hyperlink" Target="https://www.sec.gov/Archives/edgar/data/1657573/000119312522079630/d282264ds8.htm" TargetMode="External"/><Relationship Id="rId4" Type="http://schemas.openxmlformats.org/officeDocument/2006/relationships/hyperlink" Target="https://www.sec.gov/Archives/edgar/data/1657573/000119312523073986/d483305ds8.htm" TargetMode="External"/><Relationship Id="rId5" Type="http://schemas.openxmlformats.org/officeDocument/2006/relationships/hyperlink" Target="https://www.sec.gov/Archives/edgar/data/1657573/000095017024023261/2024_s-8.htm" TargetMode="External"/><Relationship Id="rId6" Type="http://schemas.openxmlformats.org/officeDocument/2006/relationships/hyperlink" Target="https://www.sec.gov/Archives/edgar/data/1657573/000095017025026765/xmtr-20250225.htm" TargetMode="External"/><Relationship Id="rId7" Type="http://schemas.openxmlformats.org/officeDocument/2006/relationships/hyperlink" Target="https://www.sec.gov/Archives/edgar/data/1657573/000119312526066959/xmtr-20251231.htm" TargetMode="External"/><Relationship Id="rId8" Type="http://schemas.openxmlformats.org/officeDocument/2006/relationships/hyperlink" Target="https://www.sec.gov/Archives/edgar/data/1657573/000119312526065196/xmtr-20260220.htm" TargetMode="External"/><Relationship Id="rId9" Type="http://schemas.openxmlformats.org/officeDocument/2006/relationships/hyperlink" Target="https://www.sec.gov/Archives/edgar/data/1657573/000119312521200432/d194865d8a12b.htm" TargetMode="External"/><Relationship Id="rId10" Type="http://schemas.openxmlformats.org/officeDocument/2006/relationships/hyperlink" Target="https://www.sec.gov/Archives/edgar/data/1657573/000095017022004158/xmtr-ex4_3.htm" TargetMode="External"/><Relationship Id="rId11" Type="http://schemas.openxmlformats.org/officeDocument/2006/relationships/hyperlink" Target="https://www.sec.gov/Archives/edgar/data/1657573/000119312521207643/d184650dex31.htm" TargetMode="External"/><Relationship Id="rId12" Type="http://schemas.openxmlformats.org/officeDocument/2006/relationships/hyperlink" Target="https://www.sec.gov/Archives/edgar/data/1657573/000119312521207643/d184650dex32.htm" TargetMode="External"/><Relationship Id="rId13" Type="http://schemas.openxmlformats.org/officeDocument/2006/relationships/hyperlink" Target="https://www.sec.gov/Archives/edgar/data/1657573/000119312521200359/d120843dex41.htm" TargetMode="External"/><Relationship Id="rId14" Type="http://schemas.openxmlformats.org/officeDocument/2006/relationships/hyperlink" Target="https://www.sec.gov/Archives/edgar/data/1657573/000119312521194064/d120843dex109.htm" TargetMode="External"/><Relationship Id="rId15" Type="http://schemas.openxmlformats.org/officeDocument/2006/relationships/hyperlink" Target="https://www.sec.gov/Archives/edgar/data/1657573/000119312521200359/d120843dex1010.htm" TargetMode="External"/><Relationship Id="rId16" Type="http://schemas.openxmlformats.org/officeDocument/2006/relationships/hyperlink" Target="https://www.sec.gov/Archives/edgar/data/1657573/000119312521200359/d120843dex1011.htm" TargetMode="External"/><Relationship Id="rId17" Type="http://schemas.openxmlformats.org/officeDocument/2006/relationships/hyperlink" Target="https://www.sec.gov/Archives/edgar/data/1657573/000095017025026655/xmtr-ex10_24.htm" TargetMode="External"/><Relationship Id="rId18" Type="http://schemas.openxmlformats.org/officeDocument/2006/relationships/hyperlink" Target="https://www.sec.gov/Archives/edgar/data/1657573/000095017025026655/xmtr-ex10_24.htm" TargetMode="External"/><Relationship Id="rId19" Type="http://schemas.openxmlformats.org/officeDocument/2006/relationships/hyperlink" Target="https://www.sec.gov/Archives/edgar/data/1657573/000095017025026655/xmtr-ex10_24.htm" TargetMode="External"/><Relationship Id="rId20" Type="http://schemas.openxmlformats.org/officeDocument/2006/relationships/image" Target="media/image1.gif"/><Relationship Id="rId21" Type="http://schemas.openxmlformats.org/officeDocument/2006/relationships/image" Target="media/image1.gif"/><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2473</Words>
  <Characters>13240</Characters>
  <CharactersWithSpaces>15805</CharactersWithSpaces>
  <Paragraphs>562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