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58" w:lineRule="exact"/>
        <w:rPr>
          <w:sz w:val="24"/>
          <w:szCs w:val="24"/>
          <w:color w:val="auto"/>
        </w:rPr>
      </w:pPr>
    </w:p>
    <w:tbl>
      <w:tblPr>
        <w:tblLayout w:type="fixed"/>
        <w:tblInd w:w="1160" w:type="dxa"/>
        <w:tblCellMar>
          <w:top w:w="0" w:type="dxa"/>
          <w:left w:w="0" w:type="dxa"/>
          <w:bottom w:w="0" w:type="dxa"/>
          <w:right w:w="0" w:type="dxa"/>
        </w:tblCellMar>
      </w:tblPr>
      <w:tr>
        <w:trPr>
          <w:trHeight w:val="186"/>
        </w:trPr>
        <w:tc>
          <w:tcPr>
            <w:tcW w:w="3340" w:type="dxa"/>
            <w:vAlign w:val="bottom"/>
          </w:tcPr>
          <w:p>
            <w:pPr>
              <w:jc w:val="center"/>
              <w:ind w:right="941"/>
              <w:spacing w:after="0" w:line="186"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jc w:val="right"/>
              <w:ind w:right="641"/>
              <w:spacing w:after="0" w:line="186" w:lineRule="exact"/>
              <w:rPr>
                <w:sz w:val="20"/>
                <w:szCs w:val="20"/>
                <w:color w:val="auto"/>
              </w:rPr>
            </w:pPr>
            <w:r>
              <w:rPr>
                <w:rFonts w:ascii="Times New Roman" w:cs="Times New Roman" w:eastAsia="Times New Roman" w:hAnsi="Times New Roman"/>
                <w:sz w:val="18"/>
                <w:szCs w:val="18"/>
                <w:b w:val="1"/>
                <w:bCs w:val="1"/>
                <w:color w:val="auto"/>
              </w:rPr>
              <w:t>001-40546</w:t>
            </w:r>
          </w:p>
        </w:tc>
        <w:tc>
          <w:tcPr>
            <w:tcW w:w="2720" w:type="dxa"/>
            <w:vAlign w:val="bottom"/>
          </w:tcPr>
          <w:p>
            <w:pPr>
              <w:jc w:val="right"/>
              <w:ind w:right="4"/>
              <w:spacing w:after="0" w:line="186" w:lineRule="exact"/>
              <w:rPr>
                <w:sz w:val="20"/>
                <w:szCs w:val="20"/>
                <w:color w:val="auto"/>
              </w:rPr>
            </w:pPr>
            <w:r>
              <w:rPr>
                <w:rFonts w:ascii="Times New Roman" w:cs="Times New Roman" w:eastAsia="Times New Roman" w:hAnsi="Times New Roman"/>
                <w:sz w:val="18"/>
                <w:szCs w:val="18"/>
                <w:b w:val="1"/>
                <w:bCs w:val="1"/>
                <w:color w:val="auto"/>
              </w:rPr>
              <w:t>32-0415449</w:t>
            </w:r>
          </w:p>
        </w:tc>
      </w:tr>
      <w:tr>
        <w:trPr>
          <w:trHeight w:val="148"/>
        </w:trPr>
        <w:tc>
          <w:tcPr>
            <w:tcW w:w="3340" w:type="dxa"/>
            <w:vAlign w:val="bottom"/>
          </w:tcPr>
          <w:p>
            <w:pPr>
              <w:jc w:val="center"/>
              <w:ind w:right="9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720" w:type="dxa"/>
            <w:vAlign w:val="bottom"/>
          </w:tcPr>
          <w:p>
            <w:pPr>
              <w:jc w:val="center"/>
              <w:ind w:left="16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40" w:type="dxa"/>
            <w:vAlign w:val="bottom"/>
          </w:tcPr>
          <w:p>
            <w:pPr>
              <w:jc w:val="center"/>
              <w:ind w:right="9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720" w:type="dxa"/>
            <w:vAlign w:val="bottom"/>
          </w:tcPr>
          <w:p>
            <w:pPr>
              <w:jc w:val="center"/>
              <w:ind w:left="158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0"/>
        </w:trPr>
        <w:tc>
          <w:tcPr>
            <w:tcW w:w="3340" w:type="dxa"/>
            <w:vAlign w:val="bottom"/>
          </w:tcPr>
          <w:p>
            <w:pPr>
              <w:jc w:val="center"/>
              <w:ind w:right="941"/>
              <w:spacing w:after="0"/>
              <w:rPr>
                <w:sz w:val="20"/>
                <w:szCs w:val="20"/>
                <w:color w:val="auto"/>
              </w:rPr>
            </w:pPr>
            <w:r>
              <w:rPr>
                <w:rFonts w:ascii="Times New Roman" w:cs="Times New Roman" w:eastAsia="Times New Roman" w:hAnsi="Times New Roman"/>
                <w:sz w:val="18"/>
                <w:szCs w:val="18"/>
                <w:b w:val="1"/>
                <w:bCs w:val="1"/>
                <w:color w:val="auto"/>
                <w:w w:val="99"/>
              </w:rPr>
              <w:t>7529 Standish Place, Suite 200</w:t>
            </w:r>
          </w:p>
        </w:tc>
        <w:tc>
          <w:tcPr>
            <w:tcW w:w="22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08"/>
        </w:trPr>
        <w:tc>
          <w:tcPr>
            <w:tcW w:w="3340" w:type="dxa"/>
            <w:vAlign w:val="bottom"/>
          </w:tcPr>
          <w:p>
            <w:pPr>
              <w:jc w:val="center"/>
              <w:ind w:right="941"/>
              <w:spacing w:after="0"/>
              <w:rPr>
                <w:sz w:val="20"/>
                <w:szCs w:val="20"/>
                <w:color w:val="auto"/>
              </w:rPr>
            </w:pPr>
            <w:r>
              <w:rPr>
                <w:rFonts w:ascii="Times New Roman" w:cs="Times New Roman" w:eastAsia="Times New Roman" w:hAnsi="Times New Roman"/>
                <w:sz w:val="18"/>
                <w:szCs w:val="18"/>
                <w:b w:val="1"/>
                <w:bCs w:val="1"/>
                <w:color w:val="auto"/>
                <w:w w:val="99"/>
              </w:rPr>
              <w:t>Derwood, Maryland</w:t>
            </w:r>
          </w:p>
        </w:tc>
        <w:tc>
          <w:tcPr>
            <w:tcW w:w="2240" w:type="dxa"/>
            <w:vAlign w:val="bottom"/>
          </w:tcPr>
          <w:p>
            <w:pPr>
              <w:spacing w:after="0"/>
              <w:rPr>
                <w:sz w:val="18"/>
                <w:szCs w:val="18"/>
                <w:color w:val="auto"/>
              </w:rPr>
            </w:pPr>
          </w:p>
        </w:tc>
        <w:tc>
          <w:tcPr>
            <w:tcW w:w="272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20855</w:t>
            </w:r>
          </w:p>
        </w:tc>
      </w:tr>
      <w:tr>
        <w:trPr>
          <w:trHeight w:val="178"/>
        </w:trPr>
        <w:tc>
          <w:tcPr>
            <w:tcW w:w="3340" w:type="dxa"/>
            <w:vAlign w:val="bottom"/>
          </w:tcPr>
          <w:p>
            <w:pPr>
              <w:jc w:val="center"/>
              <w:ind w:right="9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720" w:type="dxa"/>
            <w:vAlign w:val="bottom"/>
          </w:tcPr>
          <w:p>
            <w:pPr>
              <w:jc w:val="center"/>
              <w:ind w:left="16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335-7914</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111125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2"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32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May 11, 2022, Xometry, Inc. issued a press release announcing its financial results for the quarterly period ended March 31, 2022. A copy of the press release is furnished as Exhibit 99.1 to this report.</w:t>
      </w:r>
    </w:p>
    <w:p>
      <w:pPr>
        <w:spacing w:after="0" w:line="16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information set forth under this Item 2.02 and in the accompanying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otherwise expressly stated in such filing.</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40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00" w:type="dxa"/>
            <w:vAlign w:val="bottom"/>
          </w:tcPr>
          <w:p>
            <w:pPr>
              <w:spacing w:after="0"/>
              <w:rPr>
                <w:sz w:val="23"/>
                <w:szCs w:val="23"/>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94"/>
        </w:trPr>
        <w:tc>
          <w:tcPr>
            <w:tcW w:w="3900" w:type="dxa"/>
            <w:vAlign w:val="bottom"/>
            <w:gridSpan w:val="3"/>
          </w:tcPr>
          <w:p>
            <w:pPr>
              <w:ind w:left="200"/>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73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Press Release of Xometry, Inc. issued on May 11, 2022.</w:t>
            </w: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line="20" w:lineRule="exact"/>
              <w:rPr>
                <w:sz w:val="1"/>
                <w:szCs w:val="1"/>
                <w:color w:val="auto"/>
              </w:rPr>
            </w:pPr>
          </w:p>
        </w:tc>
        <w:tc>
          <w:tcPr>
            <w:tcW w:w="300" w:type="dxa"/>
            <w:vAlign w:val="bottom"/>
            <w:tcBorders>
              <w:left w:val="single" w:sz="8" w:color="0000EE"/>
            </w:tcBorders>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0" w:type="dxa"/>
            <w:vAlign w:val="bottom"/>
          </w:tcPr>
          <w:p>
            <w:pPr>
              <w:spacing w:after="0" w:line="20" w:lineRule="exact"/>
              <w:rPr>
                <w:sz w:val="1"/>
                <w:szCs w:val="1"/>
                <w:color w:val="auto"/>
              </w:rPr>
            </w:pPr>
          </w:p>
        </w:tc>
      </w:tr>
      <w:tr>
        <w:trPr>
          <w:trHeight w:val="228"/>
        </w:trPr>
        <w:tc>
          <w:tcPr>
            <w:tcW w:w="200" w:type="dxa"/>
            <w:vAlign w:val="bottom"/>
            <w:vMerge w:val="continue"/>
          </w:tcPr>
          <w:p>
            <w:pPr>
              <w:spacing w:after="0"/>
              <w:rPr>
                <w:sz w:val="19"/>
                <w:szCs w:val="19"/>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40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w:t>
            </w:r>
          </w:p>
        </w:tc>
        <w:tc>
          <w:tcPr>
            <w:tcW w:w="3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29"/>
        </w:trPr>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5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Randolph Altschuler</w:t>
      </w:r>
    </w:p>
    <w:p>
      <w:pPr>
        <w:ind w:left="6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Reports First Quarter 2022 Results</w:t>
      </w:r>
    </w:p>
    <w:p>
      <w:pPr>
        <w:spacing w:after="0" w:line="301" w:lineRule="exact"/>
        <w:rPr>
          <w:sz w:val="20"/>
          <w:szCs w:val="20"/>
          <w:color w:val="auto"/>
        </w:rPr>
      </w:pPr>
    </w:p>
    <w:p>
      <w:pPr>
        <w:ind w:left="1020" w:right="280" w:hanging="503"/>
        <w:spacing w:after="0" w:line="271" w:lineRule="auto"/>
        <w:tabs>
          <w:tab w:leader="none" w:pos="10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Strong start to 2022: Strong quarter with revenue increasing 90% year-over-year driven by rapid organic growth in marketplace and supplier services including Thomas.</w:t>
      </w:r>
    </w:p>
    <w:p>
      <w:pPr>
        <w:spacing w:after="0" w:line="35" w:lineRule="exact"/>
        <w:rPr>
          <w:rFonts w:ascii="Times New Roman" w:cs="Times New Roman" w:eastAsia="Times New Roman" w:hAnsi="Times New Roman"/>
          <w:sz w:val="22"/>
          <w:szCs w:val="22"/>
          <w:color w:val="auto"/>
        </w:rPr>
      </w:pPr>
    </w:p>
    <w:p>
      <w:pPr>
        <w:ind w:left="1020" w:right="220" w:hanging="503"/>
        <w:spacing w:after="0" w:line="271" w:lineRule="auto"/>
        <w:tabs>
          <w:tab w:leader="none" w:pos="10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Strong gross margin trends driven by AI pricing/supplier selection and additional supplier services: Gross profit up 235% year-over-year.</w:t>
      </w:r>
    </w:p>
    <w:p>
      <w:pPr>
        <w:spacing w:after="0" w:line="35" w:lineRule="exact"/>
        <w:rPr>
          <w:rFonts w:ascii="Times New Roman" w:cs="Times New Roman" w:eastAsia="Times New Roman" w:hAnsi="Times New Roman"/>
          <w:sz w:val="22"/>
          <w:szCs w:val="22"/>
          <w:color w:val="auto"/>
        </w:rPr>
      </w:pPr>
    </w:p>
    <w:p>
      <w:pPr>
        <w:jc w:val="both"/>
        <w:ind w:left="1020" w:right="40" w:hanging="503"/>
        <w:spacing w:after="0" w:line="250" w:lineRule="auto"/>
        <w:tabs>
          <w:tab w:leader="none" w:pos="10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Robust marketplace and supplier service expansion: Expanded marketplace to Spain and launched a local manufacturing network in China. Extended the reach of the marketplace with Xometry Everywhere. Added self-serve subscriptions for advertising services.</w:t>
      </w:r>
    </w:p>
    <w:p>
      <w:pPr>
        <w:spacing w:after="0" w:line="58" w:lineRule="exact"/>
        <w:rPr>
          <w:rFonts w:ascii="Times New Roman" w:cs="Times New Roman" w:eastAsia="Times New Roman" w:hAnsi="Times New Roman"/>
          <w:sz w:val="22"/>
          <w:szCs w:val="22"/>
          <w:color w:val="auto"/>
        </w:rPr>
      </w:pPr>
    </w:p>
    <w:p>
      <w:pPr>
        <w:ind w:left="1020" w:right="180" w:hanging="503"/>
        <w:spacing w:after="0" w:line="244" w:lineRule="auto"/>
        <w:tabs>
          <w:tab w:leader="none" w:pos="10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Expect strong growth in 2022 and improving operating leverage: We expect revenue growth of 80-83% to $392-$400 million. Growth will be driven by increasing active buyers and suppliers, added supplier services and revenue synergies with Thomas. We expect operating leverage to improve in Q2 2022 and through the second half of 2022.</w:t>
      </w:r>
    </w:p>
    <w:p>
      <w:pPr>
        <w:spacing w:after="0" w:line="177" w:lineRule="exact"/>
        <w:rPr>
          <w:sz w:val="20"/>
          <w:szCs w:val="20"/>
          <w:color w:val="auto"/>
        </w:rPr>
      </w:pPr>
    </w:p>
    <w:p>
      <w:pPr>
        <w:ind w:right="640"/>
        <w:spacing w:after="0" w:line="271" w:lineRule="auto"/>
        <w:rPr>
          <w:sz w:val="20"/>
          <w:szCs w:val="20"/>
          <w:color w:val="auto"/>
        </w:rPr>
      </w:pPr>
      <w:r>
        <w:rPr>
          <w:rFonts w:ascii="Arial" w:cs="Arial" w:eastAsia="Arial" w:hAnsi="Arial"/>
          <w:sz w:val="20"/>
          <w:szCs w:val="20"/>
          <w:color w:val="auto"/>
        </w:rPr>
        <w:t>ROCKVILLE, MD., May 11, 2022 /Globe Newswire/ -- Xometry, Inc. (NASDAQ:XMTR), a leading global AI-enabled digital manufacturing marketplace, today reported financial results for the first quarter ended March 31, 2022.</w:t>
      </w:r>
    </w:p>
    <w:p>
      <w:pPr>
        <w:spacing w:after="0" w:line="48"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 xml:space="preserve">"In Q1 2022, Xometry delivered strong growth across the board, expanded our marketplace to new geographies and extended the reach of our AI driven quoting engine through the launch of Xometry Everywhere. We also improved our supplier services including new products from Thomas,” said Randy Altschuler, Xometry’s CEO. “Although we are still in the early innings of the secular digitization of the manufacturing industry, Xometry has become the digital marketplace connecting buyers with suppliers. With </w:t>
      </w:r>
      <w:r>
        <w:rPr>
          <w:rFonts w:ascii="Arial" w:cs="Arial" w:eastAsia="Arial" w:hAnsi="Arial"/>
          <w:sz w:val="20"/>
          <w:szCs w:val="20"/>
          <w:color w:val="1D1C1D"/>
        </w:rPr>
        <w:t>our supplier network expanding domestically and abroad, we are playing an instrumental role in helping create locally</w:t>
      </w:r>
      <w:r>
        <w:rPr>
          <w:rFonts w:ascii="Arial" w:cs="Arial" w:eastAsia="Arial" w:hAnsi="Arial"/>
          <w:sz w:val="20"/>
          <w:szCs w:val="20"/>
          <w:color w:val="auto"/>
        </w:rPr>
        <w:t xml:space="preserve"> </w:t>
      </w:r>
      <w:r>
        <w:rPr>
          <w:rFonts w:ascii="Arial" w:cs="Arial" w:eastAsia="Arial" w:hAnsi="Arial"/>
          <w:sz w:val="20"/>
          <w:szCs w:val="20"/>
          <w:color w:val="1D1C1D"/>
        </w:rPr>
        <w:t>resilient supply chains irrespective of macro events.</w:t>
      </w:r>
      <w:r>
        <w:rPr>
          <w:rFonts w:ascii="Arial" w:cs="Arial" w:eastAsia="Arial" w:hAnsi="Arial"/>
          <w:sz w:val="20"/>
          <w:szCs w:val="20"/>
          <w:color w:val="000000"/>
        </w:rPr>
        <w: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2022 Financial Highlights</w:t>
      </w:r>
    </w:p>
    <w:p>
      <w:pPr>
        <w:spacing w:after="0" w:line="110"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Total revenue for the first quarter 2022 was $83.7 million an increase of 90% year-over-year.</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revenue for the first quarter of 2022 was $64.4 million.</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Supplier services revenue for the first quarter of 2022 was $19.3 million.</w:t>
      </w:r>
    </w:p>
    <w:p>
      <w:pPr>
        <w:spacing w:after="0" w:line="93"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Total gross profit for the first quarter 2022 was $32.9 million an increase of 235% year-over-year.</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Active Buyers increased 44% from 21,345 as of March 31, 2021 to 30,683 as of March 31, 2022.</w:t>
      </w:r>
    </w:p>
    <w:p>
      <w:pPr>
        <w:spacing w:after="0" w:line="106" w:lineRule="exact"/>
        <w:rPr>
          <w:rFonts w:ascii="Times New Roman" w:cs="Times New Roman" w:eastAsia="Times New Roman" w:hAnsi="Times New Roman"/>
          <w:sz w:val="20"/>
          <w:szCs w:val="20"/>
          <w:color w:val="auto"/>
        </w:rPr>
      </w:pPr>
    </w:p>
    <w:p>
      <w:pPr>
        <w:ind w:left="1020" w:right="120" w:hanging="503"/>
        <w:spacing w:after="0" w:line="271"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Accounts with Last Twelve-Months Spend of at least $50,000 increased 92% from 412 as of March 31, 2021 to 790 as of March 31, 2022.</w:t>
      </w:r>
    </w:p>
    <w:p>
      <w:pPr>
        <w:spacing w:after="0" w:line="4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Percentage of Revenue from Existing Accounts was 94%.</w:t>
      </w:r>
    </w:p>
    <w:p>
      <w:pPr>
        <w:spacing w:after="0" w:line="106" w:lineRule="exact"/>
        <w:rPr>
          <w:rFonts w:ascii="Times New Roman" w:cs="Times New Roman" w:eastAsia="Times New Roman" w:hAnsi="Times New Roman"/>
          <w:sz w:val="20"/>
          <w:szCs w:val="20"/>
          <w:color w:val="auto"/>
        </w:rPr>
      </w:pPr>
    </w:p>
    <w:p>
      <w:pPr>
        <w:ind w:left="1020" w:right="40" w:hanging="503"/>
        <w:spacing w:after="0" w:line="245"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Net loss attributable to common stockholders was $20.0 million for the quarter, an increase of $9.5 million year-over-year, and Adjusted EBITDA was negative $12.7 million for the quarter, reflecting an increase of $3.9 million year-over-year. Net loss for Q1 2022 includes $3.5 million of stock-based compensation and $0.2 million of transaction costs.</w:t>
      </w:r>
    </w:p>
    <w:p>
      <w:pPr>
        <w:spacing w:after="0" w:line="7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Cash and cash equivalents and marketable securities were $368.7 million as of March 31, 2022.</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First Quarter 2022 Business Highlights</w:t>
      </w:r>
    </w:p>
    <w:p>
      <w:pPr>
        <w:spacing w:after="0" w:line="110" w:lineRule="exact"/>
        <w:rPr>
          <w:sz w:val="20"/>
          <w:szCs w:val="20"/>
          <w:color w:val="auto"/>
        </w:rPr>
      </w:pPr>
    </w:p>
    <w:p>
      <w:pPr>
        <w:ind w:left="1020" w:right="280" w:hanging="503"/>
        <w:spacing w:after="0" w:line="274" w:lineRule="auto"/>
        <w:tabs>
          <w:tab w:leader="none" w:pos="1020" w:val="left"/>
        </w:tabs>
        <w:numPr>
          <w:ilvl w:val="0"/>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Introduced “Xometry Everywhere” software which extends the reach of Xometry’s AI-driven instant-quoting pricing engine to popular third-party sites where engineers and other buyers spend significant amounts of time. Xometry Everywhere is also available for integration into the procurement processes of Fortune 1000 companies.</w:t>
      </w:r>
    </w:p>
    <w:p>
      <w:pPr>
        <w:spacing w:after="0" w:line="47" w:lineRule="exact"/>
        <w:rPr>
          <w:rFonts w:ascii="Times New Roman" w:cs="Times New Roman" w:eastAsia="Times New Roman" w:hAnsi="Times New Roman"/>
          <w:sz w:val="19"/>
          <w:szCs w:val="19"/>
          <w:color w:val="auto"/>
        </w:rPr>
      </w:pPr>
    </w:p>
    <w:p>
      <w:pPr>
        <w:ind w:left="1020" w:right="240" w:hanging="503"/>
        <w:spacing w:after="0" w:line="271"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Obtained certification for Medical Device Manufacturing (ISO 13485) enabling the Xometry marketplace to expand the breadth of medical device manufacturing.</w:t>
      </w:r>
    </w:p>
    <w:p>
      <w:pPr>
        <w:spacing w:after="0" w:line="33" w:lineRule="exact"/>
        <w:rPr>
          <w:rFonts w:ascii="Times New Roman" w:cs="Times New Roman" w:eastAsia="Times New Roman" w:hAnsi="Times New Roman"/>
          <w:sz w:val="20"/>
          <w:szCs w:val="20"/>
          <w:color w:val="auto"/>
        </w:rPr>
      </w:pPr>
    </w:p>
    <w:p>
      <w:pPr>
        <w:ind w:left="1020" w:right="60" w:hanging="503"/>
        <w:spacing w:after="0" w:line="255"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Expanded European operations including an enhanced site for European customers, www.xometry.eu, which makes it even easier for buyers to compare and price technologies, materials and finishes in real time. Added a new Spanish site.</w:t>
      </w:r>
    </w:p>
    <w:p>
      <w:pPr>
        <w:spacing w:after="0" w:line="6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Introduced new self-serve advertising subscription options for suppliers on Thomasnet.</w:t>
      </w:r>
    </w:p>
    <w:p>
      <w:pPr>
        <w:spacing w:after="0" w:line="106" w:lineRule="exact"/>
        <w:rPr>
          <w:rFonts w:ascii="Times New Roman" w:cs="Times New Roman" w:eastAsia="Times New Roman" w:hAnsi="Times New Roman"/>
          <w:sz w:val="20"/>
          <w:szCs w:val="20"/>
          <w:color w:val="auto"/>
        </w:rPr>
      </w:pPr>
    </w:p>
    <w:p>
      <w:pPr>
        <w:ind w:left="1020" w:right="140" w:hanging="503"/>
        <w:spacing w:after="0" w:line="271"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Launched a local manufacturing network in China (Xometry.Asia) and began taking orders from Chinese customers in April 2022.</w:t>
      </w:r>
    </w:p>
    <w:p>
      <w:pPr>
        <w:spacing w:after="0" w:line="33" w:lineRule="exact"/>
        <w:rPr>
          <w:rFonts w:ascii="Times New Roman" w:cs="Times New Roman" w:eastAsia="Times New Roman" w:hAnsi="Times New Roman"/>
          <w:sz w:val="20"/>
          <w:szCs w:val="20"/>
          <w:color w:val="auto"/>
        </w:rPr>
      </w:pPr>
    </w:p>
    <w:p>
      <w:pPr>
        <w:ind w:left="1020" w:right="400" w:hanging="503"/>
        <w:spacing w:after="0" w:line="255"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Expanded CAD integrations with the addition of PTC’s Onshape product development platform which has over 2 million users. The integration provides seamless instant quoting with our proprietary, AI-driven Xometry Instant Quoting Engine, enabling engineers and designers to instantly price parts in Onshape.</w:t>
      </w:r>
    </w:p>
    <w:p>
      <w:pPr>
        <w:spacing w:after="0" w:line="6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On February 11, 2022 completed an offering of Convertible Senior Notes, raising net proceeds of $278.2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Financial Summary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20" w:type="dxa"/>
            <w:vAlign w:val="bottom"/>
          </w:tcPr>
          <w:p>
            <w:pPr>
              <w:spacing w:after="0"/>
              <w:rPr>
                <w:sz w:val="20"/>
                <w:szCs w:val="20"/>
                <w:color w:val="auto"/>
              </w:rPr>
            </w:pPr>
          </w:p>
        </w:tc>
        <w:tc>
          <w:tcPr>
            <w:tcW w:w="3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Three Months Ended March 31,</w:t>
            </w: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w:t>
            </w:r>
          </w:p>
        </w:tc>
        <w:tc>
          <w:tcPr>
            <w:tcW w:w="15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(unaudited)</w:t>
            </w:r>
          </w:p>
        </w:tc>
        <w:tc>
          <w:tcPr>
            <w:tcW w:w="6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720" w:type="dxa"/>
            <w:vAlign w:val="bottom"/>
            <w:vMerge w:val="continue"/>
          </w:tcPr>
          <w:p>
            <w:pPr>
              <w:spacing w:after="0"/>
              <w:rPr>
                <w:sz w:val="16"/>
                <w:szCs w:val="16"/>
                <w:color w:val="auto"/>
              </w:rPr>
            </w:pPr>
          </w:p>
        </w:tc>
        <w:tc>
          <w:tcPr>
            <w:tcW w:w="1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520" w:type="dxa"/>
            <w:vAlign w:val="bottom"/>
            <w:shd w:val="clear" w:color="auto" w:fill="CFF0FC"/>
          </w:tcPr>
          <w:p>
            <w:pPr>
              <w:jc w:val="right"/>
              <w:ind w:right="13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83,671</w:t>
            </w: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2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43,922</w:t>
            </w:r>
          </w:p>
        </w:tc>
        <w:tc>
          <w:tcPr>
            <w:tcW w:w="1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32,939</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9,835</w:t>
            </w:r>
          </w:p>
        </w:tc>
        <w:tc>
          <w:tcPr>
            <w:tcW w:w="14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5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(20,012 )</w:t>
            </w:r>
          </w:p>
        </w:tc>
        <w:tc>
          <w:tcPr>
            <w:tcW w:w="14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7"/>
              </w:rPr>
              <w:t>(10,501 )</w:t>
            </w:r>
          </w:p>
        </w:tc>
        <w:tc>
          <w:tcPr>
            <w:tcW w:w="1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162"/>
        </w:trPr>
        <w:tc>
          <w:tcPr>
            <w:tcW w:w="4720" w:type="dxa"/>
            <w:vAlign w:val="bottom"/>
          </w:tcPr>
          <w:p>
            <w:pPr>
              <w:ind w:left="20"/>
              <w:spacing w:after="0" w:line="163" w:lineRule="exact"/>
              <w:rPr>
                <w:sz w:val="20"/>
                <w:szCs w:val="20"/>
                <w:color w:val="auto"/>
              </w:rPr>
            </w:pPr>
            <w:r>
              <w:rPr>
                <w:rFonts w:ascii="Arial" w:cs="Arial" w:eastAsia="Arial" w:hAnsi="Arial"/>
                <w:sz w:val="18"/>
                <w:szCs w:val="18"/>
                <w:color w:val="auto"/>
              </w:rPr>
              <w:t>EPS—basic and diluted</w:t>
            </w:r>
          </w:p>
        </w:tc>
        <w:tc>
          <w:tcPr>
            <w:tcW w:w="1520" w:type="dxa"/>
            <w:vAlign w:val="bottom"/>
          </w:tcPr>
          <w:p>
            <w:pPr>
              <w:spacing w:after="0"/>
              <w:rPr>
                <w:sz w:val="14"/>
                <w:szCs w:val="14"/>
                <w:color w:val="auto"/>
              </w:rPr>
            </w:pPr>
          </w:p>
        </w:tc>
        <w:tc>
          <w:tcPr>
            <w:tcW w:w="980" w:type="dxa"/>
            <w:vAlign w:val="bottom"/>
            <w:gridSpan w:val="2"/>
          </w:tcPr>
          <w:p>
            <w:pPr>
              <w:jc w:val="right"/>
              <w:ind w:right="100"/>
              <w:spacing w:after="0" w:line="163" w:lineRule="exact"/>
              <w:rPr>
                <w:sz w:val="20"/>
                <w:szCs w:val="20"/>
                <w:color w:val="auto"/>
              </w:rPr>
            </w:pPr>
            <w:r>
              <w:rPr>
                <w:rFonts w:ascii="Arial" w:cs="Arial" w:eastAsia="Arial" w:hAnsi="Arial"/>
                <w:sz w:val="18"/>
                <w:szCs w:val="18"/>
                <w:color w:val="auto"/>
              </w:rPr>
              <w:t>(0.43 )</w:t>
            </w:r>
          </w:p>
        </w:tc>
        <w:tc>
          <w:tcPr>
            <w:tcW w:w="1480" w:type="dxa"/>
            <w:vAlign w:val="bottom"/>
          </w:tcPr>
          <w:p>
            <w:pPr>
              <w:spacing w:after="0"/>
              <w:rPr>
                <w:sz w:val="14"/>
                <w:szCs w:val="14"/>
                <w:color w:val="auto"/>
              </w:rPr>
            </w:pPr>
          </w:p>
        </w:tc>
        <w:tc>
          <w:tcPr>
            <w:tcW w:w="780" w:type="dxa"/>
            <w:vAlign w:val="bottom"/>
            <w:gridSpan w:val="2"/>
          </w:tcPr>
          <w:p>
            <w:pPr>
              <w:jc w:val="right"/>
              <w:ind w:right="60"/>
              <w:spacing w:after="0" w:line="163" w:lineRule="exact"/>
              <w:rPr>
                <w:sz w:val="20"/>
                <w:szCs w:val="20"/>
                <w:color w:val="auto"/>
              </w:rPr>
            </w:pPr>
            <w:r>
              <w:rPr>
                <w:rFonts w:ascii="Arial" w:cs="Arial" w:eastAsia="Arial" w:hAnsi="Arial"/>
                <w:sz w:val="18"/>
                <w:szCs w:val="18"/>
                <w:color w:val="auto"/>
              </w:rPr>
              <w:t>(1.33 )</w:t>
            </w:r>
          </w:p>
        </w:tc>
        <w:tc>
          <w:tcPr>
            <w:tcW w:w="1760" w:type="dxa"/>
            <w:vAlign w:val="bottom"/>
            <w:gridSpan w:val="2"/>
          </w:tcPr>
          <w:p>
            <w:pPr>
              <w:jc w:val="right"/>
              <w:ind w:right="160"/>
              <w:spacing w:after="0" w:line="163" w:lineRule="exact"/>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line="216" w:lineRule="exact"/>
              <w:rPr>
                <w:sz w:val="20"/>
                <w:szCs w:val="20"/>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(1)</w:t>
            </w:r>
          </w:p>
        </w:tc>
        <w:tc>
          <w:tcPr>
            <w:tcW w:w="15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(12,726 )</w:t>
            </w:r>
          </w:p>
        </w:tc>
        <w:tc>
          <w:tcPr>
            <w:tcW w:w="14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(8,810 )</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line="216" w:lineRule="exact"/>
              <w:rPr>
                <w:sz w:val="20"/>
                <w:szCs w:val="20"/>
                <w:color w:val="auto"/>
              </w:rPr>
            </w:pPr>
            <w:r>
              <w:rPr>
                <w:rFonts w:ascii="Arial" w:cs="Arial" w:eastAsia="Arial" w:hAnsi="Arial"/>
                <w:sz w:val="18"/>
                <w:szCs w:val="18"/>
                <w:color w:val="auto"/>
              </w:rPr>
              <w:t>Non-GAAP net loss</w:t>
            </w:r>
            <w:r>
              <w:rPr>
                <w:rFonts w:ascii="Arial" w:cs="Arial" w:eastAsia="Arial" w:hAnsi="Arial"/>
                <w:sz w:val="24"/>
                <w:szCs w:val="24"/>
                <w:color w:val="auto"/>
                <w:vertAlign w:val="superscript"/>
              </w:rPr>
              <w:t>(1)</w:t>
            </w:r>
          </w:p>
        </w:tc>
        <w:tc>
          <w:tcPr>
            <w:tcW w:w="15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(12,598 )</w:t>
            </w:r>
          </w:p>
        </w:tc>
        <w:tc>
          <w:tcPr>
            <w:tcW w:w="14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(9,262 )</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70"/>
        </w:trPr>
        <w:tc>
          <w:tcPr>
            <w:tcW w:w="4720" w:type="dxa"/>
            <w:vAlign w:val="bottom"/>
          </w:tcPr>
          <w:p>
            <w:pPr>
              <w:ind w:left="20"/>
              <w:spacing w:after="0" w:line="270" w:lineRule="exact"/>
              <w:rPr>
                <w:sz w:val="20"/>
                <w:szCs w:val="20"/>
                <w:color w:val="auto"/>
              </w:rPr>
            </w:pPr>
            <w:r>
              <w:rPr>
                <w:rFonts w:ascii="Arial" w:cs="Arial" w:eastAsia="Arial" w:hAnsi="Arial"/>
                <w:sz w:val="18"/>
                <w:szCs w:val="18"/>
                <w:color w:val="auto"/>
              </w:rPr>
              <w:t>Non-GAAP EPS-basic and diluted</w:t>
            </w:r>
            <w:r>
              <w:rPr>
                <w:rFonts w:ascii="Arial" w:cs="Arial" w:eastAsia="Arial" w:hAnsi="Arial"/>
                <w:sz w:val="24"/>
                <w:szCs w:val="24"/>
                <w:color w:val="auto"/>
                <w:vertAlign w:val="superscript"/>
              </w:rPr>
              <w:t>(1)</w:t>
            </w:r>
          </w:p>
        </w:tc>
        <w:tc>
          <w:tcPr>
            <w:tcW w:w="152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(0.27 )</w:t>
            </w:r>
          </w:p>
        </w:tc>
        <w:tc>
          <w:tcPr>
            <w:tcW w:w="148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(1.17 )</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432"/>
        </w:trPr>
        <w:tc>
          <w:tcPr>
            <w:tcW w:w="4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Marketplace</w:t>
            </w:r>
          </w:p>
        </w:tc>
        <w:tc>
          <w:tcPr>
            <w:tcW w:w="15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Revenue</w:t>
            </w:r>
          </w:p>
        </w:tc>
        <w:tc>
          <w:tcPr>
            <w:tcW w:w="1520" w:type="dxa"/>
            <w:vAlign w:val="bottom"/>
          </w:tcPr>
          <w:p>
            <w:pPr>
              <w:jc w:val="right"/>
              <w:ind w:right="13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64,415</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5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46,741</w:t>
            </w:r>
          </w:p>
        </w:tc>
        <w:tc>
          <w:tcPr>
            <w:tcW w:w="18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52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17,674</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Supplier services</w:t>
            </w:r>
          </w:p>
        </w:tc>
        <w:tc>
          <w:tcPr>
            <w:tcW w:w="15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Revenue</w:t>
            </w:r>
          </w:p>
        </w:tc>
        <w:tc>
          <w:tcPr>
            <w:tcW w:w="1520" w:type="dxa"/>
            <w:vAlign w:val="bottom"/>
          </w:tcPr>
          <w:p>
            <w:pPr>
              <w:jc w:val="right"/>
              <w:ind w:right="13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19,256</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5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3,991</w:t>
            </w:r>
          </w:p>
        </w:tc>
        <w:tc>
          <w:tcPr>
            <w:tcW w:w="18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52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15,265</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-1971040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-873760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-153670</wp:posOffset>
            </wp:positionV>
            <wp:extent cx="60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ind w:left="380" w:right="440" w:hanging="372"/>
        <w:spacing w:after="0" w:line="257" w:lineRule="auto"/>
        <w:tabs>
          <w:tab w:leader="none" w:pos="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These non-GAAP financial measures, and reasons why we believe these non-GAAP financial measures are useful, are described below and reconciled to their most directly comparable GAAP measures in the accompanying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-306705</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Key Operating Metrics</w:t>
      </w:r>
      <w:r>
        <w:rPr>
          <w:rFonts w:ascii="Arial" w:cs="Arial" w:eastAsia="Arial" w:hAnsi="Arial"/>
          <w:sz w:val="26"/>
          <w:szCs w:val="26"/>
          <w:b w:val="1"/>
          <w:bCs w:val="1"/>
          <w:color w:val="auto"/>
          <w:vertAlign w:val="superscript"/>
        </w:rPr>
        <w:t>(2)</w:t>
      </w:r>
      <w:r>
        <w:rPr>
          <w:rFonts w:ascii="Arial" w:cs="Arial" w:eastAsia="Arial" w:hAnsi="Arial"/>
          <w:sz w:val="20"/>
          <w:szCs w:val="20"/>
          <w:b w:val="1"/>
          <w:bCs w:val="1"/>
          <w:color w:val="auto"/>
        </w:rPr>
        <w:t>:</w:t>
      </w:r>
    </w:p>
    <w:tbl>
      <w:tblPr>
        <w:tblLayout w:type="fixed"/>
        <w:tblInd w:w="0" w:type="dxa"/>
        <w:tblCellMar>
          <w:top w:w="0" w:type="dxa"/>
          <w:left w:w="0" w:type="dxa"/>
          <w:bottom w:w="0" w:type="dxa"/>
          <w:right w:w="0" w:type="dxa"/>
        </w:tblCellMar>
      </w:tblPr>
      <w:tr>
        <w:trPr>
          <w:trHeight w:val="217"/>
        </w:trPr>
        <w:tc>
          <w:tcPr>
            <w:tcW w:w="64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9"/>
              </w:rPr>
              <w:t>As of March 31,</w:t>
            </w:r>
          </w:p>
        </w:tc>
        <w:tc>
          <w:tcPr>
            <w:tcW w:w="12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6400" w:type="dxa"/>
            <w:vAlign w:val="bottom"/>
          </w:tcPr>
          <w:p>
            <w:pPr>
              <w:spacing w:after="0"/>
              <w:rPr>
                <w:sz w:val="14"/>
                <w:szCs w:val="14"/>
                <w:color w:val="auto"/>
              </w:rPr>
            </w:pP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14"/>
                <w:szCs w:val="14"/>
                <w:color w:val="auto"/>
              </w:rPr>
            </w:pPr>
          </w:p>
        </w:tc>
        <w:tc>
          <w:tcPr>
            <w:tcW w:w="13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14"/>
                <w:szCs w:val="14"/>
                <w:color w:val="auto"/>
              </w:rPr>
            </w:pPr>
          </w:p>
        </w:tc>
        <w:tc>
          <w:tcPr>
            <w:tcW w:w="1200" w:type="dxa"/>
            <w:vAlign w:val="bottom"/>
          </w:tcPr>
          <w:p>
            <w:pPr>
              <w:jc w:val="right"/>
              <w:ind w:right="450"/>
              <w:spacing w:after="0" w:line="164"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400" w:type="dxa"/>
            <w:vAlign w:val="bottom"/>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20"/>
              <w:spacing w:after="0" w:line="216" w:lineRule="exact"/>
              <w:rPr>
                <w:sz w:val="20"/>
                <w:szCs w:val="20"/>
                <w:color w:val="auto"/>
              </w:rPr>
            </w:pPr>
            <w:r>
              <w:rPr>
                <w:rFonts w:ascii="Arial" w:cs="Arial" w:eastAsia="Arial" w:hAnsi="Arial"/>
                <w:sz w:val="18"/>
                <w:szCs w:val="18"/>
                <w:color w:val="auto"/>
              </w:rPr>
              <w:t>Active Buyers</w:t>
            </w:r>
            <w:r>
              <w:rPr>
                <w:rFonts w:ascii="Arial" w:cs="Arial" w:eastAsia="Arial" w:hAnsi="Arial"/>
                <w:sz w:val="24"/>
                <w:szCs w:val="24"/>
                <w:color w:val="auto"/>
                <w:vertAlign w:val="superscript"/>
              </w:rPr>
              <w:t>(3)</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30,683</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21,345</w:t>
            </w:r>
          </w:p>
        </w:tc>
        <w:tc>
          <w:tcPr>
            <w:tcW w:w="3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line="216" w:lineRule="exact"/>
              <w:rPr>
                <w:sz w:val="20"/>
                <w:szCs w:val="20"/>
                <w:color w:val="auto"/>
              </w:rPr>
            </w:pPr>
            <w:r>
              <w:rPr>
                <w:rFonts w:ascii="Arial" w:cs="Arial" w:eastAsia="Arial" w:hAnsi="Arial"/>
                <w:sz w:val="18"/>
                <w:szCs w:val="18"/>
                <w:color w:val="auto"/>
              </w:rPr>
              <w:t>Percentage of Revenue from Existing Accounts</w:t>
            </w:r>
            <w:r>
              <w:rPr>
                <w:rFonts w:ascii="Arial" w:cs="Arial" w:eastAsia="Arial" w:hAnsi="Arial"/>
                <w:sz w:val="24"/>
                <w:szCs w:val="24"/>
                <w:color w:val="auto"/>
                <w:vertAlign w:val="superscript"/>
              </w:rPr>
              <w:t>(3)</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94 %</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95 %</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20"/>
              <w:spacing w:after="0" w:line="216" w:lineRule="exact"/>
              <w:rPr>
                <w:sz w:val="20"/>
                <w:szCs w:val="20"/>
                <w:color w:val="auto"/>
              </w:rPr>
            </w:pPr>
            <w:r>
              <w:rPr>
                <w:rFonts w:ascii="Arial" w:cs="Arial" w:eastAsia="Arial" w:hAnsi="Arial"/>
                <w:sz w:val="18"/>
                <w:szCs w:val="18"/>
                <w:color w:val="auto"/>
              </w:rPr>
              <w:t>Accounts with Last Twelve-Months Spend of at Least $50,000</w:t>
            </w:r>
            <w:r>
              <w:rPr>
                <w:rFonts w:ascii="Arial" w:cs="Arial" w:eastAsia="Arial" w:hAnsi="Arial"/>
                <w:sz w:val="24"/>
                <w:szCs w:val="24"/>
                <w:color w:val="auto"/>
                <w:vertAlign w:val="superscript"/>
              </w:rPr>
              <w:t>(3)</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3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380" w:hanging="372"/>
        <w:spacing w:after="0"/>
        <w:tabs>
          <w:tab w:leader="none" w:pos="3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These key operating metrics are for Marketplace.</w:t>
      </w:r>
    </w:p>
    <w:p>
      <w:pPr>
        <w:spacing w:after="0" w:line="17" w:lineRule="exact"/>
        <w:rPr>
          <w:rFonts w:ascii="Arial" w:cs="Arial" w:eastAsia="Arial" w:hAnsi="Arial"/>
          <w:sz w:val="20"/>
          <w:szCs w:val="20"/>
          <w:color w:val="auto"/>
        </w:rPr>
      </w:pPr>
    </w:p>
    <w:p>
      <w:pPr>
        <w:jc w:val="both"/>
        <w:ind w:left="380" w:right="280" w:hanging="372"/>
        <w:spacing w:after="0" w:line="246" w:lineRule="auto"/>
        <w:tabs>
          <w:tab w:leader="none" w:pos="380" w:val="left"/>
        </w:tabs>
        <w:numPr>
          <w:ilvl w:val="0"/>
          <w:numId w:val="6"/>
        </w:numPr>
        <w:rPr>
          <w:rFonts w:ascii="Arial" w:cs="Arial" w:eastAsia="Arial" w:hAnsi="Arial"/>
          <w:sz w:val="20"/>
          <w:szCs w:val="20"/>
          <w:color w:val="auto"/>
        </w:rPr>
      </w:pPr>
      <w:r>
        <w:rPr>
          <w:rFonts w:ascii="Arial" w:cs="Arial" w:eastAsia="Arial" w:hAnsi="Arial"/>
          <w:sz w:val="20"/>
          <w:szCs w:val="20"/>
          <w:color w:val="auto"/>
        </w:rPr>
        <w:t>Amounts shown for Active Buyers and Accounts with Last Twelve-Months Spend of at Least $50,000 are as of March 31, 2022 and 2021, and Percentage of Revenue from Existing Accounts is presented for the quarters ended March 31, 2022 and 2021.</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 and Outlook: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Q2 2022</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FY 2022</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(in</w:t>
            </w: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78"/>
              </w:rPr>
              <w:t>millions)</w:t>
            </w: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Low</w:t>
            </w:r>
          </w:p>
        </w:tc>
        <w:tc>
          <w:tcPr>
            <w:tcW w:w="400" w:type="dxa"/>
            <w:vAlign w:val="bottom"/>
          </w:tcPr>
          <w:p>
            <w:pPr>
              <w:spacing w:after="0"/>
              <w:rPr>
                <w:sz w:val="18"/>
                <w:szCs w:val="18"/>
                <w:color w:val="auto"/>
              </w:rPr>
            </w:pPr>
          </w:p>
        </w:tc>
        <w:tc>
          <w:tcPr>
            <w:tcW w:w="114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High</w:t>
            </w:r>
          </w:p>
        </w:tc>
        <w:tc>
          <w:tcPr>
            <w:tcW w:w="400" w:type="dxa"/>
            <w:vAlign w:val="bottom"/>
          </w:tcPr>
          <w:p>
            <w:pPr>
              <w:spacing w:after="0"/>
              <w:rPr>
                <w:sz w:val="18"/>
                <w:szCs w:val="18"/>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c>
          <w:tcPr>
            <w:tcW w:w="400" w:type="dxa"/>
            <w:vAlign w:val="bottom"/>
          </w:tcPr>
          <w:p>
            <w:pPr>
              <w:spacing w:after="0"/>
              <w:rPr>
                <w:sz w:val="18"/>
                <w:szCs w:val="18"/>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High</w:t>
            </w:r>
          </w:p>
        </w:tc>
        <w:tc>
          <w:tcPr>
            <w:tcW w:w="80" w:type="dxa"/>
            <w:vAlign w:val="bottom"/>
          </w:tcPr>
          <w:p>
            <w:pPr>
              <w:spacing w:after="0"/>
              <w:rPr>
                <w:sz w:val="18"/>
                <w:szCs w:val="18"/>
                <w:color w:val="auto"/>
              </w:rPr>
            </w:pPr>
          </w:p>
        </w:tc>
      </w:tr>
      <w:tr>
        <w:trPr>
          <w:trHeight w:val="216"/>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91.5</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jc w:val="center"/>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392.0</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FF0FC"/>
          </w:tcPr>
          <w:p>
            <w:pPr>
              <w:spacing w:after="0"/>
              <w:rPr>
                <w:sz w:val="18"/>
                <w:szCs w:val="18"/>
                <w:color w:val="auto"/>
              </w:rPr>
            </w:pPr>
          </w:p>
        </w:tc>
      </w:tr>
      <w:tr>
        <w:trPr>
          <w:trHeight w:val="239"/>
        </w:trPr>
        <w:tc>
          <w:tcPr>
            <w:tcW w:w="55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(11.0 )</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(10.0 )</w:t>
            </w:r>
          </w:p>
        </w:tc>
        <w:tc>
          <w:tcPr>
            <w:tcW w:w="400" w:type="dxa"/>
            <w:vAlign w:val="bottom"/>
          </w:tcPr>
          <w:p>
            <w:pPr>
              <w:jc w:val="center"/>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(36.0 )</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(32.0 )</w:t>
            </w:r>
          </w:p>
        </w:tc>
      </w:tr>
    </w:tbl>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110"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auto"/>
        </w:rPr>
        <w:t>To supplement its consolidated financial statements, which are prepared and presented in accordance with generally accepted accounting principles in the United States of America (“GAAP”), Xometry, Inc. ("Xometry", the "Company", "we" or "our") uses Adjusted EBITDA and Non-GAAP net loss and Non-GAAP Earnings Per Share, which are considered non-GAAP financial measures, as described below. These non-GAAP financial measures are presented to enhance the user’s overall understanding of Xometry’s financial performance and should not be considered a substitute for, nor superior to, the financial information prepared and presented in accordance with GAAP. The non-GAAP financial measures presented in this release, together with the GAAP financial results, are the primary measures used by the Company’s management and board of directors to understand and evaluate the Company’s financial performance and operating trends, including period-to-period comparisons, because they exclude certain expenses and gains that management believes are not indicative of the Company’s core operating results. Management also uses these measures to prepare and update the Company’s short and long term financial and operational plans, to evaluate investment decisions, and in its discussions with investors, commercial bankers, equity research analysts and other users of the Company’s financial statements. Accordingly, the Company believes that these non-GAAP financial measures provide useful information to investors and others in understanding and evaluating the Company’s operating results in the same manner as the Company’s management and in comparing operating results across periods and to those of Xometry’s peer companies. In addition, from time to time we may present adjusted information (for example, revenue growth) to exclude the impact of certain gains, losses or other changes that affect period-to-period comparability of our operating performance.</w:t>
      </w:r>
    </w:p>
    <w:p>
      <w:pPr>
        <w:spacing w:after="0" w:line="184"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The use of non-GAAP financial measures has certain limitations because they do not reflect all items of income and expense, or cash flows, that affect the Company’s financial performance and operations. Additionally, non-GAAP financial measures do not have standardized meanings, and therefore other companies, including peer companies, may use the same or similarly named measures but exclude or include different items or use different computations. Management compensates for these limitations by reconciling these non-GAAP financial measures to their most comparable GAAP financial measures in the tables captioned “Reconciliations of Non-GAAP Financial Measures” included at the end of this release. Investors and others are encouraged to review the Company’s financial information in its entirety and not rely on a single financial measure.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6" w:name="page7"/>
    <w:bookmarkEnd w:id="6"/>
    <w:p>
      <w:pPr>
        <w:ind w:right="5020"/>
        <w:spacing w:after="0" w:line="489" w:lineRule="auto"/>
        <w:rPr>
          <w:sz w:val="20"/>
          <w:szCs w:val="20"/>
          <w:color w:val="auto"/>
        </w:rPr>
      </w:pPr>
      <w:r>
        <w:rPr>
          <w:rFonts w:ascii="Arial" w:cs="Arial" w:eastAsia="Arial" w:hAnsi="Arial"/>
          <w:sz w:val="19"/>
          <w:szCs w:val="19"/>
          <w:b w:val="1"/>
          <w:bCs w:val="1"/>
          <w:color w:val="auto"/>
        </w:rPr>
        <w:t xml:space="preserve">Key Terms for our Key Metrics and Non-GAAP Financial Measures Marketplace revenue: </w:t>
      </w:r>
      <w:r>
        <w:rPr>
          <w:rFonts w:ascii="Arial" w:cs="Arial" w:eastAsia="Arial" w:hAnsi="Arial"/>
          <w:sz w:val="19"/>
          <w:szCs w:val="19"/>
          <w:color w:val="auto"/>
        </w:rPr>
        <w:t>includes the sale of parts and assemblies.</w:t>
      </w:r>
    </w:p>
    <w:p>
      <w:pPr>
        <w:spacing w:after="0" w:line="1" w:lineRule="exact"/>
        <w:rPr>
          <w:sz w:val="20"/>
          <w:szCs w:val="20"/>
          <w:color w:val="auto"/>
        </w:rPr>
      </w:pPr>
    </w:p>
    <w:p>
      <w:pPr>
        <w:ind w:right="540"/>
        <w:spacing w:after="0" w:line="274" w:lineRule="auto"/>
        <w:rPr>
          <w:sz w:val="20"/>
          <w:szCs w:val="20"/>
          <w:color w:val="auto"/>
        </w:rPr>
      </w:pPr>
      <w:r>
        <w:rPr>
          <w:rFonts w:ascii="Arial" w:cs="Arial" w:eastAsia="Arial" w:hAnsi="Arial"/>
          <w:sz w:val="20"/>
          <w:szCs w:val="20"/>
          <w:b w:val="1"/>
          <w:bCs w:val="1"/>
          <w:color w:val="auto"/>
        </w:rPr>
        <w:t xml:space="preserve">Supplier service revenue: </w:t>
      </w:r>
      <w:r>
        <w:rPr>
          <w:rFonts w:ascii="Arial" w:cs="Arial" w:eastAsia="Arial" w:hAnsi="Arial"/>
          <w:sz w:val="20"/>
          <w:szCs w:val="20"/>
          <w:color w:val="auto"/>
        </w:rPr>
        <w:t>includes the sales of advertising on Thomasnet, marketing services, supplies, financial service</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and other fintech products.</w:t>
      </w:r>
    </w:p>
    <w:p>
      <w:pPr>
        <w:spacing w:after="0" w:line="150"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b w:val="1"/>
          <w:bCs w:val="1"/>
          <w:color w:val="auto"/>
        </w:rPr>
        <w:t xml:space="preserve">Adjusted earnings before interest, taxes, depreciation and amortization (Adjusted EBITDA) </w:t>
      </w:r>
      <w:r>
        <w:rPr>
          <w:rFonts w:ascii="Arial" w:cs="Arial" w:eastAsia="Arial" w:hAnsi="Arial"/>
          <w:sz w:val="20"/>
          <w:szCs w:val="20"/>
          <w:color w:val="auto"/>
        </w:rPr>
        <w:t>as net income (loss)</w:t>
      </w:r>
      <w:r>
        <w:rPr>
          <w:rFonts w:ascii="Arial" w:cs="Arial" w:eastAsia="Arial" w:hAnsi="Arial"/>
          <w:sz w:val="20"/>
          <w:szCs w:val="20"/>
          <w:b w:val="1"/>
          <w:bCs w:val="1"/>
          <w:color w:val="auto"/>
        </w:rPr>
        <w:t xml:space="preserve"> </w:t>
      </w:r>
      <w:r>
        <w:rPr>
          <w:rFonts w:ascii="Arial" w:cs="Arial" w:eastAsia="Arial" w:hAnsi="Arial"/>
          <w:sz w:val="20"/>
          <w:szCs w:val="20"/>
          <w:color w:val="auto"/>
        </w:rPr>
        <w:t>excluding interest income (expense), income tax (expense) benefit, and certain other non-cash or non-recurring items impacting net loss from time to time, principally comprised of depreciation and amortization, stock-based compensation, transaction costs, charitable contributions of common stock, revaluation of contingent consideration, income from unconsolidated joint venture and impairment charges.</w:t>
      </w:r>
    </w:p>
    <w:p>
      <w:pPr>
        <w:spacing w:after="0" w:line="181"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b w:val="1"/>
          <w:bCs w:val="1"/>
          <w:color w:val="auto"/>
        </w:rPr>
        <w:t xml:space="preserve">Non-GAAP net loss: </w:t>
      </w:r>
      <w:r>
        <w:rPr>
          <w:rFonts w:ascii="Arial" w:cs="Arial" w:eastAsia="Arial" w:hAnsi="Arial"/>
          <w:sz w:val="20"/>
          <w:szCs w:val="20"/>
          <w:color w:val="auto"/>
        </w:rPr>
        <w:t>The Company has included non-GAAP net loss, which is our net loss adjusted for stock-based</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expense, depreciation and amortization, amortization of discount and issuance costs on convertible notes, unrealized loss on marketable securities, revaluation of contingent consideration and transaction costs (collectively, “non-GAAP net loss”).</w:t>
      </w:r>
    </w:p>
    <w:p>
      <w:pPr>
        <w:spacing w:after="0" w:line="178" w:lineRule="exact"/>
        <w:rPr>
          <w:sz w:val="20"/>
          <w:szCs w:val="20"/>
          <w:color w:val="auto"/>
        </w:rPr>
      </w:pPr>
    </w:p>
    <w:p>
      <w:pPr>
        <w:ind w:right="140"/>
        <w:spacing w:after="0" w:line="274" w:lineRule="auto"/>
        <w:rPr>
          <w:sz w:val="20"/>
          <w:szCs w:val="20"/>
          <w:color w:val="auto"/>
        </w:rPr>
      </w:pPr>
      <w:r>
        <w:rPr>
          <w:rFonts w:ascii="Arial" w:cs="Arial" w:eastAsia="Arial" w:hAnsi="Arial"/>
          <w:sz w:val="20"/>
          <w:szCs w:val="20"/>
          <w:b w:val="1"/>
          <w:bCs w:val="1"/>
          <w:color w:val="auto"/>
        </w:rPr>
        <w:t xml:space="preserve">Non-GAAP Earnings Per Share (Non-GAAP EPS): </w:t>
      </w:r>
      <w:r>
        <w:rPr>
          <w:rFonts w:ascii="Arial" w:cs="Arial" w:eastAsia="Arial" w:hAnsi="Arial"/>
          <w:sz w:val="20"/>
          <w:szCs w:val="20"/>
          <w:color w:val="auto"/>
        </w:rPr>
        <w:t>The Company calculates Non-GAAP net income (loss) per share as Non-GAAP net income (loss) divided by weighted average number of Class A common stock outstanding.</w:t>
      </w:r>
    </w:p>
    <w:p>
      <w:pPr>
        <w:spacing w:after="0" w:line="152"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Management believes that the exclusion of certain expenses and gains in calculating Adjusted EBITDA and Non-GAAP net loss and Non-GAAP EPS provides a useful measure for period-to-period comparisons of the Company’s underlying core revenue and operating costs that is focused more closely on the current costs necessary to operate the Company’s businesses, and reflects its ongoing business in a manner that allows for meaningful analysis of trends. Management also believes that excluding certain non-cash charges can be useful because the amounts of such expenses is the result of long-term investment decisions made in previous periods rather than day-to-day operating decisions.</w:t>
      </w:r>
    </w:p>
    <w:p>
      <w:pPr>
        <w:spacing w:after="0" w:line="180" w:lineRule="exact"/>
        <w:rPr>
          <w:sz w:val="20"/>
          <w:szCs w:val="20"/>
          <w:color w:val="auto"/>
        </w:rPr>
      </w:pPr>
    </w:p>
    <w:p>
      <w:pPr>
        <w:ind w:right="460"/>
        <w:spacing w:after="0" w:line="256" w:lineRule="auto"/>
        <w:rPr>
          <w:sz w:val="20"/>
          <w:szCs w:val="20"/>
          <w:color w:val="auto"/>
        </w:rPr>
      </w:pPr>
      <w:r>
        <w:rPr>
          <w:rFonts w:ascii="Arial" w:cs="Arial" w:eastAsia="Arial" w:hAnsi="Arial"/>
          <w:sz w:val="20"/>
          <w:szCs w:val="20"/>
          <w:b w:val="1"/>
          <w:bCs w:val="1"/>
          <w:color w:val="auto"/>
        </w:rPr>
        <w:t xml:space="preserve">Active Buyers: </w:t>
      </w:r>
      <w:r>
        <w:rPr>
          <w:rFonts w:ascii="Arial" w:cs="Arial" w:eastAsia="Arial" w:hAnsi="Arial"/>
          <w:sz w:val="20"/>
          <w:szCs w:val="20"/>
          <w:color w:val="auto"/>
        </w:rPr>
        <w:t>The Company defines “buyers” as individuals who have placed an order to purchase on-demand parts or</w:t>
      </w:r>
      <w:r>
        <w:rPr>
          <w:rFonts w:ascii="Arial" w:cs="Arial" w:eastAsia="Arial" w:hAnsi="Arial"/>
          <w:sz w:val="20"/>
          <w:szCs w:val="20"/>
          <w:b w:val="1"/>
          <w:bCs w:val="1"/>
          <w:color w:val="auto"/>
        </w:rPr>
        <w:t xml:space="preserve"> </w:t>
      </w:r>
      <w:r>
        <w:rPr>
          <w:rFonts w:ascii="Arial" w:cs="Arial" w:eastAsia="Arial" w:hAnsi="Arial"/>
          <w:sz w:val="20"/>
          <w:szCs w:val="20"/>
          <w:color w:val="auto"/>
        </w:rPr>
        <w:t>assemblies on our marketplace. The Company defines Active Buyers as the number of buyers who have made at least one purchase on our marketplace during the last twelve months.</w:t>
      </w:r>
    </w:p>
    <w:p>
      <w:pPr>
        <w:spacing w:after="0" w:line="169" w:lineRule="exact"/>
        <w:rPr>
          <w:sz w:val="20"/>
          <w:szCs w:val="20"/>
          <w:color w:val="auto"/>
        </w:rPr>
      </w:pPr>
    </w:p>
    <w:p>
      <w:pPr>
        <w:ind w:right="140"/>
        <w:spacing w:after="0" w:line="269" w:lineRule="auto"/>
        <w:rPr>
          <w:sz w:val="20"/>
          <w:szCs w:val="20"/>
          <w:color w:val="auto"/>
        </w:rPr>
      </w:pPr>
      <w:r>
        <w:rPr>
          <w:rFonts w:ascii="Arial" w:cs="Arial" w:eastAsia="Arial" w:hAnsi="Arial"/>
          <w:sz w:val="19"/>
          <w:szCs w:val="19"/>
          <w:b w:val="1"/>
          <w:bCs w:val="1"/>
          <w:color w:val="auto"/>
        </w:rPr>
        <w:t xml:space="preserve">Percentage of Revenue from Existing Accounts: </w:t>
      </w:r>
      <w:r>
        <w:rPr>
          <w:rFonts w:ascii="Arial" w:cs="Arial" w:eastAsia="Arial" w:hAnsi="Arial"/>
          <w:sz w:val="19"/>
          <w:szCs w:val="19"/>
          <w:color w:val="auto"/>
        </w:rPr>
        <w:t>The Company defines “accounts” as an individual entity, such as a sole</w:t>
      </w:r>
      <w:r>
        <w:rPr>
          <w:rFonts w:ascii="Arial" w:cs="Arial" w:eastAsia="Arial" w:hAnsi="Arial"/>
          <w:sz w:val="19"/>
          <w:szCs w:val="19"/>
          <w:b w:val="1"/>
          <w:bCs w:val="1"/>
          <w:color w:val="auto"/>
        </w:rPr>
        <w:t xml:space="preserve"> </w:t>
      </w:r>
      <w:r>
        <w:rPr>
          <w:rFonts w:ascii="Arial" w:cs="Arial" w:eastAsia="Arial" w:hAnsi="Arial"/>
          <w:sz w:val="19"/>
          <w:szCs w:val="19"/>
          <w:color w:val="auto"/>
        </w:rPr>
        <w:t>proprietor with a single buyer or corporate entities with multiple buyers, having purchased at least one part on our marketplace. The Company defines an existing account as an account where at least one buyer has made a purchase on our marketplace.</w:t>
      </w:r>
    </w:p>
    <w:p>
      <w:pPr>
        <w:spacing w:after="0" w:line="156" w:lineRule="exact"/>
        <w:rPr>
          <w:sz w:val="20"/>
          <w:szCs w:val="20"/>
          <w:color w:val="auto"/>
        </w:rPr>
      </w:pPr>
    </w:p>
    <w:p>
      <w:pPr>
        <w:ind w:right="240"/>
        <w:spacing w:after="0" w:line="256" w:lineRule="auto"/>
        <w:rPr>
          <w:sz w:val="20"/>
          <w:szCs w:val="20"/>
          <w:color w:val="auto"/>
        </w:rPr>
      </w:pPr>
      <w:r>
        <w:rPr>
          <w:rFonts w:ascii="Arial" w:cs="Arial" w:eastAsia="Arial" w:hAnsi="Arial"/>
          <w:sz w:val="20"/>
          <w:szCs w:val="20"/>
          <w:b w:val="1"/>
          <w:bCs w:val="1"/>
          <w:color w:val="auto"/>
        </w:rPr>
        <w:t xml:space="preserve">Accounts with Last Twelve-Month Spend of At Least $50,000: </w:t>
      </w:r>
      <w:r>
        <w:rPr>
          <w:rFonts w:ascii="Arial" w:cs="Arial" w:eastAsia="Arial" w:hAnsi="Arial"/>
          <w:sz w:val="20"/>
          <w:szCs w:val="20"/>
          <w:color w:val="auto"/>
        </w:rPr>
        <w:t>The Company defines Accounts with Last Twelve-Month</w:t>
      </w:r>
      <w:r>
        <w:rPr>
          <w:rFonts w:ascii="Arial" w:cs="Arial" w:eastAsia="Arial" w:hAnsi="Arial"/>
          <w:sz w:val="20"/>
          <w:szCs w:val="20"/>
          <w:b w:val="1"/>
          <w:bCs w:val="1"/>
          <w:color w:val="auto"/>
        </w:rPr>
        <w:t xml:space="preserve"> </w:t>
      </w:r>
      <w:r>
        <w:rPr>
          <w:rFonts w:ascii="Arial" w:cs="Arial" w:eastAsia="Arial" w:hAnsi="Arial"/>
          <w:sz w:val="20"/>
          <w:szCs w:val="20"/>
          <w:color w:val="auto"/>
        </w:rPr>
        <w:t>Spend of At Least $50,000 as an account that has spent at least $50,000 on our marketplace in the most recent twelve-month period.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Xometry</w:t>
      </w:r>
    </w:p>
    <w:p>
      <w:pPr>
        <w:spacing w:after="0" w:line="204"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Xometry (XMTR) powers the industries of today and tomorrow by connecting the people with big ideas to the manufacturers who can bring them to life. Xometry’s digital marketplace gives manufacturers the critical resources they need to grow their business while also making it easy for buyers at Fortune 1000 companies to tap into global manufacturing capacity. Learn more at www.xometry.com or follow @xometry.</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Conference Call</w:t>
      </w:r>
    </w:p>
    <w:p>
      <w:pPr>
        <w:spacing w:after="0" w:line="218"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color w:val="auto"/>
        </w:rPr>
        <w:t>The Company will discuss its first quarter 2022 financial results during a teleconference on 5/11/2022, at 8:30 AM ET/5:30 AM PT. The conference call can be accessed in the U.S. at 877-313-2061 or outside the U.S. at 470-495-9537 with the conference ID# 1993784. A live audio webcast of the call will also be available simultaneously at investors.xometry.com. Following completion of the call, a recorded replay of the teleconference will be available in the investor relations section of Xometry's website. The earnings webcast presentation will be archived within the Investor Relations section of Xometry's website.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Information Regarding Forward-Looking Statements</w:t>
      </w:r>
    </w:p>
    <w:p>
      <w:pPr>
        <w:spacing w:after="0" w:line="20" w:lineRule="exact"/>
        <w:rPr>
          <w:sz w:val="20"/>
          <w:szCs w:val="20"/>
          <w:color w:val="auto"/>
        </w:rPr>
      </w:pPr>
    </w:p>
    <w:p>
      <w:pPr>
        <w:spacing w:after="0" w:line="238" w:lineRule="auto"/>
        <w:rPr>
          <w:sz w:val="20"/>
          <w:szCs w:val="20"/>
          <w:color w:val="auto"/>
        </w:rPr>
      </w:pPr>
      <w:r>
        <w:rPr>
          <w:rFonts w:ascii="Arial" w:cs="Arial" w:eastAsia="Arial" w:hAnsi="Arial"/>
          <w:sz w:val="20"/>
          <w:szCs w:val="20"/>
          <w:color w:val="auto"/>
        </w:rPr>
        <w:t>This press release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 expressions that concern our expectations, strategy, plans or intentions. Forward-looking statements in this press release include, but are not limited to, our beliefs regarding our financial position and operating performance, including our outlook and guidance for the second quarter and full year 2022, certain expected synergies from recent acquisitions and demand for our marketplaces in general. Our expectations and beliefs regarding these matters may not materialize, and actual results in future periods are subject to risks and uncertainties that could cause actual results to differ materially from those projected, including risks and uncertainties related to: competition, managing our growth, financial performance, including the impact of the COVID-19 pandemic on our business and operations and our ability to forecast our performance due to our limited operating history and the COVID-19 pandemic, investments in new products or offerings, our ability to attract buyers and sellers to our marketplace, legal proceedings and regulatory matters and developments, any future changes to our business or our financial or operating model, and our brand and reputation. The forward-looking statements contained in this press release are also subject to other risks and uncertainties that could cause actual results to differ from the results predicted, including those more fully described in our filings with the SEC, including our Annual Report on Form 10-K for the period ended December 31, 2021. All forward-looking statements in this press release are based on information available to Xometry and assumptions and beliefs as of the date hereof, and we disclaim any obligation to update any forward-looking statements, except as required by law.</w:t>
      </w:r>
    </w:p>
    <w:p>
      <w:pPr>
        <w:sectPr>
          <w:pgSz w:w="11900" w:h="16838" w:orient="portrait"/>
          <w:cols w:equalWidth="0" w:num="1">
            <w:col w:w="11220"/>
          </w:cols>
          <w:pgMar w:left="320" w:top="53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Investor Contact:</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20"/>
          <w:szCs w:val="20"/>
          <w:color w:val="auto"/>
        </w:rPr>
        <w:t>Shawn Milne</w:t>
      </w:r>
    </w:p>
    <w:p>
      <w:pPr>
        <w:ind w:left="20"/>
        <w:spacing w:after="0" w:line="225" w:lineRule="auto"/>
        <w:rPr>
          <w:sz w:val="20"/>
          <w:szCs w:val="20"/>
          <w:color w:val="auto"/>
        </w:rPr>
      </w:pPr>
      <w:r>
        <w:rPr>
          <w:rFonts w:ascii="Arial" w:cs="Arial" w:eastAsia="Arial" w:hAnsi="Arial"/>
          <w:sz w:val="20"/>
          <w:szCs w:val="20"/>
          <w:color w:val="auto"/>
        </w:rPr>
        <w:t>VP Investor Relations</w:t>
      </w:r>
    </w:p>
    <w:p>
      <w:pPr>
        <w:ind w:left="20"/>
        <w:spacing w:after="0" w:line="211" w:lineRule="auto"/>
        <w:rPr>
          <w:sz w:val="20"/>
          <w:szCs w:val="20"/>
          <w:color w:val="auto"/>
        </w:rPr>
      </w:pPr>
      <w:r>
        <w:rPr>
          <w:rFonts w:ascii="Arial" w:cs="Arial" w:eastAsia="Arial" w:hAnsi="Arial"/>
          <w:sz w:val="20"/>
          <w:szCs w:val="20"/>
          <w:color w:val="auto"/>
        </w:rPr>
        <w:t>240-335-8132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9"/>
          <w:szCs w:val="19"/>
          <w:color w:val="auto"/>
        </w:rPr>
        <w:t>shawn.milne@xometry.com</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4940"/>
        <w:spacing w:after="0"/>
        <w:rPr>
          <w:sz w:val="20"/>
          <w:szCs w:val="20"/>
          <w:color w:val="auto"/>
        </w:rPr>
      </w:pPr>
      <w:r>
        <w:rPr>
          <w:rFonts w:ascii="Arial" w:cs="Arial" w:eastAsia="Arial" w:hAnsi="Arial"/>
          <w:sz w:val="20"/>
          <w:szCs w:val="20"/>
          <w:color w:val="auto"/>
        </w:rPr>
        <w:t># # #</w:t>
      </w:r>
    </w:p>
    <w:p>
      <w:pPr>
        <w:spacing w:after="0" w:line="18" w:lineRule="exact"/>
        <w:rPr>
          <w:sz w:val="20"/>
          <w:szCs w:val="20"/>
          <w:color w:val="auto"/>
        </w:rPr>
      </w:pPr>
    </w:p>
    <w:p>
      <w:pPr>
        <w:jc w:val="center"/>
        <w:ind w:right="4940"/>
        <w:spacing w:after="0"/>
        <w:rPr>
          <w:sz w:val="20"/>
          <w:szCs w:val="20"/>
          <w:color w:val="auto"/>
        </w:rPr>
      </w:pPr>
      <w:r>
        <w:rPr>
          <w:rFonts w:ascii="Arial" w:cs="Arial" w:eastAsia="Arial" w:hAnsi="Arial"/>
          <w:sz w:val="19"/>
          <w:szCs w:val="19"/>
          <w:color w:val="auto"/>
        </w:rPr>
        <w:t>(Tables Follow)</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Media Contact:</w:t>
      </w:r>
    </w:p>
    <w:p>
      <w:pPr>
        <w:spacing w:after="0" w:line="168" w:lineRule="exact"/>
        <w:rPr>
          <w:sz w:val="20"/>
          <w:szCs w:val="20"/>
          <w:color w:val="auto"/>
        </w:rPr>
      </w:pPr>
    </w:p>
    <w:p>
      <w:pPr>
        <w:ind w:left="680"/>
        <w:spacing w:after="0"/>
        <w:rPr>
          <w:sz w:val="20"/>
          <w:szCs w:val="20"/>
          <w:color w:val="auto"/>
        </w:rPr>
      </w:pPr>
      <w:r>
        <w:rPr>
          <w:rFonts w:ascii="Arial" w:cs="Arial" w:eastAsia="Arial" w:hAnsi="Arial"/>
          <w:sz w:val="20"/>
          <w:szCs w:val="20"/>
          <w:color w:val="auto"/>
        </w:rPr>
        <w:t>Matthew Hutchison</w:t>
      </w:r>
    </w:p>
    <w:p>
      <w:pPr>
        <w:ind w:left="680"/>
        <w:spacing w:after="0" w:line="237" w:lineRule="auto"/>
        <w:rPr>
          <w:sz w:val="20"/>
          <w:szCs w:val="20"/>
          <w:color w:val="auto"/>
        </w:rPr>
      </w:pPr>
      <w:r>
        <w:rPr>
          <w:rFonts w:ascii="Arial" w:cs="Arial" w:eastAsia="Arial" w:hAnsi="Arial"/>
          <w:sz w:val="19"/>
          <w:szCs w:val="19"/>
          <w:color w:val="auto"/>
        </w:rPr>
        <w:t>Corporate Communications for Xometry</w:t>
      </w:r>
    </w:p>
    <w:p>
      <w:pPr>
        <w:ind w:left="680"/>
        <w:spacing w:after="0" w:line="211" w:lineRule="auto"/>
        <w:rPr>
          <w:sz w:val="20"/>
          <w:szCs w:val="20"/>
          <w:color w:val="auto"/>
        </w:rPr>
      </w:pPr>
      <w:r>
        <w:rPr>
          <w:rFonts w:ascii="Arial" w:cs="Arial" w:eastAsia="Arial" w:hAnsi="Arial"/>
          <w:sz w:val="20"/>
          <w:szCs w:val="20"/>
          <w:color w:val="auto"/>
        </w:rPr>
        <w:t>415-583-2119</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20"/>
          <w:szCs w:val="20"/>
          <w:color w:val="auto"/>
        </w:rPr>
        <w:t>matthew.hutchison@xometry.com</w:t>
      </w:r>
    </w:p>
    <w:p>
      <w:pPr>
        <w:spacing w:after="0" w:line="202" w:lineRule="exact"/>
        <w:rPr>
          <w:sz w:val="20"/>
          <w:szCs w:val="20"/>
          <w:color w:val="auto"/>
        </w:rPr>
      </w:pPr>
    </w:p>
    <w:p>
      <w:pPr>
        <w:sectPr>
          <w:pgSz w:w="11900" w:h="16838" w:orient="portrait"/>
          <w:cols w:equalWidth="0" w:num="2">
            <w:col w:w="4240" w:space="720"/>
            <w:col w:w="6260"/>
          </w:cols>
          <w:pgMar w:left="320" w:top="534" w:right="35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4" w:right="359" w:bottom="1440" w:gutter="0" w:footer="0" w:header="0"/>
          <w:type w:val="continuous"/>
        </w:sectPr>
      </w:pPr>
    </w:p>
    <w:bookmarkStart w:id="8" w:name="page9"/>
    <w:bookmarkEnd w:id="8"/>
    <w:p>
      <w:pPr>
        <w:ind w:left="4160"/>
        <w:spacing w:after="0"/>
        <w:rPr>
          <w:sz w:val="20"/>
          <w:szCs w:val="20"/>
          <w:color w:val="auto"/>
        </w:rPr>
      </w:pPr>
      <w:r>
        <w:rPr>
          <w:rFonts w:ascii="Arial" w:cs="Arial" w:eastAsia="Arial" w:hAnsi="Arial"/>
          <w:sz w:val="20"/>
          <w:szCs w:val="20"/>
          <w:b w:val="1"/>
          <w:bCs w:val="1"/>
          <w:color w:val="auto"/>
        </w:rPr>
        <w:t>Xometry, Inc. and Subsidiaries</w:t>
      </w:r>
    </w:p>
    <w:p>
      <w:pPr>
        <w:spacing w:after="0" w:line="19" w:lineRule="exact"/>
        <w:rPr>
          <w:sz w:val="20"/>
          <w:szCs w:val="20"/>
          <w:color w:val="auto"/>
        </w:rPr>
      </w:pPr>
    </w:p>
    <w:p>
      <w:pPr>
        <w:ind w:left="3800"/>
        <w:spacing w:after="0"/>
        <w:rPr>
          <w:sz w:val="20"/>
          <w:szCs w:val="20"/>
          <w:color w:val="auto"/>
        </w:rPr>
      </w:pPr>
      <w:r>
        <w:rPr>
          <w:rFonts w:ascii="Arial" w:cs="Arial" w:eastAsia="Arial" w:hAnsi="Arial"/>
          <w:sz w:val="20"/>
          <w:szCs w:val="20"/>
          <w:color w:val="auto"/>
        </w:rPr>
        <w:t>Condensed Consolidated Balance Sheets</w:t>
      </w:r>
    </w:p>
    <w:p>
      <w:pPr>
        <w:ind w:left="3520"/>
        <w:spacing w:after="0"/>
        <w:rPr>
          <w:sz w:val="20"/>
          <w:szCs w:val="20"/>
          <w:color w:val="auto"/>
        </w:rPr>
      </w:pPr>
      <w:r>
        <w:rPr>
          <w:rFonts w:ascii="Arial" w:cs="Arial" w:eastAsia="Arial" w:hAnsi="Arial"/>
          <w:sz w:val="20"/>
          <w:szCs w:val="20"/>
          <w:color w:val="auto"/>
        </w:rPr>
        <w:t>(In thousands, except share and per share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85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08"/>
              <w:spacing w:after="0"/>
              <w:rPr>
                <w:sz w:val="20"/>
                <w:szCs w:val="20"/>
                <w:color w:val="auto"/>
              </w:rPr>
            </w:pPr>
            <w:r>
              <w:rPr>
                <w:rFonts w:ascii="Arial" w:cs="Arial" w:eastAsia="Arial" w:hAnsi="Arial"/>
                <w:sz w:val="13"/>
                <w:szCs w:val="13"/>
                <w:b w:val="1"/>
                <w:bCs w:val="1"/>
                <w:color w:val="auto"/>
                <w:w w:val="98"/>
              </w:rPr>
              <w:t>(unaudited)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68"/>
              <w:spacing w:after="0"/>
              <w:rPr>
                <w:sz w:val="20"/>
                <w:szCs w:val="20"/>
                <w:color w:val="auto"/>
              </w:rPr>
            </w:pPr>
            <w:r>
              <w:rPr>
                <w:rFonts w:ascii="Arial" w:cs="Arial" w:eastAsia="Arial" w:hAnsi="Arial"/>
                <w:sz w:val="13"/>
                <w:szCs w:val="13"/>
                <w:b w:val="1"/>
                <w:bCs w:val="1"/>
                <w:color w:val="auto"/>
                <w:w w:val="94"/>
              </w:rPr>
              <w:t>(audited)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5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58,969</w:t>
            </w:r>
          </w:p>
        </w:tc>
        <w:tc>
          <w:tcPr>
            <w:tcW w:w="6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86,262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200"/>
              <w:spacing w:after="0"/>
              <w:rPr>
                <w:sz w:val="20"/>
                <w:szCs w:val="20"/>
                <w:color w:val="auto"/>
              </w:rPr>
            </w:pPr>
            <w:r>
              <w:rPr>
                <w:rFonts w:ascii="Arial" w:cs="Arial" w:eastAsia="Arial" w:hAnsi="Arial"/>
                <w:sz w:val="14"/>
                <w:szCs w:val="14"/>
                <w:color w:val="auto"/>
              </w:rPr>
              <w:t>Marketable securities</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309,694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30,465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8540" w:type="dxa"/>
            <w:vAlign w:val="bottom"/>
            <w:shd w:val="clear" w:color="auto" w:fill="CFF0FC"/>
          </w:tcPr>
          <w:p>
            <w:pPr>
              <w:ind w:left="200"/>
              <w:spacing w:after="0" w:line="139" w:lineRule="exact"/>
              <w:rPr>
                <w:sz w:val="20"/>
                <w:szCs w:val="20"/>
                <w:color w:val="auto"/>
              </w:rPr>
            </w:pPr>
            <w:r>
              <w:rPr>
                <w:rFonts w:ascii="Arial" w:cs="Arial" w:eastAsia="Arial" w:hAnsi="Arial"/>
                <w:sz w:val="14"/>
                <w:szCs w:val="14"/>
                <w:color w:val="auto"/>
              </w:rPr>
              <w:t>Accounts receivable, less allowance for doubtful accounts of $1.0 million as of March 31, 2022 and $0.8 million as of December</w:t>
            </w:r>
          </w:p>
        </w:tc>
        <w:tc>
          <w:tcPr>
            <w:tcW w:w="18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38,471</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32,427</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31, 2021</w:t>
            </w:r>
          </w:p>
        </w:tc>
        <w:tc>
          <w:tcPr>
            <w:tcW w:w="180" w:type="dxa"/>
            <w:vAlign w:val="bottom"/>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vMerge w:val="continue"/>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540" w:type="dxa"/>
            <w:vAlign w:val="bottom"/>
          </w:tcPr>
          <w:p>
            <w:pPr>
              <w:ind w:left="200"/>
              <w:spacing w:after="0"/>
              <w:rPr>
                <w:sz w:val="20"/>
                <w:szCs w:val="20"/>
                <w:color w:val="auto"/>
              </w:rPr>
            </w:pPr>
            <w:r>
              <w:rPr>
                <w:rFonts w:ascii="Arial" w:cs="Arial" w:eastAsia="Arial" w:hAnsi="Arial"/>
                <w:sz w:val="14"/>
                <w:szCs w:val="14"/>
                <w:color w:val="auto"/>
              </w:rPr>
              <w:t>Inventory</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Prepaid expenses</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6,086</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6,664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40" w:type="dxa"/>
            <w:vAlign w:val="bottom"/>
          </w:tcPr>
          <w:p>
            <w:pPr>
              <w:ind w:left="200"/>
              <w:spacing w:after="0"/>
              <w:rPr>
                <w:sz w:val="20"/>
                <w:szCs w:val="20"/>
                <w:color w:val="auto"/>
              </w:rPr>
            </w:pPr>
            <w:r>
              <w:rPr>
                <w:rFonts w:ascii="Arial" w:cs="Arial" w:eastAsia="Arial" w:hAnsi="Arial"/>
                <w:sz w:val="14"/>
                <w:szCs w:val="14"/>
                <w:color w:val="auto"/>
              </w:rPr>
              <w:t>Deferred sales commissions</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6,708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5,283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current assets</w:t>
            </w:r>
          </w:p>
        </w:tc>
        <w:tc>
          <w:tcPr>
            <w:tcW w:w="1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917</w:t>
            </w:r>
          </w:p>
        </w:tc>
        <w:tc>
          <w:tcPr>
            <w:tcW w:w="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297</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540" w:type="dxa"/>
            <w:vAlign w:val="bottom"/>
          </w:tcPr>
          <w:p>
            <w:pPr>
              <w:ind w:left="380"/>
              <w:spacing w:after="0"/>
              <w:rPr>
                <w:sz w:val="20"/>
                <w:szCs w:val="20"/>
                <w:color w:val="auto"/>
              </w:rPr>
            </w:pPr>
            <w:r>
              <w:rPr>
                <w:rFonts w:ascii="Arial" w:cs="Arial" w:eastAsia="Arial" w:hAnsi="Arial"/>
                <w:sz w:val="14"/>
                <w:szCs w:val="14"/>
                <w:b w:val="1"/>
                <w:bCs w:val="1"/>
                <w:color w:val="auto"/>
              </w:rPr>
              <w:t>Total current assets</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423,045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163,431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11,634</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10,287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200"/>
              <w:spacing w:after="0"/>
              <w:rPr>
                <w:sz w:val="20"/>
                <w:szCs w:val="20"/>
                <w:color w:val="auto"/>
              </w:rPr>
            </w:pPr>
            <w:r>
              <w:rPr>
                <w:rFonts w:ascii="Arial" w:cs="Arial" w:eastAsia="Arial" w:hAnsi="Arial"/>
                <w:sz w:val="14"/>
                <w:szCs w:val="14"/>
                <w:color w:val="auto"/>
              </w:rPr>
              <w:t>Operating lease right-of-use assets</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25,804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27,489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Investment in unconsolidated joint venture</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4,231</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40" w:type="dxa"/>
            <w:vAlign w:val="bottom"/>
          </w:tcPr>
          <w:p>
            <w:pPr>
              <w:ind w:left="200"/>
              <w:spacing w:after="0"/>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40,871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41,736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255,231</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254,672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40" w:type="dxa"/>
            <w:vAlign w:val="bottom"/>
          </w:tcPr>
          <w:p>
            <w:pPr>
              <w:ind w:left="20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5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761,327</w:t>
            </w:r>
          </w:p>
        </w:tc>
        <w:tc>
          <w:tcPr>
            <w:tcW w:w="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502,586</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54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5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4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9,930</w:t>
            </w:r>
          </w:p>
        </w:tc>
        <w:tc>
          <w:tcPr>
            <w:tcW w:w="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12,718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expenses</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28,195</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30,905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200"/>
              <w:spacing w:after="0"/>
              <w:rPr>
                <w:sz w:val="20"/>
                <w:szCs w:val="20"/>
                <w:color w:val="auto"/>
              </w:rPr>
            </w:pPr>
            <w:r>
              <w:rPr>
                <w:rFonts w:ascii="Arial" w:cs="Arial" w:eastAsia="Arial" w:hAnsi="Arial"/>
                <w:sz w:val="14"/>
                <w:szCs w:val="14"/>
                <w:color w:val="auto"/>
              </w:rPr>
              <w:t>Contract liabilities</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10,008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7,863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liabilities, current portion</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5,662</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5,549</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200"/>
              <w:spacing w:after="0"/>
              <w:rPr>
                <w:sz w:val="20"/>
                <w:szCs w:val="20"/>
                <w:color w:val="auto"/>
              </w:rPr>
            </w:pPr>
            <w:r>
              <w:rPr>
                <w:rFonts w:ascii="Arial" w:cs="Arial" w:eastAsia="Arial" w:hAnsi="Arial"/>
                <w:sz w:val="14"/>
                <w:szCs w:val="14"/>
                <w:color w:val="auto"/>
              </w:rPr>
              <w:t>Finance lease liabilities, current portion</w:t>
            </w:r>
          </w:p>
        </w:tc>
        <w:tc>
          <w:tcPr>
            <w:tcW w:w="18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540" w:type="dxa"/>
            <w:vAlign w:val="bottom"/>
            <w:shd w:val="clear" w:color="auto" w:fill="CFF0FC"/>
          </w:tcPr>
          <w:p>
            <w:pPr>
              <w:ind w:left="380"/>
              <w:spacing w:after="0"/>
              <w:rPr>
                <w:sz w:val="20"/>
                <w:szCs w:val="20"/>
                <w:color w:val="auto"/>
              </w:rPr>
            </w:pPr>
            <w:r>
              <w:rPr>
                <w:rFonts w:ascii="Arial" w:cs="Arial" w:eastAsia="Arial" w:hAnsi="Arial"/>
                <w:sz w:val="14"/>
                <w:szCs w:val="14"/>
                <w:b w:val="1"/>
                <w:bCs w:val="1"/>
                <w:color w:val="auto"/>
              </w:rPr>
              <w:t>Total current liabilities</w:t>
            </w:r>
          </w:p>
        </w:tc>
        <w:tc>
          <w:tcPr>
            <w:tcW w:w="18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53,795</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57,037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540" w:type="dxa"/>
            <w:vAlign w:val="bottom"/>
          </w:tcPr>
          <w:p>
            <w:pPr>
              <w:ind w:left="200"/>
              <w:spacing w:after="0"/>
              <w:rPr>
                <w:sz w:val="20"/>
                <w:szCs w:val="20"/>
                <w:color w:val="auto"/>
              </w:rPr>
            </w:pPr>
            <w:r>
              <w:rPr>
                <w:rFonts w:ascii="Arial" w:cs="Arial" w:eastAsia="Arial" w:hAnsi="Arial"/>
                <w:sz w:val="14"/>
                <w:szCs w:val="14"/>
                <w:color w:val="auto"/>
              </w:rPr>
              <w:t>Operating lease liabilities, net of current portion</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15,518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16,920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Convertible notes</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278,511</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8540" w:type="dxa"/>
            <w:vAlign w:val="bottom"/>
          </w:tcPr>
          <w:p>
            <w:pPr>
              <w:ind w:left="200"/>
              <w:spacing w:after="0"/>
              <w:rPr>
                <w:sz w:val="20"/>
                <w:szCs w:val="20"/>
                <w:color w:val="auto"/>
              </w:rPr>
            </w:pPr>
            <w:r>
              <w:rPr>
                <w:rFonts w:ascii="Arial" w:cs="Arial" w:eastAsia="Arial" w:hAnsi="Arial"/>
                <w:sz w:val="14"/>
                <w:szCs w:val="14"/>
                <w:color w:val="auto"/>
              </w:rPr>
              <w:t>Income taxes payable</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1,532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1,468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1,792</w:t>
            </w:r>
          </w:p>
        </w:tc>
        <w:tc>
          <w:tcPr>
            <w:tcW w:w="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1,678</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540" w:type="dxa"/>
            <w:vAlign w:val="bottom"/>
          </w:tcPr>
          <w:p>
            <w:pPr>
              <w:ind w:left="38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351,148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5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Commitments and contingencies (Note 13)</w:t>
            </w:r>
          </w:p>
        </w:tc>
        <w:tc>
          <w:tcPr>
            <w:tcW w:w="1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54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602,360</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597,641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200"/>
              <w:spacing w:after="0"/>
              <w:rPr>
                <w:sz w:val="20"/>
                <w:szCs w:val="20"/>
                <w:color w:val="auto"/>
              </w:rPr>
            </w:pPr>
            <w:r>
              <w:rPr>
                <w:rFonts w:ascii="Arial" w:cs="Arial" w:eastAsia="Arial" w:hAnsi="Arial"/>
                <w:sz w:val="14"/>
                <w:szCs w:val="14"/>
                <w:color w:val="auto"/>
              </w:rPr>
              <w:t>Accumulated other comprehensive income</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deficit</w:t>
            </w:r>
          </w:p>
        </w:tc>
        <w:tc>
          <w:tcPr>
            <w:tcW w:w="1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(193,353 )</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(173,341 )</w:t>
            </w:r>
          </w:p>
        </w:tc>
        <w:tc>
          <w:tcPr>
            <w:tcW w:w="0" w:type="dxa"/>
            <w:vAlign w:val="bottom"/>
          </w:tcPr>
          <w:p>
            <w:pPr>
              <w:spacing w:after="0"/>
              <w:rPr>
                <w:sz w:val="1"/>
                <w:szCs w:val="1"/>
                <w:color w:val="auto"/>
              </w:rPr>
            </w:pPr>
          </w:p>
        </w:tc>
      </w:tr>
      <w:tr>
        <w:trPr>
          <w:trHeight w:val="169"/>
        </w:trPr>
        <w:tc>
          <w:tcPr>
            <w:tcW w:w="854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Total stockholders’ equity</w:t>
            </w: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409,111</w:t>
            </w:r>
          </w:p>
        </w:tc>
        <w:tc>
          <w:tcPr>
            <w:tcW w:w="6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424,449</w:t>
            </w:r>
          </w:p>
        </w:tc>
        <w:tc>
          <w:tcPr>
            <w:tcW w:w="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5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Noncontrolling interest</w:t>
            </w:r>
          </w:p>
        </w:tc>
        <w:tc>
          <w:tcPr>
            <w:tcW w:w="1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1,068</w:t>
            </w:r>
          </w:p>
        </w:tc>
        <w:tc>
          <w:tcPr>
            <w:tcW w:w="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1,034</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540" w:type="dxa"/>
            <w:vAlign w:val="bottom"/>
          </w:tcPr>
          <w:p>
            <w:pPr>
              <w:ind w:left="380"/>
              <w:spacing w:after="0"/>
              <w:rPr>
                <w:sz w:val="20"/>
                <w:szCs w:val="20"/>
                <w:color w:val="auto"/>
              </w:rPr>
            </w:pPr>
            <w:r>
              <w:rPr>
                <w:rFonts w:ascii="Arial" w:cs="Arial" w:eastAsia="Arial" w:hAnsi="Arial"/>
                <w:sz w:val="14"/>
                <w:szCs w:val="14"/>
                <w:b w:val="1"/>
                <w:bCs w:val="1"/>
                <w:color w:val="auto"/>
              </w:rPr>
              <w:t>Total equity</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410,179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425,483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761,327</w:t>
            </w:r>
          </w:p>
        </w:tc>
        <w:tc>
          <w:tcPr>
            <w:tcW w:w="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502,586</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-3462655</wp:posOffset>
            </wp:positionV>
            <wp:extent cx="4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-3462655</wp:posOffset>
            </wp:positionV>
            <wp:extent cx="43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-2553970</wp:posOffset>
            </wp:positionV>
            <wp:extent cx="431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-2536825</wp:posOffset>
            </wp:positionV>
            <wp:extent cx="431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-2553970</wp:posOffset>
            </wp:positionV>
            <wp:extent cx="431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-2536825</wp:posOffset>
            </wp:positionV>
            <wp:extent cx="431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-1182370</wp:posOffset>
            </wp:positionV>
            <wp:extent cx="431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-1182370</wp:posOffset>
            </wp:positionV>
            <wp:extent cx="431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-496570</wp:posOffset>
            </wp:positionV>
            <wp:extent cx="431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-496570</wp:posOffset>
            </wp:positionV>
            <wp:extent cx="431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-265430</wp:posOffset>
            </wp:positionV>
            <wp:extent cx="431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-265430</wp:posOffset>
            </wp:positionV>
            <wp:extent cx="431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431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431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Condensed Consolidated Statements of Operations and Comprehensive Loss</w:t>
      </w:r>
    </w:p>
    <w:p>
      <w:pPr>
        <w:jc w:val="center"/>
        <w:spacing w:after="0"/>
        <w:rPr>
          <w:sz w:val="20"/>
          <w:szCs w:val="20"/>
          <w:color w:val="auto"/>
        </w:rPr>
      </w:pPr>
      <w:r>
        <w:rPr>
          <w:rFonts w:ascii="Arial" w:cs="Arial" w:eastAsia="Arial" w:hAnsi="Arial"/>
          <w:sz w:val="20"/>
          <w:szCs w:val="20"/>
          <w:color w:val="auto"/>
        </w:rPr>
        <w:t>(In thousands, except share and per share amounts)</w:t>
      </w:r>
    </w:p>
    <w:p>
      <w:pPr>
        <w:jc w:val="center"/>
        <w:ind w:left="7000"/>
        <w:spacing w:after="0" w:line="221" w:lineRule="auto"/>
        <w:rPr>
          <w:sz w:val="20"/>
          <w:szCs w:val="20"/>
          <w:color w:val="auto"/>
        </w:rPr>
      </w:pPr>
      <w:r>
        <w:rPr>
          <w:rFonts w:ascii="Arial" w:cs="Arial" w:eastAsia="Arial" w:hAnsi="Arial"/>
          <w:sz w:val="18"/>
          <w:szCs w:val="18"/>
          <w:b w:val="1"/>
          <w:bCs w:val="1"/>
          <w:color w:val="auto"/>
        </w:rPr>
        <w:t>Three Months Ended</w:t>
      </w:r>
    </w:p>
    <w:p>
      <w:pPr>
        <w:spacing w:after="0" w:line="1" w:lineRule="exact"/>
        <w:rPr>
          <w:sz w:val="20"/>
          <w:szCs w:val="20"/>
          <w:color w:val="auto"/>
        </w:rPr>
      </w:pPr>
    </w:p>
    <w:p>
      <w:pPr>
        <w:jc w:val="center"/>
        <w:ind w:left="700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(unaudited)</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0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83,671</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43,922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6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50,732</w:t>
            </w:r>
          </w:p>
        </w:tc>
        <w:tc>
          <w:tcPr>
            <w:tcW w:w="1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b w:val="1"/>
                <w:bCs w:val="1"/>
                <w:color w:val="auto"/>
              </w:rPr>
              <w:t>Gross profit</w:t>
            </w:r>
          </w:p>
        </w:tc>
        <w:tc>
          <w:tcPr>
            <w:tcW w:w="16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32,939</w:t>
            </w:r>
          </w:p>
        </w:tc>
        <w:tc>
          <w:tcPr>
            <w:tcW w:w="1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19,285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 and support</w:t>
            </w:r>
          </w:p>
        </w:tc>
        <w:tc>
          <w:tcPr>
            <w:tcW w:w="16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12,358</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7,290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16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12,959</w:t>
            </w:r>
          </w:p>
        </w:tc>
        <w:tc>
          <w:tcPr>
            <w:tcW w:w="1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6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51,892</w:t>
            </w:r>
          </w:p>
        </w:tc>
        <w:tc>
          <w:tcPr>
            <w:tcW w:w="1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FF0FC"/>
          </w:tcPr>
          <w:p>
            <w:pPr>
              <w:ind w:left="280"/>
              <w:spacing w:after="0"/>
              <w:rPr>
                <w:sz w:val="20"/>
                <w:szCs w:val="20"/>
                <w:color w:val="auto"/>
              </w:rPr>
            </w:pPr>
            <w:r>
              <w:rPr>
                <w:rFonts w:ascii="Arial" w:cs="Arial" w:eastAsia="Arial" w:hAnsi="Arial"/>
                <w:sz w:val="18"/>
                <w:szCs w:val="18"/>
                <w:b w:val="1"/>
                <w:bCs w:val="1"/>
                <w:color w:val="auto"/>
              </w:rPr>
              <w:t>Loss from operations</w:t>
            </w:r>
          </w:p>
        </w:tc>
        <w:tc>
          <w:tcPr>
            <w:tcW w:w="16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(18,953</w:t>
            </w:r>
          </w:p>
        </w:tc>
        <w:tc>
          <w:tcPr>
            <w:tcW w:w="1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5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(10,049</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Other (expenses) income</w:t>
            </w: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6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(769 )</w:t>
            </w:r>
          </w:p>
        </w:tc>
        <w:tc>
          <w:tcPr>
            <w:tcW w:w="5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(330 )</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Interest and dividend income</w:t>
            </w: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expenses</w:t>
            </w:r>
          </w:p>
        </w:tc>
        <w:tc>
          <w:tcPr>
            <w:tcW w:w="16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(962 )</w:t>
            </w:r>
          </w:p>
        </w:tc>
        <w:tc>
          <w:tcPr>
            <w:tcW w:w="5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Income from unconsolidated joint venture</w:t>
            </w: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expenses</w:t>
            </w:r>
          </w:p>
        </w:tc>
        <w:tc>
          <w:tcPr>
            <w:tcW w:w="16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(1,601</w:t>
            </w:r>
          </w:p>
        </w:tc>
        <w:tc>
          <w:tcPr>
            <w:tcW w:w="16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500" w:type="dxa"/>
            <w:vAlign w:val="bottom"/>
          </w:tcPr>
          <w:p>
            <w:pPr>
              <w:ind w:left="280"/>
              <w:spacing w:after="0"/>
              <w:rPr>
                <w:sz w:val="20"/>
                <w:szCs w:val="20"/>
                <w:color w:val="auto"/>
              </w:rPr>
            </w:pPr>
            <w:r>
              <w:rPr>
                <w:rFonts w:ascii="Arial" w:cs="Arial" w:eastAsia="Arial" w:hAnsi="Arial"/>
                <w:sz w:val="18"/>
                <w:szCs w:val="18"/>
                <w:b w:val="1"/>
                <w:bCs w:val="1"/>
                <w:color w:val="auto"/>
              </w:rPr>
              <w:t>Loss before income taxes</w:t>
            </w: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(20,554 )</w:t>
            </w:r>
          </w:p>
        </w:tc>
        <w:tc>
          <w:tcPr>
            <w:tcW w:w="5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(10,501 )</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Benefit for income taxes</w:t>
            </w:r>
          </w:p>
        </w:tc>
        <w:tc>
          <w:tcPr>
            <w:tcW w:w="16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1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tcPr>
          <w:p>
            <w:pPr>
              <w:ind w:left="280"/>
              <w:spacing w:after="0"/>
              <w:rPr>
                <w:sz w:val="20"/>
                <w:szCs w:val="20"/>
                <w:color w:val="auto"/>
              </w:rPr>
            </w:pPr>
            <w:r>
              <w:rPr>
                <w:rFonts w:ascii="Arial" w:cs="Arial" w:eastAsia="Arial" w:hAnsi="Arial"/>
                <w:sz w:val="18"/>
                <w:szCs w:val="18"/>
                <w:b w:val="1"/>
                <w:bCs w:val="1"/>
                <w:color w:val="auto"/>
              </w:rPr>
              <w:t>Net loss</w:t>
            </w: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(19,995 )</w:t>
            </w:r>
          </w:p>
        </w:tc>
        <w:tc>
          <w:tcPr>
            <w:tcW w:w="5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(10,501 )</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16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280"/>
              <w:spacing w:after="0"/>
              <w:rPr>
                <w:sz w:val="20"/>
                <w:szCs w:val="20"/>
                <w:color w:val="auto"/>
              </w:rPr>
            </w:pPr>
            <w:r>
              <w:rPr>
                <w:rFonts w:ascii="Arial" w:cs="Arial" w:eastAsia="Arial" w:hAnsi="Arial"/>
                <w:sz w:val="18"/>
                <w:szCs w:val="18"/>
                <w:b w:val="1"/>
                <w:bCs w:val="1"/>
                <w:color w:val="auto"/>
              </w:rPr>
              <w:t>Net loss attributable to common stockholders</w:t>
            </w:r>
          </w:p>
        </w:tc>
        <w:tc>
          <w:tcPr>
            <w:tcW w:w="20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(20,012 )</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(10,501 )</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5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16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(0.43</w:t>
            </w:r>
          </w:p>
        </w:tc>
        <w:tc>
          <w:tcPr>
            <w:tcW w:w="16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580" w:type="dxa"/>
            <w:vAlign w:val="bottom"/>
            <w:tcBorders>
              <w:bottom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51"/>
        </w:trPr>
        <w:tc>
          <w:tcPr>
            <w:tcW w:w="5500" w:type="dxa"/>
            <w:vAlign w:val="bottom"/>
          </w:tcPr>
          <w:p>
            <w:pPr>
              <w:ind w:left="20"/>
              <w:spacing w:after="0" w:line="150" w:lineRule="exact"/>
              <w:rPr>
                <w:sz w:val="20"/>
                <w:szCs w:val="20"/>
                <w:color w:val="auto"/>
              </w:rPr>
            </w:pPr>
            <w:r>
              <w:rPr>
                <w:rFonts w:ascii="Arial" w:cs="Arial" w:eastAsia="Arial" w:hAnsi="Arial"/>
                <w:sz w:val="17"/>
                <w:szCs w:val="17"/>
                <w:color w:val="auto"/>
              </w:rPr>
              <w:t>Weighted-average number of shares outstanding used to compute</w:t>
            </w:r>
          </w:p>
        </w:tc>
        <w:tc>
          <w:tcPr>
            <w:tcW w:w="1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46,789,585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7,924,848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500" w:type="dxa"/>
            <w:vAlign w:val="bottom"/>
          </w:tcPr>
          <w:p>
            <w:pPr>
              <w:ind w:left="180"/>
              <w:spacing w:after="0" w:line="195" w:lineRule="exact"/>
              <w:rPr>
                <w:sz w:val="20"/>
                <w:szCs w:val="20"/>
                <w:color w:val="auto"/>
              </w:rPr>
            </w:pPr>
            <w:r>
              <w:rPr>
                <w:rFonts w:ascii="Arial" w:cs="Arial" w:eastAsia="Arial" w:hAnsi="Arial"/>
                <w:sz w:val="18"/>
                <w:szCs w:val="18"/>
                <w:color w:val="auto"/>
              </w:rPr>
              <w:t>net loss per share, basic and diluted</w:t>
            </w:r>
          </w:p>
        </w:tc>
        <w:tc>
          <w:tcPr>
            <w:tcW w:w="16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16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20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(28 )</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other comprehensive (loss) income</w:t>
            </w:r>
          </w:p>
        </w:tc>
        <w:tc>
          <w:tcPr>
            <w:tcW w:w="16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(19,995 )</w:t>
            </w:r>
          </w:p>
        </w:tc>
        <w:tc>
          <w:tcPr>
            <w:tcW w:w="5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(10,501 )</w:t>
            </w: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loss</w:t>
            </w:r>
          </w:p>
        </w:tc>
        <w:tc>
          <w:tcPr>
            <w:tcW w:w="16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(20,023 )</w:t>
            </w:r>
          </w:p>
        </w:tc>
        <w:tc>
          <w:tcPr>
            <w:tcW w:w="5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(10,471 )</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Comprehensive income attributable to noncontrolling interest</w:t>
            </w: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comprehensive loss attributable to common stockholders</w:t>
            </w:r>
          </w:p>
        </w:tc>
        <w:tc>
          <w:tcPr>
            <w:tcW w:w="16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(20,057</w:t>
            </w:r>
          </w:p>
        </w:tc>
        <w:tc>
          <w:tcPr>
            <w:tcW w:w="16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845"/>
        </w:trPr>
        <w:tc>
          <w:tcPr>
            <w:tcW w:w="5500" w:type="dxa"/>
            <w:vAlign w:val="bottom"/>
          </w:tcPr>
          <w:p>
            <w:pPr>
              <w:spacing w:after="0"/>
              <w:rPr>
                <w:sz w:val="24"/>
                <w:szCs w:val="24"/>
                <w:color w:val="auto"/>
              </w:rPr>
            </w:pPr>
          </w:p>
        </w:tc>
        <w:tc>
          <w:tcPr>
            <w:tcW w:w="16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5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-4748530</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-4748530</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-4191000</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-4191000</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-3068320</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-3068320</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-2785110</wp:posOffset>
            </wp:positionV>
            <wp:extent cx="5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-2785110</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-2502535</wp:posOffset>
            </wp:positionV>
            <wp:extent cx="514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-2502535</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-2193925</wp:posOffset>
            </wp:positionV>
            <wp:extent cx="51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-2176780</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-2193925</wp:posOffset>
            </wp:positionV>
            <wp:extent cx="51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-2176780</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-1216660</wp:posOffset>
            </wp:positionV>
            <wp:extent cx="514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-1216660</wp:posOffset>
            </wp:positionV>
            <wp:extent cx="514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-650875</wp:posOffset>
            </wp:positionV>
            <wp:extent cx="514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-633730</wp:posOffset>
            </wp:positionV>
            <wp:extent cx="514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-650875</wp:posOffset>
            </wp:positionV>
            <wp:extent cx="514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-633730</wp:posOffset>
            </wp:positionV>
            <wp:extent cx="514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Xometry, Inc. and Subsidiaries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Unaudited Condensed Consolidated Statements of Cash Flows</w:t>
      </w:r>
    </w:p>
    <w:p>
      <w:pPr>
        <w:jc w:val="center"/>
        <w:spacing w:after="0"/>
        <w:rPr>
          <w:sz w:val="20"/>
          <w:szCs w:val="20"/>
          <w:color w:val="auto"/>
        </w:rPr>
      </w:pPr>
      <w:r>
        <w:rPr>
          <w:rFonts w:ascii="Arial" w:cs="Arial" w:eastAsia="Arial" w:hAnsi="Arial"/>
          <w:sz w:val="20"/>
          <w:szCs w:val="20"/>
          <w:color w:val="auto"/>
        </w:rPr>
        <w:t>(In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8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760" w:type="dxa"/>
            <w:vAlign w:val="bottom"/>
          </w:tcPr>
          <w:p>
            <w:pPr>
              <w:spacing w:after="0"/>
              <w:rPr>
                <w:sz w:val="14"/>
                <w:szCs w:val="14"/>
                <w:color w:val="auto"/>
              </w:rPr>
            </w:pPr>
          </w:p>
        </w:tc>
        <w:tc>
          <w:tcPr>
            <w:tcW w:w="10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shd w:val="clear" w:color="auto" w:fill="CFF0FC"/>
          </w:tcPr>
          <w:p>
            <w:pPr>
              <w:spacing w:after="0"/>
              <w:rPr>
                <w:sz w:val="14"/>
                <w:szCs w:val="14"/>
                <w:color w:val="auto"/>
              </w:rPr>
            </w:pPr>
          </w:p>
        </w:tc>
        <w:tc>
          <w:tcPr>
            <w:tcW w:w="1840" w:type="dxa"/>
            <w:vAlign w:val="bottom"/>
            <w:gridSpan w:val="4"/>
            <w:shd w:val="clear" w:color="auto" w:fill="CFF0FC"/>
          </w:tcPr>
          <w:p>
            <w:pPr>
              <w:jc w:val="right"/>
              <w:ind w:right="668"/>
              <w:spacing w:after="0"/>
              <w:rPr>
                <w:sz w:val="20"/>
                <w:szCs w:val="20"/>
                <w:color w:val="auto"/>
              </w:rPr>
            </w:pPr>
            <w:r>
              <w:rPr>
                <w:rFonts w:ascii="Arial" w:cs="Arial" w:eastAsia="Arial" w:hAnsi="Arial"/>
                <w:sz w:val="14"/>
                <w:szCs w:val="14"/>
                <w:b w:val="1"/>
                <w:bCs w:val="1"/>
                <w:color w:val="auto"/>
              </w:rPr>
              <w:t>(unaudited)</w:t>
            </w:r>
          </w:p>
        </w:tc>
        <w:tc>
          <w:tcPr>
            <w:tcW w:w="5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776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(19,995 )</w:t>
            </w:r>
          </w:p>
        </w:tc>
        <w:tc>
          <w:tcPr>
            <w:tcW w:w="160" w:type="dxa"/>
            <w:vAlign w:val="bottom"/>
          </w:tcPr>
          <w:p>
            <w:pPr>
              <w:spacing w:after="0"/>
              <w:rPr>
                <w:sz w:val="15"/>
                <w:szCs w:val="15"/>
                <w:color w:val="auto"/>
              </w:rPr>
            </w:pP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(10,501 )</w:t>
            </w:r>
          </w:p>
        </w:tc>
      </w:tr>
      <w:tr>
        <w:trPr>
          <w:trHeight w:val="176"/>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5"/>
        </w:trPr>
        <w:tc>
          <w:tcPr>
            <w:tcW w:w="776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1,799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734</w:t>
            </w:r>
          </w:p>
        </w:tc>
        <w:tc>
          <w:tcPr>
            <w:tcW w:w="60" w:type="dxa"/>
            <w:vAlign w:val="bottom"/>
          </w:tcPr>
          <w:p>
            <w:pPr>
              <w:spacing w:after="0"/>
              <w:rPr>
                <w:sz w:val="15"/>
                <w:szCs w:val="15"/>
                <w:color w:val="auto"/>
              </w:rPr>
            </w:pPr>
          </w:p>
        </w:tc>
      </w:tr>
      <w:tr>
        <w:trPr>
          <w:trHeight w:val="176"/>
        </w:trPr>
        <w:tc>
          <w:tcPr>
            <w:tcW w:w="77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Reduction in carrying amount of right-of-use asset</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1,765</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w:t>
            </w:r>
          </w:p>
        </w:tc>
        <w:tc>
          <w:tcPr>
            <w:tcW w:w="60" w:type="dxa"/>
            <w:vAlign w:val="bottom"/>
            <w:shd w:val="clear" w:color="auto" w:fill="CFF0FC"/>
          </w:tcPr>
          <w:p>
            <w:pPr>
              <w:spacing w:after="0"/>
              <w:rPr>
                <w:sz w:val="15"/>
                <w:szCs w:val="15"/>
                <w:color w:val="auto"/>
              </w:rPr>
            </w:pPr>
          </w:p>
        </w:tc>
      </w:tr>
      <w:tr>
        <w:trPr>
          <w:trHeight w:val="176"/>
        </w:trPr>
        <w:tc>
          <w:tcPr>
            <w:tcW w:w="7760" w:type="dxa"/>
            <w:vAlign w:val="bottom"/>
          </w:tcPr>
          <w:p>
            <w:pPr>
              <w:ind w:left="380"/>
              <w:spacing w:after="0"/>
              <w:rPr>
                <w:sz w:val="20"/>
                <w:szCs w:val="20"/>
                <w:color w:val="auto"/>
              </w:rPr>
            </w:pPr>
            <w:r>
              <w:rPr>
                <w:rFonts w:ascii="Arial" w:cs="Arial" w:eastAsia="Arial" w:hAnsi="Arial"/>
                <w:sz w:val="14"/>
                <w:szCs w:val="14"/>
                <w:color w:val="auto"/>
              </w:rPr>
              <w:t>Stock based compensation</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3,456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505</w:t>
            </w:r>
          </w:p>
        </w:tc>
        <w:tc>
          <w:tcPr>
            <w:tcW w:w="60" w:type="dxa"/>
            <w:vAlign w:val="bottom"/>
          </w:tcPr>
          <w:p>
            <w:pPr>
              <w:spacing w:after="0"/>
              <w:rPr>
                <w:sz w:val="15"/>
                <w:szCs w:val="15"/>
                <w:color w:val="auto"/>
              </w:rPr>
            </w:pPr>
          </w:p>
        </w:tc>
      </w:tr>
      <w:tr>
        <w:trPr>
          <w:trHeight w:val="175"/>
        </w:trPr>
        <w:tc>
          <w:tcPr>
            <w:tcW w:w="77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Non-cash interest expense</w:t>
            </w:r>
          </w:p>
        </w:tc>
        <w:tc>
          <w:tcPr>
            <w:tcW w:w="1000" w:type="dxa"/>
            <w:vAlign w:val="bottom"/>
            <w:shd w:val="clear" w:color="auto" w:fill="CFF0FC"/>
          </w:tcPr>
          <w:p>
            <w:pPr>
              <w:spacing w:after="0"/>
              <w:rPr>
                <w:sz w:val="15"/>
                <w:szCs w:val="15"/>
                <w:color w:val="auto"/>
              </w:rPr>
            </w:pPr>
          </w:p>
        </w:tc>
        <w:tc>
          <w:tcPr>
            <w:tcW w:w="84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w:t>
            </w:r>
          </w:p>
        </w:tc>
        <w:tc>
          <w:tcPr>
            <w:tcW w:w="60" w:type="dxa"/>
            <w:vAlign w:val="bottom"/>
            <w:shd w:val="clear" w:color="auto" w:fill="CFF0FC"/>
          </w:tcPr>
          <w:p>
            <w:pPr>
              <w:spacing w:after="0"/>
              <w:rPr>
                <w:sz w:val="15"/>
                <w:szCs w:val="15"/>
                <w:color w:val="auto"/>
              </w:rPr>
            </w:pPr>
          </w:p>
        </w:tc>
      </w:tr>
      <w:tr>
        <w:trPr>
          <w:trHeight w:val="176"/>
        </w:trPr>
        <w:tc>
          <w:tcPr>
            <w:tcW w:w="7760" w:type="dxa"/>
            <w:vAlign w:val="bottom"/>
          </w:tcPr>
          <w:p>
            <w:pPr>
              <w:ind w:left="380"/>
              <w:spacing w:after="0"/>
              <w:rPr>
                <w:sz w:val="20"/>
                <w:szCs w:val="20"/>
                <w:color w:val="auto"/>
              </w:rPr>
            </w:pPr>
            <w:r>
              <w:rPr>
                <w:rFonts w:ascii="Arial" w:cs="Arial" w:eastAsia="Arial" w:hAnsi="Arial"/>
                <w:sz w:val="14"/>
                <w:szCs w:val="14"/>
                <w:color w:val="auto"/>
              </w:rPr>
              <w:t>Revaluation of contingent consideration</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77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from unconsolidated joint venture</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(34 )</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7760" w:type="dxa"/>
            <w:vAlign w:val="bottom"/>
          </w:tcPr>
          <w:p>
            <w:pPr>
              <w:ind w:left="380"/>
              <w:spacing w:after="0"/>
              <w:rPr>
                <w:sz w:val="20"/>
                <w:szCs w:val="20"/>
                <w:color w:val="auto"/>
              </w:rPr>
            </w:pPr>
            <w:r>
              <w:rPr>
                <w:rFonts w:ascii="Arial" w:cs="Arial" w:eastAsia="Arial" w:hAnsi="Arial"/>
                <w:sz w:val="14"/>
                <w:szCs w:val="14"/>
                <w:color w:val="auto"/>
              </w:rPr>
              <w:t>Unrealized loss on marketable securities</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858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77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Non-cash income tax benefit</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(559 )</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7760" w:type="dxa"/>
            <w:vAlign w:val="bottom"/>
          </w:tcPr>
          <w:p>
            <w:pPr>
              <w:ind w:left="380"/>
              <w:spacing w:after="0"/>
              <w:rPr>
                <w:sz w:val="20"/>
                <w:szCs w:val="20"/>
                <w:color w:val="auto"/>
              </w:rPr>
            </w:pPr>
            <w:r>
              <w:rPr>
                <w:rFonts w:ascii="Arial" w:cs="Arial" w:eastAsia="Arial" w:hAnsi="Arial"/>
                <w:sz w:val="14"/>
                <w:szCs w:val="14"/>
                <w:color w:val="auto"/>
              </w:rPr>
              <w:t>Loss on sale of property and equipment</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77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Amortization of deferred costs on convertible notes</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7760" w:type="dxa"/>
            <w:vAlign w:val="bottom"/>
          </w:tcPr>
          <w:p>
            <w:pPr>
              <w:ind w:left="380"/>
              <w:spacing w:after="0"/>
              <w:rPr>
                <w:sz w:val="20"/>
                <w:szCs w:val="20"/>
                <w:color w:val="auto"/>
              </w:rPr>
            </w:pPr>
            <w:r>
              <w:rPr>
                <w:rFonts w:ascii="Arial" w:cs="Arial" w:eastAsia="Arial" w:hAnsi="Arial"/>
                <w:sz w:val="14"/>
                <w:szCs w:val="14"/>
                <w:color w:val="auto"/>
              </w:rPr>
              <w:t>Deferred taxes benefit</w:t>
            </w:r>
          </w:p>
        </w:tc>
        <w:tc>
          <w:tcPr>
            <w:tcW w:w="10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(2 )</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77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other assets and liabilities:</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5"/>
        </w:trPr>
        <w:tc>
          <w:tcPr>
            <w:tcW w:w="7760" w:type="dxa"/>
            <w:vAlign w:val="bottom"/>
          </w:tcPr>
          <w:p>
            <w:pPr>
              <w:ind w:left="560"/>
              <w:spacing w:after="0"/>
              <w:rPr>
                <w:sz w:val="20"/>
                <w:szCs w:val="20"/>
                <w:color w:val="auto"/>
              </w:rPr>
            </w:pPr>
            <w:r>
              <w:rPr>
                <w:rFonts w:ascii="Arial" w:cs="Arial" w:eastAsia="Arial" w:hAnsi="Arial"/>
                <w:sz w:val="14"/>
                <w:szCs w:val="14"/>
                <w:color w:val="auto"/>
              </w:rPr>
              <w:t>Accounts receivable, net</w:t>
            </w:r>
          </w:p>
        </w:tc>
        <w:tc>
          <w:tcPr>
            <w:tcW w:w="10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(6,145 )</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(5,525 )</w:t>
            </w:r>
          </w:p>
        </w:tc>
      </w:tr>
      <w:tr>
        <w:trPr>
          <w:trHeight w:val="176"/>
        </w:trPr>
        <w:tc>
          <w:tcPr>
            <w:tcW w:w="77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Inventory</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(180 )</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792</w:t>
            </w:r>
          </w:p>
        </w:tc>
        <w:tc>
          <w:tcPr>
            <w:tcW w:w="60" w:type="dxa"/>
            <w:vAlign w:val="bottom"/>
            <w:shd w:val="clear" w:color="auto" w:fill="CFF0FC"/>
          </w:tcPr>
          <w:p>
            <w:pPr>
              <w:spacing w:after="0"/>
              <w:rPr>
                <w:sz w:val="15"/>
                <w:szCs w:val="15"/>
                <w:color w:val="auto"/>
              </w:rPr>
            </w:pPr>
          </w:p>
        </w:tc>
      </w:tr>
      <w:tr>
        <w:trPr>
          <w:trHeight w:val="176"/>
        </w:trPr>
        <w:tc>
          <w:tcPr>
            <w:tcW w:w="7760" w:type="dxa"/>
            <w:vAlign w:val="bottom"/>
          </w:tcPr>
          <w:p>
            <w:pPr>
              <w:ind w:left="560"/>
              <w:spacing w:after="0"/>
              <w:rPr>
                <w:sz w:val="20"/>
                <w:szCs w:val="20"/>
                <w:color w:val="auto"/>
              </w:rPr>
            </w:pPr>
            <w:r>
              <w:rPr>
                <w:rFonts w:ascii="Arial" w:cs="Arial" w:eastAsia="Arial" w:hAnsi="Arial"/>
                <w:sz w:val="14"/>
                <w:szCs w:val="14"/>
                <w:color w:val="auto"/>
              </w:rPr>
              <w:t>Prepaid expenses</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(875 )</w:t>
            </w:r>
          </w:p>
        </w:tc>
      </w:tr>
      <w:tr>
        <w:trPr>
          <w:trHeight w:val="175"/>
        </w:trPr>
        <w:tc>
          <w:tcPr>
            <w:tcW w:w="77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Deferred commissions</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(1,425 )</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7760" w:type="dxa"/>
            <w:vAlign w:val="bottom"/>
          </w:tcPr>
          <w:p>
            <w:pPr>
              <w:ind w:left="560"/>
              <w:spacing w:after="0"/>
              <w:rPr>
                <w:sz w:val="20"/>
                <w:szCs w:val="20"/>
                <w:color w:val="auto"/>
              </w:rPr>
            </w:pPr>
            <w:r>
              <w:rPr>
                <w:rFonts w:ascii="Arial" w:cs="Arial" w:eastAsia="Arial" w:hAnsi="Arial"/>
                <w:sz w:val="14"/>
                <w:szCs w:val="14"/>
                <w:color w:val="auto"/>
              </w:rPr>
              <w:t>Other assets</w:t>
            </w:r>
          </w:p>
        </w:tc>
        <w:tc>
          <w:tcPr>
            <w:tcW w:w="10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(362 )</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(224 )</w:t>
            </w:r>
          </w:p>
        </w:tc>
      </w:tr>
      <w:tr>
        <w:trPr>
          <w:trHeight w:val="175"/>
        </w:trPr>
        <w:tc>
          <w:tcPr>
            <w:tcW w:w="77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Accounts payable</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(2,752 )</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1,856</w:t>
            </w:r>
          </w:p>
        </w:tc>
        <w:tc>
          <w:tcPr>
            <w:tcW w:w="60" w:type="dxa"/>
            <w:vAlign w:val="bottom"/>
            <w:shd w:val="clear" w:color="auto" w:fill="CFF0FC"/>
          </w:tcPr>
          <w:p>
            <w:pPr>
              <w:spacing w:after="0"/>
              <w:rPr>
                <w:sz w:val="15"/>
                <w:szCs w:val="15"/>
                <w:color w:val="auto"/>
              </w:rPr>
            </w:pPr>
          </w:p>
        </w:tc>
      </w:tr>
      <w:tr>
        <w:trPr>
          <w:trHeight w:val="176"/>
        </w:trPr>
        <w:tc>
          <w:tcPr>
            <w:tcW w:w="7760" w:type="dxa"/>
            <w:vAlign w:val="bottom"/>
          </w:tcPr>
          <w:p>
            <w:pPr>
              <w:ind w:left="560"/>
              <w:spacing w:after="0"/>
              <w:rPr>
                <w:sz w:val="20"/>
                <w:szCs w:val="20"/>
                <w:color w:val="auto"/>
              </w:rPr>
            </w:pPr>
            <w:r>
              <w:rPr>
                <w:rFonts w:ascii="Arial" w:cs="Arial" w:eastAsia="Arial" w:hAnsi="Arial"/>
                <w:sz w:val="14"/>
                <w:szCs w:val="14"/>
                <w:color w:val="auto"/>
              </w:rPr>
              <w:t>Accrued expenses</w:t>
            </w:r>
          </w:p>
        </w:tc>
        <w:tc>
          <w:tcPr>
            <w:tcW w:w="10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(2,843 )</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1,645</w:t>
            </w:r>
          </w:p>
        </w:tc>
        <w:tc>
          <w:tcPr>
            <w:tcW w:w="60" w:type="dxa"/>
            <w:vAlign w:val="bottom"/>
          </w:tcPr>
          <w:p>
            <w:pPr>
              <w:spacing w:after="0"/>
              <w:rPr>
                <w:sz w:val="15"/>
                <w:szCs w:val="15"/>
                <w:color w:val="auto"/>
              </w:rPr>
            </w:pPr>
          </w:p>
        </w:tc>
      </w:tr>
      <w:tr>
        <w:trPr>
          <w:trHeight w:val="175"/>
        </w:trPr>
        <w:tc>
          <w:tcPr>
            <w:tcW w:w="77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Contract liabilities</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2,145</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1,595</w:t>
            </w:r>
          </w:p>
        </w:tc>
        <w:tc>
          <w:tcPr>
            <w:tcW w:w="60" w:type="dxa"/>
            <w:vAlign w:val="bottom"/>
            <w:shd w:val="clear" w:color="auto" w:fill="CFF0FC"/>
          </w:tcPr>
          <w:p>
            <w:pPr>
              <w:spacing w:after="0"/>
              <w:rPr>
                <w:sz w:val="15"/>
                <w:szCs w:val="15"/>
                <w:color w:val="auto"/>
              </w:rPr>
            </w:pPr>
          </w:p>
        </w:tc>
      </w:tr>
      <w:tr>
        <w:trPr>
          <w:trHeight w:val="176"/>
        </w:trPr>
        <w:tc>
          <w:tcPr>
            <w:tcW w:w="7760" w:type="dxa"/>
            <w:vAlign w:val="bottom"/>
          </w:tcPr>
          <w:p>
            <w:pPr>
              <w:ind w:left="560"/>
              <w:spacing w:after="0"/>
              <w:rPr>
                <w:sz w:val="20"/>
                <w:szCs w:val="20"/>
                <w:color w:val="auto"/>
              </w:rPr>
            </w:pPr>
            <w:r>
              <w:rPr>
                <w:rFonts w:ascii="Arial" w:cs="Arial" w:eastAsia="Arial" w:hAnsi="Arial"/>
                <w:sz w:val="14"/>
                <w:szCs w:val="14"/>
                <w:color w:val="auto"/>
              </w:rPr>
              <w:t>Lease liabilities</w:t>
            </w:r>
          </w:p>
        </w:tc>
        <w:tc>
          <w:tcPr>
            <w:tcW w:w="10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(1,369 )</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(266 )</w:t>
            </w:r>
          </w:p>
        </w:tc>
      </w:tr>
      <w:tr>
        <w:trPr>
          <w:trHeight w:val="169"/>
        </w:trPr>
        <w:tc>
          <w:tcPr>
            <w:tcW w:w="77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Net cash used in operating activities</w:t>
            </w: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(24,259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6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(9,942</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 of marketable securities</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(280,091 )</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7760" w:type="dxa"/>
            <w:vAlign w:val="bottom"/>
          </w:tcPr>
          <w:p>
            <w:pPr>
              <w:ind w:left="200"/>
              <w:spacing w:after="0"/>
              <w:rPr>
                <w:sz w:val="20"/>
                <w:szCs w:val="20"/>
                <w:color w:val="auto"/>
              </w:rPr>
            </w:pPr>
            <w:r>
              <w:rPr>
                <w:rFonts w:ascii="Arial" w:cs="Arial" w:eastAsia="Arial" w:hAnsi="Arial"/>
                <w:sz w:val="14"/>
                <w:szCs w:val="14"/>
                <w:color w:val="auto"/>
              </w:rPr>
              <w:t>Proceeds from sale of marketable securities</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property and equipment</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(2,543 )</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(1,244 )</w:t>
            </w:r>
          </w:p>
        </w:tc>
      </w:tr>
      <w:tr>
        <w:trPr>
          <w:trHeight w:val="176"/>
        </w:trPr>
        <w:tc>
          <w:tcPr>
            <w:tcW w:w="7760" w:type="dxa"/>
            <w:vAlign w:val="bottom"/>
          </w:tcPr>
          <w:p>
            <w:pPr>
              <w:ind w:left="200"/>
              <w:spacing w:after="0"/>
              <w:rPr>
                <w:sz w:val="20"/>
                <w:szCs w:val="20"/>
                <w:color w:val="auto"/>
              </w:rPr>
            </w:pPr>
            <w:r>
              <w:rPr>
                <w:rFonts w:ascii="Arial" w:cs="Arial" w:eastAsia="Arial" w:hAnsi="Arial"/>
                <w:sz w:val="14"/>
                <w:szCs w:val="14"/>
                <w:color w:val="auto"/>
              </w:rPr>
              <w:t>Proceeds from sale of property and equipment</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69"/>
        </w:trPr>
        <w:tc>
          <w:tcPr>
            <w:tcW w:w="776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Net cash used in investing activities</w:t>
            </w: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(282,465</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CFF0FC"/>
              <w:bottom w:val="single" w:sz="8" w:color="CFF0FC"/>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(1,244</w:t>
            </w:r>
          </w:p>
        </w:tc>
        <w:tc>
          <w:tcPr>
            <w:tcW w:w="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stock options exercised</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1,263</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846</w:t>
            </w:r>
          </w:p>
        </w:tc>
        <w:tc>
          <w:tcPr>
            <w:tcW w:w="60" w:type="dxa"/>
            <w:vAlign w:val="bottom"/>
            <w:shd w:val="clear" w:color="auto" w:fill="CFF0FC"/>
          </w:tcPr>
          <w:p>
            <w:pPr>
              <w:spacing w:after="0"/>
              <w:rPr>
                <w:sz w:val="15"/>
                <w:szCs w:val="15"/>
                <w:color w:val="auto"/>
              </w:rPr>
            </w:pPr>
          </w:p>
        </w:tc>
      </w:tr>
      <w:tr>
        <w:trPr>
          <w:trHeight w:val="175"/>
        </w:trPr>
        <w:tc>
          <w:tcPr>
            <w:tcW w:w="7760" w:type="dxa"/>
            <w:vAlign w:val="bottom"/>
          </w:tcPr>
          <w:p>
            <w:pPr>
              <w:ind w:left="200"/>
              <w:spacing w:after="0"/>
              <w:rPr>
                <w:sz w:val="20"/>
                <w:szCs w:val="20"/>
                <w:color w:val="auto"/>
              </w:rPr>
            </w:pPr>
            <w:r>
              <w:rPr>
                <w:rFonts w:ascii="Arial" w:cs="Arial" w:eastAsia="Arial" w:hAnsi="Arial"/>
                <w:sz w:val="14"/>
                <w:szCs w:val="14"/>
                <w:color w:val="auto"/>
              </w:rPr>
              <w:t>Proceeds from issuance of convertible notes</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287,500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Costs incurred in connection with issuance of convertible notes</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(9,301 )</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7760" w:type="dxa"/>
            <w:vAlign w:val="bottom"/>
          </w:tcPr>
          <w:p>
            <w:pPr>
              <w:ind w:left="200"/>
              <w:spacing w:after="0"/>
              <w:rPr>
                <w:sz w:val="20"/>
                <w:szCs w:val="20"/>
                <w:color w:val="auto"/>
              </w:rPr>
            </w:pPr>
            <w:r>
              <w:rPr>
                <w:rFonts w:ascii="Arial" w:cs="Arial" w:eastAsia="Arial" w:hAnsi="Arial"/>
                <w:sz w:val="14"/>
                <w:szCs w:val="14"/>
                <w:color w:val="auto"/>
              </w:rPr>
              <w:t>Payments on finance lease obligations</w:t>
            </w:r>
          </w:p>
        </w:tc>
        <w:tc>
          <w:tcPr>
            <w:tcW w:w="10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(2 )</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(3 )</w:t>
            </w:r>
          </w:p>
        </w:tc>
      </w:tr>
      <w:tr>
        <w:trPr>
          <w:trHeight w:val="169"/>
        </w:trPr>
        <w:tc>
          <w:tcPr>
            <w:tcW w:w="77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Net cash provided by financing activities</w:t>
            </w: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279,460</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843</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9"/>
        </w:trPr>
        <w:tc>
          <w:tcPr>
            <w:tcW w:w="7760" w:type="dxa"/>
            <w:vAlign w:val="bottom"/>
          </w:tcPr>
          <w:p>
            <w:pPr>
              <w:ind w:left="200"/>
              <w:spacing w:after="0"/>
              <w:rPr>
                <w:sz w:val="20"/>
                <w:szCs w:val="20"/>
                <w:color w:val="auto"/>
              </w:rPr>
            </w:pPr>
            <w:r>
              <w:rPr>
                <w:rFonts w:ascii="Arial" w:cs="Arial" w:eastAsia="Arial" w:hAnsi="Arial"/>
                <w:sz w:val="14"/>
                <w:szCs w:val="14"/>
                <w:color w:val="auto"/>
              </w:rPr>
              <w:t>Effect of foreign currency translation on cash and cash equivalents</w:t>
            </w:r>
          </w:p>
        </w:tc>
        <w:tc>
          <w:tcPr>
            <w:tcW w:w="10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(29 )</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(19 )</w:t>
            </w:r>
          </w:p>
        </w:tc>
      </w:tr>
      <w:tr>
        <w:trPr>
          <w:trHeight w:val="169"/>
        </w:trPr>
        <w:tc>
          <w:tcPr>
            <w:tcW w:w="7760" w:type="dxa"/>
            <w:vAlign w:val="bottom"/>
            <w:shd w:val="clear" w:color="auto" w:fill="CFF0FC"/>
          </w:tcPr>
          <w:p>
            <w:pPr>
              <w:ind w:left="380"/>
              <w:spacing w:after="0"/>
              <w:rPr>
                <w:sz w:val="20"/>
                <w:szCs w:val="20"/>
                <w:color w:val="auto"/>
              </w:rPr>
            </w:pPr>
            <w:r>
              <w:rPr>
                <w:rFonts w:ascii="Arial" w:cs="Arial" w:eastAsia="Arial" w:hAnsi="Arial"/>
                <w:sz w:val="14"/>
                <w:szCs w:val="14"/>
                <w:b w:val="1"/>
                <w:bCs w:val="1"/>
                <w:color w:val="auto"/>
              </w:rPr>
              <w:t>Net decrease in cash and cash equivalents</w:t>
            </w:r>
          </w:p>
        </w:tc>
        <w:tc>
          <w:tcPr>
            <w:tcW w:w="100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(27,293</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6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(10,362</w:t>
            </w: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6"/>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beginning of the period</w:t>
            </w:r>
          </w:p>
        </w:tc>
        <w:tc>
          <w:tcPr>
            <w:tcW w:w="10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86,262</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59,874</w:t>
            </w:r>
          </w:p>
        </w:tc>
        <w:tc>
          <w:tcPr>
            <w:tcW w:w="60" w:type="dxa"/>
            <w:vAlign w:val="bottom"/>
          </w:tcPr>
          <w:p>
            <w:pPr>
              <w:spacing w:after="0"/>
              <w:rPr>
                <w:sz w:val="15"/>
                <w:szCs w:val="15"/>
                <w:color w:val="auto"/>
              </w:rPr>
            </w:pPr>
          </w:p>
        </w:tc>
      </w:tr>
      <w:tr>
        <w:trPr>
          <w:trHeight w:val="209"/>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and cash equivalents at end of the period</w:t>
            </w:r>
          </w:p>
        </w:tc>
        <w:tc>
          <w:tcPr>
            <w:tcW w:w="1000" w:type="dxa"/>
            <w:vAlign w:val="bottom"/>
            <w:tcBorders>
              <w:bottom w:val="single" w:sz="8" w:color="auto"/>
            </w:tcBorders>
            <w:shd w:val="clear" w:color="auto" w:fill="CFF0FC"/>
          </w:tcPr>
          <w:p>
            <w:pPr>
              <w:jc w:val="right"/>
              <w:ind w:right="8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58,969</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49,512</w:t>
            </w:r>
          </w:p>
        </w:tc>
        <w:tc>
          <w:tcPr>
            <w:tcW w:w="60" w:type="dxa"/>
            <w:vAlign w:val="bottom"/>
            <w:tcBorders>
              <w:bottom w:val="single" w:sz="8" w:color="CFF0FC"/>
            </w:tcBorders>
            <w:shd w:val="clear" w:color="auto" w:fill="CFF0FC"/>
          </w:tcPr>
          <w:p>
            <w:pPr>
              <w:spacing w:after="0"/>
              <w:rPr>
                <w:sz w:val="18"/>
                <w:szCs w:val="18"/>
                <w:color w:val="auto"/>
              </w:rPr>
            </w:pPr>
          </w:p>
        </w:tc>
      </w:tr>
      <w:tr>
        <w:trPr>
          <w:trHeight w:val="156"/>
        </w:trPr>
        <w:tc>
          <w:tcPr>
            <w:tcW w:w="776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Supplemental cash flow information:</w:t>
            </w: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6"/>
        </w:trPr>
        <w:tc>
          <w:tcPr>
            <w:tcW w:w="7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interest</w:t>
            </w:r>
          </w:p>
        </w:tc>
        <w:tc>
          <w:tcPr>
            <w:tcW w:w="100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w:t>
            </w:r>
          </w:p>
        </w:tc>
        <w:tc>
          <w:tcPr>
            <w:tcW w:w="6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-2091055</wp:posOffset>
            </wp:positionV>
            <wp:extent cx="431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-2091055</wp:posOffset>
            </wp:positionV>
            <wp:extent cx="431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-1537970</wp:posOffset>
            </wp:positionV>
            <wp:extent cx="6858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-1537970</wp:posOffset>
            </wp:positionV>
            <wp:extent cx="6858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-719455</wp:posOffset>
            </wp:positionV>
            <wp:extent cx="431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-719455</wp:posOffset>
            </wp:positionV>
            <wp:extent cx="431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-248285</wp:posOffset>
            </wp:positionV>
            <wp:extent cx="431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-231140</wp:posOffset>
            </wp:positionV>
            <wp:extent cx="431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-248285</wp:posOffset>
            </wp:positionV>
            <wp:extent cx="431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-231140</wp:posOffset>
            </wp:positionV>
            <wp:extent cx="431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Unaudited Reconciliations of Non-GAAP Financial Measures</w:t>
      </w:r>
    </w:p>
    <w:p>
      <w:pPr>
        <w:jc w:val="center"/>
        <w:spacing w:after="0"/>
        <w:rPr>
          <w:sz w:val="20"/>
          <w:szCs w:val="20"/>
          <w:color w:val="auto"/>
        </w:rPr>
      </w:pPr>
      <w:r>
        <w:rPr>
          <w:rFonts w:ascii="Arial" w:cs="Arial" w:eastAsia="Arial" w:hAnsi="Arial"/>
          <w:sz w:val="20"/>
          <w:szCs w:val="20"/>
          <w:color w:val="auto"/>
        </w:rPr>
        <w:t>(In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09"/>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8"/>
                <w:szCs w:val="18"/>
                <w:b w:val="1"/>
                <w:bCs w:val="1"/>
                <w:color w:val="auto"/>
                <w:w w:val="99"/>
              </w:rPr>
              <w:t>Adjusted EBITDA:</w:t>
            </w:r>
          </w:p>
        </w:tc>
        <w:tc>
          <w:tcPr>
            <w:tcW w:w="56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17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r>
      <w:tr>
        <w:trPr>
          <w:trHeight w:val="216"/>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81"/>
              <w:spacing w:after="0"/>
              <w:rPr>
                <w:sz w:val="20"/>
                <w:szCs w:val="20"/>
                <w:color w:val="auto"/>
              </w:rPr>
            </w:pPr>
            <w:r>
              <w:rPr>
                <w:rFonts w:ascii="Arial" w:cs="Arial" w:eastAsia="Arial" w:hAnsi="Arial"/>
                <w:sz w:val="18"/>
                <w:szCs w:val="18"/>
                <w:color w:val="auto"/>
              </w:rPr>
              <w:t>(19,995 )</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(10,501 )</w:t>
            </w:r>
          </w:p>
        </w:tc>
      </w:tr>
      <w:tr>
        <w:trPr>
          <w:trHeight w:val="216"/>
        </w:trPr>
        <w:tc>
          <w:tcPr>
            <w:tcW w:w="72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Add (deduct):</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Interest expense, interest and dividend income and other expenses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1,635</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18"/>
                <w:szCs w:val="18"/>
                <w:color w:val="auto"/>
              </w:rPr>
            </w:pPr>
          </w:p>
        </w:tc>
      </w:tr>
      <w:tr>
        <w:trPr>
          <w:trHeight w:val="216"/>
        </w:trPr>
        <w:tc>
          <w:tcPr>
            <w:tcW w:w="7200" w:type="dxa"/>
            <w:vAlign w:val="bottom"/>
            <w:gridSpan w:val="3"/>
            <w:shd w:val="clear" w:color="auto" w:fill="CFF0FC"/>
          </w:tcPr>
          <w:p>
            <w:pPr>
              <w:ind w:left="20"/>
              <w:spacing w:after="0" w:line="216"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4"/>
                <w:szCs w:val="24"/>
                <w:color w:val="auto"/>
                <w:vertAlign w:val="superscript"/>
              </w:rPr>
              <w:t>(1)</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80" w:type="dxa"/>
            <w:vAlign w:val="bottom"/>
            <w:shd w:val="clear" w:color="auto" w:fill="CFF0FC"/>
          </w:tcPr>
          <w:p>
            <w:pPr>
              <w:spacing w:after="0"/>
              <w:rPr>
                <w:sz w:val="18"/>
                <w:szCs w:val="18"/>
                <w:color w:val="auto"/>
              </w:rPr>
            </w:pPr>
          </w:p>
        </w:tc>
      </w:tr>
      <w:tr>
        <w:trPr>
          <w:trHeight w:val="216"/>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8"/>
                <w:szCs w:val="18"/>
                <w:color w:val="auto"/>
              </w:rPr>
            </w:pPr>
          </w:p>
        </w:tc>
        <w:tc>
          <w:tcPr>
            <w:tcW w:w="1520" w:type="dxa"/>
            <w:vAlign w:val="bottom"/>
            <w:gridSpan w:val="2"/>
          </w:tcPr>
          <w:p>
            <w:pPr>
              <w:jc w:val="right"/>
              <w:ind w:right="81"/>
              <w:spacing w:after="0"/>
              <w:rPr>
                <w:sz w:val="20"/>
                <w:szCs w:val="20"/>
                <w:color w:val="auto"/>
              </w:rPr>
            </w:pPr>
            <w:r>
              <w:rPr>
                <w:rFonts w:ascii="Arial" w:cs="Arial" w:eastAsia="Arial" w:hAnsi="Arial"/>
                <w:sz w:val="18"/>
                <w:szCs w:val="18"/>
                <w:color w:val="auto"/>
              </w:rPr>
              <w:t>(559 )</w:t>
            </w:r>
          </w:p>
        </w:tc>
        <w:tc>
          <w:tcPr>
            <w:tcW w:w="520" w:type="dxa"/>
            <w:vAlign w:val="bottom"/>
          </w:tcPr>
          <w:p>
            <w:pPr>
              <w:spacing w:after="0"/>
              <w:rPr>
                <w:sz w:val="18"/>
                <w:szCs w:val="18"/>
                <w:color w:val="auto"/>
              </w:rPr>
            </w:pPr>
          </w:p>
        </w:tc>
        <w:tc>
          <w:tcPr>
            <w:tcW w:w="17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Amortization of in-place lease asset</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gridSpan w:val="3"/>
          </w:tcPr>
          <w:p>
            <w:pPr>
              <w:ind w:left="20"/>
              <w:spacing w:after="0" w:line="216"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4"/>
                <w:szCs w:val="24"/>
                <w:color w:val="auto"/>
                <w:vertAlign w:val="superscript"/>
              </w:rPr>
              <w:t>(2)</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3,456</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18"/>
                <w:szCs w:val="18"/>
                <w:color w:val="auto"/>
              </w:rPr>
            </w:pPr>
          </w:p>
        </w:tc>
      </w:tr>
      <w:tr>
        <w:trPr>
          <w:trHeight w:val="216"/>
        </w:trPr>
        <w:tc>
          <w:tcPr>
            <w:tcW w:w="72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Revaluation of contingent consideration</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Transaction costs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Income from unconsolidated joint venture</w:t>
            </w: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(34 )</w:t>
            </w:r>
          </w:p>
        </w:tc>
        <w:tc>
          <w:tcPr>
            <w:tcW w:w="5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720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(8,810</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10"/>
        </w:trPr>
        <w:tc>
          <w:tcPr>
            <w:tcW w:w="68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Non-GAAP Net Loss:</w:t>
            </w:r>
          </w:p>
        </w:tc>
        <w:tc>
          <w:tcPr>
            <w:tcW w:w="3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8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(19,995 )</w:t>
            </w: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(10,501 )</w:t>
            </w:r>
          </w:p>
        </w:tc>
        <w:tc>
          <w:tcPr>
            <w:tcW w:w="0" w:type="dxa"/>
            <w:vAlign w:val="bottom"/>
          </w:tcPr>
          <w:p>
            <w:pPr>
              <w:spacing w:after="0"/>
              <w:rPr>
                <w:sz w:val="1"/>
                <w:szCs w:val="1"/>
                <w:color w:val="auto"/>
              </w:rPr>
            </w:pPr>
          </w:p>
        </w:tc>
      </w:tr>
      <w:tr>
        <w:trPr>
          <w:trHeight w:val="216"/>
        </w:trPr>
        <w:tc>
          <w:tcPr>
            <w:tcW w:w="6800" w:type="dxa"/>
            <w:vAlign w:val="bottom"/>
            <w:gridSpan w:val="3"/>
          </w:tcPr>
          <w:p>
            <w:pPr>
              <w:ind w:left="20"/>
              <w:spacing w:after="0"/>
              <w:rPr>
                <w:sz w:val="20"/>
                <w:szCs w:val="20"/>
                <w:color w:val="auto"/>
              </w:rPr>
            </w:pPr>
            <w:r>
              <w:rPr>
                <w:rFonts w:ascii="Arial" w:cs="Arial" w:eastAsia="Arial" w:hAnsi="Arial"/>
                <w:sz w:val="18"/>
                <w:szCs w:val="18"/>
                <w:color w:val="auto"/>
              </w:rPr>
              <w:t>Add (deduct):</w:t>
            </w: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3,456</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Amortization of in-place lease asset</w:t>
            </w:r>
          </w:p>
        </w:tc>
        <w:tc>
          <w:tcPr>
            <w:tcW w:w="3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gridSpan w:val="3"/>
          </w:tcPr>
          <w:p>
            <w:pPr>
              <w:ind w:left="20"/>
              <w:spacing w:after="0"/>
              <w:rPr>
                <w:sz w:val="20"/>
                <w:szCs w:val="20"/>
                <w:color w:val="auto"/>
              </w:rPr>
            </w:pPr>
            <w:r>
              <w:rPr>
                <w:rFonts w:ascii="Arial" w:cs="Arial" w:eastAsia="Arial" w:hAnsi="Arial"/>
                <w:sz w:val="18"/>
                <w:szCs w:val="18"/>
                <w:color w:val="auto"/>
              </w:rPr>
              <w:t>Amortization of deferred costs on convertible notes</w:t>
            </w: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Unrealized loss on marketable securities</w:t>
            </w:r>
          </w:p>
        </w:tc>
        <w:tc>
          <w:tcPr>
            <w:tcW w:w="3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gridSpan w:val="3"/>
          </w:tcPr>
          <w:p>
            <w:pPr>
              <w:ind w:left="20"/>
              <w:spacing w:after="0"/>
              <w:rPr>
                <w:sz w:val="20"/>
                <w:szCs w:val="20"/>
                <w:color w:val="auto"/>
              </w:rPr>
            </w:pPr>
            <w:r>
              <w:rPr>
                <w:rFonts w:ascii="Arial" w:cs="Arial" w:eastAsia="Arial" w:hAnsi="Arial"/>
                <w:sz w:val="18"/>
                <w:szCs w:val="18"/>
                <w:color w:val="auto"/>
              </w:rPr>
              <w:t>Revaluation of contingent consideration</w:t>
            </w: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Transaction costs</w:t>
            </w:r>
          </w:p>
        </w:tc>
        <w:tc>
          <w:tcPr>
            <w:tcW w:w="3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0" w:type="dxa"/>
            <w:vAlign w:val="bottom"/>
            <w:gridSpan w:val="3"/>
          </w:tcPr>
          <w:p>
            <w:pPr>
              <w:ind w:left="20"/>
              <w:spacing w:after="0"/>
              <w:rPr>
                <w:sz w:val="20"/>
                <w:szCs w:val="20"/>
                <w:color w:val="auto"/>
              </w:rPr>
            </w:pPr>
            <w:r>
              <w:rPr>
                <w:rFonts w:ascii="Arial" w:cs="Arial" w:eastAsia="Arial" w:hAnsi="Arial"/>
                <w:sz w:val="18"/>
                <w:szCs w:val="18"/>
                <w:b w:val="1"/>
                <w:bCs w:val="1"/>
                <w:color w:val="auto"/>
              </w:rPr>
              <w:t>Non-GAAP 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(12,598 )</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(9,262 )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800" w:type="dxa"/>
            <w:vAlign w:val="bottom"/>
            <w:gridSpan w:val="3"/>
            <w:shd w:val="clear" w:color="auto" w:fill="CFF0FC"/>
          </w:tcPr>
          <w:p>
            <w:pPr>
              <w:ind w:left="20"/>
              <w:spacing w:after="0" w:line="170" w:lineRule="exact"/>
              <w:rPr>
                <w:sz w:val="20"/>
                <w:szCs w:val="20"/>
                <w:color w:val="auto"/>
              </w:rPr>
            </w:pPr>
            <w:r>
              <w:rPr>
                <w:rFonts w:ascii="Arial" w:cs="Arial" w:eastAsia="Arial" w:hAnsi="Arial"/>
                <w:sz w:val="18"/>
                <w:szCs w:val="18"/>
                <w:color w:val="auto"/>
              </w:rPr>
              <w:t>Weighted-average number of shares outstanding used to compute Non-GAAP Net</w:t>
            </w:r>
          </w:p>
        </w:tc>
        <w:tc>
          <w:tcPr>
            <w:tcW w:w="320" w:type="dxa"/>
            <w:vAlign w:val="bottom"/>
            <w:shd w:val="clear" w:color="auto" w:fill="CFF0FC"/>
          </w:tcPr>
          <w:p>
            <w:pPr>
              <w:spacing w:after="0"/>
              <w:rPr>
                <w:sz w:val="14"/>
                <w:szCs w:val="14"/>
                <w:color w:val="auto"/>
              </w:rPr>
            </w:pPr>
          </w:p>
        </w:tc>
        <w:tc>
          <w:tcPr>
            <w:tcW w:w="1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46,789,585</w:t>
            </w: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7,924,848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80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Loss per share, basic and diluted</w:t>
            </w:r>
          </w:p>
        </w:tc>
        <w:tc>
          <w:tcPr>
            <w:tcW w:w="32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6800" w:type="dxa"/>
            <w:vAlign w:val="bottom"/>
            <w:gridSpan w:val="3"/>
          </w:tcPr>
          <w:p>
            <w:pPr>
              <w:ind w:left="20"/>
              <w:spacing w:after="0"/>
              <w:rPr>
                <w:sz w:val="20"/>
                <w:szCs w:val="20"/>
                <w:color w:val="auto"/>
              </w:rPr>
            </w:pPr>
            <w:r>
              <w:rPr>
                <w:rFonts w:ascii="Arial" w:cs="Arial" w:eastAsia="Arial" w:hAnsi="Arial"/>
                <w:sz w:val="18"/>
                <w:szCs w:val="18"/>
                <w:color w:val="auto"/>
              </w:rPr>
              <w:t>Non-GAAP EPS, basic and 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(0.27 )</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-864870</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-864870</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-307975</wp:posOffset>
            </wp:positionV>
            <wp:extent cx="603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-307975</wp:posOffset>
            </wp:positionV>
            <wp:extent cx="51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1" w:lineRule="exact"/>
        <w:rPr>
          <w:sz w:val="20"/>
          <w:szCs w:val="20"/>
          <w:color w:val="auto"/>
        </w:rPr>
      </w:pPr>
    </w:p>
    <w:p>
      <w:pPr>
        <w:ind w:left="380" w:right="300" w:hanging="372"/>
        <w:spacing w:after="0" w:line="248" w:lineRule="auto"/>
        <w:tabs>
          <w:tab w:leader="none" w:pos="38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Represents depreciation expense of the Company’s long-lived tangible assets and amortization expense of its finite-lived intangible assets, as included in the Company’s GAAP results of operations.</w:t>
      </w:r>
    </w:p>
    <w:p>
      <w:pPr>
        <w:spacing w:after="0" w:line="1" w:lineRule="exact"/>
        <w:rPr>
          <w:rFonts w:ascii="Arial" w:cs="Arial" w:eastAsia="Arial" w:hAnsi="Arial"/>
          <w:sz w:val="20"/>
          <w:szCs w:val="20"/>
          <w:color w:val="auto"/>
        </w:rPr>
      </w:pPr>
    </w:p>
    <w:p>
      <w:pPr>
        <w:ind w:left="380" w:right="120" w:hanging="372"/>
        <w:spacing w:after="0" w:line="253" w:lineRule="auto"/>
        <w:tabs>
          <w:tab w:leader="none" w:pos="38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Represents the expense related to stock-based awards granted to employees, as included in the Company’s GAAP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Segment Results</w:t>
      </w:r>
    </w:p>
    <w:p>
      <w:pPr>
        <w:jc w:val="center"/>
        <w:spacing w:after="0"/>
        <w:rPr>
          <w:sz w:val="20"/>
          <w:szCs w:val="20"/>
          <w:color w:val="auto"/>
        </w:rPr>
      </w:pPr>
      <w:r>
        <w:rPr>
          <w:rFonts w:ascii="Arial" w:cs="Arial" w:eastAsia="Arial" w:hAnsi="Arial"/>
          <w:sz w:val="20"/>
          <w:szCs w:val="20"/>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60" w:type="dxa"/>
            <w:vAlign w:val="bottom"/>
          </w:tcPr>
          <w:p>
            <w:pPr>
              <w:spacing w:after="0"/>
              <w:rPr>
                <w:sz w:val="20"/>
                <w:szCs w:val="20"/>
                <w:color w:val="auto"/>
              </w:rPr>
            </w:pPr>
          </w:p>
        </w:tc>
        <w:tc>
          <w:tcPr>
            <w:tcW w:w="4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Three Months Ended March 31,</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460" w:type="dxa"/>
            <w:vAlign w:val="bottom"/>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7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Segment Revenue:</w:t>
            </w:r>
          </w:p>
        </w:tc>
        <w:tc>
          <w:tcPr>
            <w:tcW w:w="1380" w:type="dxa"/>
            <w:vAlign w:val="bottom"/>
            <w:shd w:val="clear" w:color="auto" w:fill="CFF0FC"/>
          </w:tcPr>
          <w:p>
            <w:pPr>
              <w:spacing w:after="0"/>
              <w:rPr>
                <w:sz w:val="18"/>
                <w:szCs w:val="18"/>
                <w:color w:val="auto"/>
              </w:rPr>
            </w:pPr>
          </w:p>
        </w:tc>
        <w:tc>
          <w:tcPr>
            <w:tcW w:w="2660" w:type="dxa"/>
            <w:vAlign w:val="bottom"/>
            <w:gridSpan w:val="3"/>
            <w:shd w:val="clear" w:color="auto" w:fill="CFF0FC"/>
          </w:tcPr>
          <w:p>
            <w:pPr>
              <w:jc w:val="right"/>
              <w:ind w:right="1110"/>
              <w:spacing w:after="0"/>
              <w:rPr>
                <w:sz w:val="20"/>
                <w:szCs w:val="20"/>
                <w:color w:val="auto"/>
              </w:rPr>
            </w:pPr>
            <w:r>
              <w:rPr>
                <w:rFonts w:ascii="Arial" w:cs="Arial" w:eastAsia="Arial" w:hAnsi="Arial"/>
                <w:sz w:val="18"/>
                <w:szCs w:val="18"/>
                <w:b w:val="1"/>
                <w:bCs w:val="1"/>
                <w:color w:val="auto"/>
              </w:rPr>
              <w:t>(unaudited)</w:t>
            </w: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U.S.</w:t>
            </w: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77,209</w:t>
            </w:r>
          </w:p>
        </w:tc>
        <w:tc>
          <w:tcPr>
            <w:tcW w:w="300" w:type="dxa"/>
            <w:vAlign w:val="bottom"/>
          </w:tcPr>
          <w:p>
            <w:pPr>
              <w:spacing w:after="0"/>
              <w:rPr>
                <w:sz w:val="18"/>
                <w:szCs w:val="18"/>
                <w:color w:val="auto"/>
              </w:rPr>
            </w:pPr>
          </w:p>
        </w:tc>
        <w:tc>
          <w:tcPr>
            <w:tcW w:w="1620" w:type="dxa"/>
            <w:vAlign w:val="bottom"/>
          </w:tcPr>
          <w:p>
            <w:pPr>
              <w:jc w:val="right"/>
              <w:ind w:right="14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41,299</w:t>
            </w:r>
          </w:p>
        </w:tc>
        <w:tc>
          <w:tcPr>
            <w:tcW w:w="80" w:type="dxa"/>
            <w:vAlign w:val="bottom"/>
          </w:tcPr>
          <w:p>
            <w:pPr>
              <w:spacing w:after="0"/>
              <w:rPr>
                <w:sz w:val="18"/>
                <w:szCs w:val="18"/>
                <w:color w:val="auto"/>
              </w:rPr>
            </w:pPr>
          </w:p>
        </w:tc>
      </w:tr>
      <w:tr>
        <w:trPr>
          <w:trHeight w:val="216"/>
        </w:trPr>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13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6,462</w:t>
            </w:r>
          </w:p>
        </w:tc>
        <w:tc>
          <w:tcPr>
            <w:tcW w:w="30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646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13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83,671</w:t>
            </w:r>
          </w:p>
        </w:tc>
        <w:tc>
          <w:tcPr>
            <w:tcW w:w="300" w:type="dxa"/>
            <w:vAlign w:val="bottom"/>
          </w:tcPr>
          <w:p>
            <w:pPr>
              <w:spacing w:after="0"/>
              <w:rPr>
                <w:sz w:val="18"/>
                <w:szCs w:val="18"/>
                <w:color w:val="auto"/>
              </w:rPr>
            </w:pPr>
          </w:p>
        </w:tc>
        <w:tc>
          <w:tcPr>
            <w:tcW w:w="162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43,922</w:t>
            </w:r>
          </w:p>
        </w:tc>
        <w:tc>
          <w:tcPr>
            <w:tcW w:w="80" w:type="dxa"/>
            <w:vAlign w:val="bottom"/>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Segment Net Loss:</w:t>
            </w:r>
          </w:p>
        </w:tc>
        <w:tc>
          <w:tcPr>
            <w:tcW w:w="1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U.S.</w:t>
            </w: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(16,296 )</w:t>
            </w:r>
          </w:p>
        </w:tc>
        <w:tc>
          <w:tcPr>
            <w:tcW w:w="1620" w:type="dxa"/>
            <w:vAlign w:val="bottom"/>
          </w:tcPr>
          <w:p>
            <w:pPr>
              <w:jc w:val="right"/>
              <w:ind w:right="141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(8,162 )</w:t>
            </w:r>
          </w:p>
        </w:tc>
      </w:tr>
      <w:tr>
        <w:trPr>
          <w:trHeight w:val="216"/>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13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(3,699 )</w:t>
            </w:r>
          </w:p>
        </w:tc>
        <w:tc>
          <w:tcPr>
            <w:tcW w:w="16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(2,339 )</w:t>
            </w:r>
          </w:p>
        </w:tc>
      </w:tr>
      <w:tr>
        <w:trPr>
          <w:trHeight w:val="20"/>
        </w:trPr>
        <w:tc>
          <w:tcPr>
            <w:tcW w:w="646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6460" w:type="dxa"/>
            <w:vAlign w:val="bottom"/>
          </w:tcPr>
          <w:p>
            <w:pPr>
              <w:ind w:left="280"/>
              <w:spacing w:after="0"/>
              <w:rPr>
                <w:sz w:val="20"/>
                <w:szCs w:val="20"/>
                <w:color w:val="auto"/>
              </w:rPr>
            </w:pPr>
            <w:r>
              <w:rPr>
                <w:rFonts w:ascii="Arial" w:cs="Arial" w:eastAsia="Arial" w:hAnsi="Arial"/>
                <w:sz w:val="18"/>
                <w:szCs w:val="18"/>
                <w:color w:val="auto"/>
              </w:rPr>
              <w:t>Total net loss</w:t>
            </w: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(19,995 )</w:t>
            </w:r>
          </w:p>
        </w:tc>
        <w:tc>
          <w:tcPr>
            <w:tcW w:w="1620" w:type="dxa"/>
            <w:vAlign w:val="bottom"/>
          </w:tcPr>
          <w:p>
            <w:pPr>
              <w:jc w:val="right"/>
              <w:ind w:right="141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9"/>
              </w:rPr>
              <w:t>(10,501 )</w:t>
            </w:r>
          </w:p>
        </w:tc>
      </w:tr>
      <w:tr>
        <w:trPr>
          <w:trHeight w:val="20"/>
        </w:trPr>
        <w:tc>
          <w:tcPr>
            <w:tcW w:w="64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-890905</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-890905</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-170815</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Unaudited Supplemental Information</w:t>
      </w:r>
    </w:p>
    <w:p>
      <w:pPr>
        <w:jc w:val="center"/>
        <w:spacing w:after="0"/>
        <w:rPr>
          <w:sz w:val="20"/>
          <w:szCs w:val="20"/>
          <w:color w:val="auto"/>
        </w:rPr>
      </w:pPr>
      <w:r>
        <w:rPr>
          <w:rFonts w:ascii="Arial" w:cs="Arial" w:eastAsia="Arial" w:hAnsi="Arial"/>
          <w:sz w:val="20"/>
          <w:szCs w:val="20"/>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2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For the Three Months Ended March 31,</w:t>
            </w: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5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Summary of Stock-based Compensation Expense</w:t>
            </w:r>
          </w:p>
        </w:tc>
        <w:tc>
          <w:tcPr>
            <w:tcW w:w="14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1270"/>
              <w:spacing w:after="0"/>
              <w:rPr>
                <w:sz w:val="20"/>
                <w:szCs w:val="20"/>
                <w:color w:val="auto"/>
              </w:rPr>
            </w:pPr>
            <w:r>
              <w:rPr>
                <w:rFonts w:ascii="Arial" w:cs="Arial" w:eastAsia="Arial" w:hAnsi="Arial"/>
                <w:sz w:val="18"/>
                <w:szCs w:val="18"/>
                <w:b w:val="1"/>
                <w:bCs w:val="1"/>
                <w:color w:val="auto"/>
                <w:w w:val="83"/>
              </w:rPr>
              <w:t>(unaudited)</w:t>
            </w:r>
          </w:p>
        </w:tc>
        <w:tc>
          <w:tcPr>
            <w:tcW w:w="5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840" w:type="dxa"/>
            <w:vAlign w:val="bottom"/>
            <w:gridSpan w:val="2"/>
          </w:tcPr>
          <w:p>
            <w:pPr>
              <w:jc w:val="right"/>
              <w:ind w:right="119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636</w:t>
            </w:r>
          </w:p>
        </w:tc>
        <w:tc>
          <w:tcPr>
            <w:tcW w:w="2200" w:type="dxa"/>
            <w:vAlign w:val="bottom"/>
            <w:gridSpan w:val="2"/>
          </w:tcPr>
          <w:p>
            <w:pPr>
              <w:jc w:val="right"/>
              <w:ind w:right="17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 and support</w:t>
            </w:r>
          </w:p>
        </w:tc>
        <w:tc>
          <w:tcPr>
            <w:tcW w:w="14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FF0FC"/>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894</w:t>
            </w: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r>
      <w:tr>
        <w:trPr>
          <w:trHeight w:val="216"/>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146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4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840" w:type="dxa"/>
            <w:vAlign w:val="bottom"/>
            <w:gridSpan w:val="2"/>
          </w:tcPr>
          <w:p>
            <w:pPr>
              <w:jc w:val="right"/>
              <w:ind w:right="119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3,456</w:t>
            </w:r>
          </w:p>
        </w:tc>
        <w:tc>
          <w:tcPr>
            <w:tcW w:w="2200" w:type="dxa"/>
            <w:vAlign w:val="bottom"/>
            <w:gridSpan w:val="2"/>
          </w:tcPr>
          <w:p>
            <w:pPr>
              <w:jc w:val="right"/>
              <w:ind w:right="17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505</w:t>
            </w:r>
          </w:p>
        </w:tc>
        <w:tc>
          <w:tcPr>
            <w:tcW w:w="6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Summary of Depreciation and Amortization Expense</w:t>
            </w:r>
          </w:p>
        </w:tc>
        <w:tc>
          <w:tcPr>
            <w:tcW w:w="14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840" w:type="dxa"/>
            <w:vAlign w:val="bottom"/>
            <w:gridSpan w:val="2"/>
          </w:tcPr>
          <w:p>
            <w:pPr>
              <w:jc w:val="right"/>
              <w:ind w:right="119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2200" w:type="dxa"/>
            <w:vAlign w:val="bottom"/>
            <w:gridSpan w:val="2"/>
          </w:tcPr>
          <w:p>
            <w:pPr>
              <w:jc w:val="right"/>
              <w:ind w:right="17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14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FF0FC"/>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14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60" w:type="dxa"/>
            <w:vAlign w:val="bottom"/>
            <w:shd w:val="clear" w:color="auto" w:fill="CFF0FC"/>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46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r>
      <w:tr>
        <w:trPr>
          <w:trHeight w:val="249"/>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depreciation and amortization expense</w:t>
            </w:r>
          </w:p>
        </w:tc>
        <w:tc>
          <w:tcPr>
            <w:tcW w:w="146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11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w:t>
            </w:r>
          </w:p>
        </w:tc>
        <w:tc>
          <w:tcPr>
            <w:tcW w:w="240" w:type="dxa"/>
            <w:vAlign w:val="bottom"/>
            <w:tcBorders>
              <w:bottom w:val="single" w:sz="8" w:color="CFF0FC"/>
            </w:tcBorders>
            <w:shd w:val="clear" w:color="auto" w:fill="CFF0FC"/>
          </w:tcPr>
          <w:p>
            <w:pPr>
              <w:spacing w:after="0"/>
              <w:rPr>
                <w:sz w:val="21"/>
                <w:szCs w:val="21"/>
                <w:color w:val="auto"/>
              </w:rPr>
            </w:pPr>
          </w:p>
        </w:tc>
        <w:tc>
          <w:tcPr>
            <w:tcW w:w="1960" w:type="dxa"/>
            <w:vAlign w:val="bottom"/>
            <w:tcBorders>
              <w:bottom w:val="single" w:sz="8" w:color="auto"/>
            </w:tcBorders>
            <w:shd w:val="clear" w:color="auto" w:fill="CFF0FC"/>
          </w:tcPr>
          <w:p>
            <w:pPr>
              <w:jc w:val="right"/>
              <w:ind w:right="17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60" w:type="dxa"/>
            <w:vAlign w:val="bottom"/>
            <w:tcBorders>
              <w:bottom w:val="single" w:sz="8" w:color="CFF0FC"/>
            </w:tcBorders>
            <w:shd w:val="clear" w:color="auto" w:fill="CFF0FC"/>
          </w:tcPr>
          <w:p>
            <w:pPr>
              <w:spacing w:after="0"/>
              <w:rPr>
                <w:sz w:val="21"/>
                <w:szCs w:val="21"/>
                <w:color w:val="auto"/>
              </w:rPr>
            </w:pPr>
          </w:p>
        </w:tc>
      </w:tr>
      <w:tr>
        <w:trPr>
          <w:trHeight w:val="818"/>
        </w:trPr>
        <w:tc>
          <w:tcPr>
            <w:tcW w:w="5020" w:type="dxa"/>
            <w:vAlign w:val="bottom"/>
          </w:tcPr>
          <w:p>
            <w:pPr>
              <w:spacing w:after="0"/>
              <w:rPr>
                <w:sz w:val="24"/>
                <w:szCs w:val="24"/>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11</w:t>
            </w: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-1919605</wp:posOffset>
            </wp:positionV>
            <wp:extent cx="431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-1919605</wp:posOffset>
            </wp:positionV>
            <wp:extent cx="431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-642620</wp:posOffset>
            </wp:positionV>
            <wp:extent cx="431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-624840</wp:posOffset>
            </wp:positionV>
            <wp:extent cx="431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-642620</wp:posOffset>
            </wp:positionV>
            <wp:extent cx="431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-624840</wp:posOffset>
            </wp:positionV>
            <wp:extent cx="431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2022-05-11T06:32:42Z</dcterms:created>
  <dcterms:modified xsi:type="dcterms:W3CDTF">2022-05-11T06:32:42Z</dcterms:modified>
</cp:coreProperties>
</file>