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18,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225425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Xometry,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40" w:type="dxa"/>
        <w:tblCellMar>
          <w:top w:w="0" w:type="dxa"/>
          <w:left w:w="0" w:type="dxa"/>
          <w:bottom w:w="0" w:type="dxa"/>
          <w:right w:w="0" w:type="dxa"/>
        </w:tblCellMar>
      </w:tblPr>
      <w:tr>
        <w:trPr>
          <w:trHeight w:val="235"/>
        </w:trPr>
        <w:tc>
          <w:tcPr>
            <w:tcW w:w="3020" w:type="dxa"/>
            <w:vAlign w:val="bottom"/>
          </w:tcPr>
          <w:p>
            <w:pPr>
              <w:jc w:val="center"/>
              <w:ind w:right="58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6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001-40546</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32-0415449</w:t>
            </w:r>
          </w:p>
        </w:tc>
      </w:tr>
      <w:tr>
        <w:trPr>
          <w:trHeight w:val="149"/>
        </w:trPr>
        <w:tc>
          <w:tcPr>
            <w:tcW w:w="3020" w:type="dxa"/>
            <w:vAlign w:val="bottom"/>
          </w:tcPr>
          <w:p>
            <w:pPr>
              <w:jc w:val="center"/>
              <w:ind w:right="58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20" w:type="dxa"/>
            <w:vAlign w:val="bottom"/>
          </w:tcPr>
          <w:p>
            <w:pPr>
              <w:jc w:val="center"/>
              <w:ind w:right="58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437"/>
        </w:trPr>
        <w:tc>
          <w:tcPr>
            <w:tcW w:w="302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9"/>
              </w:rPr>
              <w:t>6116 Executive Blvd, Suite 800</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35"/>
        </w:trPr>
        <w:tc>
          <w:tcPr>
            <w:tcW w:w="302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9"/>
              </w:rPr>
              <w:t>North Bethesda, Maryland</w:t>
            </w:r>
          </w:p>
        </w:tc>
        <w:tc>
          <w:tcPr>
            <w:tcW w:w="3260" w:type="dxa"/>
            <w:vAlign w:val="bottom"/>
          </w:tcPr>
          <w:p>
            <w:pPr>
              <w:spacing w:after="0"/>
              <w:rPr>
                <w:sz w:val="20"/>
                <w:szCs w:val="20"/>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20852</w:t>
            </w:r>
          </w:p>
        </w:tc>
      </w:tr>
      <w:tr>
        <w:trPr>
          <w:trHeight w:val="178"/>
        </w:trPr>
        <w:tc>
          <w:tcPr>
            <w:tcW w:w="3020" w:type="dxa"/>
            <w:vAlign w:val="bottom"/>
          </w:tcPr>
          <w:p>
            <w:pPr>
              <w:jc w:val="center"/>
              <w:ind w:right="58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2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(240) 252-1138</w:t>
      </w:r>
    </w:p>
    <w:p>
      <w:pPr>
        <w:spacing w:after="0" w:line="200" w:lineRule="exact"/>
        <w:rPr>
          <w:sz w:val="24"/>
          <w:szCs w:val="24"/>
          <w:color w:val="auto"/>
        </w:rPr>
      </w:pP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256540</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08"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45"/>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1"/>
                <w:szCs w:val="21"/>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1"/>
                <w:szCs w:val="21"/>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Class A common stock, par value $0.000001 per share</w:t>
            </w:r>
          </w:p>
        </w:tc>
        <w:tc>
          <w:tcPr>
            <w:tcW w:w="12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XMTR</w:t>
            </w:r>
          </w:p>
        </w:tc>
        <w:tc>
          <w:tcPr>
            <w:tcW w:w="120" w:type="dxa"/>
            <w:vAlign w:val="bottom"/>
          </w:tcPr>
          <w:p>
            <w:pPr>
              <w:spacing w:after="0"/>
              <w:rPr>
                <w:sz w:val="20"/>
                <w:szCs w:val="20"/>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193"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29" w:lineRule="exact"/>
        <w:rPr>
          <w:sz w:val="20"/>
          <w:szCs w:val="20"/>
          <w:color w:val="auto"/>
        </w:rPr>
      </w:pPr>
    </w:p>
    <w:p>
      <w:pPr>
        <w:jc w:val="both"/>
        <w:ind w:firstLine="644"/>
        <w:spacing w:after="0" w:line="266" w:lineRule="auto"/>
        <w:rPr>
          <w:sz w:val="20"/>
          <w:szCs w:val="20"/>
          <w:color w:val="auto"/>
        </w:rPr>
      </w:pPr>
      <w:r>
        <w:rPr>
          <w:rFonts w:ascii="Times New Roman" w:cs="Times New Roman" w:eastAsia="Times New Roman" w:hAnsi="Times New Roman"/>
          <w:sz w:val="18"/>
          <w:szCs w:val="18"/>
          <w:color w:val="auto"/>
        </w:rPr>
        <w:t>Xometry, Inc. (the “Company”) held its 2024 Annual Meeting of Stockholders on June 18, 2024 (the “Meeting”). At the Meeting, the Company’s stockholders voted on the three proposals set forth below. A detailed description of each proposal is set forth in the Company’s 2024 Proxy Statement filed with the U.S. Securities and Exchange Commission on April 29, 2024 (the “Proxy Statement”).</w:t>
      </w:r>
    </w:p>
    <w:p>
      <w:pPr>
        <w:spacing w:after="0" w:line="176" w:lineRule="exact"/>
        <w:rPr>
          <w:sz w:val="20"/>
          <w:szCs w:val="20"/>
          <w:color w:val="auto"/>
        </w:rPr>
      </w:pPr>
    </w:p>
    <w:p>
      <w:pPr>
        <w:jc w:val="both"/>
        <w:ind w:firstLine="644"/>
        <w:spacing w:after="0" w:line="254" w:lineRule="auto"/>
        <w:rPr>
          <w:sz w:val="20"/>
          <w:szCs w:val="20"/>
          <w:color w:val="auto"/>
        </w:rPr>
      </w:pPr>
      <w:r>
        <w:rPr>
          <w:rFonts w:ascii="Times New Roman" w:cs="Times New Roman" w:eastAsia="Times New Roman" w:hAnsi="Times New Roman"/>
          <w:sz w:val="18"/>
          <w:szCs w:val="18"/>
          <w:color w:val="auto"/>
        </w:rPr>
        <w:t>At the Meeting, the Company’s stockholders elected the two persons nominated by the Company’s board of directors (the “Board”), each to serve as a Class III director until the Company’s 2027 Annual Meeting of Stockholders and until the director’s successor is duly elected and qualified, or, if sooner, until the director’s death, resignation or removal. The Company’s stockholders also (1) approved, on an advisory basis, the compensation of the Company’s named executive officers as disclosed in the Proxy Statement, and (2) ratified the selection of KPMG LLP as the Company’s independent registered public accounting firm for the fiscal year ending December 31, 2024. Based on the results of the stockholder vote on the frequency of future non-binding advisory votes to approve the compensation of the Company’s named executive officers during the Company’s annual meeting of stockholders in 2023, and consistent with the Board’s recommendation, the Company holds an advisory vote to approve the compensation of its named executive officers on an annual basis until the next required advisory vote on the frequency of holding future votes regarding the compensation of the Company's named executive officers.</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final voting results for each of the proposals are set forth below.</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1. Election of Directors.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180" w:type="dxa"/>
            <w:vAlign w:val="bottom"/>
          </w:tcPr>
          <w:p>
            <w:pPr>
              <w:spacing w:after="0"/>
              <w:rPr>
                <w:sz w:val="20"/>
                <w:szCs w:val="20"/>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For</w:t>
            </w:r>
          </w:p>
        </w:tc>
        <w:tc>
          <w:tcPr>
            <w:tcW w:w="200" w:type="dxa"/>
            <w:vAlign w:val="bottom"/>
          </w:tcPr>
          <w:p>
            <w:pPr>
              <w:spacing w:after="0"/>
              <w:rPr>
                <w:sz w:val="20"/>
                <w:szCs w:val="20"/>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Withheld</w:t>
            </w:r>
          </w:p>
        </w:tc>
        <w:tc>
          <w:tcPr>
            <w:tcW w:w="180" w:type="dxa"/>
            <w:vAlign w:val="bottom"/>
          </w:tcPr>
          <w:p>
            <w:pPr>
              <w:spacing w:after="0"/>
              <w:rPr>
                <w:sz w:val="20"/>
                <w:szCs w:val="20"/>
                <w:color w:val="auto"/>
              </w:rPr>
            </w:pPr>
          </w:p>
        </w:tc>
        <w:tc>
          <w:tcPr>
            <w:tcW w:w="20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7"/>
              </w:rPr>
              <w:t>Broker Non-Votes</w:t>
            </w:r>
          </w:p>
        </w:tc>
      </w:tr>
      <w:tr>
        <w:trPr>
          <w:trHeight w:val="243"/>
        </w:trPr>
        <w:tc>
          <w:tcPr>
            <w:tcW w:w="1960" w:type="dxa"/>
            <w:vAlign w:val="bottom"/>
            <w:tcBorders>
              <w:top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1780" w:type="dxa"/>
            <w:vAlign w:val="bottom"/>
            <w:tcBorders>
              <w:top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760" w:type="dxa"/>
            <w:vAlign w:val="bottom"/>
            <w:tcBorders>
              <w:top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1860" w:type="dxa"/>
            <w:vAlign w:val="bottom"/>
            <w:tcBorders>
              <w:top w:val="single" w:sz="8" w:color="auto"/>
            </w:tcBorders>
          </w:tcPr>
          <w:p>
            <w:pPr>
              <w:spacing w:after="0"/>
              <w:rPr>
                <w:sz w:val="21"/>
                <w:szCs w:val="21"/>
                <w:color w:val="auto"/>
              </w:rPr>
            </w:pPr>
          </w:p>
        </w:tc>
        <w:tc>
          <w:tcPr>
            <w:tcW w:w="180" w:type="dxa"/>
            <w:vAlign w:val="bottom"/>
          </w:tcPr>
          <w:p>
            <w:pPr>
              <w:spacing w:after="0"/>
              <w:rPr>
                <w:sz w:val="21"/>
                <w:szCs w:val="21"/>
                <w:color w:val="auto"/>
              </w:rPr>
            </w:pPr>
          </w:p>
        </w:tc>
      </w:tr>
      <w:tr>
        <w:trPr>
          <w:trHeight w:val="243"/>
        </w:trPr>
        <w:tc>
          <w:tcPr>
            <w:tcW w:w="1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Ranjana Clark</w:t>
            </w:r>
          </w:p>
        </w:tc>
        <w:tc>
          <w:tcPr>
            <w:tcW w:w="1960" w:type="dxa"/>
            <w:vAlign w:val="bottom"/>
            <w:gridSpan w:val="2"/>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rPr>
              <w:t>81,288,976</w:t>
            </w:r>
          </w:p>
        </w:tc>
        <w:tc>
          <w:tcPr>
            <w:tcW w:w="1960" w:type="dxa"/>
            <w:vAlign w:val="bottom"/>
            <w:gridSpan w:val="2"/>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9"/>
              </w:rPr>
              <w:t>9,345,383</w:t>
            </w:r>
          </w:p>
        </w:tc>
        <w:tc>
          <w:tcPr>
            <w:tcW w:w="2040" w:type="dxa"/>
            <w:vAlign w:val="bottom"/>
            <w:gridSpan w:val="2"/>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9"/>
              </w:rPr>
              <w:t>3,960,998</w:t>
            </w:r>
          </w:p>
        </w:tc>
        <w:tc>
          <w:tcPr>
            <w:tcW w:w="180" w:type="dxa"/>
            <w:vAlign w:val="bottom"/>
            <w:shd w:val="clear" w:color="auto" w:fill="CCEEFF"/>
          </w:tcPr>
          <w:p>
            <w:pPr>
              <w:spacing w:after="0"/>
              <w:rPr>
                <w:sz w:val="21"/>
                <w:szCs w:val="21"/>
                <w:color w:val="auto"/>
              </w:rPr>
            </w:pPr>
          </w:p>
        </w:tc>
      </w:tr>
      <w:tr>
        <w:trPr>
          <w:trHeight w:val="234"/>
        </w:trPr>
        <w:tc>
          <w:tcPr>
            <w:tcW w:w="1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Emily Rollins</w:t>
            </w:r>
          </w:p>
        </w:tc>
        <w:tc>
          <w:tcPr>
            <w:tcW w:w="196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rPr>
              <w:t>87,713,939</w:t>
            </w:r>
          </w:p>
        </w:tc>
        <w:tc>
          <w:tcPr>
            <w:tcW w:w="196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99"/>
              </w:rPr>
              <w:t>2,920,420</w:t>
            </w:r>
          </w:p>
        </w:tc>
        <w:tc>
          <w:tcPr>
            <w:tcW w:w="20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3,960,998</w:t>
            </w:r>
          </w:p>
        </w:tc>
        <w:tc>
          <w:tcPr>
            <w:tcW w:w="180" w:type="dxa"/>
            <w:vAlign w:val="bottom"/>
          </w:tcPr>
          <w:p>
            <w:pPr>
              <w:spacing w:after="0"/>
              <w:rPr>
                <w:sz w:val="20"/>
                <w:szCs w:val="20"/>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2. Approval, on an Advisory Basis, of the Compensation of the Company’s Named Executive Officers.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For</w:t>
            </w:r>
          </w:p>
        </w:tc>
        <w:tc>
          <w:tcPr>
            <w:tcW w:w="200" w:type="dxa"/>
            <w:vAlign w:val="bottom"/>
          </w:tcPr>
          <w:p>
            <w:pPr>
              <w:spacing w:after="0"/>
              <w:rPr>
                <w:sz w:val="20"/>
                <w:szCs w:val="20"/>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Against</w:t>
            </w:r>
          </w:p>
        </w:tc>
        <w:tc>
          <w:tcPr>
            <w:tcW w:w="180" w:type="dxa"/>
            <w:vAlign w:val="bottom"/>
          </w:tcPr>
          <w:p>
            <w:pPr>
              <w:spacing w:after="0"/>
              <w:rPr>
                <w:sz w:val="20"/>
                <w:szCs w:val="20"/>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Abstain</w:t>
            </w:r>
          </w:p>
        </w:tc>
        <w:tc>
          <w:tcPr>
            <w:tcW w:w="180" w:type="dxa"/>
            <w:vAlign w:val="bottom"/>
          </w:tcPr>
          <w:p>
            <w:pPr>
              <w:spacing w:after="0"/>
              <w:rPr>
                <w:sz w:val="20"/>
                <w:szCs w:val="20"/>
                <w:color w:val="auto"/>
              </w:rPr>
            </w:pPr>
          </w:p>
        </w:tc>
        <w:tc>
          <w:tcPr>
            <w:tcW w:w="20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8"/>
              </w:rPr>
              <w:t>Broker Non-Votes</w:t>
            </w:r>
          </w:p>
        </w:tc>
      </w:tr>
      <w:tr>
        <w:trPr>
          <w:trHeight w:val="243"/>
        </w:trPr>
        <w:tc>
          <w:tcPr>
            <w:tcW w:w="1740" w:type="dxa"/>
            <w:vAlign w:val="bottom"/>
            <w:tcBorders>
              <w:top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tcBorders>
              <w:top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1800" w:type="dxa"/>
            <w:vAlign w:val="bottom"/>
            <w:tcBorders>
              <w:top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1840" w:type="dxa"/>
            <w:vAlign w:val="bottom"/>
            <w:tcBorders>
              <w:top w:val="single" w:sz="8" w:color="auto"/>
            </w:tcBorders>
          </w:tcPr>
          <w:p>
            <w:pPr>
              <w:spacing w:after="0"/>
              <w:rPr>
                <w:sz w:val="21"/>
                <w:szCs w:val="21"/>
                <w:color w:val="auto"/>
              </w:rPr>
            </w:pPr>
          </w:p>
        </w:tc>
        <w:tc>
          <w:tcPr>
            <w:tcW w:w="180" w:type="dxa"/>
            <w:vAlign w:val="bottom"/>
          </w:tcPr>
          <w:p>
            <w:pPr>
              <w:spacing w:after="0"/>
              <w:rPr>
                <w:sz w:val="21"/>
                <w:szCs w:val="21"/>
                <w:color w:val="auto"/>
              </w:rPr>
            </w:pPr>
          </w:p>
        </w:tc>
      </w:tr>
      <w:tr>
        <w:trPr>
          <w:trHeight w:val="243"/>
        </w:trPr>
        <w:tc>
          <w:tcPr>
            <w:tcW w:w="174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88,118,087</w:t>
            </w:r>
          </w:p>
        </w:tc>
        <w:tc>
          <w:tcPr>
            <w:tcW w:w="1940" w:type="dxa"/>
            <w:vAlign w:val="bottom"/>
            <w:gridSpan w:val="2"/>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2,481,915</w:t>
            </w:r>
          </w:p>
        </w:tc>
        <w:tc>
          <w:tcPr>
            <w:tcW w:w="1980" w:type="dxa"/>
            <w:vAlign w:val="bottom"/>
            <w:gridSpan w:val="2"/>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34,357</w:t>
            </w:r>
          </w:p>
        </w:tc>
        <w:tc>
          <w:tcPr>
            <w:tcW w:w="2020" w:type="dxa"/>
            <w:vAlign w:val="bottom"/>
            <w:gridSpan w:val="2"/>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3,960,998</w:t>
            </w:r>
          </w:p>
        </w:tc>
        <w:tc>
          <w:tcPr>
            <w:tcW w:w="180" w:type="dxa"/>
            <w:vAlign w:val="bottom"/>
            <w:shd w:val="clear" w:color="auto" w:fill="CCEEFF"/>
          </w:tcPr>
          <w:p>
            <w:pPr>
              <w:spacing w:after="0"/>
              <w:rPr>
                <w:sz w:val="21"/>
                <w:szCs w:val="21"/>
                <w:color w:val="auto"/>
              </w:rPr>
            </w:pPr>
          </w:p>
        </w:tc>
      </w:tr>
    </w:tbl>
    <w:p>
      <w:pPr>
        <w:spacing w:after="0" w:line="200" w:lineRule="exact"/>
        <w:rPr>
          <w:sz w:val="20"/>
          <w:szCs w:val="20"/>
          <w:color w:val="auto"/>
        </w:rPr>
      </w:pPr>
    </w:p>
    <w:p>
      <w:pPr>
        <w:spacing w:after="0" w:line="210"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color w:val="auto"/>
        </w:rPr>
        <w:t>Proposal 3. Ratification of the selection of KPMG LLP as the Company’s independent registered public accounting firm for the fiscal year ending December 31, 2024.</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For</w:t>
            </w:r>
          </w:p>
        </w:tc>
        <w:tc>
          <w:tcPr>
            <w:tcW w:w="180" w:type="dxa"/>
            <w:vAlign w:val="bottom"/>
          </w:tcPr>
          <w:p>
            <w:pPr>
              <w:spacing w:after="0"/>
              <w:rPr>
                <w:sz w:val="20"/>
                <w:szCs w:val="20"/>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Against</w:t>
            </w:r>
          </w:p>
        </w:tc>
        <w:tc>
          <w:tcPr>
            <w:tcW w:w="200" w:type="dxa"/>
            <w:vAlign w:val="bottom"/>
          </w:tcPr>
          <w:p>
            <w:pPr>
              <w:spacing w:after="0"/>
              <w:rPr>
                <w:sz w:val="20"/>
                <w:szCs w:val="20"/>
                <w:color w:val="auto"/>
              </w:rPr>
            </w:pPr>
          </w:p>
        </w:tc>
        <w:tc>
          <w:tcPr>
            <w:tcW w:w="7200" w:type="dxa"/>
            <w:vAlign w:val="bottom"/>
            <w:gridSpan w:val="3"/>
          </w:tcPr>
          <w:p>
            <w:pPr>
              <w:jc w:val="center"/>
              <w:ind w:right="5360"/>
              <w:spacing w:after="0"/>
              <w:rPr>
                <w:sz w:val="20"/>
                <w:szCs w:val="20"/>
                <w:color w:val="auto"/>
              </w:rPr>
            </w:pPr>
            <w:r>
              <w:rPr>
                <w:rFonts w:ascii="Times New Roman" w:cs="Times New Roman" w:eastAsia="Times New Roman" w:hAnsi="Times New Roman"/>
                <w:sz w:val="18"/>
                <w:szCs w:val="18"/>
                <w:color w:val="auto"/>
                <w:w w:val="99"/>
              </w:rPr>
              <w:t>Abstain</w:t>
            </w:r>
          </w:p>
        </w:tc>
      </w:tr>
      <w:tr>
        <w:trPr>
          <w:trHeight w:val="243"/>
        </w:trPr>
        <w:tc>
          <w:tcPr>
            <w:tcW w:w="1780" w:type="dxa"/>
            <w:vAlign w:val="bottom"/>
            <w:tcBorders>
              <w:top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1880" w:type="dxa"/>
            <w:vAlign w:val="bottom"/>
            <w:tcBorders>
              <w:top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860" w:type="dxa"/>
            <w:vAlign w:val="bottom"/>
            <w:tcBorders>
              <w:top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5180" w:type="dxa"/>
            <w:vAlign w:val="bottom"/>
          </w:tcPr>
          <w:p>
            <w:pPr>
              <w:spacing w:after="0"/>
              <w:rPr>
                <w:sz w:val="21"/>
                <w:szCs w:val="21"/>
                <w:color w:val="auto"/>
              </w:rPr>
            </w:pPr>
          </w:p>
        </w:tc>
      </w:tr>
      <w:tr>
        <w:trPr>
          <w:trHeight w:val="243"/>
        </w:trPr>
        <w:tc>
          <w:tcPr>
            <w:tcW w:w="17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94,531,289</w:t>
            </w:r>
          </w:p>
        </w:tc>
        <w:tc>
          <w:tcPr>
            <w:tcW w:w="2060" w:type="dxa"/>
            <w:vAlign w:val="bottom"/>
            <w:gridSpan w:val="2"/>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47,870</w:t>
            </w:r>
          </w:p>
        </w:tc>
        <w:tc>
          <w:tcPr>
            <w:tcW w:w="2060" w:type="dxa"/>
            <w:vAlign w:val="bottom"/>
            <w:gridSpan w:val="2"/>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16,198</w:t>
            </w:r>
          </w:p>
        </w:tc>
        <w:tc>
          <w:tcPr>
            <w:tcW w:w="160" w:type="dxa"/>
            <w:vAlign w:val="bottom"/>
            <w:shd w:val="clear" w:color="auto" w:fill="CCEEFF"/>
          </w:tcPr>
          <w:p>
            <w:pPr>
              <w:spacing w:after="0"/>
              <w:rPr>
                <w:sz w:val="21"/>
                <w:szCs w:val="21"/>
                <w:color w:val="auto"/>
              </w:rPr>
            </w:pPr>
          </w:p>
        </w:tc>
        <w:tc>
          <w:tcPr>
            <w:tcW w:w="5180" w:type="dxa"/>
            <w:vAlign w:val="bottom"/>
          </w:tcPr>
          <w:p>
            <w:pPr>
              <w:spacing w:after="0"/>
              <w:rPr>
                <w:sz w:val="21"/>
                <w:szCs w:val="21"/>
                <w:color w:val="auto"/>
              </w:rPr>
            </w:pPr>
          </w:p>
        </w:tc>
      </w:tr>
      <w:tr>
        <w:trPr>
          <w:trHeight w:val="756"/>
        </w:trPr>
        <w:tc>
          <w:tcPr>
            <w:tcW w:w="38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tc>
        <w:tc>
          <w:tcPr>
            <w:tcW w:w="2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180" w:type="dxa"/>
            <w:vAlign w:val="bottom"/>
          </w:tcPr>
          <w:p>
            <w:pPr>
              <w:spacing w:after="0"/>
              <w:rPr>
                <w:sz w:val="24"/>
                <w:szCs w:val="24"/>
                <w:color w:val="auto"/>
              </w:rPr>
            </w:pPr>
          </w:p>
        </w:tc>
      </w:tr>
      <w:tr>
        <w:trPr>
          <w:trHeight w:val="319"/>
        </w:trPr>
        <w:tc>
          <w:tcPr>
            <w:tcW w:w="17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7400" w:type="dxa"/>
            <w:vAlign w:val="bottom"/>
            <w:gridSpan w:val="4"/>
          </w:tcPr>
          <w:p>
            <w:pPr>
              <w:ind w:left="6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34"/>
        </w:trPr>
        <w:tc>
          <w:tcPr>
            <w:tcW w:w="1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104</w:t>
            </w:r>
          </w:p>
        </w:tc>
        <w:tc>
          <w:tcPr>
            <w:tcW w:w="18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740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992"/>
        </w:trPr>
        <w:tc>
          <w:tcPr>
            <w:tcW w:w="17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8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8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5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98"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18"/>
          <w:szCs w:val="18"/>
          <w:b w:val="1"/>
          <w:bCs w:val="1"/>
          <w:color w:val="auto"/>
        </w:rPr>
        <w:t>XOMETRY, INC.</w:t>
      </w:r>
    </w:p>
    <w:p>
      <w:pPr>
        <w:spacing w:after="0" w:line="200" w:lineRule="exact"/>
        <w:rPr>
          <w:sz w:val="20"/>
          <w:szCs w:val="20"/>
          <w:color w:val="auto"/>
        </w:rPr>
      </w:pPr>
    </w:p>
    <w:p>
      <w:pPr>
        <w:spacing w:after="0" w:line="205" w:lineRule="exact"/>
        <w:rPr>
          <w:sz w:val="20"/>
          <w:szCs w:val="20"/>
          <w:color w:val="auto"/>
        </w:rPr>
      </w:pPr>
    </w:p>
    <w:p>
      <w:pPr>
        <w:ind w:left="20"/>
        <w:spacing w:after="0"/>
        <w:tabs>
          <w:tab w:leader="none" w:pos="680" w:val="left"/>
          <w:tab w:leader="none" w:pos="5640" w:val="left"/>
          <w:tab w:leader="none" w:pos="60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June 20,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u w:val="single" w:color="auto"/>
          <w:color w:val="auto"/>
        </w:rPr>
        <w:t>/s/ Randolph Altschuler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26035</wp:posOffset>
            </wp:positionV>
            <wp:extent cx="327469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0"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Randolph Altschuler</w:t>
      </w:r>
    </w:p>
    <w:p>
      <w:pPr>
        <w:spacing w:after="0" w:line="2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721995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2024-06-20T15:13:11Z</dcterms:created>
  <dcterms:modified xsi:type="dcterms:W3CDTF">2024-06-20T15:13:11Z</dcterms:modified>
</cp:coreProperties>
</file>