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26"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09" w:lineRule="auto"/>
        <w:tabs>
          <w:tab w:leader="none" w:pos="48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p>
      <w:pPr>
        <w:spacing w:after="0" w:line="250" w:lineRule="exact"/>
        <w:rPr>
          <w:sz w:val="24"/>
          <w:szCs w:val="24"/>
          <w:color w:val="auto"/>
        </w:rPr>
      </w:pPr>
    </w:p>
    <w:p>
      <w:pPr>
        <w:jc w:val="center"/>
        <w:ind w:left="3560"/>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32-0415449</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7" w:lineRule="exact"/>
        <w:rPr>
          <w:sz w:val="24"/>
          <w:szCs w:val="24"/>
          <w:color w:val="auto"/>
        </w:rPr>
      </w:pPr>
    </w:p>
    <w:p>
      <w:pPr>
        <w:sectPr>
          <w:pgSz w:w="11900" w:h="16838" w:orient="portrait"/>
          <w:cols w:equalWidth="0" w:num="2">
            <w:col w:w="7700" w:space="240"/>
            <w:col w:w="3300"/>
          </w:cols>
          <w:pgMar w:left="320" w:top="877" w:right="339" w:bottom="1440" w:gutter="0" w:footer="0" w:header="0"/>
          <w:type w:val="continuous"/>
        </w:sectPr>
      </w:pPr>
    </w:p>
    <w:tbl>
      <w:tblPr>
        <w:tblLayout w:type="fixed"/>
        <w:tblInd w:w="1760" w:type="dxa"/>
        <w:tblCellMar>
          <w:top w:w="0" w:type="dxa"/>
          <w:left w:w="0" w:type="dxa"/>
          <w:bottom w:w="0" w:type="dxa"/>
          <w:right w:w="0" w:type="dxa"/>
        </w:tblCellMar>
      </w:tblPr>
      <w:tr>
        <w:trPr>
          <w:trHeight w:val="203"/>
        </w:trPr>
        <w:tc>
          <w:tcPr>
            <w:tcW w:w="424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6116 Executive Blvd</w:t>
            </w:r>
          </w:p>
        </w:tc>
        <w:tc>
          <w:tcPr>
            <w:tcW w:w="2720" w:type="dxa"/>
            <w:vAlign w:val="bottom"/>
          </w:tcPr>
          <w:p>
            <w:pPr>
              <w:spacing w:after="0"/>
              <w:rPr>
                <w:sz w:val="17"/>
                <w:szCs w:val="17"/>
                <w:color w:val="auto"/>
              </w:rPr>
            </w:pPr>
          </w:p>
        </w:tc>
      </w:tr>
      <w:tr>
        <w:trPr>
          <w:trHeight w:val="203"/>
        </w:trPr>
        <w:tc>
          <w:tcPr>
            <w:tcW w:w="424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w w:val="98"/>
              </w:rPr>
              <w:t>Suite 800</w:t>
            </w:r>
          </w:p>
        </w:tc>
        <w:tc>
          <w:tcPr>
            <w:tcW w:w="2720" w:type="dxa"/>
            <w:vAlign w:val="bottom"/>
          </w:tcPr>
          <w:p>
            <w:pPr>
              <w:spacing w:after="0"/>
              <w:rPr>
                <w:sz w:val="17"/>
                <w:szCs w:val="17"/>
                <w:color w:val="auto"/>
              </w:rPr>
            </w:pPr>
          </w:p>
        </w:tc>
      </w:tr>
      <w:tr>
        <w:trPr>
          <w:trHeight w:val="198"/>
        </w:trPr>
        <w:tc>
          <w:tcPr>
            <w:tcW w:w="424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rPr>
              <w:t>North Bethesda, MD</w:t>
            </w:r>
          </w:p>
        </w:tc>
        <w:tc>
          <w:tcPr>
            <w:tcW w:w="272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166"/>
        </w:trPr>
        <w:tc>
          <w:tcPr>
            <w:tcW w:w="4240" w:type="dxa"/>
            <w:vAlign w:val="bottom"/>
          </w:tcPr>
          <w:p>
            <w:pPr>
              <w:jc w:val="center"/>
              <w:ind w:right="206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40"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7560" w:val="left"/>
          <w:tab w:leader="none" w:pos="81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3" w:lineRule="exact"/>
        <w:rPr>
          <w:sz w:val="24"/>
          <w:szCs w:val="24"/>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As of October 28, 2025, the registrant had 49,772,345 shares of Class A common stock, $0.000001 par value per share, and 1,475,311 shares of Class B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440" w:type="dxa"/>
            <w:vAlign w:val="bottom"/>
            <w:gridSpan w:val="1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10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12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ind w:right="200" w:firstLine="64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21" w:lineRule="exact"/>
        <w:rPr>
          <w:sz w:val="20"/>
          <w:szCs w:val="20"/>
          <w:color w:val="auto"/>
        </w:rPr>
      </w:pPr>
    </w:p>
    <w:p>
      <w:pPr>
        <w:ind w:left="780" w:hanging="219"/>
        <w:spacing w:after="0"/>
        <w:tabs>
          <w:tab w:leader="none" w:pos="7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57" w:lineRule="exact"/>
        <w:rPr>
          <w:rFonts w:ascii="Times New Roman" w:cs="Times New Roman" w:eastAsia="Times New Roman" w:hAnsi="Times New Roman"/>
          <w:sz w:val="18"/>
          <w:szCs w:val="18"/>
          <w:color w:val="auto"/>
        </w:rPr>
      </w:pPr>
    </w:p>
    <w:p>
      <w:pPr>
        <w:ind w:left="780" w:hanging="232"/>
        <w:spacing w:after="0"/>
        <w:tabs>
          <w:tab w:leader="none" w:pos="7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our ability to effectively manage or sustain our growth and to achieve or sustain profitability;</w:t>
      </w:r>
    </w:p>
    <w:p>
      <w:pPr>
        <w:spacing w:after="0" w:line="157" w:lineRule="exact"/>
        <w:rPr>
          <w:rFonts w:ascii="Times New Roman" w:cs="Times New Roman" w:eastAsia="Times New Roman" w:hAnsi="Times New Roman"/>
          <w:sz w:val="18"/>
          <w:szCs w:val="18"/>
          <w:color w:val="auto"/>
        </w:rPr>
      </w:pPr>
    </w:p>
    <w:p>
      <w:pPr>
        <w:ind w:left="760" w:right="320" w:hanging="226"/>
        <w:spacing w:after="0" w:line="266" w:lineRule="auto"/>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interest rates, recessionary factors, foreign exchange rate volatility, tariffs and other trade barriers, the ongoing U.S. government shutdown, domestic and global geopolitical uncertainties, public health crises, supply-chain disruptions or other macroeconomic factors, which may lead to periods of global economic uncertainty;</w:t>
      </w:r>
    </w:p>
    <w:p>
      <w:pPr>
        <w:spacing w:after="0" w:line="108" w:lineRule="exact"/>
        <w:rPr>
          <w:rFonts w:ascii="Times New Roman" w:cs="Times New Roman" w:eastAsia="Times New Roman" w:hAnsi="Times New Roman"/>
          <w:sz w:val="18"/>
          <w:szCs w:val="18"/>
          <w:color w:val="auto"/>
        </w:rPr>
      </w:pPr>
    </w:p>
    <w:p>
      <w:pPr>
        <w:ind w:left="760" w:hanging="226"/>
        <w:spacing w:after="0"/>
        <w:tabs>
          <w:tab w:leader="none" w:pos="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57" w:lineRule="exact"/>
        <w:rPr>
          <w:rFonts w:ascii="Times New Roman" w:cs="Times New Roman" w:eastAsia="Times New Roman" w:hAnsi="Times New Roman"/>
          <w:sz w:val="18"/>
          <w:szCs w:val="18"/>
          <w:color w:val="auto"/>
        </w:rPr>
      </w:pPr>
    </w:p>
    <w:p>
      <w:pPr>
        <w:ind w:left="760" w:hanging="23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157"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57" w:lineRule="exact"/>
        <w:rPr>
          <w:rFonts w:ascii="Times New Roman" w:cs="Times New Roman" w:eastAsia="Times New Roman" w:hAnsi="Times New Roman"/>
          <w:sz w:val="18"/>
          <w:szCs w:val="18"/>
          <w:color w:val="auto"/>
        </w:rPr>
      </w:pPr>
    </w:p>
    <w:p>
      <w:pPr>
        <w:ind w:left="760" w:hanging="23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57" w:lineRule="exact"/>
        <w:rPr>
          <w:rFonts w:ascii="Times New Roman" w:cs="Times New Roman" w:eastAsia="Times New Roman" w:hAnsi="Times New Roman"/>
          <w:sz w:val="18"/>
          <w:szCs w:val="18"/>
          <w:color w:val="auto"/>
        </w:rPr>
      </w:pPr>
    </w:p>
    <w:p>
      <w:pPr>
        <w:ind w:left="780" w:hanging="232"/>
        <w:spacing w:after="0"/>
        <w:tabs>
          <w:tab w:leader="none" w:pos="7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57"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57"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costs and expenses, which may be impacted by changes in tariff policy and inflationary pressures;</w:t>
      </w:r>
    </w:p>
    <w:p>
      <w:pPr>
        <w:spacing w:after="0" w:line="157" w:lineRule="exact"/>
        <w:rPr>
          <w:rFonts w:ascii="Times New Roman" w:cs="Times New Roman" w:eastAsia="Times New Roman" w:hAnsi="Times New Roman"/>
          <w:sz w:val="18"/>
          <w:szCs w:val="18"/>
          <w:color w:val="auto"/>
        </w:rPr>
      </w:pPr>
    </w:p>
    <w:p>
      <w:pPr>
        <w:ind w:left="760" w:hanging="239"/>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57"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17"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20,845</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203,674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less allowance for credit losses of $6.5 million as of September 30, 2025 and $4.9 million as of December 31, 2024</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98,887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5,904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341,105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327,540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29,456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698,877</w:t>
            </w: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680,129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cost of revenue</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46,242</w:t>
            </w:r>
          </w:p>
        </w:tc>
        <w:tc>
          <w:tcPr>
            <w:tcW w:w="1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accrued expenses</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94,147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74,787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326,943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283,628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425,787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364,533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Commitments and contingencies (Note 9)</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 of September 30, 2025 and</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5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49,557,368 shares and 48,289,274 shares issued and outstanding</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 of September 30, 2025 and December 31, 2024, respectively</w:t>
            </w:r>
          </w:p>
        </w:tc>
        <w:tc>
          <w:tcPr>
            <w:tcW w:w="1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5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1,475,311 shares issued and outstanding as of September 30, 2025</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20"/>
                <w:szCs w:val="20"/>
                <w:color w:val="auto"/>
              </w:rPr>
            </w:pPr>
            <w:r>
              <w:rPr>
                <w:rFonts w:ascii="Times New Roman" w:cs="Times New Roman" w:eastAsia="Times New Roman" w:hAnsi="Times New Roman"/>
                <w:sz w:val="14"/>
                <w:szCs w:val="14"/>
                <w:color w:val="auto"/>
              </w:rPr>
              <w:t>and December 31, 2024</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698,972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220,994 and zero shares as of September 30, 2025 and December 31, 2024, respectively</w:t>
            </w:r>
          </w:p>
        </w:tc>
        <w:tc>
          <w:tcPr>
            <w:tcW w:w="1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5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4,454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(423,382)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(370,273)</w:t>
            </w:r>
          </w:p>
        </w:tc>
        <w:tc>
          <w:tcPr>
            <w:tcW w:w="0" w:type="dxa"/>
            <w:vAlign w:val="bottom"/>
          </w:tcPr>
          <w:p>
            <w:pPr>
              <w:spacing w:after="0"/>
              <w:rPr>
                <w:sz w:val="1"/>
                <w:szCs w:val="1"/>
                <w:color w:val="auto"/>
              </w:rPr>
            </w:pPr>
          </w:p>
        </w:tc>
      </w:tr>
      <w:tr>
        <w:trPr>
          <w:trHeight w:val="142"/>
        </w:trPr>
        <w:tc>
          <w:tcPr>
            <w:tcW w:w="85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271,964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314,453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273,090</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315,596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698,877</w:t>
            </w: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680,129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-2939415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-1567815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-128270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180,715</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141,698</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494,234</w:t>
            </w:r>
          </w:p>
        </w:tc>
        <w:tc>
          <w:tcPr>
            <w:tcW w:w="1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396,983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108,686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85,873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300,698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240,379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72,029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55,825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193,536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156,604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88,866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support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 development</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34,703</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19,463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Impairment of assets</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83,088</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67,306</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230,276</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201,231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(11,059)</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(11,481)</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(36,740)</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(44,627)</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(expenses) income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(19,882)</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(expenses) income</w:t>
            </w: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(16,395)</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(11,614)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(10,169)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(53,135)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(40,487)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(11,597)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(10,199)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(53,110)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(40,507)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income attributable to noncontrolling interest</w:t>
            </w: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(11,597)</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(10,199)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(53,109)</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(40,512)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Net loss per share, basic and diluted, of Class A and Class B common stock</w:t>
            </w:r>
          </w:p>
        </w:tc>
        <w:tc>
          <w:tcPr>
            <w:tcW w:w="360" w:type="dxa"/>
            <w:vAlign w:val="bottom"/>
            <w:gridSpan w:val="2"/>
            <w:shd w:val="clear" w:color="auto" w:fill="CFF0FC"/>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(0.23)</w:t>
            </w:r>
          </w:p>
        </w:tc>
        <w:tc>
          <w:tcPr>
            <w:tcW w:w="480" w:type="dxa"/>
            <w:vAlign w:val="bottom"/>
            <w:gridSpan w:val="2"/>
            <w:shd w:val="clear" w:color="auto" w:fill="CFF0FC"/>
          </w:tcPr>
          <w:p>
            <w:pPr>
              <w:jc w:val="right"/>
              <w:ind w:right="3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(0.21)</w:t>
            </w:r>
          </w:p>
        </w:tc>
        <w:tc>
          <w:tcPr>
            <w:tcW w:w="36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(1.05)</w:t>
            </w:r>
          </w:p>
        </w:tc>
        <w:tc>
          <w:tcPr>
            <w:tcW w:w="480" w:type="dxa"/>
            <w:vAlign w:val="bottom"/>
            <w:gridSpan w:val="2"/>
            <w:shd w:val="clear" w:color="auto" w:fill="CFF0FC"/>
          </w:tcPr>
          <w:p>
            <w:pPr>
              <w:jc w:val="right"/>
              <w:ind w:right="3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106"/>
        </w:trPr>
        <w:tc>
          <w:tcPr>
            <w:tcW w:w="55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Weighted-average number of shares outstanding used to compute net loss per share, basic and</w:t>
            </w:r>
          </w:p>
        </w:tc>
        <w:tc>
          <w:tcPr>
            <w:tcW w:w="80" w:type="dxa"/>
            <w:vAlign w:val="bottom"/>
            <w:tcBorders>
              <w:top w:val="single" w:sz="8" w:color="CFF0FC"/>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50,920,588</w:t>
            </w: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49,282,164</w:t>
            </w: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50,653,997</w:t>
            </w: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48,901,475</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diluted, of Class A and Class B common stock</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6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(11,597)</w:t>
            </w:r>
          </w:p>
        </w:tc>
        <w:tc>
          <w:tcPr>
            <w:tcW w:w="4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(10,199)</w:t>
            </w:r>
          </w:p>
        </w:tc>
        <w:tc>
          <w:tcPr>
            <w:tcW w:w="3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(53,110)</w:t>
            </w:r>
          </w:p>
        </w:tc>
        <w:tc>
          <w:tcPr>
            <w:tcW w:w="4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(40,507)</w:t>
            </w: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8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(11,417)</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(9,404)</w:t>
            </w: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(48,344)</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(40,077)</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noncontrolling interest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(11,424)</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(9,381)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(48,327)</w:t>
            </w:r>
          </w:p>
        </w:tc>
        <w:tc>
          <w:tcPr>
            <w:tcW w:w="4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(40,085)</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-4173855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-4173855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-4173855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-3350895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-3350895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-3350895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-2253615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-2253615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-2253615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-1979295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-1979295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-1979295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-1704975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-1704975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-1704975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-1448435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-1431290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-1448435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-1431290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-1448435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-1431290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-556895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-556895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-556895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22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Class A - Common</w:t>
            </w:r>
          </w:p>
        </w:tc>
        <w:tc>
          <w:tcPr>
            <w:tcW w:w="120" w:type="dxa"/>
            <w:vAlign w:val="bottom"/>
          </w:tcPr>
          <w:p>
            <w:pPr>
              <w:spacing w:after="0"/>
              <w:rPr>
                <w:sz w:val="11"/>
                <w:szCs w:val="11"/>
                <w:color w:val="auto"/>
              </w:rPr>
            </w:pPr>
          </w:p>
        </w:tc>
        <w:tc>
          <w:tcPr>
            <w:tcW w:w="1100" w:type="dxa"/>
            <w:vAlign w:val="bottom"/>
            <w:gridSpan w:val="3"/>
          </w:tcPr>
          <w:p>
            <w:pPr>
              <w:jc w:val="center"/>
              <w:ind w:left="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 - Common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0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w:t>
            </w:r>
          </w:p>
        </w:tc>
        <w:tc>
          <w:tcPr>
            <w:tcW w:w="4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w:t>
            </w:r>
          </w:p>
        </w:tc>
        <w:tc>
          <w:tcPr>
            <w:tcW w:w="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760" w:type="dxa"/>
            <w:vAlign w:val="bottom"/>
            <w:gridSpan w:val="2"/>
          </w:tcPr>
          <w:p>
            <w:pPr>
              <w:jc w:val="center"/>
              <w:ind w:left="35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jc w:val="center"/>
              <w:ind w:lef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1420" w:type="dxa"/>
            <w:vAlign w:val="bottom"/>
            <w:gridSpan w:val="5"/>
          </w:tcPr>
          <w:p>
            <w:pPr>
              <w:jc w:val="right"/>
              <w:ind w:right="268"/>
              <w:spacing w:after="0" w:line="135"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g</w:t>
            </w:r>
          </w:p>
        </w:tc>
        <w:tc>
          <w:tcPr>
            <w:tcW w:w="100" w:type="dxa"/>
            <w:vAlign w:val="bottom"/>
          </w:tcPr>
          <w:p>
            <w:pPr>
              <w:spacing w:after="0"/>
              <w:rPr>
                <w:sz w:val="11"/>
                <w:szCs w:val="11"/>
                <w:color w:val="auto"/>
              </w:rPr>
            </w:pPr>
          </w:p>
        </w:tc>
        <w:tc>
          <w:tcPr>
            <w:tcW w:w="66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64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49,107,</w:t>
            </w:r>
          </w:p>
        </w:tc>
        <w:tc>
          <w:tcPr>
            <w:tcW w:w="1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w:t>
            </w:r>
          </w:p>
        </w:tc>
        <w:tc>
          <w:tcPr>
            <w:tcW w:w="4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685,98</w:t>
            </w: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220,994</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(411,78</w:t>
            </w:r>
          </w:p>
        </w:tc>
        <w:tc>
          <w:tcPr>
            <w:tcW w:w="8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270,402</w:t>
            </w:r>
          </w:p>
        </w:tc>
        <w:tc>
          <w:tcPr>
            <w:tcW w:w="8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271,521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2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8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vMerge w:val="continue"/>
            <w:shd w:val="clear" w:color="auto" w:fill="CFF0FC"/>
          </w:tcPr>
          <w:p>
            <w:pPr>
              <w:spacing w:after="0"/>
              <w:rPr>
                <w:sz w:val="14"/>
                <w:szCs w:val="14"/>
                <w:color w:val="auto"/>
              </w:rPr>
            </w:pPr>
          </w:p>
        </w:tc>
        <w:tc>
          <w:tcPr>
            <w:tcW w:w="180" w:type="dxa"/>
            <w:vAlign w:val="bottom"/>
            <w:gridSpan w:val="2"/>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6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gridSpan w:val="2"/>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166,305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263,850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10,748</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10,748</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(11,597)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(11,597)</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(11,424)</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119"/>
        </w:trPr>
        <w:tc>
          <w:tcPr>
            <w:tcW w:w="236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49,557,</w:t>
            </w: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w:t>
            </w:r>
          </w:p>
        </w:tc>
        <w:tc>
          <w:tcPr>
            <w:tcW w:w="1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698,97</w:t>
            </w:r>
          </w:p>
        </w:tc>
        <w:tc>
          <w:tcPr>
            <w:tcW w:w="10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(423,38</w:t>
            </w: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6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4"/>
                <w:szCs w:val="14"/>
                <w:color w:val="auto"/>
              </w:rPr>
            </w:pPr>
          </w:p>
        </w:tc>
        <w:tc>
          <w:tcPr>
            <w:tcW w:w="1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3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220,994</w:t>
            </w:r>
          </w:p>
        </w:tc>
        <w:tc>
          <w:tcPr>
            <w:tcW w:w="100" w:type="dxa"/>
            <w:vAlign w:val="bottom"/>
          </w:tcPr>
          <w:p>
            <w:pPr>
              <w:spacing w:after="0"/>
              <w:rPr>
                <w:sz w:val="14"/>
                <w:szCs w:val="14"/>
                <w:color w:val="auto"/>
              </w:rPr>
            </w:pPr>
          </w:p>
        </w:tc>
        <w:tc>
          <w:tcPr>
            <w:tcW w:w="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(8,080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4,454</w:t>
            </w:r>
          </w:p>
        </w:tc>
        <w:tc>
          <w:tcPr>
            <w:tcW w:w="100" w:type="dxa"/>
            <w:vAlign w:val="bottom"/>
          </w:tcPr>
          <w:p>
            <w:pPr>
              <w:spacing w:after="0"/>
              <w:rPr>
                <w:sz w:val="14"/>
                <w:szCs w:val="14"/>
                <w:color w:val="auto"/>
              </w:rPr>
            </w:pPr>
          </w:p>
        </w:tc>
        <w:tc>
          <w:tcPr>
            <w:tcW w:w="1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4"/>
                <w:szCs w:val="14"/>
                <w:color w:val="auto"/>
              </w:rPr>
            </w:pPr>
          </w:p>
        </w:tc>
        <w:tc>
          <w:tcPr>
            <w:tcW w:w="1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271,964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4"/>
                <w:szCs w:val="14"/>
                <w:color w:val="auto"/>
              </w:rPr>
            </w:pPr>
          </w:p>
        </w:tc>
        <w:tc>
          <w:tcPr>
            <w:tcW w:w="1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273,090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June 30, 2024</w:t>
            </w: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46,322,</w:t>
            </w:r>
          </w:p>
        </w:tc>
        <w:tc>
          <w:tcPr>
            <w:tcW w:w="1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2,676,1</w:t>
            </w:r>
          </w:p>
        </w:tc>
        <w:tc>
          <w:tcPr>
            <w:tcW w:w="48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665,55</w:t>
            </w:r>
          </w:p>
        </w:tc>
        <w:tc>
          <w:tcPr>
            <w:tcW w:w="1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(350,18</w:t>
            </w:r>
          </w:p>
        </w:tc>
        <w:tc>
          <w:tcPr>
            <w:tcW w:w="8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315,834</w:t>
            </w:r>
          </w:p>
        </w:tc>
        <w:tc>
          <w:tcPr>
            <w:tcW w:w="80" w:type="dxa"/>
            <w:vAlign w:val="bottom"/>
            <w:shd w:val="clear" w:color="auto" w:fill="CFF0FC"/>
          </w:tcPr>
          <w:p>
            <w:pPr>
              <w:spacing w:after="0"/>
              <w:rPr>
                <w:sz w:val="10"/>
                <w:szCs w:val="10"/>
                <w:color w:val="auto"/>
              </w:rPr>
            </w:pPr>
          </w:p>
        </w:tc>
        <w:tc>
          <w:tcPr>
            <w:tcW w:w="14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316,984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vMerge w:val="continue"/>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2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8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80" w:type="dxa"/>
            <w:vAlign w:val="bottom"/>
            <w:gridSpan w:val="2"/>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16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gridSpan w:val="2"/>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277,829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148,029</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(10,199)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(10,199)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(10,199)</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(9,381)</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(9,404)</w:t>
            </w:r>
          </w:p>
        </w:tc>
        <w:tc>
          <w:tcPr>
            <w:tcW w:w="0" w:type="dxa"/>
            <w:vAlign w:val="bottom"/>
          </w:tcPr>
          <w:p>
            <w:pPr>
              <w:spacing w:after="0"/>
              <w:rPr>
                <w:sz w:val="1"/>
                <w:szCs w:val="1"/>
                <w:color w:val="auto"/>
              </w:rPr>
            </w:pPr>
          </w:p>
        </w:tc>
      </w:tr>
      <w:tr>
        <w:trPr>
          <w:trHeight w:val="119"/>
        </w:trPr>
        <w:tc>
          <w:tcPr>
            <w:tcW w:w="236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46,768,</w:t>
            </w: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2,676,1</w:t>
            </w:r>
          </w:p>
        </w:tc>
        <w:tc>
          <w:tcPr>
            <w:tcW w:w="1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674,33</w:t>
            </w:r>
          </w:p>
        </w:tc>
        <w:tc>
          <w:tcPr>
            <w:tcW w:w="10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(360,38</w:t>
            </w: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6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801</w:t>
            </w:r>
          </w:p>
        </w:tc>
        <w:tc>
          <w:tcPr>
            <w:tcW w:w="120" w:type="dxa"/>
            <w:vAlign w:val="bottom"/>
          </w:tcPr>
          <w:p>
            <w:pPr>
              <w:spacing w:after="0"/>
              <w:rPr>
                <w:sz w:val="14"/>
                <w:szCs w:val="14"/>
                <w:color w:val="auto"/>
              </w:rPr>
            </w:pPr>
          </w:p>
        </w:tc>
        <w:tc>
          <w:tcPr>
            <w:tcW w:w="1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4"/>
                <w:szCs w:val="14"/>
                <w:color w:val="auto"/>
              </w:rPr>
            </w:pPr>
          </w:p>
        </w:tc>
        <w:tc>
          <w:tcPr>
            <w:tcW w:w="3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4"/>
                <w:szCs w:val="14"/>
                <w:color w:val="auto"/>
              </w:rPr>
            </w:pPr>
          </w:p>
        </w:tc>
        <w:tc>
          <w:tcPr>
            <w:tcW w:w="1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c>
          <w:tcPr>
            <w:tcW w:w="1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315,233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4"/>
                <w:szCs w:val="14"/>
                <w:color w:val="auto"/>
              </w:rPr>
            </w:pPr>
          </w:p>
        </w:tc>
        <w:tc>
          <w:tcPr>
            <w:tcW w:w="1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316,360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-1490980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-1490980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-1490980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-1490980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-1490980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-1490980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-1490980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-1490980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-1490980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-1490980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-1490980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-222250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-222250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-222250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-222250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-222250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-222250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-222250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-222250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-222250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-222250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 Other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1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Class A - Common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w:t>
            </w:r>
          </w:p>
        </w:tc>
        <w:tc>
          <w:tcPr>
            <w:tcW w:w="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8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160" w:type="dxa"/>
            <w:vAlign w:val="bottom"/>
            <w:gridSpan w:val="3"/>
          </w:tcPr>
          <w:p>
            <w:pPr>
              <w:jc w:val="right"/>
              <w:ind w:right="290"/>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Class B - 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540" w:type="dxa"/>
            <w:vAlign w:val="bottom"/>
            <w:gridSpan w:val="5"/>
          </w:tcPr>
          <w:p>
            <w:pPr>
              <w:jc w:val="right"/>
              <w:ind w:right="328"/>
              <w:spacing w:after="0" w:line="135"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ive</w:t>
            </w:r>
          </w:p>
        </w:tc>
        <w:tc>
          <w:tcPr>
            <w:tcW w:w="120" w:type="dxa"/>
            <w:vAlign w:val="bottom"/>
          </w:tcPr>
          <w:p>
            <w:pPr>
              <w:spacing w:after="0"/>
              <w:rPr>
                <w:sz w:val="11"/>
                <w:szCs w:val="11"/>
                <w:color w:val="auto"/>
              </w:rPr>
            </w:pPr>
          </w:p>
        </w:tc>
        <w:tc>
          <w:tcPr>
            <w:tcW w:w="700" w:type="dxa"/>
            <w:vAlign w:val="bottom"/>
            <w:gridSpan w:val="2"/>
          </w:tcPr>
          <w:p>
            <w:pPr>
              <w:jc w:val="right"/>
              <w:ind w:right="368"/>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84"/>
              </w:rPr>
              <w:t>s’</w:t>
            </w:r>
          </w:p>
        </w:tc>
        <w:tc>
          <w:tcPr>
            <w:tcW w:w="100" w:type="dxa"/>
            <w:vAlign w:val="bottom"/>
          </w:tcPr>
          <w:p>
            <w:pPr>
              <w:spacing w:after="0"/>
              <w:rPr>
                <w:sz w:val="11"/>
                <w:szCs w:val="11"/>
                <w:color w:val="auto"/>
              </w:rPr>
            </w:pPr>
          </w:p>
        </w:tc>
        <w:tc>
          <w:tcPr>
            <w:tcW w:w="72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ng</w:t>
            </w:r>
          </w:p>
        </w:tc>
        <w:tc>
          <w:tcPr>
            <w:tcW w:w="120" w:type="dxa"/>
            <w:vAlign w:val="bottom"/>
          </w:tcPr>
          <w:p>
            <w:pPr>
              <w:spacing w:after="0"/>
              <w:rPr>
                <w:sz w:val="11"/>
                <w:szCs w:val="11"/>
                <w:color w:val="auto"/>
              </w:rPr>
            </w:pPr>
          </w:p>
        </w:tc>
        <w:tc>
          <w:tcPr>
            <w:tcW w:w="70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48,289,2</w:t>
            </w:r>
          </w:p>
        </w:tc>
        <w:tc>
          <w:tcPr>
            <w:tcW w:w="12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1,475,31</w:t>
            </w:r>
          </w:p>
        </w:tc>
        <w:tc>
          <w:tcPr>
            <w:tcW w:w="360" w:type="dxa"/>
            <w:vAlign w:val="bottom"/>
            <w:gridSpan w:val="2"/>
            <w:vMerge w:val="restart"/>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685,054</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(370,273)</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314,453</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315,596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vMerge w:val="continue"/>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gridSpan w:val="2"/>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311,699</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6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1,100,27</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80" w:type="dxa"/>
            <w:vAlign w:val="bottom"/>
            <w:vMerge w:val="continue"/>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in business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16,716</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combination</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60,399</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capped calls</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(17,475)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(17,475)</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(17,475)</w:t>
            </w: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8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(220,994)</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220,994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(53,109)</w:t>
            </w: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(53,109)</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(53,110)</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comprehensive loss</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(53,109)</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(48,327)</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(48,344)</w:t>
            </w:r>
          </w:p>
        </w:tc>
        <w:tc>
          <w:tcPr>
            <w:tcW w:w="0" w:type="dxa"/>
            <w:vAlign w:val="bottom"/>
          </w:tcPr>
          <w:p>
            <w:pPr>
              <w:spacing w:after="0"/>
              <w:rPr>
                <w:sz w:val="1"/>
                <w:szCs w:val="1"/>
                <w:color w:val="auto"/>
              </w:rPr>
            </w:pPr>
          </w:p>
        </w:tc>
      </w:tr>
      <w:tr>
        <w:trPr>
          <w:trHeight w:val="119"/>
        </w:trPr>
        <w:tc>
          <w:tcPr>
            <w:tcW w:w="188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49,557,3</w:t>
            </w:r>
          </w:p>
        </w:tc>
        <w:tc>
          <w:tcPr>
            <w:tcW w:w="120" w:type="dxa"/>
            <w:vAlign w:val="bottom"/>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1,475,31</w:t>
            </w:r>
          </w:p>
        </w:tc>
        <w:tc>
          <w:tcPr>
            <w:tcW w:w="1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FF0FC"/>
          </w:tcPr>
          <w:p>
            <w:pPr>
              <w:ind w:left="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9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FF0FC"/>
          </w:tcPr>
          <w:p>
            <w:pPr>
              <w:ind w:left="1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698,972</w:t>
            </w: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220,994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(8,080</w:t>
            </w:r>
          </w:p>
        </w:tc>
        <w:tc>
          <w:tcPr>
            <w:tcW w:w="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4,454</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(423,382</w:t>
            </w:r>
          </w:p>
        </w:tc>
        <w:tc>
          <w:tcPr>
            <w:tcW w:w="12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271,964</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1,126</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273,090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6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45,489,3</w:t>
            </w:r>
          </w:p>
        </w:tc>
        <w:tc>
          <w:tcPr>
            <w:tcW w:w="12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2,676,15</w:t>
            </w:r>
          </w:p>
        </w:tc>
        <w:tc>
          <w:tcPr>
            <w:tcW w:w="360" w:type="dxa"/>
            <w:vAlign w:val="bottom"/>
            <w:gridSpan w:val="2"/>
            <w:vMerge w:val="restart"/>
            <w:shd w:val="clear" w:color="auto" w:fill="CFF0FC"/>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648,317</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Borders>
              <w:right w:val="single" w:sz="8" w:color="CFF0FC"/>
            </w:tcBorders>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(319,872)</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329,300</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330,419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vMerge w:val="continue"/>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FF0FC"/>
          </w:tcPr>
          <w:p>
            <w:pPr>
              <w:spacing w:after="0"/>
              <w:rPr>
                <w:sz w:val="14"/>
                <w:szCs w:val="14"/>
                <w:color w:val="auto"/>
              </w:rPr>
            </w:pPr>
          </w:p>
        </w:tc>
        <w:tc>
          <w:tcPr>
            <w:tcW w:w="360" w:type="dxa"/>
            <w:vAlign w:val="bottom"/>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gridSpan w:val="2"/>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00" w:type="dxa"/>
            <w:vAlign w:val="bottom"/>
            <w:gridSpan w:val="2"/>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common stock</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502,981</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642,833</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52,126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8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Shares issued in business</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21,083</w:t>
            </w: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combination</w:t>
            </w: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Donated common stock</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21,115</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21,115</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(40,512)</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(40,512)</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(40,507)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88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Total comprehensive (loss)</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(40,512)</w:t>
            </w:r>
          </w:p>
        </w:tc>
        <w:tc>
          <w:tcPr>
            <w:tcW w:w="120" w:type="dxa"/>
            <w:vAlign w:val="bottom"/>
            <w:shd w:val="clear" w:color="auto" w:fill="CFF0FC"/>
          </w:tcPr>
          <w:p>
            <w:pPr>
              <w:spacing w:after="0"/>
              <w:rPr>
                <w:sz w:val="10"/>
                <w:szCs w:val="10"/>
                <w:color w:val="auto"/>
              </w:rPr>
            </w:pPr>
          </w:p>
        </w:tc>
        <w:tc>
          <w:tcPr>
            <w:tcW w:w="68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(40,085)</w:t>
            </w: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(40,077)</w:t>
            </w:r>
          </w:p>
        </w:tc>
        <w:tc>
          <w:tcPr>
            <w:tcW w:w="0" w:type="dxa"/>
            <w:vAlign w:val="bottom"/>
          </w:tcPr>
          <w:p>
            <w:pPr>
              <w:spacing w:after="0"/>
              <w:rPr>
                <w:sz w:val="1"/>
                <w:szCs w:val="1"/>
                <w:color w:val="auto"/>
              </w:rPr>
            </w:pPr>
          </w:p>
        </w:tc>
      </w:tr>
      <w:tr>
        <w:trPr>
          <w:trHeight w:val="158"/>
        </w:trPr>
        <w:tc>
          <w:tcPr>
            <w:tcW w:w="18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income</w:t>
            </w:r>
          </w:p>
        </w:tc>
        <w:tc>
          <w:tcPr>
            <w:tcW w:w="68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100" w:type="dxa"/>
            <w:vAlign w:val="bottom"/>
            <w:tcBorders>
              <w:right w:val="single" w:sz="8" w:color="CFF0FC"/>
            </w:tcBorders>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right w:val="single" w:sz="8" w:color="CFF0FC"/>
            </w:tcBorders>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8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46,768,8</w:t>
            </w:r>
          </w:p>
        </w:tc>
        <w:tc>
          <w:tcPr>
            <w:tcW w:w="1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2,676,15</w:t>
            </w: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6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ind w:left="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674,335</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(360,384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315,233</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316,360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-2056765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-2056765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-2056765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-1756410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-1739265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-1756410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-1739265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-1756410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-1739265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-1756410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-1739265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-1756410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-1739265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-1756410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-1739265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-1756410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-1739265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-1756410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-1739265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-1756410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-1739265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-1756410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-1739265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-1756410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-1739265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-222250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-222250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-222250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-222250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-222250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-222250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-222250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-222250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-222250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-222250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-222250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76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(53,110)</w:t>
            </w:r>
          </w:p>
        </w:tc>
        <w:tc>
          <w:tcPr>
            <w:tcW w:w="160" w:type="dxa"/>
            <w:vAlign w:val="bottom"/>
          </w:tcPr>
          <w:p>
            <w:pPr>
              <w:spacing w:after="0"/>
              <w:rPr>
                <w:sz w:val="12"/>
                <w:szCs w:val="12"/>
                <w:color w:val="auto"/>
              </w:rPr>
            </w:pP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(40,507)</w:t>
            </w: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9,622</w:t>
            </w: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Impairment of assets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Reduction in carrying amount of right-of-use asset</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w:t>
            </w: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 termination</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21,115</w:t>
            </w:r>
          </w:p>
        </w:tc>
        <w:tc>
          <w:tcPr>
            <w:tcW w:w="120" w:type="dxa"/>
            <w:vAlign w:val="bottom"/>
          </w:tcPr>
          <w:p>
            <w:pPr>
              <w:spacing w:after="0"/>
              <w:rPr>
                <w:sz w:val="12"/>
                <w:szCs w:val="12"/>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Revaluation of contingent consideration</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FF0FC"/>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unconsolidated joint venture</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w:t>
            </w: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Donation of common stock</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20" w:type="dxa"/>
            <w:vAlign w:val="bottom"/>
            <w:shd w:val="clear" w:color="auto" w:fill="CFF0FC"/>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sale of property and equipment</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40" w:type="dxa"/>
            <w:vAlign w:val="bottom"/>
            <w:gridSpan w:val="3"/>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w:t>
            </w: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costs on convertible notes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1,394</w:t>
            </w: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 benefit</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w:t>
            </w: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other assets and liabilities: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(23,370)</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(8,263)</w:t>
            </w: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(598)</w:t>
            </w: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(904)</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20" w:type="dxa"/>
            <w:vAlign w:val="bottom"/>
            <w:shd w:val="clear" w:color="auto" w:fill="CFF0F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(1,233)</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4,354</w:t>
            </w: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and accrued cost of revenue</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(18,293)</w:t>
            </w: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accrued expenses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6,782</w:t>
            </w: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120" w:type="dxa"/>
            <w:vAlign w:val="bottom"/>
            <w:shd w:val="clear" w:color="auto" w:fill="CFF0FC"/>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(5,202)</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(5,068)</w:t>
            </w: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120" w:type="dxa"/>
            <w:vAlign w:val="bottom"/>
            <w:shd w:val="clear" w:color="auto" w:fill="CFF0FC"/>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(1,620)</w:t>
            </w:r>
          </w:p>
        </w:tc>
      </w:tr>
      <w:tr>
        <w:trPr>
          <w:trHeight w:val="20"/>
        </w:trPr>
        <w:tc>
          <w:tcPr>
            <w:tcW w:w="6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(24,469)</w:t>
            </w:r>
          </w:p>
        </w:tc>
      </w:tr>
      <w:tr>
        <w:trPr>
          <w:trHeight w:val="142"/>
        </w:trPr>
        <w:tc>
          <w:tcPr>
            <w:tcW w:w="602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4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(6,571)</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(16,253)</w:t>
            </w: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(19,911)</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(13,560)</w:t>
            </w: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2"/>
                <w:szCs w:val="12"/>
                <w:color w:val="auto"/>
              </w:rPr>
            </w:pPr>
          </w:p>
        </w:tc>
      </w:tr>
      <w:tr>
        <w:trPr>
          <w:trHeight w:val="142"/>
        </w:trPr>
        <w:tc>
          <w:tcPr>
            <w:tcW w:w="60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84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(5,982)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(14,734)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6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incurred in connection with issuance of convertible notes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(8,650)</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Payments for repurchase of convertible notes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(215,992)</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capped calls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(17,475)</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(8,080)</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Borders>
              <w:bottom w:val="single" w:sz="8" w:color="CFF0FC"/>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options exercised</w:t>
            </w:r>
          </w:p>
        </w:tc>
        <w:tc>
          <w:tcPr>
            <w:tcW w:w="184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w:t>
            </w:r>
          </w:p>
        </w:tc>
        <w:tc>
          <w:tcPr>
            <w:tcW w:w="120" w:type="dxa"/>
            <w:vAlign w:val="bottom"/>
            <w:tcBorders>
              <w:bottom w:val="single" w:sz="8" w:color="CFF0FC"/>
            </w:tcBorders>
          </w:tcPr>
          <w:p>
            <w:pPr>
              <w:spacing w:after="0"/>
              <w:rPr>
                <w:sz w:val="12"/>
                <w:szCs w:val="12"/>
                <w:color w:val="auto"/>
              </w:rPr>
            </w:pPr>
          </w:p>
        </w:tc>
      </w:tr>
      <w:tr>
        <w:trPr>
          <w:trHeight w:val="142"/>
        </w:trPr>
        <w:tc>
          <w:tcPr>
            <w:tcW w:w="60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8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3,215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0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6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(1,387)</w:t>
            </w: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(35,994)</w:t>
            </w: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18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22,232</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53,424</w:t>
            </w:r>
          </w:p>
        </w:tc>
        <w:tc>
          <w:tcPr>
            <w:tcW w:w="120" w:type="dxa"/>
            <w:vAlign w:val="bottom"/>
          </w:tcPr>
          <w:p>
            <w:pPr>
              <w:spacing w:after="0"/>
              <w:rPr>
                <w:sz w:val="12"/>
                <w:szCs w:val="12"/>
                <w:color w:val="auto"/>
              </w:rPr>
            </w:pPr>
          </w:p>
        </w:tc>
      </w:tr>
      <w:tr>
        <w:trPr>
          <w:trHeight w:val="182"/>
        </w:trPr>
        <w:tc>
          <w:tcPr>
            <w:tcW w:w="6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2760" w:type="dxa"/>
            <w:vAlign w:val="bottom"/>
            <w:gridSpan w:val="2"/>
            <w:shd w:val="clear" w:color="auto" w:fill="CFF0FC"/>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20,845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17,430</w:t>
            </w:r>
          </w:p>
        </w:tc>
        <w:tc>
          <w:tcPr>
            <w:tcW w:w="120" w:type="dxa"/>
            <w:vAlign w:val="bottom"/>
            <w:shd w:val="clear" w:color="auto" w:fill="CFF0FC"/>
          </w:tcPr>
          <w:p>
            <w:pPr>
              <w:spacing w:after="0"/>
              <w:rPr>
                <w:sz w:val="15"/>
                <w:szCs w:val="15"/>
                <w:color w:val="auto"/>
              </w:rPr>
            </w:pPr>
          </w:p>
        </w:tc>
      </w:tr>
      <w:tr>
        <w:trPr>
          <w:trHeight w:val="129"/>
        </w:trPr>
        <w:tc>
          <w:tcPr>
            <w:tcW w:w="60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840" w:type="dxa"/>
            <w:vAlign w:val="bottom"/>
            <w:tcBorders>
              <w:top w:val="single" w:sz="8" w:color="CFF0F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9"/>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760" w:type="dxa"/>
            <w:vAlign w:val="bottom"/>
            <w:gridSpan w:val="2"/>
            <w:shd w:val="clear" w:color="auto" w:fill="CFF0FC"/>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2,875</w:t>
            </w:r>
          </w:p>
        </w:tc>
        <w:tc>
          <w:tcPr>
            <w:tcW w:w="120" w:type="dxa"/>
            <w:vAlign w:val="bottom"/>
            <w:shd w:val="clear" w:color="auto" w:fill="CFF0FC"/>
          </w:tcPr>
          <w:p>
            <w:pPr>
              <w:spacing w:after="0"/>
              <w:rPr>
                <w:sz w:val="12"/>
                <w:szCs w:val="12"/>
                <w:color w:val="auto"/>
              </w:rPr>
            </w:pPr>
          </w:p>
        </w:tc>
      </w:tr>
      <w:tr>
        <w:trPr>
          <w:trHeight w:val="148"/>
        </w:trPr>
        <w:tc>
          <w:tcPr>
            <w:tcW w:w="60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Non-cash purchase of property and equipment</w:t>
            </w:r>
          </w:p>
        </w:tc>
        <w:tc>
          <w:tcPr>
            <w:tcW w:w="18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Non-cash consideration in connection with business combination</w:t>
            </w: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-2279015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-2279015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-1811655</wp:posOffset>
            </wp:positionV>
            <wp:extent cx="93980" cy="1365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-1811655</wp:posOffset>
            </wp:positionV>
            <wp:extent cx="102870" cy="136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-1040130</wp:posOffset>
            </wp:positionV>
            <wp:extent cx="93980" cy="1365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-1040130</wp:posOffset>
            </wp:positionV>
            <wp:extent cx="102870" cy="1365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-521970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-504825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-521970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-504825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Organization and Description of Business</w:t>
      </w:r>
    </w:p>
    <w:p>
      <w:pPr>
        <w:spacing w:after="0" w:line="22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and our corporate headquarters is located in North Bethesda, Maryland. Xometry operates a global artificial intelligence (“AI”) powered online manufacturing marketplace, a leading North American industrial sourcing platform Thomasnet® and a suite of cloud-based services including Workcenter and Teamspace that are rapidly digitizing the manufacturing industry. Together, these platforms provide manufacturers the critical resources they need to grow their business and make it easy for buyers to create resilient supply chains. Xometry’s marketplaces use proprietary AI to help buyers efficiently source custom-manufactured parts and assemblies and attain instant pricing and lead times. The AI enables our rapidly growing network of manufacturers to select the optimal jobs to fill their capacity. Our suite of cloud-based services and our Thomasnet industrial sourcing platform helps manufacturers and industrial service providers grow their businesses using our advertising, marketing and financial services.</w:t>
      </w:r>
    </w:p>
    <w:p>
      <w:pPr>
        <w:spacing w:after="0" w:line="192"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Xometry’s AI-enabled marketplace, which is available in multiple local platforms and languages, is powered by proprietary machine learning algorithms and datasets. Our two-sided marketplace is rapidly digitizing the manufacturing industry, helping customers strengthen their supply chains. Buyers can procure the products they want utilizing our AI powered instant quoting engine, and suppliers can reach new customers throughout the world. Our rapidly growing active supplier base enables companies to accelerate their product development and go-to-market strategies, as well as reduce the cost and lead times for ongoing production work. More than 4,375 global suppliers are active on the Xometry marketplace across four continents. Each interaction on our marketplace provides rich data insights that allow us to continuously improve our AI models and create new products and services, fueling powerful network effects as we scale.</w:t>
      </w:r>
    </w:p>
    <w:p>
      <w:pPr>
        <w:spacing w:after="0" w:line="189"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 as well as larger production orders of single parts. Xometry’s Teamspace offers enterprise-wide collaboration software that unites engineers, managers and purchasing executives to expedite procurement of custom-manufacturing services. We continue to improve features on Xometry and expand the offering with the launch of Teamspace in Europe in the second quarter of 2025.</w:t>
      </w:r>
    </w:p>
    <w:p>
      <w:pPr>
        <w:spacing w:after="0" w:line="187"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Xometry marketplace offers buyers an expanding number of manufacturing categories including computer numerical control manufacturing, sheet metal forming, sheet cutting, 3D printing, die casting, stamping, injection molding, urethane casting, tube cutting, and tube bending from rapid prototyping and to high-volume production. As well, we are expanding the number of certifications, materials and finishing options on the platform. Xometry’s extensible technology platform allows the Company to expand technologies and processes to gain more wallet share with our buyers.</w:t>
      </w:r>
    </w:p>
    <w:p>
      <w:pPr>
        <w:spacing w:after="0" w:line="18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services to meet their unique needs. The Thomasnet product sourcing and supplier discovery digital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w:t>
      </w:r>
    </w:p>
    <w:p>
      <w:pPr>
        <w:spacing w:after="0" w:line="1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tab/>
        <w:t>Basis of Presentation and Summary of Significant Accounting Policies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(a)Basis of Presentation</w:t>
      </w:r>
    </w:p>
    <w:p>
      <w:pPr>
        <w:spacing w:after="0" w:line="12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25, 2025.</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2025 or any future period. The Company has two reportable segments which are referred to as: (1) the United States (“U.S.”) and (2) International.</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9" w:lineRule="exact"/>
        <w:rPr>
          <w:sz w:val="20"/>
          <w:szCs w:val="20"/>
          <w:color w:val="auto"/>
        </w:rPr>
      </w:pPr>
    </w:p>
    <w:p>
      <w:pPr>
        <w:jc w:val="both"/>
        <w:ind w:right="120" w:firstLine="644"/>
        <w:spacing w:after="0" w:line="254"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(loss) income, as a separate component of equity.</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(b)Use of Estimates</w:t>
      </w:r>
    </w:p>
    <w:p>
      <w:pPr>
        <w:spacing w:after="0" w:line="121"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(c)Business Combinations</w:t>
      </w:r>
    </w:p>
    <w:p>
      <w:pPr>
        <w:spacing w:after="0" w:line="121"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(d)Fair Value Measurements and Financial Instruments</w:t>
      </w:r>
    </w:p>
    <w:p>
      <w:pPr>
        <w:spacing w:after="0" w:line="121"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68"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jc w:val="both"/>
        <w:ind w:right="80" w:firstLine="644"/>
        <w:spacing w:after="0" w:line="266"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8"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97" w:lineRule="exact"/>
        <w:rPr>
          <w:sz w:val="20"/>
          <w:szCs w:val="20"/>
          <w:color w:val="auto"/>
        </w:rPr>
      </w:pPr>
    </w:p>
    <w:p>
      <w:pPr>
        <w:ind w:right="260" w:firstLine="644"/>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(e)Cash and Cash Equivalents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and cash equivalents consist of cash held in checking accounts. These investments are stated at cost, which approximates fair value.</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(f)Marketable Securities</w:t>
      </w:r>
    </w:p>
    <w:p>
      <w:pPr>
        <w:spacing w:after="0" w:line="12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The Company’s marketable securities represent our investments in a short-term money market fund. These marketable securities have maturities of three months or less. As of September 30, 2025 and December 31, 2024, the Company’s marketable securities of $203.7 million and $217.6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(g)Accounts Receivable</w:t>
      </w:r>
    </w:p>
    <w:p>
      <w:pPr>
        <w:spacing w:after="0" w:line="121"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related to accounts receivable and changes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 January 1</w:t>
            </w:r>
          </w:p>
        </w:tc>
        <w:tc>
          <w:tcPr>
            <w:tcW w:w="23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2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 to provision accounts</w:t>
            </w:r>
          </w:p>
        </w:tc>
        <w:tc>
          <w:tcPr>
            <w:tcW w:w="1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0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Write-offs or other</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(3,685)</w:t>
            </w:r>
          </w:p>
        </w:tc>
        <w:tc>
          <w:tcPr>
            <w:tcW w:w="4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r>
      <w:tr>
        <w:trPr>
          <w:trHeight w:val="20"/>
        </w:trPr>
        <w:tc>
          <w:tcPr>
            <w:tcW w:w="6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period end, September 30 and December 31, respectively</w:t>
            </w:r>
          </w:p>
        </w:tc>
        <w:tc>
          <w:tcPr>
            <w:tcW w:w="2360" w:type="dxa"/>
            <w:vAlign w:val="bottom"/>
            <w:gridSpan w:val="2"/>
            <w:shd w:val="clear" w:color="auto" w:fill="CFF0FC"/>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0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2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(h)Property and Equipment and Long-Lived Assets</w:t>
      </w:r>
    </w:p>
    <w:p>
      <w:pPr>
        <w:spacing w:after="0" w:line="121"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w:t>
      </w:r>
    </w:p>
    <w:p>
      <w:pPr>
        <w:spacing w:after="0" w:line="54"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79"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$18.9 million for the nine months ended September 30, 2025 and $17.0 million for the year ended December 31, 2024.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(i)Goodwill</w:t>
      </w:r>
    </w:p>
    <w:p>
      <w:pPr>
        <w:spacing w:after="0" w:line="12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As of September 30, 2025 and December 31, 2024, 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72"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(j)Revenue</w:t>
      </w:r>
    </w:p>
    <w:p>
      <w:pPr>
        <w:spacing w:after="0" w:line="121"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the majority of its U.S. and International marketplace revenue from the sale of parts and assemblies fulfilled using a vast network of suppliers. The Company recognizes revenue from the sales to our customers pursuant to the Financial Accounting Standard Board’s (“FASB”) Accounting Standards Codification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has transferred.</w:t>
      </w:r>
    </w:p>
    <w:p>
      <w:pPr>
        <w:spacing w:after="0" w:line="79"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81" w:lineRule="exact"/>
        <w:rPr>
          <w:sz w:val="20"/>
          <w:szCs w:val="20"/>
          <w:color w:val="auto"/>
        </w:rPr>
      </w:pPr>
    </w:p>
    <w:p>
      <w:pPr>
        <w:ind w:right="160" w:firstLine="644"/>
        <w:spacing w:after="0" w:line="254" w:lineRule="auto"/>
        <w:rPr>
          <w:sz w:val="20"/>
          <w:szCs w:val="20"/>
          <w:color w:val="auto"/>
        </w:rPr>
      </w:pPr>
      <w:r>
        <w:rPr>
          <w:rFonts w:ascii="Times New Roman" w:cs="Times New Roman" w:eastAsia="Times New Roman" w:hAnsi="Times New Roman"/>
          <w:sz w:val="18"/>
          <w:szCs w:val="18"/>
          <w:color w:val="auto"/>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80"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At September 30, 2025 and December 31, 2024, the Company has a provision for estimated returns, refunds or allowances of approximately $0.2 million and $0.1 million, respectively.</w:t>
      </w:r>
    </w:p>
    <w:p>
      <w:pPr>
        <w:spacing w:after="0" w:line="54" w:lineRule="exact"/>
        <w:rPr>
          <w:sz w:val="20"/>
          <w:szCs w:val="20"/>
          <w:color w:val="auto"/>
        </w:rPr>
      </w:pPr>
    </w:p>
    <w:p>
      <w:pPr>
        <w:ind w:right="400" w:firstLine="644"/>
        <w:spacing w:after="0" w:line="375" w:lineRule="auto"/>
        <w:rPr>
          <w:sz w:val="20"/>
          <w:szCs w:val="20"/>
          <w:color w:val="auto"/>
        </w:rPr>
      </w:pPr>
      <w:r>
        <w:rPr>
          <w:rFonts w:ascii="Times New Roman" w:cs="Times New Roman" w:eastAsia="Times New Roman" w:hAnsi="Times New Roman"/>
          <w:sz w:val="18"/>
          <w:szCs w:val="18"/>
          <w:color w:val="auto"/>
        </w:rPr>
        <w:t xml:space="preserve">Sales tax and, if applicable, duties and/or tariffs collected from customers and remitted to governmental authorities is excluded from revenue. </w:t>
      </w:r>
      <w:r>
        <w:rPr>
          <w:rFonts w:ascii="Times New Roman" w:cs="Times New Roman" w:eastAsia="Times New Roman" w:hAnsi="Times New Roman"/>
          <w:sz w:val="18"/>
          <w:szCs w:val="18"/>
          <w:i w:val="1"/>
          <w:iCs w:val="1"/>
          <w:color w:val="auto"/>
        </w:rPr>
        <w:t>Contract Liabilities</w:t>
      </w:r>
    </w:p>
    <w:p>
      <w:pPr>
        <w:spacing w:after="0" w:line="1"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contract liabilities as of December 31, 2024 and September 30, 2025 (in thousands):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Rollforward of contract liabilities: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8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tcPr>
          <w:p>
            <w:pPr>
              <w:spacing w:after="0"/>
              <w:rPr>
                <w:sz w:val="18"/>
                <w:szCs w:val="18"/>
                <w:color w:val="auto"/>
              </w:rPr>
            </w:pPr>
          </w:p>
        </w:tc>
      </w:tr>
      <w:tr>
        <w:trPr>
          <w:trHeight w:val="216"/>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(169,669)</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173,043</w:t>
            </w:r>
          </w:p>
        </w:tc>
        <w:tc>
          <w:tcPr>
            <w:tcW w:w="100" w:type="dxa"/>
            <w:vAlign w:val="bottom"/>
          </w:tcPr>
          <w:p>
            <w:pPr>
              <w:spacing w:after="0"/>
              <w:rPr>
                <w:sz w:val="18"/>
                <w:szCs w:val="18"/>
                <w:color w:val="auto"/>
              </w:rPr>
            </w:pP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at September 30, 2025</w:t>
            </w:r>
          </w:p>
        </w:tc>
        <w:tc>
          <w:tcPr>
            <w:tcW w:w="8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shd w:val="clear" w:color="auto" w:fill="CFF0FC"/>
          </w:tcPr>
          <w:p>
            <w:pPr>
              <w:spacing w:after="0"/>
              <w:rPr>
                <w:sz w:val="19"/>
                <w:szCs w:val="19"/>
                <w:color w:val="auto"/>
              </w:rPr>
            </w:pPr>
          </w:p>
        </w:tc>
      </w:tr>
      <w:tr>
        <w:trPr>
          <w:trHeight w:val="20"/>
        </w:trPr>
        <w:tc>
          <w:tcPr>
            <w:tcW w:w="90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640" w:firstLine="64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approximately $7.3 million of revenue related to its contract liabilities as of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11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Company’s incremental costs to obtain a contract may include a sales commission which is generally determined on a per-order basis. For marketplace contracts, sales commissions are generally expensed as incurred.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and nine months ended September 30, 2025, the Company recognized approximately $0.7 million and $2.1 million, respectively, of amortization related to deferred sales commissions. For the three and nine months ended September 30, 2024, the Company recognized approximately $1.3 million and $5.7 million, respectively, of amortization related to deferred sales commissions. As of September 30, 2025 and December 31, 2024, the Company had deferred sales contract acquisition costs of $0.4 million for both periods, which is classified in other current assets on the Condensed Consolidated Balance Sheets.</w:t>
      </w:r>
    </w:p>
    <w:p>
      <w:pPr>
        <w:spacing w:after="0" w:line="7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13"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spacing w:after="0" w:line="79"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is recognized on a straight-line basis over the term of the lease.</w:t>
      </w:r>
    </w:p>
    <w:p>
      <w:pPr>
        <w:spacing w:after="0" w:line="113"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nine months ended September 30, 2025, the Company’s advertising costs were $9.2 million and $25.3 million, respectively. For the three and nine months ended September 30, 2024, the Company’s advertising cost were $9.4 million and $26.5 million, respectively.</w:t>
      </w:r>
    </w:p>
    <w:p>
      <w:pPr>
        <w:spacing w:after="0" w:line="7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ind w:right="460" w:firstLine="644"/>
        <w:spacing w:after="0" w:line="266"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These costs primarily consist of compensation expenses, including stock-based compensation to the Company’s employees performing routine improvements and maintenance on our platforms not related to a specific capitalizable project, software costs and certain depreciation and amortization expense.</w:t>
      </w:r>
    </w:p>
    <w:p>
      <w:pPr>
        <w:spacing w:after="0" w:line="6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ectPr>
          <w:pgSz w:w="11900" w:h="16838" w:orient="portrait"/>
          <w:cols w:equalWidth="0" w:num="1">
            <w:col w:w="11220"/>
          </w:cols>
          <w:pgMar w:left="320" w:top="769" w:right="359" w:bottom="1440" w:gutter="0" w:footer="0" w:header="0"/>
        </w:sectPr>
      </w:pP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140" w:firstLine="644"/>
        <w:spacing w:after="0" w:line="258" w:lineRule="auto"/>
        <w:rPr>
          <w:sz w:val="20"/>
          <w:szCs w:val="20"/>
          <w:color w:val="auto"/>
        </w:rPr>
      </w:pPr>
      <w:r>
        <w:rPr>
          <w:rFonts w:ascii="Times New Roman" w:cs="Times New Roman" w:eastAsia="Times New Roman" w:hAnsi="Times New Roman"/>
          <w:sz w:val="18"/>
          <w:szCs w:val="18"/>
          <w:color w:val="auto"/>
        </w:rPr>
        <w:t>All stock-based compensation, including stock options, restricted stock units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Forfeitures are recorded in the period in which they occur.</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variables include:</w:t>
      </w:r>
    </w:p>
    <w:p>
      <w:pPr>
        <w:spacing w:after="0" w:line="117" w:lineRule="exact"/>
        <w:rPr>
          <w:sz w:val="20"/>
          <w:szCs w:val="20"/>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17"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17"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7"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17"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17" w:lineRule="exact"/>
        <w:rPr>
          <w:rFonts w:ascii="Times New Roman" w:cs="Times New Roman" w:eastAsia="Times New Roman" w:hAnsi="Times New Roman"/>
          <w:sz w:val="18"/>
          <w:szCs w:val="18"/>
          <w:color w:val="auto"/>
        </w:rPr>
      </w:pPr>
    </w:p>
    <w:p>
      <w:pPr>
        <w:ind w:left="1080" w:hanging="428"/>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5" w:lineRule="exact"/>
        <w:rPr>
          <w:sz w:val="20"/>
          <w:szCs w:val="20"/>
          <w:color w:val="auto"/>
        </w:rPr>
      </w:pPr>
    </w:p>
    <w:p>
      <w:pPr>
        <w:ind w:right="400" w:firstLine="644"/>
        <w:spacing w:after="0" w:line="266" w:lineRule="auto"/>
        <w:rPr>
          <w:sz w:val="20"/>
          <w:szCs w:val="20"/>
          <w:color w:val="auto"/>
        </w:rPr>
      </w:pPr>
      <w:r>
        <w:rPr>
          <w:rFonts w:ascii="Times New Roman" w:cs="Times New Roman" w:eastAsia="Times New Roman" w:hAnsi="Times New Roman"/>
          <w:sz w:val="18"/>
          <w:szCs w:val="18"/>
          <w:color w:val="auto"/>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spacing w:after="0" w:line="6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did not change how a public entity identifies its operating segments, aggregates them, or applies the quantitative thresholds to determine its reportable segments. The new standard became effective for the Company in December 2024. The Company applied the amendments in this ASU retrospectively to all prior periods presented in the financial statements. We have reflected the adoption of this ASU in Note 5, </w:t>
      </w:r>
      <w:r>
        <w:rPr>
          <w:rFonts w:ascii="Times New Roman" w:cs="Times New Roman" w:eastAsia="Times New Roman" w:hAnsi="Times New Roman"/>
          <w:sz w:val="18"/>
          <w:szCs w:val="18"/>
          <w:i w:val="1"/>
          <w:iCs w:val="1"/>
          <w:color w:val="auto"/>
        </w:rPr>
        <w:t>Segments.</w:t>
      </w:r>
    </w:p>
    <w:p>
      <w:pPr>
        <w:spacing w:after="0" w:line="8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Company adopted this new standard in 2025 and applied the amendments prospectively. The adoption of this new standard does not impact our results of operations, cash flows, and financial condition.</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ind w:left="1080" w:hanging="563"/>
        <w:spacing w:after="0"/>
        <w:tabs>
          <w:tab w:leader="none" w:pos="10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320" w:firstLine="644"/>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 adoption to any or all prior periods presented in the financial statements. The Company is currently assessing the impact of ASU 2024-03 on our consolidated financial statements and related disclosures.</w:t>
      </w:r>
    </w:p>
    <w:p>
      <w:pPr>
        <w:spacing w:after="0" w:line="121" w:lineRule="exact"/>
        <w:rPr>
          <w:sz w:val="20"/>
          <w:szCs w:val="20"/>
          <w:color w:val="auto"/>
        </w:rPr>
      </w:pPr>
    </w:p>
    <w:p>
      <w:pPr>
        <w:ind w:right="260" w:firstLine="64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2024-04, Debt with Conversion and Other Options (Subtopic 470-20): Induced Conversions of Convertible Debt Instruments (“ASU 2024-04”),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The Company is currently assessing the impact of ASU 2024-04 on our consolidated financial statements and related disclosures.</w:t>
      </w:r>
    </w:p>
    <w:p>
      <w:pPr>
        <w:spacing w:after="0" w:line="116"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In May 2025, the FASB issued ASU No. 2025-03, Business Combinations (Topic 805) and Consolidation (Topic 810): Determining the Accounting Acquirer in the Acquisition of a Variable Interest Entity (“ASU 2025-03”), which requires that in a business combination involving a variable interest entity (“VIE”) where equity interests are issued as consideration, the determination of the accounting acquirer should follow the general guidance under ASC 805-10-25 rather than default to the conclusion that the acquirer is primary beneficiary of the VIE. The amendments are intended to improve consistency in applying the acquisition method to business combinations. The new guidance is effective for annual reporting periods beginning after December 15, 2026, and interim periods within those annual periods. The Company is currently assessing the impact of ASU 2025-03 on our consolidated financial statements and related disclosures, including the potential impact on the accounting for any future business combinations involving VIEs.</w:t>
      </w:r>
    </w:p>
    <w:p>
      <w:pPr>
        <w:spacing w:after="0" w:line="108"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which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new guidance is effective for annual reporting periods beginning after December 15, 2025, and interim periods within those annual periods. The Company is currently assessing the impact of ASU 2025-05 on our consolidated financial statements and related disclosures.</w:t>
      </w:r>
    </w:p>
    <w:p>
      <w:pPr>
        <w:spacing w:after="0" w:line="120"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improves the operability of the guidance by removing all references to software development project stages so that the guidance is neutral to different software development methods. The new guidance is effective for annual periods beginning after December 15, 2027, and interim periods within those annual periods. The Company is currently assessing the impact of ASU 2025-06 on our consolidated financial statements and related disclosures.</w:t>
      </w:r>
    </w:p>
    <w:p>
      <w:pPr>
        <w:spacing w:after="0" w:line="116"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statement of cash flows upon adoption.</w:t>
      </w:r>
    </w:p>
    <w:p>
      <w:pPr>
        <w:spacing w:after="0" w:line="1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Property and Equipment and Long-Lived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as of September 30, 2025 and December 31, 2024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940" w:type="dxa"/>
            <w:vAlign w:val="bottom"/>
            <w:vMerge w:val="restart"/>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9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hardware</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2 - 10 years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80,450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(41,772)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(30,421)</w:t>
            </w:r>
          </w:p>
        </w:tc>
        <w:tc>
          <w:tcPr>
            <w:tcW w:w="0" w:type="dxa"/>
            <w:vAlign w:val="bottom"/>
          </w:tcPr>
          <w:p>
            <w:pPr>
              <w:spacing w:after="0"/>
              <w:rPr>
                <w:sz w:val="1"/>
                <w:szCs w:val="1"/>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9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9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54,545</w:t>
            </w:r>
          </w:p>
        </w:tc>
        <w:tc>
          <w:tcPr>
            <w:tcW w:w="1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40" w:type="dxa"/>
            <w:vAlign w:val="bottom"/>
            <w:vMerge w:val="restart"/>
          </w:tcPr>
          <w:p>
            <w:pPr>
              <w:jc w:val="right"/>
              <w:ind w:right="19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-1294130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-1010920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2025 and 2024 was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5"/>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3,693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18"/>
                <w:szCs w:val="18"/>
                <w:color w:val="auto"/>
              </w:rPr>
            </w:pPr>
          </w:p>
        </w:tc>
      </w:tr>
      <w:tr>
        <w:trPr>
          <w:trHeight w:val="216"/>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70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4,107</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Disaggregated Revenue and Cost of Revenue Information</w:t>
      </w:r>
    </w:p>
    <w:p>
      <w:pPr>
        <w:spacing w:after="0" w:line="121"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and SaaS products.</w:t>
      </w:r>
    </w:p>
    <w:p>
      <w:pPr>
        <w:spacing w:after="0" w:line="68" w:lineRule="exact"/>
        <w:rPr>
          <w:sz w:val="20"/>
          <w:szCs w:val="20"/>
          <w:color w:val="auto"/>
        </w:rPr>
      </w:pPr>
    </w:p>
    <w:p>
      <w:pPr>
        <w:ind w:right="160" w:firstLine="644"/>
        <w:spacing w:after="0" w:line="278" w:lineRule="auto"/>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three and nine months ended September 30, 2025 and 2024, respectively (in thousands):</w:t>
      </w:r>
    </w:p>
    <w:tbl>
      <w:tblPr>
        <w:tblLayout w:type="fixed"/>
        <w:tblInd w:w="0" w:type="dxa"/>
        <w:tblCellMar>
          <w:top w:w="0" w:type="dxa"/>
          <w:left w:w="0" w:type="dxa"/>
          <w:bottom w:w="0" w:type="dxa"/>
          <w:right w:w="0" w:type="dxa"/>
        </w:tblCellMar>
      </w:tblPr>
      <w:tr>
        <w:trPr>
          <w:trHeight w:val="173"/>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18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166,592</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126,965</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451,168</w:t>
            </w:r>
          </w:p>
        </w:tc>
        <w:tc>
          <w:tcPr>
            <w:tcW w:w="7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107,086</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84,347</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295,891</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155,277</w:t>
            </w:r>
          </w:p>
        </w:tc>
        <w:tc>
          <w:tcPr>
            <w:tcW w:w="7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1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52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7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38,259</w:t>
            </w:r>
          </w:p>
        </w:tc>
        <w:tc>
          <w:tcPr>
            <w:tcW w:w="7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-762635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-744855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-762635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-744855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-762635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-744855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Segments</w:t>
      </w:r>
    </w:p>
    <w:p>
      <w:pPr>
        <w:spacing w:after="0" w:line="12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Xometry is organized in two segments referred to as: (1) U.S. and (2) International. Xometry’s operating segments are also the Company’s reportable segments. Xometry’s reportable segments are managed separately based on geography. The Company’s U.S. revenues primarily result from the sale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w:t>
      </w:r>
    </w:p>
    <w:p>
      <w:pPr>
        <w:spacing w:after="0" w:line="72"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In 2024, the Company determined that revenue and segment profit before income taxes were its measures of segment performance. In December 2024, the Company changed its segment profit or loss measure to segment Adjusted EBITDA based on a reassessment of the information currently used by the CODM to allocate resources and assess performance of the segments. The Company has recast segment Adjusted EBITDA for the prior periods.</w:t>
      </w:r>
    </w:p>
    <w:p>
      <w:pPr>
        <w:spacing w:after="0" w:line="7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Segment Adjusted EBITDA excludes interest expense, interest and dividend income,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charitable contributions of common stock, income from an unconsolidated joint venture, restructuring charges and acquisition and other adjustments not reflective of our ongoing business, such as adjustments related to purchase accounting, the revaluation of contingent consideration, transaction costs and executive severance.</w:t>
      </w:r>
    </w:p>
    <w:p>
      <w:pPr>
        <w:spacing w:after="0" w:line="7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CODM monitors assets of the consolidated Company, but does not use assets, by operating segment when assessing performance or making operating segment resource decisions.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three and nine months ended September 30, 2025 and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151,093</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117,584</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414,646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333,113</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180,715</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141,698</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494,234</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396,983</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Cost of Revenue</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90,933</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70,862</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251,841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200,829</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300,698</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240,379</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Segment Adjusted Operating Expense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45,516</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136,681</w:t>
            </w:r>
          </w:p>
        </w:tc>
        <w:tc>
          <w:tcPr>
            <w:tcW w:w="10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66,071</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56,640</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183,940</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167,878</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4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20,234</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(3,848)</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(10,088)</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(6,877)</w:t>
            </w:r>
          </w:p>
        </w:tc>
      </w:tr>
      <w:tr>
        <w:trPr>
          <w:trHeight w:val="20"/>
        </w:trPr>
        <w:tc>
          <w:tcPr>
            <w:tcW w:w="4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tcPr>
          <w:p>
            <w:pPr>
              <w:spacing w:after="0"/>
              <w:rPr>
                <w:sz w:val="18"/>
                <w:szCs w:val="18"/>
                <w:color w:val="auto"/>
              </w:rPr>
            </w:pP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(10,725)</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deduct: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interest and dividend income and other</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(16,939)</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20"/>
                <w:szCs w:val="20"/>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(3,213)</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(13,741)</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(9,622)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(6,954)</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(25,985)</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(21,115)</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2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(1,464)</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-4931410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-4931410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-4931410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-4931410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-4220210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-4220210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-4220210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-4220210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-3508375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-3508375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-3508375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-3508375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-2797175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-2797175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-2797175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-2797175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-2085340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-2085340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-2085340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-2085340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right="220" w:firstLine="8"/>
        <w:spacing w:after="0" w:line="232" w:lineRule="auto"/>
        <w:tabs>
          <w:tab w:leader="none" w:pos="2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excludes stock-based compensation and the related payroll taxes, depreciation and amortization, restructuring charges, acquisition and other costs, amortization of lease intangible, lease termination and charitable contributions of common stock.</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Addback to Segment Cost of Revenue to calculate Segment Adjusted EBITDA.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reflect long-lived asset information as of September 30, 2025 and December 31,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Property and equipment, net</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44,347</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37,370</w:t>
            </w:r>
          </w:p>
        </w:tc>
        <w:tc>
          <w:tcPr>
            <w:tcW w:w="12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54,545</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12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-890905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Stock-Based Compensation</w:t>
      </w:r>
    </w:p>
    <w:p>
      <w:pPr>
        <w:spacing w:after="0" w:line="121"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72"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72" w:lineRule="exact"/>
        <w:rPr>
          <w:sz w:val="20"/>
          <w:szCs w:val="20"/>
          <w:color w:val="auto"/>
        </w:rPr>
      </w:pPr>
    </w:p>
    <w:p>
      <w:pPr>
        <w:ind w:right="320" w:firstLine="644"/>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75" w:lineRule="exact"/>
        <w:rPr>
          <w:sz w:val="20"/>
          <w:szCs w:val="20"/>
          <w:color w:val="auto"/>
        </w:rPr>
      </w:pPr>
    </w:p>
    <w:p>
      <w:pPr>
        <w:ind w:right="1260" w:firstLine="644"/>
        <w:spacing w:after="0" w:line="375" w:lineRule="auto"/>
        <w:rPr>
          <w:sz w:val="20"/>
          <w:szCs w:val="20"/>
          <w:color w:val="auto"/>
        </w:rPr>
      </w:pPr>
      <w:r>
        <w:rPr>
          <w:rFonts w:ascii="Times New Roman" w:cs="Times New Roman" w:eastAsia="Times New Roman" w:hAnsi="Times New Roman"/>
          <w:sz w:val="18"/>
          <w:szCs w:val="18"/>
          <w:color w:val="auto"/>
        </w:rPr>
        <w:t xml:space="preserve">As of September 30, 2025, there were 7,368,577 shares available for the Company to grant under the 2021 Equity Incentive Plan. </w:t>
      </w:r>
      <w:r>
        <w:rPr>
          <w:rFonts w:ascii="Times New Roman" w:cs="Times New Roman" w:eastAsia="Times New Roman" w:hAnsi="Times New Roman"/>
          <w:sz w:val="18"/>
          <w:szCs w:val="18"/>
          <w:b w:val="1"/>
          <w:bCs w:val="1"/>
          <w:color w:val="auto"/>
        </w:rPr>
        <w:t>Stock Options</w:t>
      </w:r>
    </w:p>
    <w:p>
      <w:pPr>
        <w:spacing w:after="0" w:line="1" w:lineRule="exact"/>
        <w:rPr>
          <w:sz w:val="20"/>
          <w:szCs w:val="20"/>
          <w:color w:val="auto"/>
        </w:rPr>
      </w:pPr>
    </w:p>
    <w:p>
      <w:pPr>
        <w:ind w:right="20" w:firstLine="644"/>
        <w:spacing w:after="0" w:line="257"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nine months ended September 30, 2025, are as follows (in millions, except share and per share amounts):</w:t>
      </w:r>
    </w:p>
    <w:tbl>
      <w:tblPr>
        <w:tblLayout w:type="fixed"/>
        <w:tblInd w:w="0" w:type="dxa"/>
        <w:tblCellMar>
          <w:top w:w="0" w:type="dxa"/>
          <w:left w:w="0" w:type="dxa"/>
          <w:bottom w:w="0" w:type="dxa"/>
          <w:right w:w="0" w:type="dxa"/>
        </w:tblCellMar>
      </w:tblPr>
      <w:tr>
        <w:trPr>
          <w:trHeight w:val="131"/>
        </w:trPr>
        <w:tc>
          <w:tcPr>
            <w:tcW w:w="5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1,640,638</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1,906,483</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(310,537)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(35,679)</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(24,490)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1,535,777</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1,418,270</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-173990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-156845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No options were granted during the nine months ended September 30, 2025. The total intrinsic value of options exercised during the nine months ended September 30, 2025 and 2024, was $8.9 million and $6.3 million, respectively.</w:t>
      </w:r>
    </w:p>
    <w:p>
      <w:pPr>
        <w:spacing w:after="0" w:line="54"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At September 30, 2025, there was approximately $1.2 million of total unrecognized compensation cost related to unvested stock options. That cost is expected to be recognized over a weighted average period of approximately one year as of September 30, 2025.</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nine months ended September 30, 2025 are as follows (in millions, except share and per share amounts):</w:t>
      </w:r>
    </w:p>
    <w:tbl>
      <w:tblPr>
        <w:tblLayout w:type="fixed"/>
        <w:tblInd w:w="0" w:type="dxa"/>
        <w:tblCellMar>
          <w:top w:w="0" w:type="dxa"/>
          <w:left w:w="0" w:type="dxa"/>
          <w:bottom w:w="0" w:type="dxa"/>
          <w:right w:w="0" w:type="dxa"/>
        </w:tblCellMar>
      </w:tblPr>
      <w:tr>
        <w:trPr>
          <w:trHeight w:val="131"/>
        </w:trPr>
        <w:tc>
          <w:tcPr>
            <w:tcW w:w="6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4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as of December 31,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2,530,358</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19.15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1,967,124</w:t>
            </w:r>
          </w:p>
        </w:tc>
        <w:tc>
          <w:tcPr>
            <w:tcW w:w="180" w:type="dxa"/>
            <w:vAlign w:val="bottom"/>
          </w:tcPr>
          <w:p>
            <w:pPr>
              <w:spacing w:after="0"/>
              <w:rPr>
                <w:sz w:val="18"/>
                <w:szCs w:val="18"/>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(994,479)</w:t>
            </w: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20.44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(443,839)</w:t>
            </w: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as of September 30, 2025</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3,059,164</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24.43</w:t>
            </w: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At September 30, 2025, there was approximately $63.0 million of total unrecognized compensation cost related to unvested restricted stock units granted under the 2021 Equity Incentive Plan. That cost is expected to be recognized over a weighted average period of approximately three years as of September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Restricted Stock Units</w:t>
      </w:r>
    </w:p>
    <w:p>
      <w:pPr>
        <w:spacing w:after="0" w:line="121" w:lineRule="exact"/>
        <w:rPr>
          <w:sz w:val="20"/>
          <w:szCs w:val="20"/>
          <w:color w:val="auto"/>
        </w:rPr>
      </w:pPr>
    </w:p>
    <w:p>
      <w:pPr>
        <w:ind w:right="200" w:firstLine="749"/>
        <w:spacing w:after="0" w:line="257" w:lineRule="auto"/>
        <w:rPr>
          <w:sz w:val="20"/>
          <w:szCs w:val="20"/>
          <w:color w:val="auto"/>
        </w:rPr>
      </w:pPr>
      <w:r>
        <w:rPr>
          <w:rFonts w:ascii="Times New Roman" w:cs="Times New Roman" w:eastAsia="Times New Roman" w:hAnsi="Times New Roman"/>
          <w:sz w:val="18"/>
          <w:szCs w:val="18"/>
          <w:color w:val="auto"/>
        </w:rPr>
        <w:t>A summary of the status of the Company’s performance restricted stock unit activity and the changes during the nine months ended September 30, 2025 are as follows (in millions, except share and per share amounts):</w:t>
      </w:r>
    </w:p>
    <w:tbl>
      <w:tblPr>
        <w:tblLayout w:type="fixed"/>
        <w:tblInd w:w="0" w:type="dxa"/>
        <w:tblCellMar>
          <w:top w:w="0" w:type="dxa"/>
          <w:left w:w="0" w:type="dxa"/>
          <w:bottom w:w="0" w:type="dxa"/>
          <w:right w:w="0" w:type="dxa"/>
        </w:tblCellMar>
      </w:tblPr>
      <w:tr>
        <w:trPr>
          <w:trHeight w:val="131"/>
        </w:trPr>
        <w:tc>
          <w:tcPr>
            <w:tcW w:w="6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4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PRSUs as of December 31,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272,515</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17.32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336,094</w:t>
            </w:r>
          </w:p>
        </w:tc>
        <w:tc>
          <w:tcPr>
            <w:tcW w:w="180" w:type="dxa"/>
            <w:vAlign w:val="bottom"/>
          </w:tcPr>
          <w:p>
            <w:pPr>
              <w:spacing w:after="0"/>
              <w:rPr>
                <w:sz w:val="18"/>
                <w:szCs w:val="18"/>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(91,527)</w:t>
            </w: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17.32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(48,367)</w:t>
            </w: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PRSUs as of September 30, 2025</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468,715</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21.19</w:t>
            </w:r>
          </w:p>
        </w:tc>
        <w:tc>
          <w:tcPr>
            <w:tcW w:w="5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At September 30, 2025, there was approximately $9.6 million of total unrecognized compensation cost related to unvested performance restricted stock units granted under the 2021 Equity Incentive Plan. That cost is expected to be recognized over a weighted average period of approximately two years as of September 30, 2025.</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three and nine months ended September 30, 2025 and 2024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302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8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Pr>
          <w:p>
            <w:pPr>
              <w:spacing w:after="0"/>
              <w:rPr>
                <w:sz w:val="18"/>
                <w:szCs w:val="18"/>
                <w:color w:val="auto"/>
              </w:rPr>
            </w:pPr>
          </w:p>
        </w:tc>
      </w:tr>
      <w:tr>
        <w:trPr>
          <w:trHeight w:val="250"/>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Income Taxes</w:t>
      </w:r>
    </w:p>
    <w:p>
      <w:pPr>
        <w:spacing w:after="0" w:line="121"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A full valuation allowance has been established against our net U.S. federal and state deferred tax assets and foreign deferred tax assets, including net operating loss carryforwards.</w:t>
      </w:r>
    </w:p>
    <w:p>
      <w:pPr>
        <w:spacing w:after="0" w:line="54"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The Company had less than $0.1 million of benefit for income taxes for the three and nine months ended September 30, 2025, and less than $0.1 million of provision for income taxes for the three and nine months ended September 30, 2024. This estimated annual effective tax rate of less than 0.1% differs from the U.S. federal statutory rate primarily due to the effects of certain permanent items, foreign tax rate differences, and increases in the valuation allowance against deferred tax assets.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Net Loss Per Share Attributable to Common Stockholders</w:t>
      </w:r>
    </w:p>
    <w:p>
      <w:pPr>
        <w:spacing w:after="0" w:line="121" w:lineRule="exact"/>
        <w:rPr>
          <w:sz w:val="20"/>
          <w:szCs w:val="20"/>
          <w:color w:val="auto"/>
        </w:rPr>
      </w:pPr>
    </w:p>
    <w:p>
      <w:pPr>
        <w:ind w:right="240" w:firstLine="644"/>
        <w:spacing w:after="0" w:line="253"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tbl>
      <w:tblPr>
        <w:tblLayout w:type="fixed"/>
        <w:tblInd w:w="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6"/>
          </w:tcPr>
          <w:p>
            <w:pPr>
              <w:jc w:val="right"/>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2460" w:type="dxa"/>
            <w:vAlign w:val="bottom"/>
            <w:gridSpan w:val="5"/>
          </w:tcPr>
          <w:p>
            <w:pPr>
              <w:jc w:val="right"/>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(11,597)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(10,199)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(53,110)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(40,507)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(11,597)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(10,199)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(53,109)</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(40,512)</w:t>
            </w:r>
          </w:p>
        </w:tc>
        <w:tc>
          <w:tcPr>
            <w:tcW w:w="0" w:type="dxa"/>
            <w:vAlign w:val="bottom"/>
          </w:tcPr>
          <w:p>
            <w:pPr>
              <w:spacing w:after="0"/>
              <w:rPr>
                <w:sz w:val="1"/>
                <w:szCs w:val="1"/>
                <w:color w:val="auto"/>
              </w:rPr>
            </w:pPr>
          </w:p>
        </w:tc>
      </w:tr>
      <w:tr>
        <w:trPr>
          <w:trHeight w:val="394"/>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used to compute net loss per</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 of Class A 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50,920,588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49,282,164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50,653,997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48,901,475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Class B common stock</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 of</w:t>
            </w:r>
          </w:p>
        </w:tc>
        <w:tc>
          <w:tcPr>
            <w:tcW w:w="14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4"/>
        </w:trPr>
        <w:tc>
          <w:tcPr>
            <w:tcW w:w="57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w:t>
            </w:r>
          </w:p>
        </w:tc>
        <w:tc>
          <w:tcPr>
            <w:tcW w:w="14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-848360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-831215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-848360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-831215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-848360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-831215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520" w:firstLine="644"/>
        <w:spacing w:after="0" w:line="257"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tbl>
      <w:tblPr>
        <w:tblLayout w:type="fixed"/>
        <w:tblInd w:w="0" w:type="dxa"/>
        <w:tblCellMar>
          <w:top w:w="0" w:type="dxa"/>
          <w:left w:w="0" w:type="dxa"/>
          <w:bottom w:w="0" w:type="dxa"/>
          <w:right w:w="0" w:type="dxa"/>
        </w:tblCellMar>
      </w:tblPr>
      <w:tr>
        <w:trPr>
          <w:trHeight w:val="156"/>
        </w:trPr>
        <w:tc>
          <w:tcPr>
            <w:tcW w:w="7180" w:type="dxa"/>
            <w:vAlign w:val="bottom"/>
          </w:tcPr>
          <w:p>
            <w:pPr>
              <w:spacing w:after="0"/>
              <w:rPr>
                <w:sz w:val="13"/>
                <w:szCs w:val="13"/>
                <w:color w:val="auto"/>
              </w:rPr>
            </w:pPr>
          </w:p>
        </w:tc>
        <w:tc>
          <w:tcPr>
            <w:tcW w:w="2660" w:type="dxa"/>
            <w:vAlign w:val="bottom"/>
            <w:tcBorders>
              <w:bottom w:val="single" w:sz="8" w:color="auto"/>
            </w:tcBorders>
            <w:gridSpan w:val="3"/>
          </w:tcPr>
          <w:p>
            <w:pPr>
              <w:ind w:left="15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180" w:type="dxa"/>
            <w:vAlign w:val="bottom"/>
          </w:tcPr>
          <w:p>
            <w:pPr>
              <w:spacing w:after="0"/>
              <w:rPr>
                <w:sz w:val="12"/>
                <w:szCs w:val="12"/>
                <w:color w:val="auto"/>
              </w:rPr>
            </w:pPr>
          </w:p>
        </w:tc>
        <w:tc>
          <w:tcPr>
            <w:tcW w:w="188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1,535,777</w:t>
            </w:r>
          </w:p>
        </w:tc>
        <w:tc>
          <w:tcPr>
            <w:tcW w:w="5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2,104,032</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3,059,164</w:t>
            </w:r>
          </w:p>
        </w:tc>
        <w:tc>
          <w:tcPr>
            <w:tcW w:w="5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2,494,772</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 restricted stock units</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468,715</w:t>
            </w:r>
          </w:p>
        </w:tc>
        <w:tc>
          <w:tcPr>
            <w:tcW w:w="5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272,515</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2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100,663</w:t>
            </w:r>
          </w:p>
        </w:tc>
        <w:tc>
          <w:tcPr>
            <w:tcW w:w="5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181,195</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Notes</w:t>
            </w:r>
          </w:p>
        </w:tc>
        <w:tc>
          <w:tcPr>
            <w:tcW w:w="2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1,529,157</w:t>
            </w:r>
          </w:p>
        </w:tc>
        <w:tc>
          <w:tcPr>
            <w:tcW w:w="5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5,123,624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5,312,375</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12,005,851</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10,176,138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Debt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119"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In June 2025, we issued $250.0 million aggregate principal amount of 0.75% convertible senior notes due in 2030 (the “2030 Notes”), including the exercise in full of the initial purchasers’ option to purchase up to an additional $25.0 million principal amount of the 2030 Notes, pursuant to an indenture dated June 12, 2025.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w:t>
      </w:r>
    </w:p>
    <w:p>
      <w:pPr>
        <w:spacing w:after="0" w:line="75"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w:t>
      </w:r>
    </w:p>
    <w:p>
      <w:pPr>
        <w:spacing w:after="0" w:line="6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spacing w:after="0" w:line="8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580" w:firstLine="644"/>
        <w:spacing w:after="0" w:line="282" w:lineRule="auto"/>
        <w:rPr>
          <w:sz w:val="20"/>
          <w:szCs w:val="20"/>
          <w:color w:val="auto"/>
        </w:rPr>
      </w:pPr>
      <w:r>
        <w:rPr>
          <w:rFonts w:ascii="Times New Roman" w:cs="Times New Roman" w:eastAsia="Times New Roman" w:hAnsi="Times New Roman"/>
          <w:sz w:val="18"/>
          <w:szCs w:val="18"/>
          <w:color w:val="auto"/>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2025 (and only during such calendar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900" w:firstLine="644"/>
        <w:spacing w:after="0" w:line="282" w:lineRule="auto"/>
        <w:rPr>
          <w:sz w:val="20"/>
          <w:szCs w:val="20"/>
          <w:color w:val="auto"/>
        </w:rPr>
      </w:pPr>
      <w:r>
        <w:rPr>
          <w:rFonts w:ascii="Times New Roman" w:cs="Times New Roman" w:eastAsia="Times New Roman" w:hAnsi="Times New Roman"/>
          <w:sz w:val="18"/>
          <w:szCs w:val="18"/>
          <w:color w:val="auto"/>
        </w:rPr>
        <w:t>On or after March 15, 2030, the 2030 Notes are convertible at any time until the close of business on the second scheduled trading day immediately preceding the maturity date.</w:t>
      </w:r>
    </w:p>
    <w:p>
      <w:pPr>
        <w:spacing w:after="0" w:line="54"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spacing w:after="0" w:line="68"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2030 Notes as a single liability measured at its amortized cost, as no embedded features require bifurcation and recognition as derivatives.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1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1.00% convertible senior notes due in 2027 (the “2027 Notes” and collectively with the 2030 Notes, the “Convertible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72"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54"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8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spacing w:after="0" w:line="75"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2022 (and only during such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700" w:firstLine="644"/>
        <w:spacing w:after="0" w:line="282"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54" w:lineRule="exact"/>
        <w:rPr>
          <w:sz w:val="20"/>
          <w:szCs w:val="20"/>
          <w:color w:val="auto"/>
        </w:rPr>
      </w:pPr>
    </w:p>
    <w:p>
      <w:pPr>
        <w:jc w:val="both"/>
        <w:ind w:right="100" w:firstLine="64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68"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embedded features require bifurcation and recognition as derivatives.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Repurchase of 2027 Notes</w:t>
      </w:r>
    </w:p>
    <w:p>
      <w:pPr>
        <w:spacing w:after="0" w:line="11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spacing w:after="0" w:line="75" w:lineRule="exact"/>
        <w:rPr>
          <w:sz w:val="20"/>
          <w:szCs w:val="20"/>
          <w:color w:val="auto"/>
        </w:rPr>
      </w:pPr>
    </w:p>
    <w:p>
      <w:pPr>
        <w:ind w:right="540" w:firstLine="644"/>
        <w:spacing w:after="0" w:line="266" w:lineRule="auto"/>
        <w:rPr>
          <w:sz w:val="20"/>
          <w:szCs w:val="20"/>
          <w:color w:val="auto"/>
        </w:rPr>
      </w:pPr>
      <w:r>
        <w:rPr>
          <w:rFonts w:ascii="Times New Roman" w:cs="Times New Roman" w:eastAsia="Times New Roman" w:hAnsi="Times New Roman"/>
          <w:sz w:val="18"/>
          <w:szCs w:val="18"/>
          <w:color w:val="auto"/>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accrete to interest expense.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Convertible Notes as of the dates indicated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gridSpan w:val="6"/>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Notes</w:t>
            </w:r>
          </w:p>
        </w:tc>
        <w:tc>
          <w:tcPr>
            <w:tcW w:w="1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85,805</w:t>
            </w:r>
          </w:p>
        </w:tc>
        <w:tc>
          <w:tcPr>
            <w:tcW w:w="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335,805</w:t>
            </w:r>
          </w:p>
        </w:tc>
        <w:tc>
          <w:tcPr>
            <w:tcW w:w="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(7,735)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 Debt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 Notes</w:t>
            </w:r>
          </w:p>
        </w:tc>
        <w:tc>
          <w:tcPr>
            <w:tcW w:w="1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-633730</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-616585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-633730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-616585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-633730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-616585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right="20" w:firstLine="644"/>
        <w:spacing w:after="0" w:line="257" w:lineRule="auto"/>
        <w:rPr>
          <w:sz w:val="20"/>
          <w:szCs w:val="20"/>
          <w:color w:val="auto"/>
        </w:rPr>
      </w:pPr>
      <w:r>
        <w:rPr>
          <w:rFonts w:ascii="Times New Roman" w:cs="Times New Roman" w:eastAsia="Times New Roman" w:hAnsi="Times New Roman"/>
          <w:sz w:val="18"/>
          <w:szCs w:val="18"/>
          <w:color w:val="auto"/>
        </w:rPr>
        <w:t>The annual effective interest rate for the 2027 Notes and the 2030 Notes were approximately 1.6% and 1.4%, respectively. Interest expense related to the Convertible Notes for the periods presented below was as follows (in thousands):</w:t>
      </w:r>
    </w:p>
    <w:tbl>
      <w:tblPr>
        <w:tblLayout w:type="fixed"/>
        <w:tblInd w:w="0" w:type="dxa"/>
        <w:tblCellMar>
          <w:top w:w="0" w:type="dxa"/>
          <w:left w:w="0" w:type="dxa"/>
          <w:bottom w:w="0" w:type="dxa"/>
          <w:right w:w="0" w:type="dxa"/>
        </w:tblCellMar>
      </w:tblPr>
      <w:tr>
        <w:trPr>
          <w:trHeight w:val="131"/>
        </w:trPr>
        <w:tc>
          <w:tcPr>
            <w:tcW w:w="5080" w:type="dxa"/>
            <w:vAlign w:val="bottom"/>
          </w:tcPr>
          <w:p>
            <w:pPr>
              <w:spacing w:after="0"/>
              <w:rPr>
                <w:sz w:val="11"/>
                <w:szCs w:val="11"/>
                <w:color w:val="auto"/>
              </w:rPr>
            </w:pPr>
          </w:p>
        </w:tc>
        <w:tc>
          <w:tcPr>
            <w:tcW w:w="2420" w:type="dxa"/>
            <w:vAlign w:val="bottom"/>
            <w:gridSpan w:val="4"/>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gridSpan w:val="3"/>
          </w:tcPr>
          <w:p>
            <w:pPr>
              <w:jc w:val="right"/>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50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2"/>
                <w:szCs w:val="12"/>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Coupon interest</w:t>
            </w: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7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10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0"/>
        </w:trPr>
        <w:tc>
          <w:tcPr>
            <w:tcW w:w="5080" w:type="dxa"/>
            <w:vAlign w:val="bottom"/>
          </w:tcPr>
          <w:p>
            <w:pPr>
              <w:spacing w:after="0"/>
              <w:rPr>
                <w:sz w:val="24"/>
                <w:szCs w:val="2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-1130935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-1130935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-1130935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Notes based on quoted market prices in less active markets and is classified as Level 2 in the fair value hierarchy. The following table presents the carrying value and estimated fair value of the Convertible Notes as of the date indicated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83"/>
        </w:trPr>
        <w:tc>
          <w:tcPr>
            <w:tcW w:w="4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46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85,067</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4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311,621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Convertible Notes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326,943</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454,794</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283,628</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311,621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right="40" w:firstLine="44"/>
        <w:spacing w:after="0" w:line="261" w:lineRule="auto"/>
        <w:tabs>
          <w:tab w:leader="none" w:pos="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and December 31, 2024, the fair value of the Convertible Notes, as applicable, were measured using Level 2 inputs based on the frequency of trading on our debt at the end of the period.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spacing w:after="0" w:line="75"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Calls are not accounted for as derivatives and will not be remeasured; they will remain in stockholder’s equity until expiration or settlement.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Treasury Stock</w:t>
      </w:r>
    </w:p>
    <w:p>
      <w:pPr>
        <w:spacing w:after="0" w:line="11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right="380" w:firstLine="644"/>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During 2025, the Company initiated a restructuring action to help improve efficiency and align resources by reducing our workforce. During the nine months ended September 30, 2025, the Company incurred $1.5 million for employee termination costs related to the restructuring.</w:t>
      </w:r>
    </w:p>
    <w:p>
      <w:pPr>
        <w:spacing w:after="0" w:line="54" w:lineRule="exact"/>
        <w:rPr>
          <w:sz w:val="20"/>
          <w:szCs w:val="20"/>
          <w:color w:val="auto"/>
        </w:rPr>
      </w:pPr>
    </w:p>
    <w:p>
      <w:pPr>
        <w:ind w:right="240" w:firstLine="749"/>
        <w:spacing w:after="0" w:line="257" w:lineRule="auto"/>
        <w:rPr>
          <w:sz w:val="20"/>
          <w:szCs w:val="20"/>
          <w:color w:val="auto"/>
        </w:rPr>
      </w:pPr>
      <w:r>
        <w:rPr>
          <w:rFonts w:ascii="Times New Roman" w:cs="Times New Roman" w:eastAsia="Times New Roman" w:hAnsi="Times New Roman"/>
          <w:sz w:val="18"/>
          <w:szCs w:val="18"/>
          <w:color w:val="auto"/>
        </w:rPr>
        <w:t>The following table shows the total amount incurred and the liability, which was recorded in accrued expenses in the Condensed Consolidated Balance Sheets, for restructuring-related employee termination benefits as of December 31, 2024 and September 30, 2025 (in thousands):</w:t>
      </w:r>
    </w:p>
    <w:tbl>
      <w:tblPr>
        <w:tblLayout w:type="fixed"/>
        <w:tblInd w:w="0" w:type="dxa"/>
        <w:tblCellMar>
          <w:top w:w="0" w:type="dxa"/>
          <w:left w:w="0" w:type="dxa"/>
          <w:bottom w:w="0" w:type="dxa"/>
          <w:right w:w="0" w:type="dxa"/>
        </w:tblCellMar>
      </w:tblPr>
      <w:tr>
        <w:trPr>
          <w:trHeight w:val="156"/>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Accrued restructuring costs as of December 31, 2024</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Employee Termination Benefits</w:t>
            </w: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costs incurred during the nine months ended September 30, 2025</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Amount paid during the period ended September 30, 2025</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5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costs as of September 30, 2025</w:t>
            </w:r>
          </w:p>
        </w:tc>
        <w:tc>
          <w:tcPr>
            <w:tcW w:w="16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80" w:firstLine="749"/>
        <w:spacing w:after="0" w:line="257" w:lineRule="auto"/>
        <w:rPr>
          <w:sz w:val="20"/>
          <w:szCs w:val="20"/>
          <w:color w:val="auto"/>
        </w:rPr>
      </w:pPr>
      <w:r>
        <w:rPr>
          <w:rFonts w:ascii="Times New Roman" w:cs="Times New Roman" w:eastAsia="Times New Roman" w:hAnsi="Times New Roman"/>
          <w:sz w:val="18"/>
          <w:szCs w:val="18"/>
          <w:color w:val="auto"/>
        </w:rPr>
        <w:t>The following table shows the total restructuring costs incurred during the three and nine months ended September 30, 2025 and 2024 (in thousands):</w:t>
      </w: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35"/>
        </w:trPr>
        <w:tc>
          <w:tcPr>
            <w:tcW w:w="4620" w:type="dxa"/>
            <w:vAlign w:val="bottom"/>
          </w:tcPr>
          <w:p>
            <w:pPr>
              <w:spacing w:after="0"/>
              <w:rPr>
                <w:sz w:val="11"/>
                <w:szCs w:val="11"/>
                <w:color w:val="auto"/>
              </w:rPr>
            </w:pPr>
          </w:p>
        </w:tc>
        <w:tc>
          <w:tcPr>
            <w:tcW w:w="8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jc w:val="right"/>
              <w:ind w:right="188"/>
              <w:spacing w:after="0" w:line="136"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ind w:right="495"/>
              <w:spacing w:after="0" w:line="136"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ind w:left="240"/>
              <w:spacing w:after="0" w:line="136"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8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2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520"/>
        </w:trPr>
        <w:tc>
          <w:tcPr>
            <w:tcW w:w="46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-1683385</wp:posOffset>
            </wp:positionV>
            <wp:extent cx="93980" cy="1365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-1683385</wp:posOffset>
            </wp:positionV>
            <wp:extent cx="93980" cy="1365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-864870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-847725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-864870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-847725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-864870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-847725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ind w:right="360" w:firstLine="644"/>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$0.6 million and $0.6 million for the three months ended September 30, 2025 and 2024, respectively, and was $1.9 million and $1.8 million for the nine months ended September 30, 2025 and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(dollars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jc w:val="center"/>
              <w:ind w:left="16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4"/>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9,301</w:t>
            </w:r>
          </w:p>
        </w:tc>
        <w:tc>
          <w:tcPr>
            <w:tcW w:w="4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Vendor Relationships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Database</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1,830</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12,584</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43,415</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13,959</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ind w:left="10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FF0FC"/>
          </w:tcPr>
          <w:p>
            <w:pPr>
              <w:spacing w:after="0"/>
              <w:rPr>
                <w:sz w:val="18"/>
                <w:szCs w:val="18"/>
                <w:color w:val="auto"/>
              </w:rPr>
            </w:pPr>
          </w:p>
        </w:tc>
        <w:tc>
          <w:tcPr>
            <w:tcW w:w="46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4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7,471</w:t>
            </w:r>
          </w:p>
        </w:tc>
        <w:tc>
          <w:tcPr>
            <w:tcW w:w="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Vendor 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1,470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intangible assets</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4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2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6"/>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18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 roll forward of the carrying amount of goodwill (in thousands):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impairments</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(3,074)</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10"/>
        </w:trPr>
        <w:tc>
          <w:tcPr>
            <w:tcW w:w="64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2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262,686</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262,915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foreign exchange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50"/>
        </w:trPr>
        <w:tc>
          <w:tcPr>
            <w:tcW w:w="64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goodwill as of September 30, 2025 and December 31, 2024: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4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263,770</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262,686</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-3805555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-3805555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-1602105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-1602105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-590550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Xometry had $263.8 million and $262.7 million, respectively of goodwill. As of September 30, 2025, $258.0 million was part of Xometry’s U.S. operating segment and $5.8 million was part of Xometry’s International operating segment. As of December 31, 2024, $258.0 million was part of Xometry’s U.S. operating segment and $4.7 million was part of Xometry’s International operating segment.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As of September 30, 2025, estimated amortization expense for intangible assets for the remainder of 2025 and the next five years is: $0.9 million in 2025, $3.2 million in 2026, $2.6 million in 2027, $2.6 million in 2028, $2.6 million in 2029, $2.6 million in 2030 and $15.0 million thereafter.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2025 and 2024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0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r>
      <w:tr>
        <w:trPr>
          <w:trHeight w:val="236"/>
        </w:trPr>
        <w:tc>
          <w:tcPr>
            <w:tcW w:w="41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19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9"/>
                <w:szCs w:val="19"/>
                <w:color w:val="auto"/>
              </w:rPr>
            </w:pPr>
          </w:p>
        </w:tc>
        <w:tc>
          <w:tcPr>
            <w:tcW w:w="720" w:type="dxa"/>
            <w:vAlign w:val="bottom"/>
            <w:tcBorders>
              <w:top w:val="single" w:sz="8" w:color="auto"/>
            </w:tcBorders>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-165100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-165100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-165100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-10795</wp:posOffset>
            </wp:positionV>
            <wp:extent cx="31889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 Amortization of the lease-related intangible assets is recorded as operating lease expense in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-95885</wp:posOffset>
            </wp:positionV>
            <wp:extent cx="31889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firstLine="68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2024. Our historical results are not necessarily indicative of the results that may be expected in the future and our current quarterly results are not necessarily indicative of the results expected for the full year or any other period.</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and our corporate headquarters is located in North Bethesda, Maryland. Xometry operates a global artificial intelligence (“AI”) powered online manufacturing marketplace, a leading North American industrial sourcing platform Thomasnet® and a suite of cloud-based services including Workcenter and Teamspace that are rapidly digitizing the manufacturing industry. Together, these platforms provide manufacturers the critical resources they need to grow their business and make it easy for buyers to create resilient supply chains. Xometry’s marketplaces use proprietary AI to help buyers efficiently source custom-manufactured parts and assemblies and attain instant pricing and lead times. The AI enables our rapidly growing network of manufacturers to select the optimal jobs to fill their capacity. Our suite of cloud-based services and our Thomasnet industrial sourcing platform helps manufacturers and industrial service providers grow their businesses using our advertising, marketing and financial services.</w:t>
      </w:r>
    </w:p>
    <w:p>
      <w:pPr>
        <w:spacing w:after="0" w:line="192"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Xometry’s AI-enabled marketplace, which is available in multiple local platforms and 18 languages, is powered by proprietary machine learning algorithms and datasets. Our two-sided marketplace is rapidly digitizing the manufacturing industry, helping customers strengthen their supply chains. Buyers can procure the products they want utilizing our AI powered instant quoting engine, and suppliers can reach new customers throughout the world. Our rapidly growing active supplier base enables companies to accelerate their product development and go-to-market strategies, as well as reduce the cost and lead times for ongoing production work. More than 4,375 global suppliers are active on the Xometry marketplace across four continents. Each interaction on our marketplace provides rich data insights that allow us to continuously improve our AI models and create new products and services, fueling powerful network effects as we scale.</w:t>
      </w:r>
    </w:p>
    <w:p>
      <w:pPr>
        <w:spacing w:after="0" w:line="18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 as well as larger production orders of single parts. Xometry’s Teamspace offers enterprise-wide collaboration software that unites engineers, managers and purchasing executives to expedite procurement of custom-manufacturing services. We continue to improve features on Xometry and expand the offering with the launch of Teamspace in Europe in the second quarter of 2025. In the third quarter of 2025, </w:t>
      </w:r>
      <w:r>
        <w:rPr>
          <w:rFonts w:ascii="Times New Roman" w:cs="Times New Roman" w:eastAsia="Times New Roman" w:hAnsi="Times New Roman"/>
          <w:sz w:val="18"/>
          <w:szCs w:val="18"/>
          <w:color w:val="1D1C1D"/>
        </w:rPr>
        <w:t>Thomasnet launched a new dynamic ad serving technology platform and began selling on the new platform for new customers. During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fourth quarter of 2025, we launched the new Workcenter mobile application, expanding the functionality of the platform.</w:t>
      </w:r>
    </w:p>
    <w:p>
      <w:pPr>
        <w:spacing w:after="0" w:line="192" w:lineRule="exact"/>
        <w:rPr>
          <w:sz w:val="20"/>
          <w:szCs w:val="20"/>
          <w:color w:val="auto"/>
        </w:rPr>
      </w:pPr>
    </w:p>
    <w:p>
      <w:pPr>
        <w:ind w:right="280" w:firstLine="644"/>
        <w:spacing w:after="0" w:line="282" w:lineRule="auto"/>
        <w:rPr>
          <w:sz w:val="20"/>
          <w:szCs w:val="20"/>
          <w:color w:val="auto"/>
        </w:rPr>
      </w:pPr>
      <w:r>
        <w:rPr>
          <w:rFonts w:ascii="Times New Roman" w:cs="Times New Roman" w:eastAsia="Times New Roman" w:hAnsi="Times New Roman"/>
          <w:sz w:val="18"/>
          <w:szCs w:val="18"/>
          <w:color w:val="auto"/>
        </w:rPr>
        <w:t>Our mission is to accelerate innovation by providing real-time, equitable access to global manufacturing capacity and demand. Our vision is to drive efficiency, sustainability and innovation for industries worldwide by lowering the barriers to entry to the manufacturing ecosystem.</w:t>
      </w:r>
    </w:p>
    <w:p>
      <w:pPr>
        <w:spacing w:after="0" w:line="162"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53"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spacing w:after="0" w:line="147" w:lineRule="exact"/>
        <w:rPr>
          <w:sz w:val="20"/>
          <w:szCs w:val="20"/>
          <w:color w:val="auto"/>
        </w:rPr>
      </w:pPr>
    </w:p>
    <w:p>
      <w:pPr>
        <w:ind w:right="340" w:firstLine="644"/>
        <w:spacing w:after="0" w:line="266" w:lineRule="auto"/>
        <w:rPr>
          <w:sz w:val="20"/>
          <w:szCs w:val="20"/>
          <w:color w:val="auto"/>
        </w:rPr>
      </w:pPr>
      <w:r>
        <w:rPr>
          <w:rFonts w:ascii="Times New Roman" w:cs="Times New Roman" w:eastAsia="Times New Roman" w:hAnsi="Times New Roman"/>
          <w:sz w:val="18"/>
          <w:szCs w:val="18"/>
          <w:color w:val="auto"/>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w:t>
      </w:r>
    </w:p>
    <w:p>
      <w:pPr>
        <w:spacing w:after="0" w:line="18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utilization by providing access to an extensive, diverse base of buyers. We also offer suppliers supporting services to meet their unique needs. The Thomasnet product sourcing and supplier discovery digital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w:t>
      </w:r>
    </w:p>
    <w:p>
      <w:pPr>
        <w:spacing w:after="0" w:line="192"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fluctuations in inflation and interest rates, volatile market conditions, impacts from tariffs, the ongoing U.S. government shutdown,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75"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2024.</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Convertible Notes Transactions</w:t>
      </w:r>
    </w:p>
    <w:p>
      <w:pPr>
        <w:spacing w:after="0" w:line="121" w:lineRule="exact"/>
        <w:rPr>
          <w:sz w:val="20"/>
          <w:szCs w:val="20"/>
          <w:color w:val="auto"/>
        </w:rPr>
      </w:pPr>
    </w:p>
    <w:p>
      <w:pPr>
        <w:ind w:right="40" w:firstLine="689"/>
        <w:spacing w:after="0" w:line="258" w:lineRule="auto"/>
        <w:rPr>
          <w:sz w:val="20"/>
          <w:szCs w:val="20"/>
          <w:color w:val="auto"/>
        </w:rPr>
      </w:pPr>
      <w:r>
        <w:rPr>
          <w:rFonts w:ascii="Times New Roman" w:cs="Times New Roman" w:eastAsia="Times New Roman" w:hAnsi="Times New Roman"/>
          <w:sz w:val="18"/>
          <w:szCs w:val="18"/>
          <w:color w:val="auto"/>
        </w:rPr>
        <w:t xml:space="preserve">In June 2025, we issued $250.0 million aggregate principal amount of 0.75% Convertible Senior Notes due 2030. The net proceeds from the issuance of the 2030 Notes were approximately $241.4 million, net of debt issuance costs. We used a portion of the net proceeds to (i) repurchase a portion of our outstanding 1.00% convertible senior notes due 2027, (ii) enter into capped call transactions and (iii) repurchase shares of our Class A common stock. Refer to Note 9,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for our consolidated financial statements included elsewhere in this Quarterly Report on Form 10-Q.</w:t>
      </w:r>
    </w:p>
    <w:p>
      <w:pPr>
        <w:spacing w:after="0" w:line="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ind w:right="160" w:firstLine="689"/>
        <w:spacing w:after="0" w:line="261" w:lineRule="auto"/>
        <w:rPr>
          <w:sz w:val="20"/>
          <w:szCs w:val="20"/>
          <w:color w:val="auto"/>
        </w:rPr>
      </w:pPr>
      <w:r>
        <w:rPr>
          <w:rFonts w:ascii="Times New Roman" w:cs="Times New Roman" w:eastAsia="Times New Roman" w:hAnsi="Times New Roman"/>
          <w:sz w:val="18"/>
          <w:szCs w:val="18"/>
          <w:color w:val="auto"/>
        </w:rPr>
        <w:t xml:space="preserve">During 2025, we initiated restructuring actions to help improve efficiency and align resources by reducing our workforce by approximately 5%. The workforce reduction focused on realigning our staffing levels to help us meet the current and future objectives of our business. For the nine months ended September 30, 2025, we incurred $1.5 million for employee termination costs related to our restructuring. Refer to Note 9, </w:t>
      </w:r>
      <w:r>
        <w:rPr>
          <w:rFonts w:ascii="Times New Roman" w:cs="Times New Roman" w:eastAsia="Times New Roman" w:hAnsi="Times New Roman"/>
          <w:sz w:val="18"/>
          <w:szCs w:val="18"/>
          <w:i w:val="1"/>
          <w:iCs w:val="1"/>
          <w:color w:val="auto"/>
        </w:rPr>
        <w:t>Debt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Contingencies—Restructuring </w:t>
      </w:r>
      <w:r>
        <w:rPr>
          <w:rFonts w:ascii="Times New Roman" w:cs="Times New Roman" w:eastAsia="Times New Roman" w:hAnsi="Times New Roman"/>
          <w:sz w:val="18"/>
          <w:szCs w:val="18"/>
          <w:color w:val="auto"/>
        </w:rPr>
        <w:t>for our consolidated financial statements included elsewhere in this Quarterly Report on Form 10-Q.</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U.S. Tax Legislation</w:t>
      </w:r>
    </w:p>
    <w:p>
      <w:pPr>
        <w:spacing w:after="0" w:line="121"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 the United States. The OBBBA includes significant provisions, such as the permanent extension of certain expiring provisions that were originally enacted in the 2017 Tax Cuts and Jobs Act and were set to expire on December 31, 2025,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OBBBA’s impact on its consolidated financial statements. Based on our preliminary assessment, we do not believe the legislation will have a material impact on our condensed financial statements.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Marketplace Operational and Business Metrics</w:t>
      </w:r>
    </w:p>
    <w:p>
      <w:pPr>
        <w:spacing w:after="0" w:line="121"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320" w:firstLine="636"/>
        <w:spacing w:after="0" w:line="282"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54"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78,282 as of September 30, 2025, up 21% from 64,851 as of September 30, 2024.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54610</wp:posOffset>
            </wp:positionV>
            <wp:extent cx="4397375" cy="49206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97375" cy="492061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21"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79"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2025, 98%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45720</wp:posOffset>
            </wp:positionV>
            <wp:extent cx="4431665" cy="4963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31665"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1,724 as of September 30, 2025, up 14% from 1,506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57150</wp:posOffset>
            </wp:positionV>
            <wp:extent cx="4269105" cy="55118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69105" cy="551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define Adjusted EBITDA as net loss, adjusted for interest expense, interest and dividend income, other expenses, and certain other non-cash or non-recurring items impacting net loss from time to time, principally comprised of depreciation and amortization, amortization of lease intangible, (benefit) provision for income taxes, stock-based compensation, payroll tax expense related to stock-based compensation, charitable contributions of common stock, income from unconsolidated joint venture, impairment of assets,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(11,597)</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(10,199)</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(53,110)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(40,507)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Interest expense, interest and dividend income and other expenses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(10,725)</w:t>
            </w: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loss on debt extinguishment.</w:t>
      </w:r>
    </w:p>
    <w:p>
      <w:pPr>
        <w:spacing w:after="0" w:line="100" w:lineRule="exact"/>
        <w:rPr>
          <w:sz w:val="20"/>
          <w:szCs w:val="20"/>
          <w:color w:val="auto"/>
        </w:rPr>
      </w:pPr>
    </w:p>
    <w:p>
      <w:pPr>
        <w:jc w:val="both"/>
        <w:ind w:right="60" w:firstLine="64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Adjusted EBITDA was $6.1 million, as compared to Adjusted EBITDA of $(0.6) million for the same quarter in 2024. For the three months ended September 30, 2025, Adjusted EBITDA Margin was 3.4% of revenue, as compared to (0.4)% of revenue for the same quarter in 2024.</w:t>
      </w:r>
    </w:p>
    <w:p>
      <w:pPr>
        <w:spacing w:after="0" w:line="68"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Adjusted EBITDA was $10.1 million, as compared to Adjusted EBITDA of $(10.7) million for the same period in 2024. For the nine months ended September 30, 2025, Adjusted EBITDA Margin was 2.1% of revenue, as compared to (2.7)% of revenue for the same period in 2024. The increase in Adjusted EBITDA was driven primarily by increased operating efficiencies as we continue to grow our revenue and margins faster than our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w:t>
      </w:r>
    </w:p>
    <w:p>
      <w:pPr>
        <w:spacing w:after="0" w:line="121" w:lineRule="exact"/>
        <w:rPr>
          <w:sz w:val="20"/>
          <w:szCs w:val="20"/>
          <w:color w:val="auto"/>
        </w:rPr>
      </w:pPr>
    </w:p>
    <w:p>
      <w:pPr>
        <w:ind w:right="120" w:firstLine="689"/>
        <w:spacing w:after="0" w:line="258" w:lineRule="auto"/>
        <w:rPr>
          <w:sz w:val="20"/>
          <w:szCs w:val="20"/>
          <w:color w:val="auto"/>
        </w:rPr>
      </w:pPr>
      <w:r>
        <w:rPr>
          <w:rFonts w:ascii="Times New Roman" w:cs="Times New Roman" w:eastAsia="Times New Roman" w:hAnsi="Times New Roman"/>
          <w:sz w:val="18"/>
          <w:szCs w:val="18"/>
          <w:color w:val="auto"/>
        </w:rPr>
        <w:t>We define Non-GAAP net income (loss), as net loss adjusted for depreciation and amortization, stock-based compensation, payroll tax expense related to stock-based compensation, amortization of lease intangible, amortization of deferred costs on convertible notes, gain on sale of property and equipment, charitable contributions of common stock, lease termination, impairment of assets, restructuring charges, loss on debt extinguishment and acquisition and other adjustments not reflective of our ongoing business, such as adjustments related to purchase accounting, the revaluation of contingent consideration, transaction costs and executive severance.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30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(11,597)</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(10,199)</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(53,110)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(40,507)</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(deduct):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0"/>
        </w:trPr>
        <w:tc>
          <w:tcPr>
            <w:tcW w:w="1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-24765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Non-GAAP net income was $6.2 million, as compared to Non-GAAP net income of $1.1 million for the same quarter in 2024. For the quarter ended September 30, 2025, Non-GAAP net income was 3.4% of revenue, as compared to 0.8% of revenue for the same quarter in 2024.</w:t>
      </w:r>
    </w:p>
    <w:p>
      <w:pPr>
        <w:spacing w:after="0" w:line="176"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Non-GAAP net income was $11.7 million, as compared to Non-GAAP net loss of $(5.2) million for the same period in 2024. For the nine months ended September 30, 2025, Non-GAAP net income (loss) was 2.4% of revenue, as compared to (1.3)% of revenue for the same period in 2024.</w:t>
      </w:r>
    </w:p>
    <w:p>
      <w:pPr>
        <w:spacing w:after="0" w:line="135"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636"/>
        <w:spacing w:after="0" w:line="261" w:lineRule="auto"/>
        <w:rPr>
          <w:sz w:val="20"/>
          <w:szCs w:val="20"/>
          <w:color w:val="auto"/>
        </w:rPr>
      </w:pPr>
      <w:r>
        <w:rPr>
          <w:rFonts w:ascii="Times New Roman" w:cs="Times New Roman" w:eastAsia="Times New Roman" w:hAnsi="Times New Roman"/>
          <w:sz w:val="18"/>
          <w:szCs w:val="18"/>
          <w:color w:val="auto"/>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2" w:lineRule="exact"/>
        <w:rPr>
          <w:sz w:val="20"/>
          <w:szCs w:val="20"/>
          <w:color w:val="auto"/>
        </w:rPr>
      </w:pPr>
    </w:p>
    <w:p>
      <w:pPr>
        <w:ind w:right="100" w:firstLine="636"/>
        <w:spacing w:after="0" w:line="282"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financial service products and SaaS-based solutions.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and we expect cost of revenue to decline as a percentage of revenue over time.</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200" w:firstLine="636"/>
        <w:spacing w:after="0" w:line="266"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the size of our supplier network and the efficiency of our pricing and will benefit from increasing the use of existing supplier services and the variety of supplier services offerings over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320" w:firstLine="636"/>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general and administrative functions and impairment of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240" w:firstLine="636"/>
        <w:spacing w:after="0" w:line="256"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for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 to period based on the timing of our investments in our sales and marketing functions as these investments may vary in scope and scale over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21" w:lineRule="exact"/>
        <w:rPr>
          <w:sz w:val="20"/>
          <w:szCs w:val="20"/>
          <w:color w:val="auto"/>
        </w:rPr>
      </w:pPr>
    </w:p>
    <w:p>
      <w:pPr>
        <w:ind w:right="60" w:firstLine="636"/>
        <w:spacing w:after="0" w:line="263"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 to increase in absolute dollars in the future, though in the near term operations and support expenses may fluctuate from period to period based on total revenue levels and the timing of our investments in our operations and support functions as these investments may vary in scope and scale over future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18"/>
          <w:szCs w:val="18"/>
          <w:color w:val="auto"/>
        </w:rPr>
        <w:t>Product development costs that are not eligible for capitalization are expensed as incurred. These costs primarily consist of compensation expenses, including stock-based compensation expenses to our employees performing these functions, restructuring charges and certain depreciation and amortization expense. We expect product development expense to increase in absolute dollars in the future, though in the near-term product development expenses may fluctuate from period to period based on total revenue levels and the timing of our investments in our product development functions as these investments may vary in scope and scale over future periods.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260" w:firstLine="63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including stock-based compensation expenses, for executive, finance, legal and other administrative personnel, professional service fees, restructuring charges and certain depreciation and amortization expense. We expect general and administrative expenses to fluctuate as a result of operating as a public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and dividends on our cash, cash equivalents and marketable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right="80" w:firstLine="636"/>
        <w:spacing w:after="0" w:line="282" w:lineRule="auto"/>
        <w:rPr>
          <w:sz w:val="20"/>
          <w:szCs w:val="20"/>
          <w:color w:val="auto"/>
        </w:rPr>
      </w:pPr>
      <w:r>
        <w:rPr>
          <w:rFonts w:ascii="Times New Roman" w:cs="Times New Roman" w:eastAsia="Times New Roman" w:hAnsi="Times New Roman"/>
          <w:sz w:val="18"/>
          <w:szCs w:val="18"/>
          <w:color w:val="auto"/>
        </w:rPr>
        <w:t>Other expenses consist primarily of loss on debt extinguishment, realized foreign exchange gains and/or losses, non-income based taxes and other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consists of our share of the joint venture’s income.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180,715</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141,698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6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83,088</w:t>
            </w:r>
          </w:p>
        </w:tc>
        <w:tc>
          <w:tcPr>
            <w:tcW w:w="30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(11,059)</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(11,481)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(1,278)</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(1,636)</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3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(555)</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(11,614)</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(11,597)</w:t>
            </w: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2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(11,597)</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4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-2699385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-1576705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-1293495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-1010920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15"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r>
      <w:tr>
        <w:trPr>
          <w:trHeight w:val="210"/>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7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r>
      <w:tr>
        <w:trPr>
          <w:trHeight w:val="210"/>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7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7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-2691130</wp:posOffset>
            </wp:positionV>
            <wp:extent cx="1460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-1859915</wp:posOffset>
            </wp:positionV>
            <wp:extent cx="14605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-1859915</wp:posOffset>
            </wp:positionV>
            <wp:extent cx="1454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-736600</wp:posOffset>
            </wp:positionV>
            <wp:extent cx="1460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-736600</wp:posOffset>
            </wp:positionV>
            <wp:extent cx="1454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-453390</wp:posOffset>
            </wp:positionV>
            <wp:extent cx="1460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1460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0"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and SaaS products.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three months ended September 30, 2025 and 2024 (in thousands):</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Pr>
          <w:p>
            <w:pPr>
              <w:spacing w:after="0"/>
              <w:rPr>
                <w:sz w:val="18"/>
                <w:szCs w:val="18"/>
                <w:color w:val="auto"/>
              </w:rPr>
            </w:pPr>
          </w:p>
        </w:tc>
        <w:tc>
          <w:tcPr>
            <w:tcW w:w="24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2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166,592</w:t>
            </w:r>
          </w:p>
        </w:tc>
        <w:tc>
          <w:tcPr>
            <w:tcW w:w="240" w:type="dxa"/>
            <w:vAlign w:val="bottom"/>
          </w:tcPr>
          <w:p>
            <w:pPr>
              <w:spacing w:after="0"/>
              <w:rPr>
                <w:sz w:val="18"/>
                <w:szCs w:val="18"/>
                <w:color w:val="auto"/>
              </w:rPr>
            </w:pPr>
          </w:p>
        </w:tc>
        <w:tc>
          <w:tcPr>
            <w:tcW w:w="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126,965</w:t>
            </w:r>
          </w:p>
        </w:tc>
        <w:tc>
          <w:tcPr>
            <w:tcW w:w="18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107,086</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59,506</w:t>
            </w:r>
          </w:p>
        </w:tc>
        <w:tc>
          <w:tcPr>
            <w:tcW w:w="240" w:type="dxa"/>
            <w:vAlign w:val="bottom"/>
          </w:tcPr>
          <w:p>
            <w:pPr>
              <w:spacing w:after="0"/>
              <w:rPr>
                <w:sz w:val="18"/>
                <w:szCs w:val="18"/>
                <w:color w:val="auto"/>
              </w:rPr>
            </w:pPr>
          </w:p>
        </w:tc>
        <w:tc>
          <w:tcPr>
            <w:tcW w:w="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42,618</w:t>
            </w:r>
          </w:p>
        </w:tc>
        <w:tc>
          <w:tcPr>
            <w:tcW w:w="18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4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33.6%</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2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60" w:type="dxa"/>
            <w:vAlign w:val="bottom"/>
            <w:shd w:val="clear" w:color="auto" w:fill="CFF0FC"/>
          </w:tcPr>
          <w:p>
            <w:pPr>
              <w:jc w:val="right"/>
              <w:ind w:right="2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2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8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80" w:type="dxa"/>
            <w:vAlign w:val="bottom"/>
          </w:tcPr>
          <w:p>
            <w:pPr>
              <w:spacing w:after="0"/>
              <w:rPr>
                <w:sz w:val="18"/>
                <w:szCs w:val="18"/>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shd w:val="clear" w:color="auto" w:fill="CFF0FC"/>
          </w:tcPr>
          <w:p>
            <w:pPr>
              <w:jc w:val="right"/>
              <w:ind w:right="2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80" w:type="dxa"/>
            <w:vAlign w:val="bottom"/>
            <w:shd w:val="clear" w:color="auto" w:fill="CFF0FC"/>
          </w:tcPr>
          <w:p>
            <w:pPr>
              <w:spacing w:after="0"/>
              <w:rPr>
                <w:sz w:val="19"/>
                <w:szCs w:val="19"/>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-1176655</wp:posOffset>
            </wp:positionV>
            <wp:extent cx="1111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-1176655</wp:posOffset>
            </wp:positionV>
            <wp:extent cx="1117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-173990</wp:posOffset>
            </wp:positionV>
            <wp:extent cx="1111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-156845</wp:posOffset>
            </wp:positionV>
            <wp:extent cx="1111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-173990</wp:posOffset>
            </wp:positionV>
            <wp:extent cx="1117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-156845</wp:posOffset>
            </wp:positionV>
            <wp:extent cx="1117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Total revenue increased $39.0 million, or 28%, from $141.7 million for the three months ended September 30, 2024 to $180.7 million for the three months ended September 30, 2025. This growth was a result of an increase in marketplace revenue, partially offset by a decrease in supplier services revenue. Marketplace revenue increased $39.6 million, or 31%, from $127.0 million for the three months ended September 30, 2024 to $166.6 million for the three months ended September 30, 2025. The increase in marketplace revenue was primarily due to increased buyer activity on the platform, particularly with respect to enterprise customers, for the three months ended September 30, 2025 as compared to the prior year period.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97" w:lineRule="exact"/>
        <w:rPr>
          <w:sz w:val="20"/>
          <w:szCs w:val="20"/>
          <w:color w:val="auto"/>
        </w:rPr>
      </w:pPr>
    </w:p>
    <w:p>
      <w:pPr>
        <w:jc w:val="both"/>
        <w:ind w:right="180" w:firstLine="644"/>
        <w:spacing w:after="0" w:line="266" w:lineRule="auto"/>
        <w:rPr>
          <w:sz w:val="20"/>
          <w:szCs w:val="20"/>
          <w:color w:val="auto"/>
        </w:rPr>
      </w:pPr>
      <w:r>
        <w:rPr>
          <w:rFonts w:ascii="Times New Roman" w:cs="Times New Roman" w:eastAsia="Times New Roman" w:hAnsi="Times New Roman"/>
          <w:sz w:val="18"/>
          <w:szCs w:val="18"/>
          <w:color w:val="auto"/>
        </w:rPr>
        <w:t>Supplier services revenue decreased $0.6 million, or 4% from $14.7 million for the three months ended September 30, 2024 to $14.1 million for the three months ended September 30, 2025. The decrease in revenue was due to reductions in Thomas advertising and marketing services and to a lesser extent a decrease in Thomas non-core services partly offset by growth in financial services.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for the three months ended September 30, 2025 and 2024 was $151.1 million and $117.6 million, respectively,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segment and $29.6 million and $24.1 million, respectively, for the International operating segment.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Total cost of revenue increased $22.8 million, or 27%, from $85.9 million for the three months ended September 30, 2024 to $108.7 million for the three months ended September 30, 2025. This increase was primarily the result of an increase in marketplace cost of revenue. Total cost of revenue from marketplace and supplier services for the three months ended September 30, 2025 was $107.1 million and $1.6 million, respectively, as compared to $84.3 million and $1.5 million, respectively, for the three months ended September 30, 2024.</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Marketplace cost of revenue was driven by order growth and increased activity on our marketplace.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21" w:lineRule="exact"/>
        <w:rPr>
          <w:sz w:val="20"/>
          <w:szCs w:val="20"/>
          <w:color w:val="auto"/>
        </w:rPr>
      </w:pPr>
    </w:p>
    <w:p>
      <w:pPr>
        <w:jc w:val="both"/>
        <w:ind w:right="300" w:firstLine="644"/>
        <w:spacing w:after="0" w:line="266" w:lineRule="auto"/>
        <w:rPr>
          <w:sz w:val="20"/>
          <w:szCs w:val="20"/>
          <w:color w:val="auto"/>
        </w:rPr>
      </w:pPr>
      <w:r>
        <w:rPr>
          <w:rFonts w:ascii="Times New Roman" w:cs="Times New Roman" w:eastAsia="Times New Roman" w:hAnsi="Times New Roman"/>
          <w:sz w:val="18"/>
          <w:szCs w:val="18"/>
          <w:color w:val="auto"/>
        </w:rPr>
        <w:t>Gross profit increased $16.2 million, or 29%, from $55.8 million for the three months ended September 30, 2024 to $72.0 million for the three months ended September 30, 2025. The increase in gross profit was primarily due to increases in revenue from marketplace and improved marketplace gross margins as compared to the prior year period.</w:t>
      </w:r>
    </w:p>
    <w:p>
      <w:pPr>
        <w:spacing w:after="0" w:line="68"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Total gross margin was 39.9% for the three months ended September 30, 2025 as compared to 39.4% for the three months ended September 30, 2024. The increase was primarily driven by higher marketplace gross margin as compared to the prior period.</w:t>
      </w:r>
    </w:p>
    <w:p>
      <w:pPr>
        <w:spacing w:after="0" w:line="54" w:lineRule="exact"/>
        <w:rPr>
          <w:sz w:val="20"/>
          <w:szCs w:val="20"/>
          <w:color w:val="auto"/>
        </w:rPr>
      </w:pPr>
    </w:p>
    <w:p>
      <w:pPr>
        <w:ind w:right="260" w:firstLine="644"/>
        <w:spacing w:after="0" w:line="266" w:lineRule="auto"/>
        <w:rPr>
          <w:sz w:val="20"/>
          <w:szCs w:val="20"/>
          <w:color w:val="auto"/>
        </w:rPr>
      </w:pPr>
      <w:r>
        <w:rPr>
          <w:rFonts w:ascii="Times New Roman" w:cs="Times New Roman" w:eastAsia="Times New Roman" w:hAnsi="Times New Roman"/>
          <w:sz w:val="18"/>
          <w:szCs w:val="18"/>
          <w:color w:val="auto"/>
        </w:rPr>
        <w:t>Gross margin for marketplace was 35.7% for the three months ended September 30, 2025, as compared to 33.6% for the three months ended September 30, 2024. The improvement was due largely to our AI-driven platform and expanding network of active suppliers which optimizes pricing to buyers and suppliers.</w:t>
      </w:r>
    </w:p>
    <w:p>
      <w:pPr>
        <w:spacing w:after="0" w:line="68" w:lineRule="exact"/>
        <w:rPr>
          <w:sz w:val="20"/>
          <w:szCs w:val="20"/>
          <w:color w:val="auto"/>
        </w:rPr>
      </w:pPr>
    </w:p>
    <w:p>
      <w:pPr>
        <w:ind w:right="320" w:firstLine="644"/>
        <w:spacing w:after="0" w:line="282" w:lineRule="auto"/>
        <w:rPr>
          <w:sz w:val="20"/>
          <w:szCs w:val="20"/>
          <w:color w:val="auto"/>
        </w:rPr>
      </w:pPr>
      <w:r>
        <w:rPr>
          <w:rFonts w:ascii="Times New Roman" w:cs="Times New Roman" w:eastAsia="Times New Roman" w:hAnsi="Times New Roman"/>
          <w:sz w:val="18"/>
          <w:szCs w:val="18"/>
          <w:color w:val="auto"/>
        </w:rPr>
        <w:t>Gross margin for our supplier services was 88.7% for the three months ended September 30, 2025, as compared to 89.6% for the three months ended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firstLine="636"/>
        <w:spacing w:after="0" w:line="271" w:lineRule="auto"/>
        <w:rPr>
          <w:sz w:val="20"/>
          <w:szCs w:val="20"/>
          <w:color w:val="auto"/>
        </w:rPr>
      </w:pPr>
      <w:r>
        <w:rPr>
          <w:rFonts w:ascii="Times New Roman" w:cs="Times New Roman" w:eastAsia="Times New Roman" w:hAnsi="Times New Roman"/>
          <w:sz w:val="18"/>
          <w:szCs w:val="18"/>
          <w:color w:val="auto"/>
        </w:rPr>
        <w:t>Sales and marketing expense increased $5.4 million, or 20%, from $27.2 million for the three months ended September 30, 2024 to $32.6 million for the three months ended September 30, 2025, primarily due to increases in consulting expenses and employee compensation costs, including stock-based compensation and benefit costs. As a percent of total revenue, sales and marketing expenses decreased to 18.1% for the three months ended September 30, 2025 from 19.2% for the three months ended September 30, 2024.</w:t>
      </w:r>
    </w:p>
    <w:p>
      <w:pPr>
        <w:spacing w:after="0" w:line="64"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Advertising expense decreased 1.9%, from $9.4 million for the three months ended September 30, 2024 to $9.2 million for the three months ended September 30, 2025 primarily due to decreased marketplace advertising.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9" w:lineRule="exact"/>
        <w:rPr>
          <w:sz w:val="20"/>
          <w:szCs w:val="20"/>
          <w:color w:val="auto"/>
        </w:rPr>
      </w:pPr>
    </w:p>
    <w:p>
      <w:pPr>
        <w:ind w:right="140" w:firstLine="636"/>
        <w:spacing w:after="0" w:line="261" w:lineRule="auto"/>
        <w:rPr>
          <w:sz w:val="20"/>
          <w:szCs w:val="20"/>
          <w:color w:val="auto"/>
        </w:rPr>
      </w:pPr>
      <w:r>
        <w:rPr>
          <w:rFonts w:ascii="Times New Roman" w:cs="Times New Roman" w:eastAsia="Times New Roman" w:hAnsi="Times New Roman"/>
          <w:sz w:val="18"/>
          <w:szCs w:val="18"/>
          <w:color w:val="auto"/>
        </w:rPr>
        <w:t>Operations and support expense increased $3.7 million, or 25%, from $14.7 million for the three months ended September 30, 2024 to $18.4 million for the three months ended September 30, 2025, primarily due to increases in stock-based compensation, consulting expenses and employee compensation and benefit costs. As a percent of total revenue, operations and support expenses decreased to 10.2% for the three months ended September 30, 2025 from 10.4% for the three months ended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9" w:lineRule="exact"/>
        <w:rPr>
          <w:sz w:val="20"/>
          <w:szCs w:val="20"/>
          <w:color w:val="auto"/>
        </w:rPr>
      </w:pPr>
    </w:p>
    <w:p>
      <w:pPr>
        <w:ind w:right="120" w:firstLine="636"/>
        <w:spacing w:after="0" w:line="261" w:lineRule="auto"/>
        <w:rPr>
          <w:sz w:val="20"/>
          <w:szCs w:val="20"/>
          <w:color w:val="auto"/>
        </w:rPr>
      </w:pPr>
      <w:r>
        <w:rPr>
          <w:rFonts w:ascii="Times New Roman" w:cs="Times New Roman" w:eastAsia="Times New Roman" w:hAnsi="Times New Roman"/>
          <w:sz w:val="18"/>
          <w:szCs w:val="18"/>
          <w:color w:val="auto"/>
        </w:rPr>
        <w:t>Product development expense increased $3.2 million, or 34%, from $9.3 million for the three months ended September 30, 2024 to $12.5 million for the three months ended September 30, 2025, primarily as a result of an increase in amortization expense related to capitalized internal-use software development costs, increases in stock-based compensation and software costs. As a percent of total revenue, product development expenses increased to 6.9% for the three months ended September 30, 2025 as compared to 6.6% for the three months ended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40" w:firstLine="63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$3.4 million, or 21%, from $16.1 million for the three months ended September 30, 2024 to $19.5 million for the three months ended September 30, 2025, primarily due to increases in reserves for bad debt, the cost of charitable contributions of Class A common stock and consulting costs. As a percent of total revenue, general and administrative expenses decreased to 10.8% for the three months ended September 30, 2025 from 11.3% for the three months ended September 30, 2024.</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400" w:firstLine="636"/>
        <w:spacing w:after="0" w:line="266" w:lineRule="auto"/>
        <w:rPr>
          <w:sz w:val="20"/>
          <w:szCs w:val="20"/>
          <w:color w:val="auto"/>
        </w:rPr>
      </w:pPr>
      <w:r>
        <w:rPr>
          <w:rFonts w:ascii="Times New Roman" w:cs="Times New Roman" w:eastAsia="Times New Roman" w:hAnsi="Times New Roman"/>
          <w:sz w:val="18"/>
          <w:szCs w:val="18"/>
          <w:color w:val="auto"/>
        </w:rPr>
        <w:t>Interest expense increased $0.1 million, or 8%, from $1.2 million for the three months ended September 30, 2024 to $1.3 million for the three months ended September 30, 2025, primarily due to interest expense on the 2030 Notes, offset by the decrease in interest expense due to the partial repurchase of the 2027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18"/>
          <w:szCs w:val="18"/>
          <w:color w:val="auto"/>
        </w:rPr>
        <w:t>Interest and dividend income decreased $0.6 million, or 23%, from $2.8 million for the three months ended September 30, 2024 to $2.1 million for the three months ended September 30, 2025. The decrease was primarily due to lower investment in the money market account as the Company funds ongoing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right="180" w:firstLine="636"/>
        <w:spacing w:after="0" w:line="282" w:lineRule="auto"/>
        <w:rPr>
          <w:sz w:val="20"/>
          <w:szCs w:val="20"/>
          <w:color w:val="auto"/>
        </w:rPr>
      </w:pPr>
      <w:r>
        <w:rPr>
          <w:rFonts w:ascii="Times New Roman" w:cs="Times New Roman" w:eastAsia="Times New Roman" w:hAnsi="Times New Roman"/>
          <w:sz w:val="18"/>
          <w:szCs w:val="18"/>
          <w:color w:val="auto"/>
        </w:rPr>
        <w:t>Other expenses increased by $1.2 million, from $0.4 million for the three months ended September 30, 2024 to $1.6 million for the three months ended September 30, 2025. The increase was primarily due to higher non-income based taxes.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remained flat at $0.2 million for the three months ended September 30,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Segment Adjusted EBITDA from our U.S. reportable segment for the three months ended September 30, 2025 and 2024 was $10.3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respectively. Segment Adjusted EBITDA from our International reportable segment for the three months ended September 30,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$(4.2) million and $(2.0) million, respectively.</w:t>
      </w:r>
    </w:p>
    <w:p>
      <w:pPr>
        <w:spacing w:after="0" w:line="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as we changed our measure of segment profit or loss in 2024 to Segment Adjusted EBITDA and recast prior year data.</w:t>
      </w:r>
    </w:p>
    <w:p>
      <w:pPr>
        <w:spacing w:after="0" w:line="3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86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494,234</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396,983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300,698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240,379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193,536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156,604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88,866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9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230,276</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201,231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(36,740)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(44,627)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(19,882)</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(16,395)</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(53,135)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(40,487)</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(53,110)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(40,507)</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9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920" w:type="dxa"/>
            <w:vAlign w:val="bottom"/>
          </w:tcPr>
          <w:p>
            <w:pPr>
              <w:spacing w:after="0"/>
              <w:rPr>
                <w:sz w:val="18"/>
                <w:szCs w:val="18"/>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(53,109)</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(40,512)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-2699385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-2699385</wp:posOffset>
            </wp:positionV>
            <wp:extent cx="774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-1576705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-1293495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-1010920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11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r>
      <w:tr>
        <w:trPr>
          <w:trHeight w:val="209"/>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r>
      <w:tr>
        <w:trPr>
          <w:trHeight w:val="209"/>
        </w:trPr>
        <w:tc>
          <w:tcPr>
            <w:tcW w:w="7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and support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1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-2691130</wp:posOffset>
            </wp:positionV>
            <wp:extent cx="1460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-1859915</wp:posOffset>
            </wp:positionV>
            <wp:extent cx="1460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-1859915</wp:posOffset>
            </wp:positionV>
            <wp:extent cx="1454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-736600</wp:posOffset>
            </wp:positionV>
            <wp:extent cx="1460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-736600</wp:posOffset>
            </wp:positionV>
            <wp:extent cx="1454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-453390</wp:posOffset>
            </wp:positionV>
            <wp:extent cx="1460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1460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70"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and SaaS products.</w:t>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nine months ended September 30, 2025 and 2024 (in thousands):</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For the Nine Months</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340" w:type="dxa"/>
            <w:vAlign w:val="bottom"/>
          </w:tcPr>
          <w:p>
            <w:pPr>
              <w:spacing w:after="0"/>
              <w:rPr>
                <w:sz w:val="18"/>
                <w:szCs w:val="18"/>
                <w:color w:val="auto"/>
              </w:rPr>
            </w:pPr>
          </w:p>
        </w:tc>
        <w:tc>
          <w:tcPr>
            <w:tcW w:w="24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780" w:type="dxa"/>
            <w:vAlign w:val="bottom"/>
            <w:gridSpan w:val="2"/>
            <w:shd w:val="clear" w:color="auto" w:fill="CFF0FC"/>
          </w:tcPr>
          <w:p>
            <w:pPr>
              <w:jc w:val="right"/>
              <w:ind w:right="2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451,168</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351,438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780" w:type="dxa"/>
            <w:vAlign w:val="bottom"/>
            <w:gridSpan w:val="2"/>
            <w:shd w:val="clear" w:color="auto" w:fill="CFF0FC"/>
          </w:tcPr>
          <w:p>
            <w:pPr>
              <w:jc w:val="right"/>
              <w:ind w:right="2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155,277</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13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78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24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tcBorders>
              <w:bottom w:val="single" w:sz="8" w:color="CFF0FC"/>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78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w:t>
            </w:r>
          </w:p>
        </w:tc>
        <w:tc>
          <w:tcPr>
            <w:tcW w:w="24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shd w:val="clear" w:color="auto" w:fill="CFF0FC"/>
          </w:tcPr>
          <w:p>
            <w:pPr>
              <w:spacing w:after="0"/>
              <w:rPr>
                <w:sz w:val="17"/>
                <w:szCs w:val="17"/>
                <w:color w:val="auto"/>
              </w:rPr>
            </w:pPr>
          </w:p>
        </w:tc>
        <w:tc>
          <w:tcPr>
            <w:tcW w:w="24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-1019175</wp:posOffset>
            </wp:positionV>
            <wp:extent cx="1111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-1002030</wp:posOffset>
            </wp:positionV>
            <wp:extent cx="1111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-1019175</wp:posOffset>
            </wp:positionV>
            <wp:extent cx="1117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-1002030</wp:posOffset>
            </wp:positionV>
            <wp:extent cx="1117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-307975</wp:posOffset>
            </wp:positionV>
            <wp:extent cx="1111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Total revenue increased $97.3 million, or 24%, from $397.0 million for the nine months ended September 30, 2024 to $494.2 million for the nine months ended September 30, 2025. This growth was a result of an increase in marketplace revenue, partially offset by a decrease in supplier services revenue. Marketplace revenue increased $99.7 million, or 28%, from $351.4 million for the nine months ended September 30, 2024 to $451.2 million for the nine months ended September 30, 2025. The increase in marketplace revenue was primarily due to increased buyer activity on the platform, particularly with respect to enterprise customers, for the nine months ended September 30, 2025 as compared to the prior year period.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97" w:lineRule="exact"/>
        <w:rPr>
          <w:sz w:val="20"/>
          <w:szCs w:val="20"/>
          <w:color w:val="auto"/>
        </w:rPr>
      </w:pPr>
    </w:p>
    <w:p>
      <w:pPr>
        <w:jc w:val="both"/>
        <w:ind w:right="220" w:firstLine="644"/>
        <w:spacing w:after="0" w:line="266" w:lineRule="auto"/>
        <w:rPr>
          <w:sz w:val="20"/>
          <w:szCs w:val="20"/>
          <w:color w:val="auto"/>
        </w:rPr>
      </w:pPr>
      <w:r>
        <w:rPr>
          <w:rFonts w:ascii="Times New Roman" w:cs="Times New Roman" w:eastAsia="Times New Roman" w:hAnsi="Times New Roman"/>
          <w:sz w:val="18"/>
          <w:szCs w:val="18"/>
          <w:color w:val="auto"/>
        </w:rPr>
        <w:t>Supplier services revenue decreased $2.5 million, or 5%, from $45.5 million for the nine months ended September 30, 2024 to $43.1 million for the nine months ended September 30, 2025. The decrease in revenue was due to reductions in Thomas advertising and marketing services and to a lesser extent a decrease in Thomas non-core services partly offset by growth in financial services.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for the nine months ended September 30, 2025 and 2024, was $414.6 million and $333.1 million, respectively,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segment, and $79.6 million and $63.9 million, respectively, for the International operating segment.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Total cost of revenue increased $60.3 million, or 25%, from $240.4 million for the nine months ended September 30, 2024 to $300.7 million for the nine months ended September 30, 2025. This increase was primarily the result of an increase in marketplace cost of revenue. Total cost of revenue from marketplace and supplier services for the nine months ended September 30, 2025 was $295.9 million and $4.8 million, respectively, as compared to $235.3 million and $5.1 million, respectively, for the nine months ended September 30, 2024.</w:t>
      </w:r>
    </w:p>
    <w:p>
      <w:pPr>
        <w:spacing w:after="0" w:line="72"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Marketplace cost of revenue was driven by increased payments to suppliers on our platform due to order growth and increased activity on our marketplace.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21"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Gross profit increased $36.9 million, or 24%, from $156.6 million for the nine months ended September 30, 2024 to $193.5 million for the nine months ended September 30, 2025. The increase in gross profit was primarily due to increases in revenue from marketplace and improved marketplace gross margins as compared to the prior year period.</w:t>
      </w:r>
    </w:p>
    <w:p>
      <w:pPr>
        <w:spacing w:after="0" w:line="68" w:lineRule="exact"/>
        <w:rPr>
          <w:sz w:val="20"/>
          <w:szCs w:val="20"/>
          <w:color w:val="auto"/>
        </w:rPr>
      </w:pPr>
    </w:p>
    <w:p>
      <w:pPr>
        <w:jc w:val="both"/>
        <w:ind w:right="320" w:firstLine="644"/>
        <w:spacing w:after="0" w:line="266" w:lineRule="auto"/>
        <w:rPr>
          <w:sz w:val="20"/>
          <w:szCs w:val="20"/>
          <w:color w:val="auto"/>
        </w:rPr>
      </w:pPr>
      <w:r>
        <w:rPr>
          <w:rFonts w:ascii="Times New Roman" w:cs="Times New Roman" w:eastAsia="Times New Roman" w:hAnsi="Times New Roman"/>
          <w:sz w:val="18"/>
          <w:szCs w:val="18"/>
          <w:color w:val="auto"/>
        </w:rPr>
        <w:t>Total gross margin was 39.2% for the nine months ended September 30, 2025 as compared to 39.4% for the nine months ended September 30, 2024. The decrease is primarily driven by faster growth and associated mix shift to marketplace revenue which has a lower gross margin than supplier services.</w:t>
      </w:r>
    </w:p>
    <w:p>
      <w:pPr>
        <w:spacing w:after="0" w:line="176" w:lineRule="exact"/>
        <w:rPr>
          <w:sz w:val="20"/>
          <w:szCs w:val="20"/>
          <w:color w:val="auto"/>
        </w:rPr>
      </w:pPr>
    </w:p>
    <w:p>
      <w:pPr>
        <w:ind w:right="280" w:firstLine="636"/>
        <w:spacing w:after="0" w:line="266" w:lineRule="auto"/>
        <w:rPr>
          <w:sz w:val="20"/>
          <w:szCs w:val="20"/>
          <w:color w:val="auto"/>
        </w:rPr>
      </w:pPr>
      <w:r>
        <w:rPr>
          <w:rFonts w:ascii="Times New Roman" w:cs="Times New Roman" w:eastAsia="Times New Roman" w:hAnsi="Times New Roman"/>
          <w:sz w:val="18"/>
          <w:szCs w:val="18"/>
          <w:color w:val="auto"/>
        </w:rPr>
        <w:t>Gross margin for marketplace was 34.4% for the nine months ended September 30, 2025, as compared to 33.1% for the nine months ended September 30, 2024. The improvement was due largely to our AI-driven platform and expanding network of active suppliers which optimizes pricing to buyers and suppliers.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 for our supplier services remained flat at 88.8% for the nine months ended September 30,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$7.0 million, or 9%, from $81.9 million for the nine months ended September 30, 2024 to $88.9 million for the nine months ended September 30, 2025, primarily due to increases in consulting expenses and employee compensation costs, including stock-based compensation and benefit costs. These increases were partially offset by a reduction in marketing and advertising expense. As a percent of total revenue, sales and marketing expenses decreased to 18.0% for the nine months ended September 30, 2025 from 20.6% for the nine months ended September 30, 2024.</w:t>
      </w:r>
    </w:p>
    <w:p>
      <w:pPr>
        <w:spacing w:after="0" w:line="68"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Advertising expense decreased 5%, from $26.5 million for the nine months ended September 30, 2024 to $25.3 million for the nine months ended September 30, 2025 primarily due to decreased marketplace advertising.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9" w:lineRule="exact"/>
        <w:rPr>
          <w:sz w:val="20"/>
          <w:szCs w:val="20"/>
          <w:color w:val="auto"/>
        </w:rPr>
      </w:pPr>
    </w:p>
    <w:p>
      <w:pPr>
        <w:ind w:right="120" w:firstLine="636"/>
        <w:spacing w:after="0" w:line="261" w:lineRule="auto"/>
        <w:rPr>
          <w:sz w:val="20"/>
          <w:szCs w:val="20"/>
          <w:color w:val="auto"/>
        </w:rPr>
      </w:pPr>
      <w:r>
        <w:rPr>
          <w:rFonts w:ascii="Times New Roman" w:cs="Times New Roman" w:eastAsia="Times New Roman" w:hAnsi="Times New Roman"/>
          <w:sz w:val="18"/>
          <w:szCs w:val="18"/>
          <w:color w:val="auto"/>
        </w:rPr>
        <w:t>Operations and support expense increased $10.3 million, or 24%, from $42.9 million for the nine months ended September 30, 2024 to $53.2 million for the nine months ended September 30, 2025, primarily due to the hiring of additional operations and support employees and their compensation costs including stock-based compensation, an increase in consulting costs, and severance costs related to the restructuring. As a percent of total revenue, operations and support expenses remained flat at 10.8% for the nine months ended September 30, 2025 and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9" w:lineRule="exact"/>
        <w:rPr>
          <w:sz w:val="20"/>
          <w:szCs w:val="20"/>
          <w:color w:val="auto"/>
        </w:rPr>
      </w:pPr>
    </w:p>
    <w:p>
      <w:pPr>
        <w:ind w:right="100" w:firstLine="636"/>
        <w:spacing w:after="0" w:line="258" w:lineRule="auto"/>
        <w:rPr>
          <w:sz w:val="20"/>
          <w:szCs w:val="20"/>
          <w:color w:val="auto"/>
        </w:rPr>
      </w:pPr>
      <w:r>
        <w:rPr>
          <w:rFonts w:ascii="Times New Roman" w:cs="Times New Roman" w:eastAsia="Times New Roman" w:hAnsi="Times New Roman"/>
          <w:sz w:val="18"/>
          <w:szCs w:val="18"/>
          <w:color w:val="auto"/>
        </w:rPr>
        <w:t>Product development expense increased $5.8 million, or 20%, from $29.0 million for the nine months ended September 30, 2024 to $34.7 million for the nine months ended September 30, 2025, primarily as a result of increases in amortization expense related to capitalized internal-use software development costs, increases in stock-based compensation, software costs, consulting costs and severance costs related to restructuring. As a percent of total revenue, product development expenses decreased to 7.0% for the nine months ended September 30, 2025 from 7.3% for the nine months ended September 30, 2024.</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60" w:firstLine="63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$6.0 million, or 13%, from $47.5 million for the nine months ended September 30, 2024 to $53.4 million for the nine months ended September 30, 2025. The increase was primarily driven by an increase in reserves for bad debt, the cost of charitable contributions of Class A common stock, software costs, consulting costs, compensation costs including stock-based compensation and severance costs related to restructuring. These increases were offset by reductions in professional fees. As a percent of total revenue, general and administrative expenses decreased to 10.8% for the nine months ended September 30, 2025 from 12.0% for the nine months ended September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expense remained flat at $3.6 million for the nine months ended September 30,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19" w:lineRule="exact"/>
        <w:rPr>
          <w:sz w:val="20"/>
          <w:szCs w:val="20"/>
          <w:color w:val="auto"/>
        </w:rPr>
      </w:pPr>
    </w:p>
    <w:p>
      <w:pPr>
        <w:ind w:right="60" w:firstLine="636"/>
        <w:spacing w:after="0" w:line="266" w:lineRule="auto"/>
        <w:rPr>
          <w:sz w:val="20"/>
          <w:szCs w:val="20"/>
          <w:color w:val="auto"/>
        </w:rPr>
      </w:pPr>
      <w:r>
        <w:rPr>
          <w:rFonts w:ascii="Times New Roman" w:cs="Times New Roman" w:eastAsia="Times New Roman" w:hAnsi="Times New Roman"/>
          <w:sz w:val="18"/>
          <w:szCs w:val="18"/>
          <w:color w:val="auto"/>
        </w:rPr>
        <w:t>Interest and dividend income decreased by $1.7 million, or 20%, from $8.3 million for the nine months ended September 30, 2024 to $6.6 million for the nine months ended September 30, 2025. The decrease was primarily due to lower investment in the money market account as the Company funds ongoing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Other expenses increased by $18.8 million, from $1.1 million for the nine months ended September 30, 2024 to $19.9 million for the nine months ended September 30, 2025. The increase was primarily attributable to a $16.4 million loss on debt extinguishment recognized in connection with the partial repurchase of 2027 Notes, and to a lesser extent to the increases in foreign exchange losses and non-income based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Unconsolidated Joint Venture</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from unconsolidated joint venture remained flat at $0.5 million for the nine months ended September 30,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19" w:lineRule="exact"/>
        <w:rPr>
          <w:sz w:val="20"/>
          <w:szCs w:val="20"/>
          <w:color w:val="auto"/>
        </w:rPr>
      </w:pPr>
    </w:p>
    <w:p>
      <w:pPr>
        <w:jc w:val="both"/>
        <w:ind w:right="300" w:firstLine="636"/>
        <w:spacing w:after="0" w:line="266" w:lineRule="auto"/>
        <w:rPr>
          <w:sz w:val="20"/>
          <w:szCs w:val="20"/>
          <w:color w:val="auto"/>
        </w:rPr>
      </w:pPr>
      <w:r>
        <w:rPr>
          <w:rFonts w:ascii="Times New Roman" w:cs="Times New Roman" w:eastAsia="Times New Roman" w:hAnsi="Times New Roman"/>
          <w:sz w:val="18"/>
          <w:szCs w:val="18"/>
          <w:color w:val="auto"/>
        </w:rPr>
        <w:t>Segment Adjusted EBITDA from our U.S. reportable segment for the nine months ended September 30, 2025 and 2024 was $20.2 million and $(3.8) million, respectively. Segment Adjusted EBITDA from our International reportable segment for the nine months ended September 30, 2025 and 2024 was $(10.1) million and $(6.9) million, respectively.</w:t>
      </w:r>
    </w:p>
    <w:p>
      <w:pPr>
        <w:spacing w:after="0" w:line="6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as we changed our measure of segment profit or loss in 2024 to Segment Adjusted EBITDA and recast prior-year data.</w:t>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September 30, 2025, our cash and cash equivalents and marketable securities totaled $224.5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148" w:lineRule="exact"/>
        <w:rPr>
          <w:sz w:val="20"/>
          <w:szCs w:val="20"/>
          <w:color w:val="auto"/>
        </w:rPr>
      </w:pPr>
    </w:p>
    <w:p>
      <w:pPr>
        <w:jc w:val="both"/>
        <w:ind w:right="20" w:firstLine="644"/>
        <w:spacing w:after="0" w:line="282"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2030</w:t>
      </w:r>
    </w:p>
    <w:p>
      <w:pPr>
        <w:spacing w:after="0" w:line="121"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In June 2025, we issued $250.0 million aggregate principal amount of 2030 Notes pursuant to an indenture dated June 12, 2025, including the exercise in full of the initial purchasers’ option to purchase up to an additional $25.0 million principal amount of the 2030 Notes.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w:t>
      </w:r>
    </w:p>
    <w:p>
      <w:pPr>
        <w:spacing w:after="0" w:line="72"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w:t>
      </w:r>
    </w:p>
    <w:p>
      <w:pPr>
        <w:spacing w:after="0" w:line="6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spacing w:after="0" w:line="81"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spacing w:after="0" w:line="75" w:lineRule="exact"/>
        <w:rPr>
          <w:sz w:val="20"/>
          <w:szCs w:val="20"/>
          <w:color w:val="auto"/>
        </w:rPr>
      </w:pPr>
    </w:p>
    <w:p>
      <w:pPr>
        <w:ind w:right="580" w:firstLine="644"/>
        <w:spacing w:after="0" w:line="282" w:lineRule="auto"/>
        <w:rPr>
          <w:sz w:val="20"/>
          <w:szCs w:val="20"/>
          <w:color w:val="auto"/>
        </w:rPr>
      </w:pPr>
      <w:r>
        <w:rPr>
          <w:rFonts w:ascii="Times New Roman" w:cs="Times New Roman" w:eastAsia="Times New Roman" w:hAnsi="Times New Roman"/>
          <w:sz w:val="18"/>
          <w:szCs w:val="18"/>
          <w:color w:val="auto"/>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2025 (and only during such calendar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900" w:firstLine="644"/>
        <w:spacing w:after="0" w:line="282" w:lineRule="auto"/>
        <w:rPr>
          <w:sz w:val="20"/>
          <w:szCs w:val="20"/>
          <w:color w:val="auto"/>
        </w:rPr>
      </w:pPr>
      <w:r>
        <w:rPr>
          <w:rFonts w:ascii="Times New Roman" w:cs="Times New Roman" w:eastAsia="Times New Roman" w:hAnsi="Times New Roman"/>
          <w:sz w:val="18"/>
          <w:szCs w:val="18"/>
          <w:color w:val="auto"/>
        </w:rPr>
        <w:t>On or after March 15, 2030, the 2030 Notes are convertible at any time until the close of business on the second scheduled trading day immediately preceding the maturity date.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spacing w:after="0" w:line="68"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2030 Notes as a single liability measured at its amortized cost, as no embedded features require bifurcation and recognition as derivatives.</w:t>
      </w:r>
    </w:p>
    <w:p>
      <w:pPr>
        <w:spacing w:after="0" w:line="54" w:lineRule="exact"/>
        <w:rPr>
          <w:sz w:val="20"/>
          <w:szCs w:val="20"/>
          <w:color w:val="auto"/>
        </w:rPr>
      </w:pPr>
    </w:p>
    <w:p>
      <w:pPr>
        <w:ind w:right="220" w:firstLine="644"/>
        <w:spacing w:after="0" w:line="375" w:lineRule="auto"/>
        <w:rPr>
          <w:sz w:val="20"/>
          <w:szCs w:val="20"/>
          <w:color w:val="auto"/>
        </w:rPr>
      </w:pPr>
      <w:r>
        <w:rPr>
          <w:rFonts w:ascii="Times New Roman" w:cs="Times New Roman" w:eastAsia="Times New Roman" w:hAnsi="Times New Roman"/>
          <w:sz w:val="18"/>
          <w:szCs w:val="18"/>
          <w:color w:val="auto"/>
        </w:rPr>
        <w:t xml:space="preserve">As of September 30, 2025, the 2030 Notes have a carrying value of approximately $241.9 million with an effective annual interest rate of 1.4%. </w:t>
      </w:r>
      <w:r>
        <w:rPr>
          <w:rFonts w:ascii="Times New Roman" w:cs="Times New Roman" w:eastAsia="Times New Roman" w:hAnsi="Times New Roman"/>
          <w:sz w:val="18"/>
          <w:szCs w:val="18"/>
          <w:b w:val="1"/>
          <w:bCs w:val="1"/>
          <w:i w:val="1"/>
          <w:iCs w:val="1"/>
          <w:color w:val="auto"/>
        </w:rPr>
        <w:t>Convertible Notes due 2027</w:t>
      </w:r>
    </w:p>
    <w:p>
      <w:pPr>
        <w:spacing w:after="0" w:line="1" w:lineRule="exact"/>
        <w:rPr>
          <w:sz w:val="20"/>
          <w:szCs w:val="20"/>
          <w:color w:val="auto"/>
        </w:rPr>
      </w:pPr>
    </w:p>
    <w:p>
      <w:pPr>
        <w:jc w:val="both"/>
        <w:ind w:right="60" w:firstLine="636"/>
        <w:spacing w:after="0" w:line="261" w:lineRule="auto"/>
        <w:rPr>
          <w:sz w:val="20"/>
          <w:szCs w:val="20"/>
          <w:color w:val="auto"/>
        </w:rPr>
      </w:pPr>
      <w:r>
        <w:rPr>
          <w:rFonts w:ascii="Times New Roman" w:cs="Times New Roman" w:eastAsia="Times New Roman" w:hAnsi="Times New Roman"/>
          <w:sz w:val="18"/>
          <w:szCs w:val="18"/>
          <w:color w:val="auto"/>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72" w:lineRule="exact"/>
        <w:rPr>
          <w:sz w:val="20"/>
          <w:szCs w:val="20"/>
          <w:color w:val="auto"/>
        </w:rPr>
      </w:pPr>
    </w:p>
    <w:p>
      <w:pPr>
        <w:ind w:right="100" w:firstLine="636"/>
        <w:spacing w:after="0" w:line="282" w:lineRule="auto"/>
        <w:rPr>
          <w:sz w:val="20"/>
          <w:szCs w:val="20"/>
          <w:color w:val="auto"/>
        </w:rPr>
      </w:pPr>
      <w:r>
        <w:rPr>
          <w:rFonts w:ascii="Times New Roman" w:cs="Times New Roman" w:eastAsia="Times New Roman" w:hAnsi="Times New Roman"/>
          <w:sz w:val="18"/>
          <w:szCs w:val="18"/>
          <w:color w:val="auto"/>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54"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81" w:lineRule="exact"/>
        <w:rPr>
          <w:sz w:val="20"/>
          <w:szCs w:val="20"/>
          <w:color w:val="auto"/>
        </w:rPr>
      </w:pPr>
    </w:p>
    <w:p>
      <w:pPr>
        <w:ind w:right="40" w:firstLine="636"/>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spacing w:after="0" w:line="75" w:lineRule="exact"/>
        <w:rPr>
          <w:sz w:val="20"/>
          <w:szCs w:val="20"/>
          <w:color w:val="auto"/>
        </w:rPr>
      </w:pPr>
    </w:p>
    <w:p>
      <w:pPr>
        <w:ind w:right="500" w:firstLine="636"/>
        <w:spacing w:after="0" w:line="282"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54" w:lineRule="exact"/>
        <w:rPr>
          <w:sz w:val="20"/>
          <w:szCs w:val="20"/>
          <w:color w:val="auto"/>
        </w:rPr>
      </w:pPr>
    </w:p>
    <w:p>
      <w:pPr>
        <w:ind w:left="1020" w:right="4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2022 (and only during such quarter), 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17" w:lineRule="exact"/>
        <w:rPr>
          <w:sz w:val="20"/>
          <w:szCs w:val="20"/>
          <w:color w:val="auto"/>
        </w:rPr>
      </w:pPr>
    </w:p>
    <w:p>
      <w:pPr>
        <w:ind w:right="720" w:firstLine="636"/>
        <w:spacing w:after="0" w:line="282"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54" w:lineRule="exact"/>
        <w:rPr>
          <w:sz w:val="20"/>
          <w:szCs w:val="20"/>
          <w:color w:val="auto"/>
        </w:rPr>
      </w:pPr>
    </w:p>
    <w:p>
      <w:pPr>
        <w:jc w:val="both"/>
        <w:ind w:right="120" w:firstLine="636"/>
        <w:spacing w:after="0" w:line="266" w:lineRule="auto"/>
        <w:rPr>
          <w:sz w:val="20"/>
          <w:szCs w:val="20"/>
          <w:color w:val="auto"/>
        </w:rPr>
      </w:pPr>
      <w:r>
        <w:rPr>
          <w:rFonts w:ascii="Times New Roman" w:cs="Times New Roman" w:eastAsia="Times New Roman" w:hAnsi="Times New Roman"/>
          <w:sz w:val="18"/>
          <w:szCs w:val="18"/>
          <w:color w:val="auto"/>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68" w:lineRule="exact"/>
        <w:rPr>
          <w:sz w:val="20"/>
          <w:szCs w:val="20"/>
          <w:color w:val="auto"/>
        </w:rPr>
      </w:pPr>
    </w:p>
    <w:p>
      <w:pPr>
        <w:ind w:right="200" w:firstLine="636"/>
        <w:spacing w:after="0" w:line="282"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embedded features require bifurcation and recognition as derivatives.</w:t>
      </w:r>
    </w:p>
    <w:p>
      <w:pPr>
        <w:spacing w:after="0" w:line="54" w:lineRule="exact"/>
        <w:rPr>
          <w:sz w:val="20"/>
          <w:szCs w:val="20"/>
          <w:color w:val="auto"/>
        </w:rPr>
      </w:pPr>
    </w:p>
    <w:p>
      <w:pPr>
        <w:ind w:right="520" w:firstLine="636"/>
        <w:spacing w:after="0" w:line="282" w:lineRule="auto"/>
        <w:rPr>
          <w:sz w:val="20"/>
          <w:szCs w:val="20"/>
          <w:color w:val="auto"/>
        </w:rPr>
      </w:pPr>
      <w:r>
        <w:rPr>
          <w:rFonts w:ascii="Times New Roman" w:cs="Times New Roman" w:eastAsia="Times New Roman" w:hAnsi="Times New Roman"/>
          <w:sz w:val="18"/>
          <w:szCs w:val="18"/>
          <w:color w:val="auto"/>
        </w:rPr>
        <w:t>We may, from time to time, repurchase our convertible senior notes using cash on hand, either on the open market or in privately negotiated transactions.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Repurchase of 2027 Notes</w:t>
      </w:r>
    </w:p>
    <w:p>
      <w:pPr>
        <w:spacing w:after="0" w:line="9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spacing w:after="0" w:line="75"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Following this partial repurchase, approximately $85.8 million aggregate principal amount of the 2027 Notes remain outstanding on our Condensed Consolidated Balance Sheet. The original terms and conditions continue to apply to the remaining notes, and the unamortized debt discount and issuance costs related to these notes will continue to be deferred and accreted.</w:t>
      </w:r>
    </w:p>
    <w:p>
      <w:pPr>
        <w:spacing w:after="0" w:line="68" w:lineRule="exact"/>
        <w:rPr>
          <w:sz w:val="20"/>
          <w:szCs w:val="20"/>
          <w:color w:val="auto"/>
        </w:rPr>
      </w:pPr>
    </w:p>
    <w:p>
      <w:pPr>
        <w:ind w:right="320" w:firstLine="644"/>
        <w:spacing w:after="0" w:line="375" w:lineRule="auto"/>
        <w:rPr>
          <w:sz w:val="20"/>
          <w:szCs w:val="20"/>
          <w:color w:val="auto"/>
        </w:rPr>
      </w:pPr>
      <w:r>
        <w:rPr>
          <w:rFonts w:ascii="Times New Roman" w:cs="Times New Roman" w:eastAsia="Times New Roman" w:hAnsi="Times New Roman"/>
          <w:sz w:val="18"/>
          <w:szCs w:val="18"/>
          <w:color w:val="auto"/>
        </w:rPr>
        <w:t xml:space="preserve">As of September 30, 2025, the 2027 Notes have a carrying value of approximately $85.1 million with an effective annual interest rate of 1.6%. </w:t>
      </w:r>
      <w:r>
        <w:rPr>
          <w:rFonts w:ascii="Times New Roman" w:cs="Times New Roman" w:eastAsia="Times New Roman" w:hAnsi="Times New Roman"/>
          <w:sz w:val="18"/>
          <w:szCs w:val="18"/>
          <w:b w:val="1"/>
          <w:bCs w:val="1"/>
          <w:i w:val="1"/>
          <w:iCs w:val="1"/>
          <w:color w:val="auto"/>
        </w:rPr>
        <w:t>Capped Call Transactions</w:t>
      </w:r>
    </w:p>
    <w:p>
      <w:pPr>
        <w:spacing w:after="0" w:line="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spacing w:after="0" w:line="75"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 are not accounted for as derivatives and will not be remeasured; they will remain in stockholders’ equity until expiration or settlement.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Treasury Stock</w:t>
      </w:r>
    </w:p>
    <w:p>
      <w:pPr>
        <w:spacing w:after="0" w:line="121"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w:t>
      </w:r>
    </w:p>
    <w:p>
      <w:pPr>
        <w:spacing w:after="0" w:line="121" w:lineRule="exact"/>
        <w:rPr>
          <w:sz w:val="20"/>
          <w:szCs w:val="20"/>
          <w:color w:val="auto"/>
        </w:rPr>
      </w:pPr>
    </w:p>
    <w:p>
      <w:pPr>
        <w:ind w:right="160" w:firstLine="652"/>
        <w:spacing w:after="0" w:line="258" w:lineRule="auto"/>
        <w:tabs>
          <w:tab w:leader="none" w:pos="8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 of our revenues and cash flow are derived from the U.S. government or through subcontractors to the U.S. government. During the quarter ended September 30, 2025, we did not experience delays in receiving payments from U.S. government agencies or subcontractors. However, the U.S. government began a shutdown on October 1, 2025. While none of our contracts or subcontracts have been impacted as a result to date; an extended government shutdown could result in a delay or suspension of funding for our U.S. government contracts and subcontracts and disrupt our cash flows and possibly delay new contracts from being awarded.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40" w:firstLine="636"/>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 for the nine months ended September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1,674</w:t>
            </w:r>
          </w:p>
        </w:tc>
        <w:tc>
          <w:tcPr>
            <w:tcW w:w="64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(24,469)</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(5,982)</w:t>
            </w: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(14,734)</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2,506</w:t>
            </w:r>
          </w:p>
        </w:tc>
        <w:tc>
          <w:tcPr>
            <w:tcW w:w="64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3,215</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0" w:firstLine="636"/>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operating activities was $1.7 million, primarily due to a net loss of $(53.1) million adjusted for non-cash charges of $63.0 million and a net $(8.2) million adjustment from changes in operating assets and liabilities. The non-cash charges primarily relate to stock-based compensation of $26.0 million, a loss on debt extinguishment of $16.4 million, depreciation and amortization of $13.7 million and a $3.4 million reduction to our right-of-use lease assets. The net decrease in operating assets and liabilities is primarily driven by the changes in accounts receivable of $23.4 million due to increased sales and a reduction in lease liabilities of $5.2 million, partially offset by changes in accounts payable and accrued cost of revenue of $10.7 million due to the timing of payments and growth, changes in other accrued expenses of $9.1 million and changes in contract liabilities of $3.2 million.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40" w:firstLine="636"/>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$24.5 million, primarily due to a net loss of $(40.5) million adjusted for non-cash charges of $36.5 million and a net $(20.5) million adjustment from changes in operating assets and liabilities. The non-cash charges primarily relate to stock-based compensation of $21.1 million, depreciation and amortization of $9.6 million, and a $3.3 million of reduction to our right-of-use lease assets. The net decrease in operating assets and liabilities is primarily driven by changes in accounts payable of $18.3 million due to the timing of payments, accounts receivable of $8.3 million due to increased sales and reductions in lease liabilities of $5.1 million, partially offset by changes in accrued expenses of $6.8 million and other assets of $4.4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60" w:firstLine="636"/>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investing activities was $6.0 million, primarily due to the purchase of property and equipment (which includes the internal-use software development costs) of $19.9 million and the purchase of marketable securities of $6.6 million offset by the sale of marketable securities of $20.5 million.</w:t>
      </w:r>
    </w:p>
    <w:p>
      <w:pPr>
        <w:spacing w:after="0" w:line="68" w:lineRule="exact"/>
        <w:rPr>
          <w:sz w:val="20"/>
          <w:szCs w:val="20"/>
          <w:color w:val="auto"/>
        </w:rPr>
      </w:pPr>
    </w:p>
    <w:p>
      <w:pPr>
        <w:ind w:right="80" w:firstLine="636"/>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$14.7 million, primarily due to the purchase of marketable securities $16.3 million and purchase of property and equipment (which includes the internal-use software development costs) of $13.6 million offset by the sale of marketable securities of $15.0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$2.5 million, primarily resulting from $241.4 million in net proceeds from the issuance of the 2030 Notes (net of issuance costs) and approximately $2.7 million from the exercise of stock options largely offset by outflows of $216.0 million to repurchase a portion of the 2027 Notes, approximately $17.5 million to purchase capped calls, and approximately $8.1 million to purchase treasury stock.</w:t>
      </w:r>
    </w:p>
    <w:p>
      <w:pPr>
        <w:spacing w:after="0" w:line="72" w:lineRule="exact"/>
        <w:rPr>
          <w:sz w:val="20"/>
          <w:szCs w:val="20"/>
          <w:color w:val="auto"/>
        </w:rPr>
      </w:pPr>
    </w:p>
    <w:p>
      <w:pPr>
        <w:ind w:right="140" w:firstLine="636"/>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$3.2 million, relating to proceeds from the exercise of stock options.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 2024 as well as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the notes to the condensed consolidated financial statements included in Part I, Item 1, of this Quarterly Report on Form 10-Q. There have been no material changes to our critical accounting policies and accounting estimates as compared to those disclosed in our Annual Report on Form 10-K for the year ended December 31, 2024.</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120" w:firstLine="644"/>
        <w:spacing w:after="0" w:line="267" w:lineRule="auto"/>
        <w:rPr>
          <w:sz w:val="20"/>
          <w:szCs w:val="20"/>
          <w:color w:val="auto"/>
        </w:rPr>
      </w:pPr>
      <w:r>
        <w:rPr>
          <w:rFonts w:ascii="Times New Roman" w:cs="Times New Roman" w:eastAsia="Times New Roman" w:hAnsi="Times New Roman"/>
          <w:sz w:val="18"/>
          <w:szCs w:val="18"/>
          <w:color w:val="auto"/>
        </w:rPr>
        <w:t xml:space="preserve">For a description of our recently adopted accounting pronouncements and recently issued accounting standards not yet adopted, see Note 2, </w:t>
      </w:r>
      <w:r>
        <w:rPr>
          <w:rFonts w:ascii="Times New Roman" w:cs="Times New Roman" w:eastAsia="Times New Roman" w:hAnsi="Times New Roman"/>
          <w:sz w:val="18"/>
          <w:szCs w:val="18"/>
          <w:i w:val="1"/>
          <w:iCs w:val="1"/>
          <w:color w:val="auto"/>
        </w:rPr>
        <w:t>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Presentation and Summary of Significant Accounting Policies </w:t>
      </w:r>
      <w:r>
        <w:rPr>
          <w:rFonts w:ascii="Times New Roman" w:cs="Times New Roman" w:eastAsia="Times New Roman" w:hAnsi="Times New Roman"/>
          <w:sz w:val="18"/>
          <w:szCs w:val="18"/>
          <w:color w:val="auto"/>
        </w:rPr>
        <w:t>in the notes to the condensed consolidated financial statements included in Part I,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Quarterly Report on Form 10-Q.</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60" w:firstLine="636"/>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firstLine="636"/>
        <w:spacing w:after="0" w:line="255" w:lineRule="auto"/>
        <w:rPr>
          <w:sz w:val="20"/>
          <w:szCs w:val="20"/>
          <w:color w:val="auto"/>
        </w:rPr>
      </w:pPr>
      <w:r>
        <w:rPr>
          <w:rFonts w:ascii="Times New Roman" w:cs="Times New Roman" w:eastAsia="Times New Roman" w:hAnsi="Times New Roman"/>
          <w:sz w:val="18"/>
          <w:szCs w:val="18"/>
          <w:color w:val="auto"/>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generated approximately 16% of our revenues for the nine months ended September 30, 2025, of which the majority was generated in Euros. If the average exchange rate of Euros changed unfavorably by 10%, our revenues for the nine months ended September 30, 2025 would have decreased by 1.3%. During the nine months ended September 30, 2025, our revenues were slightly impacted as the average exchange rate experienced modest fluctuations during the nine-month periods ending September 30, 2025 and September 30, 2024.</w:t>
      </w:r>
    </w:p>
    <w:p>
      <w:pPr>
        <w:sectPr>
          <w:pgSz w:w="11900" w:h="16838" w:orient="portrait"/>
          <w:cols w:equalWidth="0" w:num="1">
            <w:col w:w="11240"/>
          </w:cols>
          <w:pgMar w:left="320" w:top="769" w:right="339" w:bottom="1440" w:gutter="0" w:footer="0" w:header="0"/>
        </w:sectPr>
      </w:pP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636"/>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1" w:lineRule="exact"/>
        <w:rPr>
          <w:sz w:val="20"/>
          <w:szCs w:val="20"/>
          <w:color w:val="auto"/>
        </w:rPr>
      </w:pPr>
    </w:p>
    <w:p>
      <w:pPr>
        <w:jc w:val="both"/>
        <w:ind w:right="220" w:firstLine="636"/>
        <w:spacing w:after="0" w:line="261" w:lineRule="auto"/>
        <w:rPr>
          <w:sz w:val="20"/>
          <w:szCs w:val="20"/>
          <w:color w:val="auto"/>
        </w:rPr>
      </w:pPr>
      <w:r>
        <w:rPr>
          <w:rFonts w:ascii="Times New Roman" w:cs="Times New Roman" w:eastAsia="Times New Roman" w:hAnsi="Times New Roman"/>
          <w:sz w:val="18"/>
          <w:szCs w:val="18"/>
          <w:color w:val="auto"/>
        </w:rPr>
        <w:t>Pursuant to Rules 13a-15(e) and 15d-15(e) under the Exchange Act, our management, with the participation of our Chief Executive Officer and Chief Financial Officer, performed an evaluation of the effectiveness of our disclosure controls and procedures as of September 30, 2025. Based on such evaluation, our Chief Executive Officer and Chief Financial Officer concluded that our disclosure controls and procedures were effective at a reasonable assurance level as of September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636"/>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identified in connection with the evaluation required by Rule 13a-15(d) and 15d-15(d) of the Exchange Act that occurred during the quarter ended September 30, 2025,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636"/>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80" w:lineRule="exact"/>
        <w:rPr>
          <w:sz w:val="20"/>
          <w:szCs w:val="20"/>
          <w:color w:val="auto"/>
        </w:rPr>
      </w:pP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For the period ended September 30, 2025, there were no material legal proceedings brought against us nor were there any material developments to any ongoing legal proceedings which constituted reportable events.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644"/>
        <w:spacing w:after="0" w:line="219" w:lineRule="exact"/>
        <w:rPr>
          <w:sz w:val="20"/>
          <w:szCs w:val="20"/>
          <w:color w:val="auto"/>
        </w:rPr>
      </w:pPr>
      <w:r>
        <w:rPr>
          <w:rFonts w:ascii="Times New Roman" w:cs="Times New Roman" w:eastAsia="Times New Roman" w:hAnsi="Times New Roman"/>
          <w:sz w:val="18"/>
          <w:szCs w:val="18"/>
          <w:color w:val="auto"/>
        </w:rPr>
        <w:t>Investing in our Class A common stock involves a high degree of risk. You should carefully consider the risks and uncertainties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93" w:lineRule="exact"/>
        <w:rPr>
          <w:sz w:val="20"/>
          <w:szCs w:val="20"/>
          <w:color w:val="auto"/>
        </w:rPr>
      </w:pPr>
    </w:p>
    <w:p>
      <w:pPr>
        <w:ind w:right="40" w:firstLine="644"/>
        <w:spacing w:after="0" w:line="239" w:lineRule="exact"/>
        <w:rPr>
          <w:sz w:val="20"/>
          <w:szCs w:val="20"/>
          <w:color w:val="auto"/>
        </w:rPr>
      </w:pPr>
      <w:r>
        <w:rPr>
          <w:rFonts w:ascii="Times New Roman" w:cs="Times New Roman" w:eastAsia="Times New Roman" w:hAnsi="Times New Roman"/>
          <w:sz w:val="18"/>
          <w:szCs w:val="18"/>
          <w:color w:val="auto"/>
        </w:rPr>
        <w:t>Other than as set forth below, there have been no material changes to our risk factors as previously disclosed in Item 1A. contained in Part I of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could adversely impact our business, results of operations and financial condition.</w:t>
      </w:r>
    </w:p>
    <w:p>
      <w:pPr>
        <w:spacing w:after="0" w:line="121"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The recent announcements of substantial new tariffs and other restrictive trade policies have created a dynamic and unpredictable trade landscape, which may adversely impact our business. Current or future tariffs or other restrictive trade measures may raise the cost of raw materials, components or finished goods. We derive the majority of our revenue from the sale of parts and assemblies to our customers on our marketplace. Our business is therefore dependent upon the availability and price of raw materials, tools and components for assembly in various countries around the world. To the extent that significant tariffs, sanctions or similar restrictions are placed on certain goods imported into the United States or tariffs and similar measures, including retaliatory measures, are imposed by foreign governments, we could also face significant challenges in maintaining our cost-effectiveness, and we and our network of suppliers may be required to raise prices, thereby making our marketplace less attractive to buyers. To the extent suppliers increase their costs and we are unable to sufficiently pass such price increases on to our customers, or if the level of demand for the products and services we offer decreases as a result of any price increases, we may not be able to achieve or maintain profitability or otherwise maintain our historical margins. Our suppliers, and we as a result, may experience supply chain disruptions as a result of increased costs and uncertainty, including risks to the long-term viability of such suppliers, which may impact our ability to meet customer demand or cause reputational harm if we are unable to deliver products on expected timelines or if any price increases are poorly received by customers. In addition, many of our customers operate businesses that may be impacted by trade policies, which may result in decreased demand on our marketplace or extended sales cycles as customers assess the impact of evolving trade policies on their operations and face increased costs or decreased revenue due to tariffs and trade restrictions. As a result of the foregoing factors, our business, financial condition and results of operations could be materially and adversely affected.</w:t>
      </w:r>
    </w:p>
    <w:p>
      <w:pPr>
        <w:spacing w:after="0" w:line="88"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products on our marketplace,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Class A common stock.</w:t>
      </w:r>
    </w:p>
    <w:p>
      <w:pPr>
        <w:spacing w:after="0" w:line="75"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9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customers, suppliers, employees, partners and investors. Further, international suppliers may elect not to continue engaging us, limiting our sourcing options and increasing our dependency on domestic suppliers.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our Annual Report for the fiscal year ended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80" w:firstLine="644"/>
        <w:spacing w:after="0" w:line="312" w:lineRule="auto"/>
        <w:rPr>
          <w:sz w:val="20"/>
          <w:szCs w:val="20"/>
          <w:color w:val="auto"/>
        </w:rPr>
      </w:pPr>
      <w:r>
        <w:rPr>
          <w:rFonts w:ascii="Times New Roman" w:cs="Times New Roman" w:eastAsia="Times New Roman" w:hAnsi="Times New Roman"/>
          <w:sz w:val="17"/>
          <w:szCs w:val="17"/>
          <w:color w:val="auto"/>
        </w:rPr>
        <w:t>During our last fiscal quarter, our directors and officers (as defined in Rule 16a-1(f) under the Securities and Exchange Act of 1934, as amended) adopted or terminated the contracts, instructions or written plans for the purchase or sale of the Company’s securities, as set forth in the table below.</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0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Total Shares of</w:t>
            </w:r>
          </w:p>
        </w:tc>
        <w:tc>
          <w:tcPr>
            <w:tcW w:w="10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Adoption/Termination</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Rule</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10b5-1* 10b5-1**</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Sanjeev Singh Sahni</w:t>
            </w: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2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860" w:type="dxa"/>
            <w:vAlign w:val="bottom"/>
            <w:vMerge w:val="restart"/>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41,421</w:t>
            </w:r>
          </w:p>
        </w:tc>
        <w:tc>
          <w:tcPr>
            <w:tcW w:w="100" w:type="dxa"/>
            <w:vAlign w:val="bottom"/>
            <w:shd w:val="clear" w:color="auto" w:fill="CFF0FC"/>
          </w:tcPr>
          <w:p>
            <w:pPr>
              <w:spacing w:after="0"/>
              <w:rPr>
                <w:sz w:val="16"/>
                <w:szCs w:val="16"/>
                <w:color w:val="auto"/>
              </w:rPr>
            </w:pPr>
          </w:p>
        </w:tc>
        <w:tc>
          <w:tcPr>
            <w:tcW w:w="1360" w:type="dxa"/>
            <w:vAlign w:val="bottom"/>
            <w:vMerge w:val="restart"/>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vMerge w:val="restart"/>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10/1/2026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080" w:type="dxa"/>
            <w:vAlign w:val="bottom"/>
            <w:vMerge w:val="continue"/>
            <w:shd w:val="clear" w:color="auto" w:fill="CFF0FC"/>
          </w:tcPr>
          <w:p>
            <w:pPr>
              <w:spacing w:after="0"/>
              <w:rPr>
                <w:sz w:val="11"/>
                <w:szCs w:val="11"/>
                <w:color w:val="auto"/>
              </w:rPr>
            </w:pPr>
          </w:p>
        </w:tc>
        <w:tc>
          <w:tcPr>
            <w:tcW w:w="2140" w:type="dxa"/>
            <w:vAlign w:val="bottom"/>
            <w:vMerge w:val="continue"/>
            <w:shd w:val="clear" w:color="auto" w:fill="CFF0FC"/>
          </w:tcPr>
          <w:p>
            <w:pPr>
              <w:spacing w:after="0"/>
              <w:rPr>
                <w:sz w:val="11"/>
                <w:szCs w:val="11"/>
                <w:color w:val="auto"/>
              </w:rPr>
            </w:pPr>
          </w:p>
        </w:tc>
        <w:tc>
          <w:tcPr>
            <w:tcW w:w="860" w:type="dxa"/>
            <w:vAlign w:val="bottom"/>
            <w:vMerge w:val="continue"/>
            <w:shd w:val="clear" w:color="auto" w:fill="CFF0FC"/>
          </w:tcPr>
          <w:p>
            <w:pPr>
              <w:spacing w:after="0"/>
              <w:rPr>
                <w:sz w:val="11"/>
                <w:szCs w:val="11"/>
                <w:color w:val="auto"/>
              </w:rPr>
            </w:pPr>
          </w:p>
        </w:tc>
        <w:tc>
          <w:tcPr>
            <w:tcW w:w="780" w:type="dxa"/>
            <w:vAlign w:val="bottom"/>
            <w:vMerge w:val="continue"/>
            <w:shd w:val="clear" w:color="auto" w:fill="CFF0FC"/>
          </w:tcPr>
          <w:p>
            <w:pPr>
              <w:spacing w:after="0"/>
              <w:rPr>
                <w:sz w:val="11"/>
                <w:szCs w:val="11"/>
                <w:color w:val="auto"/>
              </w:rPr>
            </w:pPr>
          </w:p>
        </w:tc>
        <w:tc>
          <w:tcPr>
            <w:tcW w:w="14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4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vMerge w:val="continue"/>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Emily Rollins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8/11/2025</w:t>
            </w:r>
          </w:p>
        </w:tc>
        <w:tc>
          <w:tcPr>
            <w:tcW w:w="8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7"/>
                <w:szCs w:val="17"/>
                <w:color w:val="auto"/>
              </w:rPr>
            </w:pPr>
          </w:p>
        </w:tc>
        <w:tc>
          <w:tcPr>
            <w:tcW w:w="136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4/1/2026</w:t>
            </w:r>
          </w:p>
        </w:tc>
        <w:tc>
          <w:tcPr>
            <w:tcW w:w="0" w:type="dxa"/>
            <w:vAlign w:val="bottom"/>
          </w:tcPr>
          <w:p>
            <w:pPr>
              <w:spacing w:after="0"/>
              <w:rPr>
                <w:sz w:val="1"/>
                <w:szCs w:val="1"/>
                <w:color w:val="auto"/>
              </w:rPr>
            </w:pPr>
          </w:p>
        </w:tc>
      </w:tr>
      <w:tr>
        <w:trPr>
          <w:trHeight w:val="128"/>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0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Subir Dutt</w:t>
            </w:r>
          </w:p>
        </w:tc>
        <w:tc>
          <w:tcPr>
            <w:tcW w:w="1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21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8/18/2025</w:t>
            </w:r>
          </w:p>
        </w:tc>
        <w:tc>
          <w:tcPr>
            <w:tcW w:w="860" w:type="dxa"/>
            <w:vAlign w:val="bottom"/>
            <w:vMerge w:val="restart"/>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34,851</w:t>
            </w:r>
          </w:p>
        </w:tc>
        <w:tc>
          <w:tcPr>
            <w:tcW w:w="100" w:type="dxa"/>
            <w:vAlign w:val="bottom"/>
            <w:shd w:val="clear" w:color="auto" w:fill="CFF0FC"/>
          </w:tcPr>
          <w:p>
            <w:pPr>
              <w:spacing w:after="0"/>
              <w:rPr>
                <w:sz w:val="17"/>
                <w:szCs w:val="17"/>
                <w:color w:val="auto"/>
              </w:rPr>
            </w:pPr>
          </w:p>
        </w:tc>
        <w:tc>
          <w:tcPr>
            <w:tcW w:w="1360" w:type="dxa"/>
            <w:vAlign w:val="bottom"/>
            <w:vMerge w:val="restart"/>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vMerge w:val="restart"/>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7/1/2027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Sales Officer</w:t>
            </w:r>
          </w:p>
        </w:tc>
        <w:tc>
          <w:tcPr>
            <w:tcW w:w="1080" w:type="dxa"/>
            <w:vAlign w:val="bottom"/>
            <w:vMerge w:val="continue"/>
            <w:shd w:val="clear" w:color="auto" w:fill="CFF0FC"/>
          </w:tcPr>
          <w:p>
            <w:pPr>
              <w:spacing w:after="0"/>
              <w:rPr>
                <w:sz w:val="11"/>
                <w:szCs w:val="11"/>
                <w:color w:val="auto"/>
              </w:rPr>
            </w:pPr>
          </w:p>
        </w:tc>
        <w:tc>
          <w:tcPr>
            <w:tcW w:w="2140" w:type="dxa"/>
            <w:vAlign w:val="bottom"/>
            <w:vMerge w:val="continue"/>
            <w:shd w:val="clear" w:color="auto" w:fill="CFF0FC"/>
          </w:tcPr>
          <w:p>
            <w:pPr>
              <w:spacing w:after="0"/>
              <w:rPr>
                <w:sz w:val="11"/>
                <w:szCs w:val="11"/>
                <w:color w:val="auto"/>
              </w:rPr>
            </w:pPr>
          </w:p>
        </w:tc>
        <w:tc>
          <w:tcPr>
            <w:tcW w:w="860" w:type="dxa"/>
            <w:vAlign w:val="bottom"/>
            <w:vMerge w:val="continue"/>
            <w:shd w:val="clear" w:color="auto" w:fill="CFF0FC"/>
          </w:tcPr>
          <w:p>
            <w:pPr>
              <w:spacing w:after="0"/>
              <w:rPr>
                <w:sz w:val="11"/>
                <w:szCs w:val="11"/>
                <w:color w:val="auto"/>
              </w:rPr>
            </w:pPr>
          </w:p>
        </w:tc>
        <w:tc>
          <w:tcPr>
            <w:tcW w:w="780" w:type="dxa"/>
            <w:vAlign w:val="bottom"/>
            <w:vMerge w:val="continue"/>
            <w:shd w:val="clear" w:color="auto" w:fill="CFF0FC"/>
          </w:tcPr>
          <w:p>
            <w:pPr>
              <w:spacing w:after="0"/>
              <w:rPr>
                <w:sz w:val="11"/>
                <w:szCs w:val="11"/>
                <w:color w:val="auto"/>
              </w:rPr>
            </w:pPr>
          </w:p>
        </w:tc>
        <w:tc>
          <w:tcPr>
            <w:tcW w:w="14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vMerge w:val="continue"/>
            <w:shd w:val="clear" w:color="auto" w:fill="CFF0FC"/>
          </w:tcPr>
          <w:p>
            <w:pPr>
              <w:spacing w:after="0"/>
              <w:rPr>
                <w:sz w:val="11"/>
                <w:szCs w:val="11"/>
                <w:color w:val="auto"/>
              </w:rPr>
            </w:pPr>
          </w:p>
        </w:tc>
        <w:tc>
          <w:tcPr>
            <w:tcW w:w="14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vMerge w:val="continue"/>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Randy Altschuler</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Adopted</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8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100" w:type="dxa"/>
            <w:vAlign w:val="bottom"/>
          </w:tcPr>
          <w:p>
            <w:pPr>
              <w:spacing w:after="0"/>
              <w:rPr>
                <w:sz w:val="17"/>
                <w:szCs w:val="17"/>
                <w:color w:val="auto"/>
              </w:rPr>
            </w:pPr>
          </w:p>
        </w:tc>
        <w:tc>
          <w:tcPr>
            <w:tcW w:w="136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3/10/2027</w:t>
            </w:r>
          </w:p>
        </w:tc>
        <w:tc>
          <w:tcPr>
            <w:tcW w:w="0" w:type="dxa"/>
            <w:vAlign w:val="bottom"/>
          </w:tcPr>
          <w:p>
            <w:pPr>
              <w:spacing w:after="0"/>
              <w:rPr>
                <w:sz w:val="1"/>
                <w:szCs w:val="1"/>
                <w:color w:val="auto"/>
              </w:rPr>
            </w:pPr>
          </w:p>
        </w:tc>
      </w:tr>
      <w:tr>
        <w:trPr>
          <w:trHeight w:val="128"/>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98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right="3380" w:firstLine="8"/>
        <w:spacing w:after="0" w:line="239" w:lineRule="auto"/>
        <w:tabs>
          <w:tab w:leader="none" w:pos="10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instruction or written plan intended to satisfy the affirmative defense conditions of Rule 10b5-1(c) under the Exchange Act. ** “Non-Rule 10b5-1 trading arrangement” as defined in Item 408(c) of Regulation S-K under the Exchange Act.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580" w:firstLine="644"/>
        <w:spacing w:after="0" w:line="282"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180" w:type="dxa"/>
            <w:vAlign w:val="bottom"/>
            <w:gridSpan w:val="12"/>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18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8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Amended and Restated Certificate of Incorporation of Xometry, Inc., (incorporated herein by reference to Exhibit 3.1 to the Company’s</w:t>
              </w:r>
            </w:hyperlink>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Current Report on Form 8-K (File No. 001-40546), filed with the SEC on July 2, 2021).</w:t>
              </w:r>
            </w:hyperlink>
          </w:p>
        </w:tc>
        <w:tc>
          <w:tcPr>
            <w:tcW w:w="20" w:type="dxa"/>
            <w:vAlign w:val="bottom"/>
            <w:tcBorders>
              <w:bottom w:val="single" w:sz="8" w:color="0000EE"/>
            </w:tcBorders>
          </w:tcPr>
          <w:p>
            <w:pPr>
              <w:spacing w:after="0"/>
              <w:rPr>
                <w:sz w:val="17"/>
                <w:szCs w:val="17"/>
                <w:color w:val="auto"/>
              </w:rPr>
            </w:pPr>
          </w:p>
        </w:tc>
        <w:tc>
          <w:tcPr>
            <w:tcW w:w="3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97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Amended and Restated Bylaws of Xometry, Inc., (incorporated herein by reference to Exhibit 3.2 to the Company’s Current Report on</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Form 8-K (File No. 001-40546), filed with the SEC on July 2, 2021).</w:t>
              </w:r>
            </w:hyperlink>
          </w:p>
        </w:tc>
        <w:tc>
          <w:tcPr>
            <w:tcW w:w="20" w:type="dxa"/>
            <w:vAlign w:val="bottom"/>
            <w:tcBorders>
              <w:bottom w:val="single" w:sz="8" w:color="0000EE"/>
            </w:tcBorders>
          </w:tcPr>
          <w:p>
            <w:pPr>
              <w:spacing w:after="0"/>
              <w:rPr>
                <w:sz w:val="17"/>
                <w:szCs w:val="17"/>
                <w:color w:val="auto"/>
              </w:rPr>
            </w:pPr>
          </w:p>
        </w:tc>
        <w:tc>
          <w:tcPr>
            <w:tcW w:w="51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9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96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100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1004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0"/>
                <w:szCs w:val="20"/>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320" w:firstLine="8"/>
        <w:spacing w:after="0" w:line="399" w:lineRule="auto"/>
        <w:tabs>
          <w:tab w:leader="none" w:pos="113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420" w:hanging="512"/>
        <w:spacing w:after="0" w:line="255" w:lineRule="auto"/>
        <w:tabs>
          <w:tab w:leader="none" w:pos="4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9512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XOMETRY, INC.</w:t>
      </w:r>
    </w:p>
    <w:p>
      <w:pPr>
        <w:spacing w:after="0" w:line="225"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3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769" w:right="12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25"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Miln, certify that:</w:t>
      </w:r>
    </w:p>
    <w:p>
      <w:pPr>
        <w:spacing w:after="0" w:line="225"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00" w:right="1940" w:hanging="442"/>
        <w:spacing w:after="0" w:line="282" w:lineRule="auto"/>
        <w:tabs>
          <w:tab w:leader="none" w:pos="8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ended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James Miln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431BD7B7"/>
    <w:multiLevelType w:val="hybridMultilevel"/>
    <w:lvl w:ilvl="0">
      <w:lvlJc w:val="left"/>
      <w:lvlText w:val="(%1)"/>
      <w:numFmt w:val="lowerLetter"/>
      <w:start w:val="11"/>
    </w:lvl>
  </w:abstractNum>
  <w:abstractNum w:abstractNumId="5">
    <w:nsid w:val="3F2DBA31"/>
    <w:multiLevelType w:val="hybridMultilevel"/>
    <w:lvl w:ilvl="0">
      <w:lvlJc w:val="left"/>
      <w:lvlText w:val="(%1)"/>
      <w:numFmt w:val="lowerLetter"/>
      <w:start w:val="12"/>
    </w:lvl>
  </w:abstractNum>
  <w:abstractNum w:abstractNumId="6">
    <w:nsid w:val="7C83E458"/>
    <w:multiLevelType w:val="hybridMultilevel"/>
    <w:lvl w:ilvl="0">
      <w:lvlJc w:val="left"/>
      <w:lvlText w:val="(%1)"/>
      <w:numFmt w:val="lowerLetter"/>
      <w:start w:val="13"/>
    </w:lvl>
  </w:abstractNum>
  <w:abstractNum w:abstractNumId="7">
    <w:nsid w:val="257130A3"/>
    <w:multiLevelType w:val="hybridMultilevel"/>
    <w:lvl w:ilvl="0">
      <w:lvlJc w:val="left"/>
      <w:lvlText w:val="(%1)"/>
      <w:numFmt w:val="lowerLetter"/>
      <w:start w:val="14"/>
    </w:lvl>
  </w:abstractNum>
  <w:abstractNum w:abstractNumId="8">
    <w:nsid w:val="62BBD95A"/>
    <w:multiLevelType w:val="hybridMultilevel"/>
    <w:lvl w:ilvl="0">
      <w:lvlJc w:val="left"/>
      <w:lvlText w:val="(%1)"/>
      <w:numFmt w:val="lowerLetter"/>
      <w:start w:val="15"/>
    </w:lvl>
  </w:abstractNum>
  <w:abstractNum w:abstractNumId="9">
    <w:nsid w:val="436C6125"/>
    <w:multiLevelType w:val="hybridMultilevel"/>
    <w:lvl w:ilvl="0">
      <w:lvlJc w:val="left"/>
      <w:lvlText w:val="(%1)"/>
      <w:numFmt w:val="lowerLetter"/>
      <w:start w:val="16"/>
    </w:lvl>
  </w:abstractNum>
  <w:abstractNum w:abstractNumId="10">
    <w:nsid w:val="628C895D"/>
    <w:multiLevelType w:val="hybridMultilevel"/>
    <w:lvl w:ilvl="0">
      <w:lvlJc w:val="left"/>
      <w:lvlText w:val="(%1)"/>
      <w:numFmt w:val="lowerLetter"/>
      <w:start w:val="17"/>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lowerLetter"/>
      <w:start w:val="18"/>
    </w:lvl>
  </w:abstractNum>
  <w:abstractNum w:abstractNumId="13">
    <w:nsid w:val="2443A858"/>
    <w:multiLevelType w:val="hybridMultilevel"/>
    <w:lvl w:ilvl="0">
      <w:lvlJc w:val="left"/>
      <w:lvlText w:val="(%1)"/>
      <w:numFmt w:val="lowerLetter"/>
      <w:start w:val="19"/>
    </w:lvl>
  </w:abstractNum>
  <w:abstractNum w:abstractNumId="14">
    <w:nsid w:val="2D1D5AE9"/>
    <w:multiLevelType w:val="hybridMultilevel"/>
    <w:lvl w:ilvl="0">
      <w:lvlJc w:val="left"/>
      <w:lvlText w:val="(%1)"/>
      <w:numFmt w:val="lowerLetter"/>
      <w:start w:val="20"/>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A"/>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lvl w:ilvl="1">
      <w:lvlJc w:val="left"/>
      <w:lvlText w:val="%2"/>
      <w:numFmt w:val="decimal"/>
      <w:start w:val="104"/>
    </w:lvl>
  </w:abstractNum>
  <w:abstractNum w:abstractNumId="25">
    <w:nsid w:val="836C40E"/>
    <w:multiLevelType w:val="hybridMultilevel"/>
    <w:lvl w:ilvl="0">
      <w:lvlJc w:val="left"/>
      <w:lvlText w:val="**"/>
      <w:numFmt w:val="bullet"/>
      <w:start w:val="1"/>
    </w:lvl>
    <w:lvl w:ilvl="1">
      <w:lvlJc w:val="left"/>
      <w:lvlText w:val="%2"/>
      <w:numFmt w:val="decimal"/>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decimal"/>
      <w:start w:val="1"/>
    </w:lvl>
  </w:abstractNum>
  <w:abstractNum w:abstractNumId="29">
    <w:nsid w:val="1E7FF521"/>
    <w:multiLevelType w:val="hybridMultilevel"/>
    <w:lvl w:ilvl="0">
      <w:lvlJc w:val="left"/>
      <w:lvlText w:val="(%1)"/>
      <w:numFmt w:val="decimal"/>
      <w:start w:val="2"/>
    </w:lvl>
    <w:lvl w:ilvl="1">
      <w:lvlJc w:val="left"/>
      <w:lvlText w:val="%2"/>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32" Type="http://schemas.openxmlformats.org/officeDocument/2006/relationships/hyperlink" Target="https://www.sec.gov/Archives/edgar/data/0001657573/000119312521207643/d184650dex31.htm" TargetMode="External"/><Relationship Id="rId433" Type="http://schemas.openxmlformats.org/officeDocument/2006/relationships/hyperlink" Target="https://www.sec.gov/Archives/edgar/data/0001657573/000119312521207643/d1846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2025-11-04T15:25:58Z</dcterms:created>
  <dcterms:modified xsi:type="dcterms:W3CDTF">2025-11-04T15:25:58Z</dcterms:modified>
</cp:coreProperties>
</file>