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Xometry,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001-40546</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32-0415449</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8"/>
              </w:rPr>
              <w:t>7529 Standish Place, Suite 200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Derwood, Maryland</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20855</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240 335-7914</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XMTR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Agreement.</w:t>
      </w:r>
    </w:p>
    <w:p>
      <w:pPr>
        <w:spacing w:after="0" w:line="121" w:lineRule="exact"/>
        <w:rPr>
          <w:sz w:val="20"/>
          <w:szCs w:val="20"/>
          <w:color w:val="auto"/>
        </w:rPr>
      </w:pPr>
    </w:p>
    <w:p>
      <w:pPr>
        <w:ind w:right="480" w:firstLine="440"/>
        <w:spacing w:after="0" w:line="311" w:lineRule="auto"/>
        <w:rPr>
          <w:sz w:val="20"/>
          <w:szCs w:val="20"/>
          <w:color w:val="auto"/>
        </w:rPr>
      </w:pPr>
      <w:r>
        <w:rPr>
          <w:rFonts w:ascii="Arial" w:cs="Arial" w:eastAsia="Arial" w:hAnsi="Arial"/>
          <w:sz w:val="16"/>
          <w:szCs w:val="16"/>
          <w:color w:val="auto"/>
        </w:rPr>
        <w:t>On February 4, 2022, Xometry,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completed its previously announced private offering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of $250 million aggregate principal amount of 1.00% Convertible Senior Notes due 2027 (the “</w:t>
      </w:r>
      <w:r>
        <w:rPr>
          <w:rFonts w:ascii="Arial" w:cs="Arial" w:eastAsia="Arial" w:hAnsi="Arial"/>
          <w:sz w:val="16"/>
          <w:szCs w:val="16"/>
          <w:b w:val="1"/>
          <w:bCs w:val="1"/>
          <w:i w:val="1"/>
          <w:iCs w:val="1"/>
          <w:color w:val="auto"/>
        </w:rPr>
        <w:t>Notes</w:t>
      </w:r>
      <w:r>
        <w:rPr>
          <w:rFonts w:ascii="Arial" w:cs="Arial" w:eastAsia="Arial" w:hAnsi="Arial"/>
          <w:sz w:val="16"/>
          <w:szCs w:val="16"/>
          <w:color w:val="auto"/>
        </w:rPr>
        <w:t>”). The Notes were issued pursuant to an indenture, dated February 4, 2022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between the Company and U.S. Bank Trust Company, National Association, as trustee.</w:t>
      </w:r>
    </w:p>
    <w:p>
      <w:pPr>
        <w:spacing w:after="0" w:line="149" w:lineRule="exact"/>
        <w:rPr>
          <w:sz w:val="20"/>
          <w:szCs w:val="20"/>
          <w:color w:val="auto"/>
        </w:rPr>
      </w:pPr>
    </w:p>
    <w:p>
      <w:pPr>
        <w:ind w:right="60" w:firstLine="440"/>
        <w:spacing w:after="0" w:line="285" w:lineRule="auto"/>
        <w:rPr>
          <w:sz w:val="20"/>
          <w:szCs w:val="20"/>
          <w:color w:val="auto"/>
        </w:rPr>
      </w:pPr>
      <w:r>
        <w:rPr>
          <w:rFonts w:ascii="Arial" w:cs="Arial" w:eastAsia="Arial" w:hAnsi="Arial"/>
          <w:sz w:val="16"/>
          <w:szCs w:val="16"/>
          <w:color w:val="auto"/>
        </w:rPr>
        <w:t>The Notes are general unsecured obligations of the Company and will mature on February 1, 2027, unless earlier converted, redeemed or repurchased. Interest on the Notes will accrue at a rate of 1.00% per year from February 4, 2022 and will be payable semiannually in arrears on February 1 and August 1 of each year, beginning on August 1, 2022. The Notes are convertible at the option of the holders at any time prior to the close of business on the business day immediately preceding November 1, 2026, only under the following conditions: (1) during any calendar quarter commencing after the calendar quarter ending on June 30, 2022 (and only during such calendar quarter), if the last reported sale price of the Company’s Class A common stock, par value $0.000001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for at least 20 trading days (whether or not consecutive) during a period of 30 consecutive trading days ending on, and including, the last trading day of the immediately preceding calendar quarter is greater than or equal to 130% of the conversion price for the Notes on each applicable trading day; (2) during the five business day period after any ten consecutive trading day period (the “</w:t>
      </w:r>
      <w:r>
        <w:rPr>
          <w:rFonts w:ascii="Arial" w:cs="Arial" w:eastAsia="Arial" w:hAnsi="Arial"/>
          <w:sz w:val="16"/>
          <w:szCs w:val="16"/>
          <w:b w:val="1"/>
          <w:bCs w:val="1"/>
          <w:i w:val="1"/>
          <w:iCs w:val="1"/>
          <w:color w:val="auto"/>
        </w:rPr>
        <w:t>measurement period</w:t>
      </w:r>
      <w:r>
        <w:rPr>
          <w:rFonts w:ascii="Arial" w:cs="Arial" w:eastAsia="Arial" w:hAnsi="Arial"/>
          <w:sz w:val="16"/>
          <w:szCs w:val="16"/>
          <w:color w:val="auto"/>
        </w:rPr>
        <w:t>”) in which the trading price (as defined in the Indenture) per $1,000 principal amount of the Notes for each trading day of the measurement period was less than 98% of the product of the last reported sale price of the Common Stock and the conversion rate for the Notes on each such trading day; (3) if the Company calls such Notes for redemption, at any time prior to the close of business on the scheduled trading day immediately preceding the redemption date, but only with respect to the Notes called (or deemed called) for redemption; and (4) upon the occurrence of specified corporate events as set forth in the Indenture. On or after November 1, 2026, until the close of business on the second scheduled trading day immediately preceding the maturity date, holders of the Notes may convert all or any portion of their Notes at any time, at the option of the holder regardless of the foregoing conditions. Upon conversion, the Company may satisfy its conversion obligation by paying or delivering, as the case may be, cash, shares of Common Stock or a combination of cash and shares of Common Stock, at the Company’s election, in the manner and subject to the terms and conditions provided in the Indenture.</w:t>
      </w:r>
    </w:p>
    <w:p>
      <w:pPr>
        <w:spacing w:after="0" w:line="174"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The conversion rate for the Notes will initially be 17.8213 shares of Common Stock per $1,000 principal amount of Notes, which is equivalent to an initial conversion price of approximately $56.11 per share of Common Stock. The initial conversion price of the Notes represents a premium of approximately 27.5% to the last reported sale price of the Common Stock on Nasdaq Global Select Market on February 1, 2022. The conversion rate for the Notes is subject to adjustment in some events in accordance with the terms of the Indenture but will not be adjusted for any accrued and unpaid interest. In addition, following certain corporate events that occur prior to the maturity date of the Notes or if the Company delivers a notice of redemption in respect of the Notes, the Company will, under certain circumstances, increase the conversion rate of the Notes for a holder who elects to convert its Notes in connection with such a corporate event or convert its Notes called (or deemed called) for redemption in connection with such notice of redemption, as the case may be</w:t>
      </w:r>
    </w:p>
    <w:p>
      <w:pPr>
        <w:spacing w:after="0" w:line="19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Company may not redeem the Notes prior to February 5, 2025. The Company may redeem for cash all or any portion of the Notes (subject to certain limitations described in the Indenture), at its option, on or after February 5, 2025, if the last reported sale price of the Common Stock has been at least 130% of the conversion price for the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accrued and unpaid special interest, if any, to, but excluding, the redemption date. If the Company redeems less than all the outstanding Notes, at least $100 million aggregate principal amount of Notes must be outstanding and not subject to redemption as of, and after giving effect to, delivery of the relevant notice of redemption. No sinking fund is provided for the Notes.</w:t>
      </w:r>
    </w:p>
    <w:p>
      <w:pPr>
        <w:spacing w:after="0" w:line="17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Notes to be repurchased, plus accrued and unpaid special interest, if any, to, but excluding, the fundamental change repurchase date.</w:t>
      </w:r>
    </w:p>
    <w:p>
      <w:pPr>
        <w:sectPr>
          <w:pgSz w:w="11900" w:h="16838" w:orient="portrait"/>
          <w:cols w:equalWidth="0" w:num="1">
            <w:col w:w="11000"/>
          </w:cols>
          <w:pgMar w:left="440" w:top="297" w:right="459" w:bottom="1440" w:gutter="0" w:footer="0" w:header="0"/>
        </w:sectPr>
      </w:pPr>
    </w:p>
    <w:bookmarkStart w:id="2" w:name="page3"/>
    <w:bookmarkEnd w:id="2"/>
    <w:p>
      <w:pPr>
        <w:jc w:val="both"/>
        <w:ind w:right="1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Indenture includes customary covenants and sets forth certain events of default after which the Notes may be declared immediately due and payable and sets forth certain types of bankruptcy or insolvency events of default involving the Company after which the Notes become automatically due and payable. The following events are considered “events of default” under the Indenture:</w:t>
      </w:r>
    </w:p>
    <w:p>
      <w:pPr>
        <w:spacing w:after="0" w:line="89"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default in any payment of special interest on any Note when due and payable and the default continues for a period of 30 days;</w:t>
      </w:r>
    </w:p>
    <w:p>
      <w:pPr>
        <w:spacing w:after="0" w:line="142" w:lineRule="exact"/>
        <w:rPr>
          <w:rFonts w:ascii="Arial" w:cs="Arial" w:eastAsia="Arial" w:hAnsi="Arial"/>
          <w:sz w:val="17"/>
          <w:szCs w:val="17"/>
          <w:color w:val="auto"/>
        </w:rPr>
      </w:pPr>
    </w:p>
    <w:p>
      <w:pPr>
        <w:ind w:left="960" w:right="1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the payment of principal of any Note when due and payable at its stated maturity, upon optional redemption, upon any required repurchase, upon declaration of acceleration or otherwise;</w:t>
      </w:r>
    </w:p>
    <w:p>
      <w:pPr>
        <w:spacing w:after="0" w:line="75" w:lineRule="exact"/>
        <w:rPr>
          <w:rFonts w:ascii="Arial" w:cs="Arial" w:eastAsia="Arial" w:hAnsi="Arial"/>
          <w:sz w:val="18"/>
          <w:szCs w:val="18"/>
          <w:color w:val="auto"/>
        </w:rPr>
      </w:pPr>
    </w:p>
    <w:p>
      <w:pPr>
        <w:ind w:left="960" w:right="32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 to convert the Notes in accordance with the Indenture upon exercise of a holder’s conversion right, and such failure continues for three business days;</w:t>
      </w:r>
    </w:p>
    <w:p>
      <w:pPr>
        <w:spacing w:after="0" w:line="75" w:lineRule="exact"/>
        <w:rPr>
          <w:rFonts w:ascii="Arial" w:cs="Arial" w:eastAsia="Arial" w:hAnsi="Arial"/>
          <w:sz w:val="18"/>
          <w:szCs w:val="18"/>
          <w:color w:val="auto"/>
        </w:rPr>
      </w:pPr>
    </w:p>
    <w:p>
      <w:pPr>
        <w:ind w:left="960" w:right="60" w:hanging="424"/>
        <w:spacing w:after="0" w:line="308"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failure by the Company to give (i) a fundamental change notice or notice of a make-whole fundamental change, and such failure continues for two business days or (ii) notice of certain specified corporate events, and such failure continues for one business day;</w:t>
      </w:r>
    </w:p>
    <w:p>
      <w:pPr>
        <w:spacing w:after="0" w:line="51" w:lineRule="exact"/>
        <w:rPr>
          <w:rFonts w:ascii="Arial" w:cs="Arial" w:eastAsia="Arial" w:hAnsi="Arial"/>
          <w:sz w:val="17"/>
          <w:szCs w:val="17"/>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obligations in respect of any consolidation, merger or sale of assets;</w:t>
      </w:r>
    </w:p>
    <w:p>
      <w:pPr>
        <w:spacing w:after="0" w:line="130" w:lineRule="exact"/>
        <w:rPr>
          <w:rFonts w:ascii="Arial" w:cs="Arial" w:eastAsia="Arial" w:hAnsi="Arial"/>
          <w:sz w:val="18"/>
          <w:szCs w:val="18"/>
          <w:color w:val="auto"/>
        </w:rPr>
      </w:pPr>
    </w:p>
    <w:p>
      <w:pPr>
        <w:ind w:left="960" w:right="40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by the Company to comply with any of the other agreements in the Indenture for 60 days after receipt of written notice of such failure from the trustee or the holders of at least 25% in principal amount of the Notes then outstanding;</w:t>
      </w:r>
    </w:p>
    <w:p>
      <w:pPr>
        <w:spacing w:after="0" w:line="75" w:lineRule="exact"/>
        <w:rPr>
          <w:rFonts w:ascii="Arial" w:cs="Arial" w:eastAsia="Arial" w:hAnsi="Arial"/>
          <w:sz w:val="18"/>
          <w:szCs w:val="18"/>
          <w:color w:val="auto"/>
        </w:rPr>
      </w:pPr>
    </w:p>
    <w:p>
      <w:pPr>
        <w:ind w:left="960" w:right="20" w:hanging="424"/>
        <w:spacing w:after="0" w:line="288"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default by the Company or any of its significant subsidiaries (as defined in the Indenture) with respect to any mortgage, agreement or other instrument under which there may be outstanding, or by which there may be secured or evidenced, any indebtedness for money borrowed in excess of $50,000,000 (or its foreign currency equivalent), in the aggregate of the Company and/or any of the Company’s significant subsidiaries, whether such indebtedness now exists or shall hereafter be created, (i) resulting in such indebtedness becoming or being declared due and payable prior to its stated maturity date or (ii) constituting a failure to pay the principal of any such indebtedness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30 days after written notice to the Company by the trustee or to the Company and the trustee by holders of at least 25% in aggregate principal amount of the Notes then outstanding in accordance with the Indenture; and</w:t>
      </w:r>
    </w:p>
    <w:p>
      <w:pPr>
        <w:spacing w:after="0" w:line="73" w:lineRule="exact"/>
        <w:rPr>
          <w:rFonts w:ascii="Arial" w:cs="Arial" w:eastAsia="Arial" w:hAnsi="Arial"/>
          <w:sz w:val="16"/>
          <w:szCs w:val="16"/>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the Company or any of the Company’s significant subsidiaries.</w:t>
      </w:r>
    </w:p>
    <w:p>
      <w:pPr>
        <w:spacing w:after="0" w:line="225"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If certain bankruptcy and insolvency-related events of default occur with respect to the Company, the principal of, and accrued and unpaid special interest, if any, on, all of the Notes then outstanding shall automatically become due and payable. If an event of default with respect to the Notes, other than certain bankruptcy and insolvency-related events of default with respect to the Company, occurs and is continuing, the trustee, by notice to the Company, or the holders of at least 25% in principal amount of the outstanding Notes by notice to the Company and the trustee, may declare 100% of the principal of, and accrued and unpaid special interest, if any, on, all the outstanding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special interest on the Notes.</w:t>
      </w:r>
    </w:p>
    <w:p>
      <w:pPr>
        <w:spacing w:after="0" w:line="17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Notes and the Indenture; and (ii) immediately after giving effect to such transaction, no default or event of default has occurred and is continuing under the Indenture.</w:t>
      </w:r>
    </w:p>
    <w:p>
      <w:pPr>
        <w:spacing w:after="0" w:line="19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A copy of the Indenture is attached hereto as Exhibit 4.1 (including the form of the Notes attached hereto as Exhibit 4.2) and is incorporated herein by reference (and this description is qualified in its entirety by reference to such document).</w:t>
      </w:r>
    </w:p>
    <w:p>
      <w:pPr>
        <w:sectPr>
          <w:pgSz w:w="11900" w:h="16838" w:orient="portrait"/>
          <w:cols w:equalWidth="0" w:num="1">
            <w:col w:w="11000"/>
          </w:cols>
          <w:pgMar w:left="440" w:top="301" w:right="459" w:bottom="1440" w:gutter="0" w:footer="0" w:header="0"/>
        </w:sectPr>
      </w:pPr>
    </w:p>
    <w:bookmarkStart w:id="3" w:name="page4"/>
    <w:bookmarkEnd w:id="3"/>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1.01 of this Current Report on Form 8-K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 of Equity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1.01 of this Current Report on Form 8-K is incorporated herein by reference.</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Company offered and sold the Notes to the initial purchasers in reliance on the exemption from registration provided by Section 4(a)(2)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and for resale by the initial purchasers to persons reasonably believed to be qualified institutional buyers pursuant to the exemption from registration provided by Section 4(a)(2) and Rule 144A under the Securities Act. The Company relied on these exemptions from registration based in part on representations made by the initial purchasers in the purchase agreement dated February 1, 2022 by and among the Company and the initial purchasers.</w:t>
      </w:r>
    </w:p>
    <w:p>
      <w:pPr>
        <w:spacing w:after="0" w:line="188"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The Notes and the shares of Common Stock issuable upon conversion of the Notes, if any, have not been registered under the Securities Act and may not be offered or sold in the United States absent registration or an applicable exemption from registration requirements.</w:t>
      </w:r>
    </w:p>
    <w:p>
      <w:pPr>
        <w:spacing w:after="0" w:line="146" w:lineRule="exact"/>
        <w:rPr>
          <w:sz w:val="20"/>
          <w:szCs w:val="20"/>
          <w:color w:val="auto"/>
        </w:rPr>
      </w:pPr>
    </w:p>
    <w:p>
      <w:pPr>
        <w:ind w:right="240" w:firstLine="440"/>
        <w:spacing w:after="0" w:line="273" w:lineRule="auto"/>
        <w:rPr>
          <w:sz w:val="20"/>
          <w:szCs w:val="20"/>
          <w:color w:val="auto"/>
        </w:rPr>
      </w:pPr>
      <w:r>
        <w:rPr>
          <w:rFonts w:ascii="Arial" w:cs="Arial" w:eastAsia="Arial" w:hAnsi="Arial"/>
          <w:sz w:val="17"/>
          <w:szCs w:val="17"/>
          <w:color w:val="auto"/>
        </w:rPr>
        <w:t>To the extent that any shares of Common Stock are issued upon conversion of the Notes, they will be issued in transactions anticipated to be exempt from registration under the Securities Act by virtue of Section 3(a)(9) thereof because no commission or other remuneration is expected to be paid in connection with conversion of the Notes and any resulting issuance of shares of Common Stock. Initially, a maximum of 5,680,525 (or if the initial purchasers exercise their option to purchase an additional $37.5 million principal amount of Notes in full, 6,532,603) shares of the Company’s Common Stock may be issued upon conversion of the Notes based on the initial maximum conversion rate of 22.7221 shares of Common Stock per $1,000 principal amount of Notes, which is subject to customary anti-dilution adjustment provisions.</w:t>
      </w:r>
    </w:p>
    <w:p>
      <w:pPr>
        <w:spacing w:after="0" w:line="32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On February 2, 2022, the Company issued a press release announcing the pricing of the Notes. A copy of the press release is attached hereto as Exhibit 99.1 and is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right"/>
              <w:ind w:right="476"/>
              <w:spacing w:after="0"/>
              <w:rPr>
                <w:sz w:val="20"/>
                <w:szCs w:val="20"/>
                <w:color w:val="auto"/>
              </w:rPr>
            </w:pPr>
            <w:r>
              <w:rPr>
                <w:rFonts w:ascii="Arial" w:cs="Arial" w:eastAsia="Arial" w:hAnsi="Arial"/>
                <w:sz w:val="14"/>
                <w:szCs w:val="14"/>
                <w:b w:val="1"/>
                <w:bCs w:val="1"/>
                <w:color w:val="auto"/>
                <w:w w:val="98"/>
              </w:rPr>
              <w:t>Exhibit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240" w:type="dxa"/>
            <w:vAlign w:val="bottom"/>
            <w:gridSpan w:val="2"/>
            <w:vMerge w:val="restart"/>
          </w:tcPr>
          <w:p>
            <w:pPr>
              <w:ind w:left="1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040" w:type="dxa"/>
            <w:vAlign w:val="bottom"/>
          </w:tcPr>
          <w:p>
            <w:pPr>
              <w:jc w:val="right"/>
              <w:ind w:right="636"/>
              <w:spacing w:after="0"/>
              <w:rPr>
                <w:sz w:val="20"/>
                <w:szCs w:val="20"/>
                <w:color w:val="auto"/>
              </w:rPr>
            </w:pPr>
            <w:r>
              <w:rPr>
                <w:rFonts w:ascii="Arial" w:cs="Arial" w:eastAsia="Arial" w:hAnsi="Arial"/>
                <w:sz w:val="18"/>
                <w:szCs w:val="18"/>
                <w:color w:val="auto"/>
              </w:rPr>
              <w:t>4.1</w:t>
            </w:r>
          </w:p>
        </w:tc>
        <w:tc>
          <w:tcPr>
            <w:tcW w:w="97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Indenture, dated as of February 4, 2022, by and between Xometry, Inc. and U.S. Bank Trust Company, National Association as Trustee</w:t>
              </w:r>
            </w:hyperlink>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636"/>
              <w:spacing w:after="0"/>
              <w:rPr>
                <w:sz w:val="20"/>
                <w:szCs w:val="20"/>
                <w:color w:val="auto"/>
              </w:rPr>
            </w:pPr>
            <w:r>
              <w:rPr>
                <w:rFonts w:ascii="Arial" w:cs="Arial" w:eastAsia="Arial" w:hAnsi="Arial"/>
                <w:sz w:val="18"/>
                <w:szCs w:val="18"/>
                <w:color w:val="auto"/>
              </w:rPr>
              <w:t>4.2</w:t>
            </w:r>
          </w:p>
        </w:tc>
        <w:tc>
          <w:tcPr>
            <w:tcW w:w="99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16">
              <w:r>
                <w:rPr>
                  <w:rFonts w:ascii="Arial" w:cs="Arial" w:eastAsia="Arial" w:hAnsi="Arial"/>
                  <w:sz w:val="18"/>
                  <w:szCs w:val="18"/>
                  <w:color w:val="0000EE"/>
                  <w:w w:val="91"/>
                </w:rPr>
                <w:t>Form of Global Note representing Xometry, Inc.’s 1.00% Convertible Senior Notes due 2027 (included as Exhibit A to the Indenture filed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6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16">
              <w:r>
                <w:rPr>
                  <w:rFonts w:ascii="Arial" w:cs="Arial" w:eastAsia="Arial" w:hAnsi="Arial"/>
                  <w:sz w:val="18"/>
                  <w:szCs w:val="18"/>
                  <w:color w:val="0000EE"/>
                  <w:w w:val="91"/>
                </w:rPr>
                <w:t>as Exhibit 4.1)</w:t>
              </w:r>
            </w:hyperlink>
          </w:p>
        </w:tc>
        <w:tc>
          <w:tcPr>
            <w:tcW w:w="88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636"/>
              <w:spacing w:after="0"/>
              <w:rPr>
                <w:sz w:val="20"/>
                <w:szCs w:val="20"/>
                <w:color w:val="auto"/>
              </w:rPr>
            </w:pPr>
            <w:r>
              <w:rPr>
                <w:rFonts w:ascii="Arial" w:cs="Arial" w:eastAsia="Arial" w:hAnsi="Arial"/>
                <w:sz w:val="18"/>
                <w:szCs w:val="18"/>
                <w:color w:val="auto"/>
                <w:w w:val="85"/>
              </w:rPr>
              <w:t>99.1</w:t>
            </w:r>
          </w:p>
        </w:tc>
        <w:tc>
          <w:tcPr>
            <w:tcW w:w="268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Press release, dated February 2, 2022</w:t>
              </w:r>
            </w:hyperlink>
          </w:p>
        </w:tc>
        <w:tc>
          <w:tcPr>
            <w:tcW w:w="7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992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7" w:right="4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XOMETRY,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Randolph Altschuler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00"/>
          </w:cols>
          <w:pgMar w:left="440" w:top="297" w:right="4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XOMETRY,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U.S. BANK TRUST COMPANY, NATIONAL ASSOCIATION, as Trustee</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February 4, 2022</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1.00% Convertible Senior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280" w:type="dxa"/>
            <w:vAlign w:val="bottom"/>
            <w:gridSpan w:val="2"/>
          </w:tcPr>
          <w:p>
            <w:pPr>
              <w:ind w:left="20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396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w w:val="98"/>
              </w:rPr>
              <w:t>P</w:t>
            </w:r>
            <w:r>
              <w:rPr>
                <w:rFonts w:ascii="Arial" w:cs="Arial" w:eastAsia="Arial" w:hAnsi="Arial"/>
                <w:sz w:val="11"/>
                <w:szCs w:val="11"/>
                <w:color w:val="auto"/>
                <w:w w:val="98"/>
              </w:rPr>
              <w:t>AGE</w:t>
            </w:r>
          </w:p>
        </w:tc>
        <w:tc>
          <w:tcPr>
            <w:tcW w:w="0" w:type="dxa"/>
            <w:vAlign w:val="bottom"/>
          </w:tcPr>
          <w:p>
            <w:pPr>
              <w:spacing w:after="0"/>
              <w:rPr>
                <w:sz w:val="1"/>
                <w:szCs w:val="1"/>
                <w:color w:val="auto"/>
              </w:rPr>
            </w:pPr>
          </w:p>
        </w:tc>
      </w:tr>
      <w:tr>
        <w:trPr>
          <w:trHeight w:val="431"/>
        </w:trPr>
        <w:tc>
          <w:tcPr>
            <w:tcW w:w="12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280" w:type="dxa"/>
            <w:vAlign w:val="bottom"/>
            <w:gridSpan w:val="2"/>
            <w:vMerge w:val="restart"/>
          </w:tcPr>
          <w:p>
            <w:pPr>
              <w:jc w:val="center"/>
              <w:ind w:right="4000"/>
              <w:spacing w:after="0"/>
              <w:rPr>
                <w:sz w:val="20"/>
                <w:szCs w:val="20"/>
                <w:color w:val="auto"/>
              </w:rPr>
            </w:pPr>
            <w:r>
              <w:rPr>
                <w:rFonts w:ascii="Arial" w:cs="Arial" w:eastAsia="Arial" w:hAnsi="Arial"/>
                <w:sz w:val="18"/>
                <w:szCs w:val="18"/>
                <w:color w:val="auto"/>
                <w:w w:val="96"/>
              </w:rPr>
              <w:t>ARTICLE 1</w:t>
            </w:r>
          </w:p>
        </w:tc>
        <w:tc>
          <w:tcPr>
            <w:tcW w:w="3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2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280" w:type="dxa"/>
            <w:vAlign w:val="bottom"/>
            <w:gridSpan w:val="2"/>
          </w:tcPr>
          <w:p>
            <w:pPr>
              <w:jc w:val="center"/>
              <w:ind w:right="40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1.01</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1.02</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References to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0"/>
        </w:trPr>
        <w:tc>
          <w:tcPr>
            <w:tcW w:w="12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280" w:type="dxa"/>
            <w:vAlign w:val="bottom"/>
            <w:gridSpan w:val="2"/>
          </w:tcPr>
          <w:p>
            <w:pPr>
              <w:jc w:val="center"/>
              <w:ind w:right="4000"/>
              <w:spacing w:after="0"/>
              <w:rPr>
                <w:sz w:val="20"/>
                <w:szCs w:val="20"/>
                <w:color w:val="auto"/>
              </w:rPr>
            </w:pPr>
            <w:r>
              <w:rPr>
                <w:rFonts w:ascii="Arial" w:cs="Arial" w:eastAsia="Arial" w:hAnsi="Arial"/>
                <w:sz w:val="18"/>
                <w:szCs w:val="18"/>
                <w:color w:val="auto"/>
                <w:w w:val="96"/>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9420" w:type="dxa"/>
            <w:vAlign w:val="bottom"/>
            <w:gridSpan w:val="3"/>
          </w:tcPr>
          <w:p>
            <w:pPr>
              <w:jc w:val="center"/>
              <w:ind w:right="86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SSUE</w:t>
            </w:r>
            <w:r>
              <w:rPr>
                <w:rFonts w:ascii="Arial" w:cs="Arial" w:eastAsia="Arial" w:hAnsi="Arial"/>
                <w:sz w:val="18"/>
                <w:szCs w:val="18"/>
                <w:color w:val="auto"/>
              </w:rPr>
              <w:t>, D</w:t>
            </w:r>
            <w:r>
              <w:rPr>
                <w:rFonts w:ascii="Arial" w:cs="Arial" w:eastAsia="Arial" w:hAnsi="Arial"/>
                <w:sz w:val="14"/>
                <w:szCs w:val="14"/>
                <w:color w:val="auto"/>
              </w:rPr>
              <w:t>ESCRIPTION</w:t>
            </w:r>
            <w:r>
              <w:rPr>
                <w:rFonts w:ascii="Arial" w:cs="Arial" w:eastAsia="Arial" w:hAnsi="Arial"/>
                <w:sz w:val="18"/>
                <w:szCs w:val="18"/>
                <w:color w:val="auto"/>
              </w:rPr>
              <w:t>, E</w:t>
            </w:r>
            <w:r>
              <w:rPr>
                <w:rFonts w:ascii="Arial" w:cs="Arial" w:eastAsia="Arial" w:hAnsi="Arial"/>
                <w:sz w:val="14"/>
                <w:szCs w:val="14"/>
                <w:color w:val="auto"/>
              </w:rPr>
              <w:t>XECUTION</w:t>
            </w:r>
            <w:r>
              <w:rPr>
                <w:rFonts w:ascii="Arial" w:cs="Arial" w:eastAsia="Arial" w:hAnsi="Arial"/>
                <w:sz w:val="18"/>
                <w:szCs w:val="18"/>
                <w:color w:val="auto"/>
              </w:rPr>
              <w:t>, R</w:t>
            </w:r>
            <w:r>
              <w:rPr>
                <w:rFonts w:ascii="Arial" w:cs="Arial" w:eastAsia="Arial" w:hAnsi="Arial"/>
                <w:sz w:val="14"/>
                <w:szCs w:val="14"/>
                <w:color w:val="auto"/>
              </w:rPr>
              <w:t>EGISTRATION</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E</w:t>
            </w:r>
            <w:r>
              <w:rPr>
                <w:rFonts w:ascii="Arial" w:cs="Arial" w:eastAsia="Arial" w:hAnsi="Arial"/>
                <w:sz w:val="14"/>
                <w:szCs w:val="14"/>
                <w:color w:val="auto"/>
              </w:rPr>
              <w:t>XCHANGE OF</w:t>
            </w:r>
            <w:r>
              <w:rPr>
                <w:rFonts w:ascii="Arial" w:cs="Arial" w:eastAsia="Arial" w:hAnsi="Arial"/>
                <w:sz w:val="18"/>
                <w:szCs w:val="18"/>
                <w:color w:val="auto"/>
              </w:rPr>
              <w:t xml:space="preserve"> N</w:t>
            </w:r>
            <w:r>
              <w:rPr>
                <w:rFonts w:ascii="Arial" w:cs="Arial" w:eastAsia="Arial" w:hAnsi="Arial"/>
                <w:sz w:val="14"/>
                <w:szCs w:val="14"/>
                <w:color w:val="auto"/>
              </w:rPr>
              <w:t>OTES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2.01</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Designation and Amount</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2.02</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Form of Notes</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2.03</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Date and Denomination of Notes; Payments of Interest and Defaulted Amounts</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2.04</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Execution, Authentication and Delivery of Notes</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2.05</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Exchange and Registration of Transfer of Notes; Restrictions on Transfer; Depositary</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2.06</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Mutilated, Destroyed, Lost or Stolen Notes</w:t>
            </w: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2.07</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Temporary Notes</w:t>
            </w: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2.08</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Cancellation of Notes Paid, Converted, Etc.</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2.09</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CUSIP Numbers</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2.10</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Additional Notes; Repurchases</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0"/>
        </w:trPr>
        <w:tc>
          <w:tcPr>
            <w:tcW w:w="12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280" w:type="dxa"/>
            <w:vAlign w:val="bottom"/>
            <w:gridSpan w:val="2"/>
          </w:tcPr>
          <w:p>
            <w:pPr>
              <w:jc w:val="center"/>
              <w:ind w:right="4000"/>
              <w:spacing w:after="0"/>
              <w:rPr>
                <w:sz w:val="20"/>
                <w:szCs w:val="20"/>
                <w:color w:val="auto"/>
              </w:rPr>
            </w:pPr>
            <w:r>
              <w:rPr>
                <w:rFonts w:ascii="Arial" w:cs="Arial" w:eastAsia="Arial" w:hAnsi="Arial"/>
                <w:sz w:val="18"/>
                <w:szCs w:val="18"/>
                <w:color w:val="auto"/>
                <w:w w:val="96"/>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9420" w:type="dxa"/>
            <w:vAlign w:val="bottom"/>
            <w:gridSpan w:val="3"/>
          </w:tcPr>
          <w:p>
            <w:pPr>
              <w:jc w:val="center"/>
              <w:ind w:right="8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 AND</w:t>
            </w:r>
            <w:r>
              <w:rPr>
                <w:rFonts w:ascii="Arial" w:cs="Arial" w:eastAsia="Arial" w:hAnsi="Arial"/>
                <w:sz w:val="18"/>
                <w:szCs w:val="18"/>
                <w:color w:val="auto"/>
              </w:rPr>
              <w:t xml:space="preserve"> D</w:t>
            </w:r>
            <w:r>
              <w:rPr>
                <w:rFonts w:ascii="Arial" w:cs="Arial" w:eastAsia="Arial" w:hAnsi="Arial"/>
                <w:sz w:val="14"/>
                <w:szCs w:val="14"/>
                <w:color w:val="auto"/>
              </w:rPr>
              <w:t>ISCHARGE</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Section 3.01</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Satisfaction and Discharge</w:t>
            </w: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0"/>
        </w:trPr>
        <w:tc>
          <w:tcPr>
            <w:tcW w:w="12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280" w:type="dxa"/>
            <w:vAlign w:val="bottom"/>
            <w:gridSpan w:val="2"/>
          </w:tcPr>
          <w:p>
            <w:pPr>
              <w:jc w:val="center"/>
              <w:ind w:right="4000"/>
              <w:spacing w:after="0"/>
              <w:rPr>
                <w:sz w:val="20"/>
                <w:szCs w:val="20"/>
                <w:color w:val="auto"/>
              </w:rPr>
            </w:pPr>
            <w:r>
              <w:rPr>
                <w:rFonts w:ascii="Arial" w:cs="Arial" w:eastAsia="Arial" w:hAnsi="Arial"/>
                <w:sz w:val="18"/>
                <w:szCs w:val="18"/>
                <w:color w:val="auto"/>
                <w:w w:val="96"/>
              </w:rPr>
              <w:t>ARTICLE 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9420" w:type="dxa"/>
            <w:vAlign w:val="bottom"/>
            <w:gridSpan w:val="3"/>
          </w:tcPr>
          <w:p>
            <w:pPr>
              <w:jc w:val="center"/>
              <w:ind w:right="8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ARTICULAR</w:t>
            </w:r>
            <w:r>
              <w:rPr>
                <w:rFonts w:ascii="Arial" w:cs="Arial" w:eastAsia="Arial" w:hAnsi="Arial"/>
                <w:sz w:val="18"/>
                <w:szCs w:val="18"/>
                <w:color w:val="auto"/>
              </w:rPr>
              <w:t xml:space="preserve"> C</w:t>
            </w:r>
            <w:r>
              <w:rPr>
                <w:rFonts w:ascii="Arial" w:cs="Arial" w:eastAsia="Arial" w:hAnsi="Arial"/>
                <w:sz w:val="14"/>
                <w:szCs w:val="14"/>
                <w:color w:val="auto"/>
              </w:rPr>
              <w:t>OVENANTS OF THE</w:t>
            </w:r>
            <w:r>
              <w:rPr>
                <w:rFonts w:ascii="Arial" w:cs="Arial" w:eastAsia="Arial" w:hAnsi="Arial"/>
                <w:sz w:val="18"/>
                <w:szCs w:val="18"/>
                <w:color w:val="auto"/>
              </w:rPr>
              <w:t xml:space="preserve"> C</w:t>
            </w:r>
            <w:r>
              <w:rPr>
                <w:rFonts w:ascii="Arial" w:cs="Arial" w:eastAsia="Arial" w:hAnsi="Arial"/>
                <w:sz w:val="14"/>
                <w:szCs w:val="14"/>
                <w:color w:val="auto"/>
              </w:rPr>
              <w:t>OMPANY</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4.01</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Payment of Principal and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4.02</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Maintenance of Office or Agency</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4.03</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Appointments to Fill Vacancies in Trustee’s Office</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4.04</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Provisions as to Paying Agent</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4.05</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Existence</w:t>
            </w: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4.06</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Rule 144A Information Requirement and Annual Reports</w:t>
            </w: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4.07</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Stay, Extension and Usury Laws</w:t>
            </w: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4.08</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Compliance Certificate; Statements as to Defaults</w:t>
            </w: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4.09</w:t>
            </w:r>
          </w:p>
        </w:tc>
        <w:tc>
          <w:tcPr>
            <w:tcW w:w="9420" w:type="dxa"/>
            <w:vAlign w:val="bottom"/>
            <w:gridSpan w:val="3"/>
          </w:tcPr>
          <w:p>
            <w:pPr>
              <w:ind w:left="320"/>
              <w:spacing w:after="0"/>
              <w:rPr>
                <w:sz w:val="20"/>
                <w:szCs w:val="20"/>
                <w:color w:val="auto"/>
              </w:rPr>
            </w:pPr>
            <w:r>
              <w:rPr>
                <w:rFonts w:ascii="Arial" w:cs="Arial" w:eastAsia="Arial" w:hAnsi="Arial"/>
                <w:sz w:val="18"/>
                <w:szCs w:val="18"/>
                <w:i w:val="1"/>
                <w:iCs w:val="1"/>
                <w:color w:val="auto"/>
              </w:rPr>
              <w:t>Further Instruments and Acts</w:t>
            </w: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ISTS OF</w:t>
      </w:r>
      <w:r>
        <w:rPr>
          <w:rFonts w:ascii="Arial" w:cs="Arial" w:eastAsia="Arial" w:hAnsi="Arial"/>
          <w:sz w:val="18"/>
          <w:szCs w:val="18"/>
          <w:color w:val="auto"/>
        </w:rPr>
        <w:t xml:space="preserve"> H</w:t>
      </w:r>
      <w:r>
        <w:rPr>
          <w:rFonts w:ascii="Arial" w:cs="Arial" w:eastAsia="Arial" w:hAnsi="Arial"/>
          <w:sz w:val="14"/>
          <w:szCs w:val="14"/>
          <w:color w:val="auto"/>
        </w:rPr>
        <w:t>OLDERS</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R</w:t>
      </w:r>
      <w:r>
        <w:rPr>
          <w:rFonts w:ascii="Arial" w:cs="Arial" w:eastAsia="Arial" w:hAnsi="Arial"/>
          <w:sz w:val="14"/>
          <w:szCs w:val="14"/>
          <w:color w:val="auto"/>
        </w:rPr>
        <w:t>EPORTS BY THE</w:t>
      </w:r>
      <w:r>
        <w:rPr>
          <w:rFonts w:ascii="Arial" w:cs="Arial" w:eastAsia="Arial" w:hAnsi="Arial"/>
          <w:sz w:val="18"/>
          <w:szCs w:val="18"/>
          <w:color w:val="auto"/>
        </w:rPr>
        <w:t xml:space="preserve"> C</w:t>
      </w:r>
      <w:r>
        <w:rPr>
          <w:rFonts w:ascii="Arial" w:cs="Arial" w:eastAsia="Arial" w:hAnsi="Arial"/>
          <w:sz w:val="14"/>
          <w:szCs w:val="14"/>
          <w:color w:val="auto"/>
        </w:rPr>
        <w:t>OMPANY AND THE</w:t>
      </w:r>
      <w:r>
        <w:rPr>
          <w:rFonts w:ascii="Arial" w:cs="Arial" w:eastAsia="Arial" w:hAnsi="Arial"/>
          <w:sz w:val="18"/>
          <w:szCs w:val="18"/>
          <w:color w:val="auto"/>
        </w:rPr>
        <w:t xml:space="preserve"> T</w:t>
      </w:r>
      <w:r>
        <w:rPr>
          <w:rFonts w:ascii="Arial" w:cs="Arial" w:eastAsia="Arial" w:hAnsi="Arial"/>
          <w:sz w:val="14"/>
          <w:szCs w:val="14"/>
          <w:color w:val="auto"/>
        </w:rPr>
        <w:t>RUSTEE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5.01</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Lists of 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5.02</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Preservation and Disclosure of Lists</w:t>
            </w: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1200" w:type="dxa"/>
            <w:vAlign w:val="bottom"/>
          </w:tcPr>
          <w:p>
            <w:pPr>
              <w:spacing w:after="0"/>
              <w:rPr>
                <w:sz w:val="24"/>
                <w:szCs w:val="24"/>
                <w:color w:val="auto"/>
              </w:rPr>
            </w:pPr>
          </w:p>
        </w:tc>
        <w:tc>
          <w:tcPr>
            <w:tcW w:w="8600" w:type="dxa"/>
            <w:vAlign w:val="bottom"/>
          </w:tcPr>
          <w:p>
            <w:pPr>
              <w:jc w:val="center"/>
              <w:spacing w:after="0"/>
              <w:rPr>
                <w:sz w:val="20"/>
                <w:szCs w:val="20"/>
                <w:color w:val="auto"/>
              </w:rPr>
            </w:pPr>
            <w:r>
              <w:rPr>
                <w:rFonts w:ascii="Arial" w:cs="Arial" w:eastAsia="Arial" w:hAnsi="Arial"/>
                <w:sz w:val="18"/>
                <w:szCs w:val="18"/>
                <w:color w:val="auto"/>
                <w:w w:val="96"/>
              </w:rPr>
              <w:t>ARTICLE 6</w:t>
            </w:r>
          </w:p>
        </w:tc>
        <w:tc>
          <w:tcPr>
            <w:tcW w:w="116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860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EFAULTS AND</w:t>
            </w:r>
            <w:r>
              <w:rPr>
                <w:rFonts w:ascii="Arial" w:cs="Arial" w:eastAsia="Arial" w:hAnsi="Arial"/>
                <w:sz w:val="18"/>
                <w:szCs w:val="18"/>
                <w:color w:val="auto"/>
              </w:rPr>
              <w:t xml:space="preserve"> R</w:t>
            </w:r>
            <w:r>
              <w:rPr>
                <w:rFonts w:ascii="Arial" w:cs="Arial" w:eastAsia="Arial" w:hAnsi="Arial"/>
                <w:sz w:val="14"/>
                <w:szCs w:val="14"/>
                <w:color w:val="auto"/>
              </w:rPr>
              <w:t>EMEDIES</w:t>
            </w:r>
          </w:p>
        </w:tc>
        <w:tc>
          <w:tcPr>
            <w:tcW w:w="1160" w:type="dxa"/>
            <w:vAlign w:val="bottom"/>
          </w:tcPr>
          <w:p>
            <w:pPr>
              <w:spacing w:after="0"/>
              <w:rPr>
                <w:sz w:val="20"/>
                <w:szCs w:val="20"/>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6.01</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Events of Default</w:t>
            </w: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6.02</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Acceleration; Rescission and Annulment</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6.03</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Additional Interest</w:t>
            </w: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6.04</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Payments of Notes on Default; Suit Therefor</w:t>
            </w: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6.05</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Application of Monies Collected by Trustee</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6.06</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Proceedings by 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6.07</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Proceedings by Trustee</w:t>
            </w: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6.08</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Remedies Cumulative and Continuing</w:t>
            </w: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6.09</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Direction of Proceedings and Waiver of Defaults by Majority of 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6.10</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Notice of Defaults</w:t>
            </w: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6.11</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Undertaking to Pay Costs</w:t>
            </w: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1200" w:type="dxa"/>
            <w:vAlign w:val="bottom"/>
          </w:tcPr>
          <w:p>
            <w:pPr>
              <w:spacing w:after="0"/>
              <w:rPr>
                <w:sz w:val="24"/>
                <w:szCs w:val="24"/>
                <w:color w:val="auto"/>
              </w:rPr>
            </w:pPr>
          </w:p>
        </w:tc>
        <w:tc>
          <w:tcPr>
            <w:tcW w:w="8600" w:type="dxa"/>
            <w:vAlign w:val="bottom"/>
          </w:tcPr>
          <w:p>
            <w:pPr>
              <w:jc w:val="center"/>
              <w:spacing w:after="0"/>
              <w:rPr>
                <w:sz w:val="20"/>
                <w:szCs w:val="20"/>
                <w:color w:val="auto"/>
              </w:rPr>
            </w:pPr>
            <w:r>
              <w:rPr>
                <w:rFonts w:ascii="Arial" w:cs="Arial" w:eastAsia="Arial" w:hAnsi="Arial"/>
                <w:sz w:val="18"/>
                <w:szCs w:val="18"/>
                <w:color w:val="auto"/>
                <w:w w:val="96"/>
              </w:rPr>
              <w:t>ARTICLE 7</w:t>
            </w:r>
          </w:p>
        </w:tc>
        <w:tc>
          <w:tcPr>
            <w:tcW w:w="116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86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T</w:t>
            </w:r>
            <w:r>
              <w:rPr>
                <w:rFonts w:ascii="Arial" w:cs="Arial" w:eastAsia="Arial" w:hAnsi="Arial"/>
                <w:sz w:val="14"/>
                <w:szCs w:val="14"/>
                <w:color w:val="auto"/>
              </w:rPr>
              <w:t>RUSTEE</w:t>
            </w:r>
          </w:p>
        </w:tc>
        <w:tc>
          <w:tcPr>
            <w:tcW w:w="1160" w:type="dxa"/>
            <w:vAlign w:val="bottom"/>
          </w:tcPr>
          <w:p>
            <w:pPr>
              <w:spacing w:after="0"/>
              <w:rPr>
                <w:sz w:val="20"/>
                <w:szCs w:val="20"/>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7.01</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Duties and Responsibilities of Trustee</w:t>
            </w: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7.02</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Reliance on Documents, Opinions, Etc.</w:t>
            </w: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7.03</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No Responsibility for Recitals, Etc.</w:t>
            </w: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7.04</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Trustee, Paying Agents, Conversion Agents, Bid Solicitation Agent or Note Registrar May Own Notes</w:t>
            </w: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7.05</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Monies and Shares of Class A Common Stock to Be Held in Trust</w:t>
            </w: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7.06</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Compensation and Expenses of Trustee</w:t>
            </w: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7.07</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Officer’s Certificate as Evidence</w:t>
            </w: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7.08</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Eligibility of Trustee</w:t>
            </w: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7.09</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Resignation or Removal of Trustee</w:t>
            </w: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7.10</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Acceptance by Successor Trustee</w:t>
            </w: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7.11</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Succession by Merger, Etc.</w:t>
            </w: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7.12</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Trustee’s Application for Instructions from the Company</w:t>
            </w: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1200" w:type="dxa"/>
            <w:vAlign w:val="bottom"/>
          </w:tcPr>
          <w:p>
            <w:pPr>
              <w:spacing w:after="0"/>
              <w:rPr>
                <w:sz w:val="24"/>
                <w:szCs w:val="24"/>
                <w:color w:val="auto"/>
              </w:rPr>
            </w:pPr>
          </w:p>
        </w:tc>
        <w:tc>
          <w:tcPr>
            <w:tcW w:w="8600" w:type="dxa"/>
            <w:vAlign w:val="bottom"/>
          </w:tcPr>
          <w:p>
            <w:pPr>
              <w:jc w:val="center"/>
              <w:spacing w:after="0"/>
              <w:rPr>
                <w:sz w:val="20"/>
                <w:szCs w:val="20"/>
                <w:color w:val="auto"/>
              </w:rPr>
            </w:pPr>
            <w:r>
              <w:rPr>
                <w:rFonts w:ascii="Arial" w:cs="Arial" w:eastAsia="Arial" w:hAnsi="Arial"/>
                <w:sz w:val="18"/>
                <w:szCs w:val="18"/>
                <w:color w:val="auto"/>
                <w:w w:val="96"/>
              </w:rPr>
              <w:t>ARTICLE 8</w:t>
            </w:r>
          </w:p>
        </w:tc>
        <w:tc>
          <w:tcPr>
            <w:tcW w:w="116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86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H</w:t>
            </w:r>
            <w:r>
              <w:rPr>
                <w:rFonts w:ascii="Arial" w:cs="Arial" w:eastAsia="Arial" w:hAnsi="Arial"/>
                <w:sz w:val="14"/>
                <w:szCs w:val="14"/>
                <w:color w:val="auto"/>
              </w:rPr>
              <w:t>OLDERS</w:t>
            </w:r>
          </w:p>
        </w:tc>
        <w:tc>
          <w:tcPr>
            <w:tcW w:w="1160" w:type="dxa"/>
            <w:vAlign w:val="bottom"/>
          </w:tcPr>
          <w:p>
            <w:pPr>
              <w:spacing w:after="0"/>
              <w:rPr>
                <w:sz w:val="20"/>
                <w:szCs w:val="20"/>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8.01</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Action by 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8.02</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Proof of Execution by 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8.03</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Who Are Deemed Absolute Owners</w:t>
            </w: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8.04</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Company-Owned Notes Disregarded</w:t>
            </w: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8.05</w:t>
            </w:r>
          </w:p>
        </w:tc>
        <w:tc>
          <w:tcPr>
            <w:tcW w:w="8600" w:type="dxa"/>
            <w:vAlign w:val="bottom"/>
          </w:tcPr>
          <w:p>
            <w:pPr>
              <w:ind w:left="320"/>
              <w:spacing w:after="0"/>
              <w:rPr>
                <w:sz w:val="20"/>
                <w:szCs w:val="20"/>
                <w:color w:val="auto"/>
              </w:rPr>
            </w:pPr>
            <w:r>
              <w:rPr>
                <w:rFonts w:ascii="Arial" w:cs="Arial" w:eastAsia="Arial" w:hAnsi="Arial"/>
                <w:sz w:val="18"/>
                <w:szCs w:val="18"/>
                <w:i w:val="1"/>
                <w:iCs w:val="1"/>
                <w:color w:val="auto"/>
              </w:rPr>
              <w:t>Revocation of Consents; Future Holders Bound</w:t>
            </w: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8280" w:type="dxa"/>
            <w:vAlign w:val="bottom"/>
          </w:tcPr>
          <w:p>
            <w:pPr>
              <w:jc w:val="center"/>
              <w:ind w:left="70"/>
              <w:spacing w:after="0"/>
              <w:rPr>
                <w:sz w:val="20"/>
                <w:szCs w:val="20"/>
                <w:color w:val="auto"/>
              </w:rPr>
            </w:pPr>
            <w:r>
              <w:rPr>
                <w:rFonts w:ascii="Arial" w:cs="Arial" w:eastAsia="Arial" w:hAnsi="Arial"/>
                <w:sz w:val="18"/>
                <w:szCs w:val="18"/>
                <w:color w:val="auto"/>
                <w:w w:val="96"/>
              </w:rPr>
              <w:t>ARTICLE 9</w:t>
            </w:r>
          </w:p>
        </w:tc>
        <w:tc>
          <w:tcPr>
            <w:tcW w:w="142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8280" w:type="dxa"/>
            <w:vAlign w:val="bottom"/>
          </w:tcPr>
          <w:p>
            <w:pPr>
              <w:jc w:val="center"/>
              <w:ind w:left="7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OLDERS</w:t>
            </w:r>
            <w:r>
              <w:rPr>
                <w:rFonts w:ascii="Arial" w:cs="Arial" w:eastAsia="Arial" w:hAnsi="Arial"/>
                <w:sz w:val="18"/>
                <w:szCs w:val="18"/>
                <w:color w:val="auto"/>
              </w:rPr>
              <w:t>’ M</w:t>
            </w:r>
            <w:r>
              <w:rPr>
                <w:rFonts w:ascii="Arial" w:cs="Arial" w:eastAsia="Arial" w:hAnsi="Arial"/>
                <w:sz w:val="14"/>
                <w:szCs w:val="14"/>
                <w:color w:val="auto"/>
              </w:rPr>
              <w:t>EETINGS</w:t>
            </w:r>
          </w:p>
        </w:tc>
        <w:tc>
          <w:tcPr>
            <w:tcW w:w="1420" w:type="dxa"/>
            <w:vAlign w:val="bottom"/>
          </w:tcPr>
          <w:p>
            <w:pPr>
              <w:spacing w:after="0"/>
              <w:rPr>
                <w:sz w:val="20"/>
                <w:szCs w:val="20"/>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9.01</w:t>
            </w:r>
          </w:p>
        </w:tc>
        <w:tc>
          <w:tcPr>
            <w:tcW w:w="8280" w:type="dxa"/>
            <w:vAlign w:val="bottom"/>
          </w:tcPr>
          <w:p>
            <w:pPr>
              <w:ind w:left="260"/>
              <w:spacing w:after="0"/>
              <w:rPr>
                <w:sz w:val="20"/>
                <w:szCs w:val="20"/>
                <w:color w:val="auto"/>
              </w:rPr>
            </w:pPr>
            <w:r>
              <w:rPr>
                <w:rFonts w:ascii="Arial" w:cs="Arial" w:eastAsia="Arial" w:hAnsi="Arial"/>
                <w:sz w:val="18"/>
                <w:szCs w:val="18"/>
                <w:i w:val="1"/>
                <w:iCs w:val="1"/>
                <w:color w:val="auto"/>
              </w:rPr>
              <w:t>Purpose of Meetings</w:t>
            </w:r>
          </w:p>
        </w:tc>
        <w:tc>
          <w:tcPr>
            <w:tcW w:w="1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9.02</w:t>
            </w:r>
          </w:p>
        </w:tc>
        <w:tc>
          <w:tcPr>
            <w:tcW w:w="8280" w:type="dxa"/>
            <w:vAlign w:val="bottom"/>
          </w:tcPr>
          <w:p>
            <w:pPr>
              <w:ind w:left="260"/>
              <w:spacing w:after="0"/>
              <w:rPr>
                <w:sz w:val="20"/>
                <w:szCs w:val="20"/>
                <w:color w:val="auto"/>
              </w:rPr>
            </w:pPr>
            <w:r>
              <w:rPr>
                <w:rFonts w:ascii="Arial" w:cs="Arial" w:eastAsia="Arial" w:hAnsi="Arial"/>
                <w:sz w:val="18"/>
                <w:szCs w:val="18"/>
                <w:i w:val="1"/>
                <w:iCs w:val="1"/>
                <w:color w:val="auto"/>
              </w:rPr>
              <w:t>Call of Meetings by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9.03</w:t>
            </w:r>
          </w:p>
        </w:tc>
        <w:tc>
          <w:tcPr>
            <w:tcW w:w="8280" w:type="dxa"/>
            <w:vAlign w:val="bottom"/>
          </w:tcPr>
          <w:p>
            <w:pPr>
              <w:ind w:left="260"/>
              <w:spacing w:after="0"/>
              <w:rPr>
                <w:sz w:val="20"/>
                <w:szCs w:val="20"/>
                <w:color w:val="auto"/>
              </w:rPr>
            </w:pPr>
            <w:r>
              <w:rPr>
                <w:rFonts w:ascii="Arial" w:cs="Arial" w:eastAsia="Arial" w:hAnsi="Arial"/>
                <w:sz w:val="18"/>
                <w:szCs w:val="18"/>
                <w:i w:val="1"/>
                <w:iCs w:val="1"/>
                <w:color w:val="auto"/>
              </w:rPr>
              <w:t>Call of Meetings by Company or 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9.04</w:t>
            </w:r>
          </w:p>
        </w:tc>
        <w:tc>
          <w:tcPr>
            <w:tcW w:w="8280" w:type="dxa"/>
            <w:vAlign w:val="bottom"/>
          </w:tcPr>
          <w:p>
            <w:pPr>
              <w:ind w:left="260"/>
              <w:spacing w:after="0"/>
              <w:rPr>
                <w:sz w:val="20"/>
                <w:szCs w:val="20"/>
                <w:color w:val="auto"/>
              </w:rPr>
            </w:pPr>
            <w:r>
              <w:rPr>
                <w:rFonts w:ascii="Arial" w:cs="Arial" w:eastAsia="Arial" w:hAnsi="Arial"/>
                <w:sz w:val="18"/>
                <w:szCs w:val="18"/>
                <w:i w:val="1"/>
                <w:iCs w:val="1"/>
                <w:color w:val="auto"/>
              </w:rPr>
              <w:t>Qualifications for Voting</w:t>
            </w:r>
          </w:p>
        </w:tc>
        <w:tc>
          <w:tcPr>
            <w:tcW w:w="1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9.05</w:t>
            </w:r>
          </w:p>
        </w:tc>
        <w:tc>
          <w:tcPr>
            <w:tcW w:w="8280" w:type="dxa"/>
            <w:vAlign w:val="bottom"/>
          </w:tcPr>
          <w:p>
            <w:pPr>
              <w:ind w:left="260"/>
              <w:spacing w:after="0"/>
              <w:rPr>
                <w:sz w:val="20"/>
                <w:szCs w:val="20"/>
                <w:color w:val="auto"/>
              </w:rPr>
            </w:pPr>
            <w:r>
              <w:rPr>
                <w:rFonts w:ascii="Arial" w:cs="Arial" w:eastAsia="Arial" w:hAnsi="Arial"/>
                <w:sz w:val="18"/>
                <w:szCs w:val="18"/>
                <w:i w:val="1"/>
                <w:iCs w:val="1"/>
                <w:color w:val="auto"/>
              </w:rPr>
              <w:t>Regulations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9.06</w:t>
            </w:r>
          </w:p>
        </w:tc>
        <w:tc>
          <w:tcPr>
            <w:tcW w:w="8280" w:type="dxa"/>
            <w:vAlign w:val="bottom"/>
          </w:tcPr>
          <w:p>
            <w:pPr>
              <w:ind w:left="260"/>
              <w:spacing w:after="0"/>
              <w:rPr>
                <w:sz w:val="20"/>
                <w:szCs w:val="20"/>
                <w:color w:val="auto"/>
              </w:rPr>
            </w:pPr>
            <w:r>
              <w:rPr>
                <w:rFonts w:ascii="Arial" w:cs="Arial" w:eastAsia="Arial" w:hAnsi="Arial"/>
                <w:sz w:val="18"/>
                <w:szCs w:val="18"/>
                <w:i w:val="1"/>
                <w:iCs w:val="1"/>
                <w:color w:val="auto"/>
              </w:rPr>
              <w:t>Voting</w:t>
            </w: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9.07</w:t>
            </w:r>
          </w:p>
        </w:tc>
        <w:tc>
          <w:tcPr>
            <w:tcW w:w="8280" w:type="dxa"/>
            <w:vAlign w:val="bottom"/>
          </w:tcPr>
          <w:p>
            <w:pPr>
              <w:ind w:left="260"/>
              <w:spacing w:after="0"/>
              <w:rPr>
                <w:sz w:val="20"/>
                <w:szCs w:val="20"/>
                <w:color w:val="auto"/>
              </w:rPr>
            </w:pPr>
            <w:r>
              <w:rPr>
                <w:rFonts w:ascii="Arial" w:cs="Arial" w:eastAsia="Arial" w:hAnsi="Arial"/>
                <w:sz w:val="18"/>
                <w:szCs w:val="18"/>
                <w:i w:val="1"/>
                <w:iCs w:val="1"/>
                <w:color w:val="auto"/>
              </w:rPr>
              <w:t>No Delay of Rights by Meeting</w:t>
            </w:r>
          </w:p>
        </w:tc>
        <w:tc>
          <w:tcPr>
            <w:tcW w:w="1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0"/>
        </w:trPr>
        <w:tc>
          <w:tcPr>
            <w:tcW w:w="1260" w:type="dxa"/>
            <w:vAlign w:val="bottom"/>
          </w:tcPr>
          <w:p>
            <w:pPr>
              <w:spacing w:after="0"/>
              <w:rPr>
                <w:sz w:val="24"/>
                <w:szCs w:val="24"/>
                <w:color w:val="auto"/>
              </w:rPr>
            </w:pPr>
          </w:p>
        </w:tc>
        <w:tc>
          <w:tcPr>
            <w:tcW w:w="8280" w:type="dxa"/>
            <w:vAlign w:val="bottom"/>
          </w:tcPr>
          <w:p>
            <w:pPr>
              <w:jc w:val="center"/>
              <w:ind w:left="70"/>
              <w:spacing w:after="0"/>
              <w:rPr>
                <w:sz w:val="20"/>
                <w:szCs w:val="20"/>
                <w:color w:val="auto"/>
              </w:rPr>
            </w:pPr>
            <w:r>
              <w:rPr>
                <w:rFonts w:ascii="Arial" w:cs="Arial" w:eastAsia="Arial" w:hAnsi="Arial"/>
                <w:sz w:val="18"/>
                <w:szCs w:val="18"/>
                <w:color w:val="auto"/>
                <w:w w:val="94"/>
              </w:rPr>
              <w:t>ARTICLE 10</w:t>
            </w:r>
          </w:p>
        </w:tc>
        <w:tc>
          <w:tcPr>
            <w:tcW w:w="142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8280" w:type="dxa"/>
            <w:vAlign w:val="bottom"/>
          </w:tcPr>
          <w:p>
            <w:pPr>
              <w:jc w:val="center"/>
              <w:ind w:left="7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UPPLEMENTAL</w:t>
            </w:r>
            <w:r>
              <w:rPr>
                <w:rFonts w:ascii="Arial" w:cs="Arial" w:eastAsia="Arial" w:hAnsi="Arial"/>
                <w:sz w:val="18"/>
                <w:szCs w:val="18"/>
                <w:color w:val="auto"/>
              </w:rPr>
              <w:t xml:space="preserve"> I</w:t>
            </w:r>
            <w:r>
              <w:rPr>
                <w:rFonts w:ascii="Arial" w:cs="Arial" w:eastAsia="Arial" w:hAnsi="Arial"/>
                <w:sz w:val="14"/>
                <w:szCs w:val="14"/>
                <w:color w:val="auto"/>
              </w:rPr>
              <w:t>NDENTURES</w:t>
            </w:r>
          </w:p>
        </w:tc>
        <w:tc>
          <w:tcPr>
            <w:tcW w:w="1420" w:type="dxa"/>
            <w:vAlign w:val="bottom"/>
          </w:tcPr>
          <w:p>
            <w:pPr>
              <w:spacing w:after="0"/>
              <w:rPr>
                <w:sz w:val="20"/>
                <w:szCs w:val="20"/>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10.01</w:t>
            </w:r>
          </w:p>
        </w:tc>
        <w:tc>
          <w:tcPr>
            <w:tcW w:w="8280" w:type="dxa"/>
            <w:vAlign w:val="bottom"/>
          </w:tcPr>
          <w:p>
            <w:pPr>
              <w:ind w:left="260"/>
              <w:spacing w:after="0"/>
              <w:rPr>
                <w:sz w:val="20"/>
                <w:szCs w:val="20"/>
                <w:color w:val="auto"/>
              </w:rPr>
            </w:pPr>
            <w:r>
              <w:rPr>
                <w:rFonts w:ascii="Arial" w:cs="Arial" w:eastAsia="Arial" w:hAnsi="Arial"/>
                <w:sz w:val="18"/>
                <w:szCs w:val="18"/>
                <w:i w:val="1"/>
                <w:iCs w:val="1"/>
                <w:color w:val="auto"/>
              </w:rPr>
              <w:t>Supplemental Indentures Without Consent of 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10.02</w:t>
            </w:r>
          </w:p>
        </w:tc>
        <w:tc>
          <w:tcPr>
            <w:tcW w:w="8280" w:type="dxa"/>
            <w:vAlign w:val="bottom"/>
          </w:tcPr>
          <w:p>
            <w:pPr>
              <w:ind w:left="260"/>
              <w:spacing w:after="0"/>
              <w:rPr>
                <w:sz w:val="20"/>
                <w:szCs w:val="20"/>
                <w:color w:val="auto"/>
              </w:rPr>
            </w:pPr>
            <w:r>
              <w:rPr>
                <w:rFonts w:ascii="Arial" w:cs="Arial" w:eastAsia="Arial" w:hAnsi="Arial"/>
                <w:sz w:val="18"/>
                <w:szCs w:val="18"/>
                <w:i w:val="1"/>
                <w:iCs w:val="1"/>
                <w:color w:val="auto"/>
              </w:rPr>
              <w:t>Supplemental Indentures with Consent of 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10.03</w:t>
            </w:r>
          </w:p>
        </w:tc>
        <w:tc>
          <w:tcPr>
            <w:tcW w:w="8280" w:type="dxa"/>
            <w:vAlign w:val="bottom"/>
          </w:tcPr>
          <w:p>
            <w:pPr>
              <w:ind w:left="260"/>
              <w:spacing w:after="0"/>
              <w:rPr>
                <w:sz w:val="20"/>
                <w:szCs w:val="20"/>
                <w:color w:val="auto"/>
              </w:rPr>
            </w:pPr>
            <w:r>
              <w:rPr>
                <w:rFonts w:ascii="Arial" w:cs="Arial" w:eastAsia="Arial" w:hAnsi="Arial"/>
                <w:sz w:val="18"/>
                <w:szCs w:val="18"/>
                <w:i w:val="1"/>
                <w:iCs w:val="1"/>
                <w:color w:val="auto"/>
              </w:rPr>
              <w:t>Effect of Supplemental Indentures</w:t>
            </w:r>
          </w:p>
        </w:tc>
        <w:tc>
          <w:tcPr>
            <w:tcW w:w="1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10.04</w:t>
            </w:r>
          </w:p>
        </w:tc>
        <w:tc>
          <w:tcPr>
            <w:tcW w:w="8280" w:type="dxa"/>
            <w:vAlign w:val="bottom"/>
          </w:tcPr>
          <w:p>
            <w:pPr>
              <w:ind w:left="260"/>
              <w:spacing w:after="0"/>
              <w:rPr>
                <w:sz w:val="20"/>
                <w:szCs w:val="20"/>
                <w:color w:val="auto"/>
              </w:rPr>
            </w:pPr>
            <w:r>
              <w:rPr>
                <w:rFonts w:ascii="Arial" w:cs="Arial" w:eastAsia="Arial" w:hAnsi="Arial"/>
                <w:sz w:val="18"/>
                <w:szCs w:val="18"/>
                <w:i w:val="1"/>
                <w:iCs w:val="1"/>
                <w:color w:val="auto"/>
              </w:rPr>
              <w:t>Notation on Notes</w:t>
            </w:r>
          </w:p>
        </w:tc>
        <w:tc>
          <w:tcPr>
            <w:tcW w:w="1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10.05</w:t>
            </w:r>
          </w:p>
        </w:tc>
        <w:tc>
          <w:tcPr>
            <w:tcW w:w="8280" w:type="dxa"/>
            <w:vAlign w:val="bottom"/>
          </w:tcPr>
          <w:p>
            <w:pPr>
              <w:ind w:left="260"/>
              <w:spacing w:after="0"/>
              <w:rPr>
                <w:sz w:val="20"/>
                <w:szCs w:val="20"/>
                <w:color w:val="auto"/>
              </w:rPr>
            </w:pPr>
            <w:r>
              <w:rPr>
                <w:rFonts w:ascii="Arial" w:cs="Arial" w:eastAsia="Arial" w:hAnsi="Arial"/>
                <w:sz w:val="18"/>
                <w:szCs w:val="18"/>
                <w:i w:val="1"/>
                <w:iCs w:val="1"/>
                <w:color w:val="auto"/>
              </w:rPr>
              <w:t>Evidence of Compliance of Supplemental Indenture to Be Furnished to Trustee</w:t>
            </w:r>
          </w:p>
        </w:tc>
        <w:tc>
          <w:tcPr>
            <w:tcW w:w="14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0"/>
        </w:trPr>
        <w:tc>
          <w:tcPr>
            <w:tcW w:w="1260" w:type="dxa"/>
            <w:vAlign w:val="bottom"/>
          </w:tcPr>
          <w:p>
            <w:pPr>
              <w:spacing w:after="0"/>
              <w:rPr>
                <w:sz w:val="24"/>
                <w:szCs w:val="24"/>
                <w:color w:val="auto"/>
              </w:rPr>
            </w:pPr>
          </w:p>
        </w:tc>
        <w:tc>
          <w:tcPr>
            <w:tcW w:w="8280" w:type="dxa"/>
            <w:vAlign w:val="bottom"/>
          </w:tcPr>
          <w:p>
            <w:pPr>
              <w:jc w:val="center"/>
              <w:ind w:left="70"/>
              <w:spacing w:after="0"/>
              <w:rPr>
                <w:sz w:val="20"/>
                <w:szCs w:val="20"/>
                <w:color w:val="auto"/>
              </w:rPr>
            </w:pPr>
            <w:r>
              <w:rPr>
                <w:rFonts w:ascii="Arial" w:cs="Arial" w:eastAsia="Arial" w:hAnsi="Arial"/>
                <w:sz w:val="18"/>
                <w:szCs w:val="18"/>
                <w:color w:val="auto"/>
                <w:w w:val="94"/>
              </w:rPr>
              <w:t>ARTICLE 11</w:t>
            </w:r>
          </w:p>
        </w:tc>
        <w:tc>
          <w:tcPr>
            <w:tcW w:w="142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8280" w:type="dxa"/>
            <w:vAlign w:val="bottom"/>
          </w:tcPr>
          <w:p>
            <w:pPr>
              <w:jc w:val="center"/>
              <w:ind w:left="7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ONSOLIDATION</w:t>
            </w:r>
            <w:r>
              <w:rPr>
                <w:rFonts w:ascii="Arial" w:cs="Arial" w:eastAsia="Arial" w:hAnsi="Arial"/>
                <w:sz w:val="18"/>
                <w:szCs w:val="18"/>
                <w:color w:val="auto"/>
              </w:rPr>
              <w:t>, M</w:t>
            </w:r>
            <w:r>
              <w:rPr>
                <w:rFonts w:ascii="Arial" w:cs="Arial" w:eastAsia="Arial" w:hAnsi="Arial"/>
                <w:sz w:val="14"/>
                <w:szCs w:val="14"/>
                <w:color w:val="auto"/>
              </w:rPr>
              <w:t>ERGER</w:t>
            </w:r>
            <w:r>
              <w:rPr>
                <w:rFonts w:ascii="Arial" w:cs="Arial" w:eastAsia="Arial" w:hAnsi="Arial"/>
                <w:sz w:val="18"/>
                <w:szCs w:val="18"/>
                <w:color w:val="auto"/>
              </w:rPr>
              <w:t>, S</w:t>
            </w:r>
            <w:r>
              <w:rPr>
                <w:rFonts w:ascii="Arial" w:cs="Arial" w:eastAsia="Arial" w:hAnsi="Arial"/>
                <w:sz w:val="14"/>
                <w:szCs w:val="14"/>
                <w:color w:val="auto"/>
              </w:rPr>
              <w:t>ALE</w:t>
            </w:r>
            <w:r>
              <w:rPr>
                <w:rFonts w:ascii="Arial" w:cs="Arial" w:eastAsia="Arial" w:hAnsi="Arial"/>
                <w:sz w:val="18"/>
                <w:szCs w:val="18"/>
                <w:color w:val="auto"/>
              </w:rPr>
              <w:t>, C</w:t>
            </w:r>
            <w:r>
              <w:rPr>
                <w:rFonts w:ascii="Arial" w:cs="Arial" w:eastAsia="Arial" w:hAnsi="Arial"/>
                <w:sz w:val="14"/>
                <w:szCs w:val="14"/>
                <w:color w:val="auto"/>
              </w:rPr>
              <w:t>ONVEYANCE AND</w:t>
            </w:r>
            <w:r>
              <w:rPr>
                <w:rFonts w:ascii="Arial" w:cs="Arial" w:eastAsia="Arial" w:hAnsi="Arial"/>
                <w:sz w:val="18"/>
                <w:szCs w:val="18"/>
                <w:color w:val="auto"/>
              </w:rPr>
              <w:t xml:space="preserve"> L</w:t>
            </w:r>
            <w:r>
              <w:rPr>
                <w:rFonts w:ascii="Arial" w:cs="Arial" w:eastAsia="Arial" w:hAnsi="Arial"/>
                <w:sz w:val="14"/>
                <w:szCs w:val="14"/>
                <w:color w:val="auto"/>
              </w:rPr>
              <w:t>EASE</w:t>
            </w:r>
          </w:p>
        </w:tc>
        <w:tc>
          <w:tcPr>
            <w:tcW w:w="1420" w:type="dxa"/>
            <w:vAlign w:val="bottom"/>
          </w:tcPr>
          <w:p>
            <w:pPr>
              <w:spacing w:after="0"/>
              <w:rPr>
                <w:sz w:val="20"/>
                <w:szCs w:val="20"/>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11.01</w:t>
            </w:r>
          </w:p>
        </w:tc>
        <w:tc>
          <w:tcPr>
            <w:tcW w:w="8280" w:type="dxa"/>
            <w:vAlign w:val="bottom"/>
          </w:tcPr>
          <w:p>
            <w:pPr>
              <w:ind w:left="260"/>
              <w:spacing w:after="0"/>
              <w:rPr>
                <w:sz w:val="20"/>
                <w:szCs w:val="20"/>
                <w:color w:val="auto"/>
              </w:rPr>
            </w:pPr>
            <w:r>
              <w:rPr>
                <w:rFonts w:ascii="Arial" w:cs="Arial" w:eastAsia="Arial" w:hAnsi="Arial"/>
                <w:sz w:val="18"/>
                <w:szCs w:val="18"/>
                <w:i w:val="1"/>
                <w:iCs w:val="1"/>
                <w:color w:val="auto"/>
              </w:rPr>
              <w:t>Company May Consolidate, Etc. on Certain Terms</w:t>
            </w:r>
          </w:p>
        </w:tc>
        <w:tc>
          <w:tcPr>
            <w:tcW w:w="14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11.02</w:t>
            </w:r>
          </w:p>
        </w:tc>
        <w:tc>
          <w:tcPr>
            <w:tcW w:w="8280" w:type="dxa"/>
            <w:vAlign w:val="bottom"/>
          </w:tcPr>
          <w:p>
            <w:pPr>
              <w:ind w:left="260"/>
              <w:spacing w:after="0"/>
              <w:rPr>
                <w:sz w:val="20"/>
                <w:szCs w:val="20"/>
                <w:color w:val="auto"/>
              </w:rPr>
            </w:pPr>
            <w:r>
              <w:rPr>
                <w:rFonts w:ascii="Arial" w:cs="Arial" w:eastAsia="Arial" w:hAnsi="Arial"/>
                <w:sz w:val="18"/>
                <w:szCs w:val="18"/>
                <w:i w:val="1"/>
                <w:iCs w:val="1"/>
                <w:color w:val="auto"/>
              </w:rPr>
              <w:t>Successor Corporation to Be Substituted</w:t>
            </w:r>
          </w:p>
        </w:tc>
        <w:tc>
          <w:tcPr>
            <w:tcW w:w="14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0"/>
        </w:trPr>
        <w:tc>
          <w:tcPr>
            <w:tcW w:w="1260" w:type="dxa"/>
            <w:vAlign w:val="bottom"/>
          </w:tcPr>
          <w:p>
            <w:pPr>
              <w:spacing w:after="0"/>
              <w:rPr>
                <w:sz w:val="24"/>
                <w:szCs w:val="24"/>
                <w:color w:val="auto"/>
              </w:rPr>
            </w:pPr>
          </w:p>
        </w:tc>
        <w:tc>
          <w:tcPr>
            <w:tcW w:w="8280" w:type="dxa"/>
            <w:vAlign w:val="bottom"/>
          </w:tcPr>
          <w:p>
            <w:pPr>
              <w:jc w:val="center"/>
              <w:ind w:left="70"/>
              <w:spacing w:after="0"/>
              <w:rPr>
                <w:sz w:val="20"/>
                <w:szCs w:val="20"/>
                <w:color w:val="auto"/>
              </w:rPr>
            </w:pPr>
            <w:r>
              <w:rPr>
                <w:rFonts w:ascii="Arial" w:cs="Arial" w:eastAsia="Arial" w:hAnsi="Arial"/>
                <w:sz w:val="18"/>
                <w:szCs w:val="18"/>
                <w:color w:val="auto"/>
                <w:w w:val="94"/>
              </w:rPr>
              <w:t>ARTICLE 12</w:t>
            </w:r>
          </w:p>
        </w:tc>
        <w:tc>
          <w:tcPr>
            <w:tcW w:w="142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8280" w:type="dxa"/>
            <w:vAlign w:val="bottom"/>
          </w:tcPr>
          <w:p>
            <w:pPr>
              <w:jc w:val="center"/>
              <w:ind w:left="7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MMUNITY OF</w:t>
            </w:r>
            <w:r>
              <w:rPr>
                <w:rFonts w:ascii="Arial" w:cs="Arial" w:eastAsia="Arial" w:hAnsi="Arial"/>
                <w:sz w:val="18"/>
                <w:szCs w:val="18"/>
                <w:color w:val="auto"/>
              </w:rPr>
              <w:t xml:space="preserve"> I</w:t>
            </w:r>
            <w:r>
              <w:rPr>
                <w:rFonts w:ascii="Arial" w:cs="Arial" w:eastAsia="Arial" w:hAnsi="Arial"/>
                <w:sz w:val="14"/>
                <w:szCs w:val="14"/>
                <w:color w:val="auto"/>
              </w:rPr>
              <w:t>NCORPORATORS</w:t>
            </w:r>
            <w:r>
              <w:rPr>
                <w:rFonts w:ascii="Arial" w:cs="Arial" w:eastAsia="Arial" w:hAnsi="Arial"/>
                <w:sz w:val="18"/>
                <w:szCs w:val="18"/>
                <w:color w:val="auto"/>
              </w:rPr>
              <w:t>, S</w:t>
            </w:r>
            <w:r>
              <w:rPr>
                <w:rFonts w:ascii="Arial" w:cs="Arial" w:eastAsia="Arial" w:hAnsi="Arial"/>
                <w:sz w:val="14"/>
                <w:szCs w:val="14"/>
                <w:color w:val="auto"/>
              </w:rPr>
              <w:t>TOCKHOLDERS</w:t>
            </w:r>
            <w:r>
              <w:rPr>
                <w:rFonts w:ascii="Arial" w:cs="Arial" w:eastAsia="Arial" w:hAnsi="Arial"/>
                <w:sz w:val="18"/>
                <w:szCs w:val="18"/>
                <w:color w:val="auto"/>
              </w:rPr>
              <w:t>, O</w:t>
            </w:r>
            <w:r>
              <w:rPr>
                <w:rFonts w:ascii="Arial" w:cs="Arial" w:eastAsia="Arial" w:hAnsi="Arial"/>
                <w:sz w:val="14"/>
                <w:szCs w:val="14"/>
                <w:color w:val="auto"/>
              </w:rPr>
              <w:t>FFICERS AND</w:t>
            </w:r>
            <w:r>
              <w:rPr>
                <w:rFonts w:ascii="Arial" w:cs="Arial" w:eastAsia="Arial" w:hAnsi="Arial"/>
                <w:sz w:val="18"/>
                <w:szCs w:val="18"/>
                <w:color w:val="auto"/>
              </w:rPr>
              <w:t xml:space="preserve"> D</w:t>
            </w:r>
            <w:r>
              <w:rPr>
                <w:rFonts w:ascii="Arial" w:cs="Arial" w:eastAsia="Arial" w:hAnsi="Arial"/>
                <w:sz w:val="14"/>
                <w:szCs w:val="14"/>
                <w:color w:val="auto"/>
              </w:rPr>
              <w:t>IRECTORS</w:t>
            </w:r>
          </w:p>
        </w:tc>
        <w:tc>
          <w:tcPr>
            <w:tcW w:w="1420" w:type="dxa"/>
            <w:vAlign w:val="bottom"/>
          </w:tcPr>
          <w:p>
            <w:pPr>
              <w:spacing w:after="0"/>
              <w:rPr>
                <w:sz w:val="20"/>
                <w:szCs w:val="20"/>
                <w:color w:val="auto"/>
              </w:rPr>
            </w:pP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12.01</w:t>
            </w:r>
          </w:p>
        </w:tc>
        <w:tc>
          <w:tcPr>
            <w:tcW w:w="8280" w:type="dxa"/>
            <w:vAlign w:val="bottom"/>
          </w:tcPr>
          <w:p>
            <w:pPr>
              <w:ind w:left="260"/>
              <w:spacing w:after="0"/>
              <w:rPr>
                <w:sz w:val="20"/>
                <w:szCs w:val="20"/>
                <w:color w:val="auto"/>
              </w:rPr>
            </w:pPr>
            <w:r>
              <w:rPr>
                <w:rFonts w:ascii="Arial" w:cs="Arial" w:eastAsia="Arial" w:hAnsi="Arial"/>
                <w:sz w:val="18"/>
                <w:szCs w:val="18"/>
                <w:i w:val="1"/>
                <w:iCs w:val="1"/>
                <w:color w:val="auto"/>
              </w:rPr>
              <w:t>Indenture and Notes Solely Corporate Obligations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3"/>
        </w:trPr>
        <w:tc>
          <w:tcPr>
            <w:tcW w:w="1260" w:type="dxa"/>
            <w:vAlign w:val="bottom"/>
          </w:tcPr>
          <w:p>
            <w:pPr>
              <w:spacing w:after="0"/>
              <w:rPr>
                <w:sz w:val="24"/>
                <w:szCs w:val="24"/>
                <w:color w:val="auto"/>
              </w:rPr>
            </w:pPr>
          </w:p>
        </w:tc>
        <w:tc>
          <w:tcPr>
            <w:tcW w:w="8280" w:type="dxa"/>
            <w:vAlign w:val="bottom"/>
          </w:tcPr>
          <w:p>
            <w:pPr>
              <w:jc w:val="center"/>
              <w:ind w:left="70"/>
              <w:spacing w:after="0"/>
              <w:rPr>
                <w:sz w:val="20"/>
                <w:szCs w:val="20"/>
                <w:color w:val="auto"/>
              </w:rPr>
            </w:pPr>
            <w:r>
              <w:rPr>
                <w:rFonts w:ascii="Arial" w:cs="Arial" w:eastAsia="Arial" w:hAnsi="Arial"/>
                <w:sz w:val="18"/>
                <w:szCs w:val="18"/>
                <w:color w:val="auto"/>
                <w:w w:val="94"/>
              </w:rPr>
              <w:t>ARTICLE 13</w:t>
            </w:r>
          </w:p>
        </w:tc>
        <w:tc>
          <w:tcPr>
            <w:tcW w:w="142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8280" w:type="dxa"/>
            <w:vAlign w:val="bottom"/>
          </w:tcPr>
          <w:p>
            <w:pPr>
              <w:jc w:val="center"/>
              <w:ind w:left="7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INTENTIONALLY</w:t>
            </w:r>
            <w:r>
              <w:rPr>
                <w:rFonts w:ascii="Arial" w:cs="Arial" w:eastAsia="Arial" w:hAnsi="Arial"/>
                <w:sz w:val="18"/>
                <w:szCs w:val="18"/>
                <w:color w:val="auto"/>
              </w:rPr>
              <w:t xml:space="preserve"> O</w:t>
            </w:r>
            <w:r>
              <w:rPr>
                <w:rFonts w:ascii="Arial" w:cs="Arial" w:eastAsia="Arial" w:hAnsi="Arial"/>
                <w:sz w:val="14"/>
                <w:szCs w:val="14"/>
                <w:color w:val="auto"/>
              </w:rPr>
              <w:t>MITTED</w:t>
            </w:r>
            <w:r>
              <w:rPr>
                <w:rFonts w:ascii="Arial" w:cs="Arial" w:eastAsia="Arial" w:hAnsi="Arial"/>
                <w:sz w:val="18"/>
                <w:szCs w:val="18"/>
                <w:color w:val="auto"/>
              </w:rPr>
              <w:t>]</w:t>
            </w:r>
          </w:p>
        </w:tc>
        <w:tc>
          <w:tcPr>
            <w:tcW w:w="1420" w:type="dxa"/>
            <w:vAlign w:val="bottom"/>
          </w:tcPr>
          <w:p>
            <w:pPr>
              <w:spacing w:after="0"/>
              <w:rPr>
                <w:sz w:val="20"/>
                <w:szCs w:val="20"/>
                <w:color w:val="auto"/>
              </w:rPr>
            </w:pPr>
          </w:p>
        </w:tc>
      </w:tr>
      <w:tr>
        <w:trPr>
          <w:trHeight w:val="323"/>
        </w:trPr>
        <w:tc>
          <w:tcPr>
            <w:tcW w:w="1260" w:type="dxa"/>
            <w:vAlign w:val="bottom"/>
          </w:tcPr>
          <w:p>
            <w:pPr>
              <w:spacing w:after="0"/>
              <w:rPr>
                <w:sz w:val="24"/>
                <w:szCs w:val="24"/>
                <w:color w:val="auto"/>
              </w:rPr>
            </w:pPr>
          </w:p>
        </w:tc>
        <w:tc>
          <w:tcPr>
            <w:tcW w:w="8280" w:type="dxa"/>
            <w:vAlign w:val="bottom"/>
          </w:tcPr>
          <w:p>
            <w:pPr>
              <w:jc w:val="center"/>
              <w:ind w:left="70"/>
              <w:spacing w:after="0"/>
              <w:rPr>
                <w:sz w:val="20"/>
                <w:szCs w:val="20"/>
                <w:color w:val="auto"/>
              </w:rPr>
            </w:pPr>
            <w:r>
              <w:rPr>
                <w:rFonts w:ascii="Arial" w:cs="Arial" w:eastAsia="Arial" w:hAnsi="Arial"/>
                <w:sz w:val="18"/>
                <w:szCs w:val="18"/>
                <w:color w:val="auto"/>
                <w:w w:val="94"/>
              </w:rPr>
              <w:t>ARTICLE 14</w:t>
            </w:r>
          </w:p>
        </w:tc>
        <w:tc>
          <w:tcPr>
            <w:tcW w:w="142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8280" w:type="dxa"/>
            <w:vAlign w:val="bottom"/>
          </w:tcPr>
          <w:p>
            <w:pPr>
              <w:jc w:val="center"/>
              <w:ind w:left="70"/>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ONVERSION OF</w:t>
            </w:r>
            <w:r>
              <w:rPr>
                <w:rFonts w:ascii="Arial" w:cs="Arial" w:eastAsia="Arial" w:hAnsi="Arial"/>
                <w:sz w:val="18"/>
                <w:szCs w:val="18"/>
                <w:color w:val="auto"/>
                <w:w w:val="99"/>
              </w:rPr>
              <w:t xml:space="preserve"> N</w:t>
            </w:r>
            <w:r>
              <w:rPr>
                <w:rFonts w:ascii="Arial" w:cs="Arial" w:eastAsia="Arial" w:hAnsi="Arial"/>
                <w:sz w:val="14"/>
                <w:szCs w:val="14"/>
                <w:color w:val="auto"/>
                <w:w w:val="99"/>
              </w:rPr>
              <w:t>OTES</w:t>
            </w:r>
          </w:p>
        </w:tc>
        <w:tc>
          <w:tcPr>
            <w:tcW w:w="1420" w:type="dxa"/>
            <w:vAlign w:val="bottom"/>
          </w:tcPr>
          <w:p>
            <w:pPr>
              <w:spacing w:after="0"/>
              <w:rPr>
                <w:sz w:val="20"/>
                <w:szCs w:val="20"/>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14.01</w:t>
            </w:r>
          </w:p>
        </w:tc>
        <w:tc>
          <w:tcPr>
            <w:tcW w:w="8280" w:type="dxa"/>
            <w:vAlign w:val="bottom"/>
          </w:tcPr>
          <w:p>
            <w:pPr>
              <w:ind w:left="260"/>
              <w:spacing w:after="0"/>
              <w:rPr>
                <w:sz w:val="20"/>
                <w:szCs w:val="20"/>
                <w:color w:val="auto"/>
              </w:rPr>
            </w:pPr>
            <w:r>
              <w:rPr>
                <w:rFonts w:ascii="Arial" w:cs="Arial" w:eastAsia="Arial" w:hAnsi="Arial"/>
                <w:sz w:val="18"/>
                <w:szCs w:val="18"/>
                <w:i w:val="1"/>
                <w:iCs w:val="1"/>
                <w:color w:val="auto"/>
              </w:rPr>
              <w:t>Conversion Privilege</w:t>
            </w:r>
          </w:p>
        </w:tc>
        <w:tc>
          <w:tcPr>
            <w:tcW w:w="1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14.02</w:t>
            </w:r>
          </w:p>
        </w:tc>
        <w:tc>
          <w:tcPr>
            <w:tcW w:w="8280" w:type="dxa"/>
            <w:vAlign w:val="bottom"/>
          </w:tcPr>
          <w:p>
            <w:pPr>
              <w:ind w:left="260"/>
              <w:spacing w:after="0"/>
              <w:rPr>
                <w:sz w:val="20"/>
                <w:szCs w:val="20"/>
                <w:color w:val="auto"/>
              </w:rPr>
            </w:pPr>
            <w:r>
              <w:rPr>
                <w:rFonts w:ascii="Arial" w:cs="Arial" w:eastAsia="Arial" w:hAnsi="Arial"/>
                <w:sz w:val="18"/>
                <w:szCs w:val="18"/>
                <w:i w:val="1"/>
                <w:iCs w:val="1"/>
                <w:color w:val="auto"/>
              </w:rPr>
              <w:t>Conversion Procedure; Settlement Upon Conversion</w:t>
            </w:r>
          </w:p>
        </w:tc>
        <w:tc>
          <w:tcPr>
            <w:tcW w:w="142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14.03</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w w:val="91"/>
              </w:rPr>
              <w:t>Increased Conversion Rate Applicable to Certain Notes Surrendered in Connection with Make-Whole Fundamental Changes</w:t>
            </w:r>
          </w:p>
        </w:tc>
        <w:tc>
          <w:tcPr>
            <w:tcW w:w="32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or a Notice of Redemption</w:t>
            </w: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14.04</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Adjustment of Conversion Rate</w:t>
            </w:r>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14.05</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Adjustments of Prices</w:t>
            </w: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14.06</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Shares to Be Fully Paid</w:t>
            </w: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14.07</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Effect of Recapitalizations, Reclassifications and Changes of the Class A Common Stock</w:t>
            </w: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14.08</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Certain Covenants</w:t>
            </w:r>
          </w:p>
        </w:tc>
        <w:tc>
          <w:tcPr>
            <w:tcW w:w="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14.09</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Responsibility of Trustee</w:t>
            </w:r>
          </w:p>
        </w:tc>
        <w:tc>
          <w:tcPr>
            <w:tcW w:w="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14.10</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Notice to Holders Prior to Certain Actions</w:t>
            </w:r>
          </w:p>
        </w:tc>
        <w:tc>
          <w:tcPr>
            <w:tcW w:w="3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14.11</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Stockholder Rights Plans</w:t>
            </w:r>
          </w:p>
        </w:tc>
        <w:tc>
          <w:tcPr>
            <w:tcW w:w="3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14.12</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Exchange in Lieu of Conversion</w:t>
            </w:r>
          </w:p>
        </w:tc>
        <w:tc>
          <w:tcPr>
            <w:tcW w:w="3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1260" w:type="dxa"/>
            <w:vAlign w:val="bottom"/>
          </w:tcPr>
          <w:p>
            <w:pPr>
              <w:spacing w:after="0"/>
              <w:rPr>
                <w:sz w:val="19"/>
                <w:szCs w:val="19"/>
                <w:color w:val="auto"/>
              </w:rPr>
            </w:pPr>
          </w:p>
        </w:tc>
        <w:tc>
          <w:tcPr>
            <w:tcW w:w="9380" w:type="dxa"/>
            <w:vAlign w:val="bottom"/>
          </w:tcPr>
          <w:p>
            <w:pPr>
              <w:jc w:val="center"/>
              <w:ind w:right="850"/>
              <w:spacing w:after="0"/>
              <w:rPr>
                <w:sz w:val="20"/>
                <w:szCs w:val="20"/>
                <w:color w:val="auto"/>
              </w:rPr>
            </w:pPr>
            <w:r>
              <w:rPr>
                <w:rFonts w:ascii="Arial" w:cs="Arial" w:eastAsia="Arial" w:hAnsi="Arial"/>
                <w:sz w:val="18"/>
                <w:szCs w:val="18"/>
                <w:color w:val="auto"/>
                <w:w w:val="94"/>
              </w:rPr>
              <w:t>ARTICLE 15</w:t>
            </w:r>
          </w:p>
        </w:tc>
        <w:tc>
          <w:tcPr>
            <w:tcW w:w="32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p>
        </w:tc>
        <w:tc>
          <w:tcPr>
            <w:tcW w:w="9380" w:type="dxa"/>
            <w:vAlign w:val="bottom"/>
          </w:tcPr>
          <w:p>
            <w:pPr>
              <w:jc w:val="center"/>
              <w:ind w:right="87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EPURCHASE OF</w:t>
            </w:r>
            <w:r>
              <w:rPr>
                <w:rFonts w:ascii="Arial" w:cs="Arial" w:eastAsia="Arial" w:hAnsi="Arial"/>
                <w:sz w:val="18"/>
                <w:szCs w:val="18"/>
                <w:color w:val="auto"/>
                <w:w w:val="99"/>
              </w:rPr>
              <w:t xml:space="preserve"> N</w:t>
            </w:r>
            <w:r>
              <w:rPr>
                <w:rFonts w:ascii="Arial" w:cs="Arial" w:eastAsia="Arial" w:hAnsi="Arial"/>
                <w:sz w:val="14"/>
                <w:szCs w:val="14"/>
                <w:color w:val="auto"/>
                <w:w w:val="99"/>
              </w:rPr>
              <w:t>OTES AT</w:t>
            </w:r>
            <w:r>
              <w:rPr>
                <w:rFonts w:ascii="Arial" w:cs="Arial" w:eastAsia="Arial" w:hAnsi="Arial"/>
                <w:sz w:val="18"/>
                <w:szCs w:val="18"/>
                <w:color w:val="auto"/>
                <w:w w:val="99"/>
              </w:rPr>
              <w:t xml:space="preserve"> O</w:t>
            </w:r>
            <w:r>
              <w:rPr>
                <w:rFonts w:ascii="Arial" w:cs="Arial" w:eastAsia="Arial" w:hAnsi="Arial"/>
                <w:sz w:val="14"/>
                <w:szCs w:val="14"/>
                <w:color w:val="auto"/>
                <w:w w:val="99"/>
              </w:rPr>
              <w:t>PTION OF</w:t>
            </w:r>
            <w:r>
              <w:rPr>
                <w:rFonts w:ascii="Arial" w:cs="Arial" w:eastAsia="Arial" w:hAnsi="Arial"/>
                <w:sz w:val="18"/>
                <w:szCs w:val="18"/>
                <w:color w:val="auto"/>
                <w:w w:val="99"/>
              </w:rPr>
              <w:t xml:space="preserve"> H</w:t>
            </w:r>
            <w:r>
              <w:rPr>
                <w:rFonts w:ascii="Arial" w:cs="Arial" w:eastAsia="Arial" w:hAnsi="Arial"/>
                <w:sz w:val="14"/>
                <w:szCs w:val="14"/>
                <w:color w:val="auto"/>
                <w:w w:val="99"/>
              </w:rPr>
              <w:t>OLDERS</w:t>
            </w:r>
          </w:p>
        </w:tc>
        <w:tc>
          <w:tcPr>
            <w:tcW w:w="320" w:type="dxa"/>
            <w:vAlign w:val="bottom"/>
          </w:tcPr>
          <w:p>
            <w:pPr>
              <w:spacing w:after="0"/>
              <w:rPr>
                <w:sz w:val="20"/>
                <w:szCs w:val="20"/>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15.01</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[Intentionally Omitted]</w:t>
            </w:r>
          </w:p>
        </w:tc>
        <w:tc>
          <w:tcPr>
            <w:tcW w:w="3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15.02</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Repurchase at Option of Holders Upon a Fundamental Change</w:t>
            </w:r>
          </w:p>
        </w:tc>
        <w:tc>
          <w:tcPr>
            <w:tcW w:w="3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15.03</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Withdrawal of Fundamental Change Repurchase Notice</w:t>
            </w:r>
          </w:p>
        </w:tc>
        <w:tc>
          <w:tcPr>
            <w:tcW w:w="3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15.04</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Deposit of Fundamental Change Repurchase Price</w:t>
            </w:r>
          </w:p>
        </w:tc>
        <w:tc>
          <w:tcPr>
            <w:tcW w:w="3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15.05</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Covenant to Comply with Applicable Laws Upon Repurchase of Notes</w:t>
            </w:r>
          </w:p>
        </w:tc>
        <w:tc>
          <w:tcPr>
            <w:tcW w:w="3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3"/>
        </w:trPr>
        <w:tc>
          <w:tcPr>
            <w:tcW w:w="1260" w:type="dxa"/>
            <w:vAlign w:val="bottom"/>
          </w:tcPr>
          <w:p>
            <w:pPr>
              <w:spacing w:after="0"/>
              <w:rPr>
                <w:sz w:val="24"/>
                <w:szCs w:val="24"/>
                <w:color w:val="auto"/>
              </w:rPr>
            </w:pPr>
          </w:p>
        </w:tc>
        <w:tc>
          <w:tcPr>
            <w:tcW w:w="9380" w:type="dxa"/>
            <w:vAlign w:val="bottom"/>
          </w:tcPr>
          <w:p>
            <w:pPr>
              <w:jc w:val="center"/>
              <w:ind w:right="850"/>
              <w:spacing w:after="0"/>
              <w:rPr>
                <w:sz w:val="20"/>
                <w:szCs w:val="20"/>
                <w:color w:val="auto"/>
              </w:rPr>
            </w:pPr>
            <w:r>
              <w:rPr>
                <w:rFonts w:ascii="Arial" w:cs="Arial" w:eastAsia="Arial" w:hAnsi="Arial"/>
                <w:sz w:val="18"/>
                <w:szCs w:val="18"/>
                <w:color w:val="auto"/>
                <w:w w:val="94"/>
              </w:rPr>
              <w:t>ARTICLE 16</w:t>
            </w:r>
          </w:p>
        </w:tc>
        <w:tc>
          <w:tcPr>
            <w:tcW w:w="320" w:type="dxa"/>
            <w:vAlign w:val="bottom"/>
          </w:tcPr>
          <w:p>
            <w:pPr>
              <w:spacing w:after="0"/>
              <w:rPr>
                <w:sz w:val="24"/>
                <w:szCs w:val="24"/>
                <w:color w:val="auto"/>
              </w:rPr>
            </w:pPr>
          </w:p>
        </w:tc>
      </w:tr>
      <w:tr>
        <w:trPr>
          <w:trHeight w:val="229"/>
        </w:trPr>
        <w:tc>
          <w:tcPr>
            <w:tcW w:w="1260" w:type="dxa"/>
            <w:vAlign w:val="bottom"/>
          </w:tcPr>
          <w:p>
            <w:pPr>
              <w:spacing w:after="0"/>
              <w:rPr>
                <w:sz w:val="19"/>
                <w:szCs w:val="19"/>
                <w:color w:val="auto"/>
              </w:rPr>
            </w:pPr>
          </w:p>
        </w:tc>
        <w:tc>
          <w:tcPr>
            <w:tcW w:w="9380" w:type="dxa"/>
            <w:vAlign w:val="bottom"/>
          </w:tcPr>
          <w:p>
            <w:pPr>
              <w:jc w:val="center"/>
              <w:ind w:right="850"/>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PTIONAL</w:t>
            </w:r>
            <w:r>
              <w:rPr>
                <w:rFonts w:ascii="Arial" w:cs="Arial" w:eastAsia="Arial" w:hAnsi="Arial"/>
                <w:sz w:val="18"/>
                <w:szCs w:val="18"/>
                <w:color w:val="auto"/>
              </w:rPr>
              <w:t xml:space="preserve"> R</w:t>
            </w:r>
            <w:r>
              <w:rPr>
                <w:rFonts w:ascii="Arial" w:cs="Arial" w:eastAsia="Arial" w:hAnsi="Arial"/>
                <w:sz w:val="14"/>
                <w:szCs w:val="14"/>
                <w:color w:val="auto"/>
              </w:rPr>
              <w:t>EDEMPTION</w:t>
            </w:r>
          </w:p>
        </w:tc>
        <w:tc>
          <w:tcPr>
            <w:tcW w:w="320" w:type="dxa"/>
            <w:vAlign w:val="bottom"/>
          </w:tcPr>
          <w:p>
            <w:pPr>
              <w:spacing w:after="0"/>
              <w:rPr>
                <w:sz w:val="19"/>
                <w:szCs w:val="19"/>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16.01</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Optional Redemption</w:t>
            </w:r>
          </w:p>
        </w:tc>
        <w:tc>
          <w:tcPr>
            <w:tcW w:w="3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16.02</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Notice of Optional Redemption; Selection of Notes</w:t>
            </w:r>
          </w:p>
        </w:tc>
        <w:tc>
          <w:tcPr>
            <w:tcW w:w="3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16.03</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Payment of Notes Called for Redemption</w:t>
            </w: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16.04</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Restrictions on Redemption</w:t>
            </w: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1260" w:type="dxa"/>
            <w:vAlign w:val="bottom"/>
          </w:tcPr>
          <w:p>
            <w:pPr>
              <w:spacing w:after="0"/>
              <w:rPr>
                <w:sz w:val="19"/>
                <w:szCs w:val="19"/>
                <w:color w:val="auto"/>
              </w:rPr>
            </w:pPr>
          </w:p>
        </w:tc>
        <w:tc>
          <w:tcPr>
            <w:tcW w:w="9380" w:type="dxa"/>
            <w:vAlign w:val="bottom"/>
          </w:tcPr>
          <w:p>
            <w:pPr>
              <w:jc w:val="center"/>
              <w:ind w:right="850"/>
              <w:spacing w:after="0"/>
              <w:rPr>
                <w:sz w:val="20"/>
                <w:szCs w:val="20"/>
                <w:color w:val="auto"/>
              </w:rPr>
            </w:pPr>
            <w:r>
              <w:rPr>
                <w:rFonts w:ascii="Arial" w:cs="Arial" w:eastAsia="Arial" w:hAnsi="Arial"/>
                <w:sz w:val="18"/>
                <w:szCs w:val="18"/>
                <w:color w:val="auto"/>
                <w:w w:val="94"/>
              </w:rPr>
              <w:t>ARTICLE 17</w:t>
            </w:r>
          </w:p>
        </w:tc>
        <w:tc>
          <w:tcPr>
            <w:tcW w:w="32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p>
        </w:tc>
        <w:tc>
          <w:tcPr>
            <w:tcW w:w="9380" w:type="dxa"/>
            <w:vAlign w:val="bottom"/>
          </w:tcPr>
          <w:p>
            <w:pPr>
              <w:jc w:val="center"/>
              <w:ind w:right="87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r>
              <w:rPr>
                <w:rFonts w:ascii="Arial" w:cs="Arial" w:eastAsia="Arial" w:hAnsi="Arial"/>
                <w:sz w:val="18"/>
                <w:szCs w:val="18"/>
                <w:color w:val="auto"/>
              </w:rPr>
              <w:t xml:space="preserve"> P</w:t>
            </w:r>
            <w:r>
              <w:rPr>
                <w:rFonts w:ascii="Arial" w:cs="Arial" w:eastAsia="Arial" w:hAnsi="Arial"/>
                <w:sz w:val="14"/>
                <w:szCs w:val="14"/>
                <w:color w:val="auto"/>
              </w:rPr>
              <w:t>ROVISIONS</w:t>
            </w:r>
          </w:p>
        </w:tc>
        <w:tc>
          <w:tcPr>
            <w:tcW w:w="320" w:type="dxa"/>
            <w:vAlign w:val="bottom"/>
          </w:tcPr>
          <w:p>
            <w:pPr>
              <w:spacing w:after="0"/>
              <w:rPr>
                <w:sz w:val="20"/>
                <w:szCs w:val="20"/>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17.01</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Provisions Binding on Company’s Successors</w:t>
            </w: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17.02</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Official Acts by Successor Corporation</w:t>
            </w: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17.03</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Addresses for Notices, Etc.</w:t>
            </w:r>
          </w:p>
        </w:tc>
        <w:tc>
          <w:tcPr>
            <w:tcW w:w="3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17.04</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Governing Law; Jurisdiction</w:t>
            </w:r>
          </w:p>
        </w:tc>
        <w:tc>
          <w:tcPr>
            <w:tcW w:w="3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17.05</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Evidence of Compliance with Conditions Precedent; Certificates and Opinions of Counsel to Trustee</w:t>
            </w:r>
          </w:p>
        </w:tc>
        <w:tc>
          <w:tcPr>
            <w:tcW w:w="3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17.06</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Legal Holidays</w:t>
            </w: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17.07</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No Security Interest Created</w:t>
            </w: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17.08</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Benefits of Indenture</w:t>
            </w: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17.09</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Table of Contents, Headings, Etc.</w:t>
            </w: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17.10</w:t>
            </w:r>
          </w:p>
        </w:tc>
        <w:tc>
          <w:tcPr>
            <w:tcW w:w="9380" w:type="dxa"/>
            <w:vAlign w:val="bottom"/>
          </w:tcPr>
          <w:p>
            <w:pPr>
              <w:ind w:left="260"/>
              <w:spacing w:after="0"/>
              <w:rPr>
                <w:sz w:val="20"/>
                <w:szCs w:val="20"/>
                <w:color w:val="auto"/>
              </w:rPr>
            </w:pPr>
            <w:r>
              <w:rPr>
                <w:rFonts w:ascii="Arial" w:cs="Arial" w:eastAsia="Arial" w:hAnsi="Arial"/>
                <w:sz w:val="18"/>
                <w:szCs w:val="18"/>
                <w:i w:val="1"/>
                <w:iCs w:val="1"/>
                <w:color w:val="auto"/>
              </w:rPr>
              <w:t>Authenticating Agent</w:t>
            </w: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17.11</w:t>
            </w:r>
          </w:p>
        </w:tc>
        <w:tc>
          <w:tcPr>
            <w:tcW w:w="5800" w:type="dxa"/>
            <w:vAlign w:val="bottom"/>
          </w:tcPr>
          <w:p>
            <w:pPr>
              <w:ind w:left="260"/>
              <w:spacing w:after="0"/>
              <w:rPr>
                <w:sz w:val="20"/>
                <w:szCs w:val="20"/>
                <w:color w:val="auto"/>
              </w:rPr>
            </w:pPr>
            <w:r>
              <w:rPr>
                <w:rFonts w:ascii="Arial" w:cs="Arial" w:eastAsia="Arial" w:hAnsi="Arial"/>
                <w:sz w:val="18"/>
                <w:szCs w:val="18"/>
                <w:i w:val="1"/>
                <w:iCs w:val="1"/>
                <w:color w:val="auto"/>
              </w:rPr>
              <w:t>Execution in Counterparts</w:t>
            </w:r>
          </w:p>
        </w:tc>
        <w:tc>
          <w:tcPr>
            <w:tcW w:w="3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17.12</w:t>
            </w:r>
          </w:p>
        </w:tc>
        <w:tc>
          <w:tcPr>
            <w:tcW w:w="5800" w:type="dxa"/>
            <w:vAlign w:val="bottom"/>
          </w:tcPr>
          <w:p>
            <w:pPr>
              <w:ind w:left="260"/>
              <w:spacing w:after="0"/>
              <w:rPr>
                <w:sz w:val="20"/>
                <w:szCs w:val="20"/>
                <w:color w:val="auto"/>
              </w:rPr>
            </w:pPr>
            <w:r>
              <w:rPr>
                <w:rFonts w:ascii="Arial" w:cs="Arial" w:eastAsia="Arial" w:hAnsi="Arial"/>
                <w:sz w:val="18"/>
                <w:szCs w:val="18"/>
                <w:i w:val="1"/>
                <w:iCs w:val="1"/>
                <w:color w:val="auto"/>
              </w:rPr>
              <w:t>Severability</w:t>
            </w:r>
          </w:p>
        </w:tc>
        <w:tc>
          <w:tcPr>
            <w:tcW w:w="39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17.13</w:t>
            </w:r>
          </w:p>
        </w:tc>
        <w:tc>
          <w:tcPr>
            <w:tcW w:w="5800" w:type="dxa"/>
            <w:vAlign w:val="bottom"/>
          </w:tcPr>
          <w:p>
            <w:pPr>
              <w:ind w:left="260"/>
              <w:spacing w:after="0"/>
              <w:rPr>
                <w:sz w:val="20"/>
                <w:szCs w:val="20"/>
                <w:color w:val="auto"/>
              </w:rPr>
            </w:pPr>
            <w:r>
              <w:rPr>
                <w:rFonts w:ascii="Arial" w:cs="Arial" w:eastAsia="Arial" w:hAnsi="Arial"/>
                <w:sz w:val="18"/>
                <w:szCs w:val="18"/>
                <w:i w:val="1"/>
                <w:iCs w:val="1"/>
                <w:color w:val="auto"/>
              </w:rPr>
              <w:t>Waiver of Jury Trial</w:t>
            </w:r>
          </w:p>
        </w:tc>
        <w:tc>
          <w:tcPr>
            <w:tcW w:w="39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17.14</w:t>
            </w:r>
          </w:p>
        </w:tc>
        <w:tc>
          <w:tcPr>
            <w:tcW w:w="5800" w:type="dxa"/>
            <w:vAlign w:val="bottom"/>
          </w:tcPr>
          <w:p>
            <w:pPr>
              <w:ind w:left="260"/>
              <w:spacing w:after="0"/>
              <w:rPr>
                <w:sz w:val="20"/>
                <w:szCs w:val="20"/>
                <w:color w:val="auto"/>
              </w:rPr>
            </w:pPr>
            <w:r>
              <w:rPr>
                <w:rFonts w:ascii="Arial" w:cs="Arial" w:eastAsia="Arial" w:hAnsi="Arial"/>
                <w:sz w:val="18"/>
                <w:szCs w:val="18"/>
                <w:i w:val="1"/>
                <w:iCs w:val="1"/>
                <w:color w:val="auto"/>
              </w:rPr>
              <w:t>Force Majeure</w:t>
            </w:r>
          </w:p>
        </w:tc>
        <w:tc>
          <w:tcPr>
            <w:tcW w:w="39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17.15</w:t>
            </w:r>
          </w:p>
        </w:tc>
        <w:tc>
          <w:tcPr>
            <w:tcW w:w="5800" w:type="dxa"/>
            <w:vAlign w:val="bottom"/>
          </w:tcPr>
          <w:p>
            <w:pPr>
              <w:ind w:left="260"/>
              <w:spacing w:after="0"/>
              <w:rPr>
                <w:sz w:val="20"/>
                <w:szCs w:val="20"/>
                <w:color w:val="auto"/>
              </w:rPr>
            </w:pPr>
            <w:r>
              <w:rPr>
                <w:rFonts w:ascii="Arial" w:cs="Arial" w:eastAsia="Arial" w:hAnsi="Arial"/>
                <w:sz w:val="18"/>
                <w:szCs w:val="18"/>
                <w:i w:val="1"/>
                <w:iCs w:val="1"/>
                <w:color w:val="auto"/>
              </w:rPr>
              <w:t>Calculations</w:t>
            </w:r>
          </w:p>
        </w:tc>
        <w:tc>
          <w:tcPr>
            <w:tcW w:w="39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17.16</w:t>
            </w:r>
          </w:p>
        </w:tc>
        <w:tc>
          <w:tcPr>
            <w:tcW w:w="5800" w:type="dxa"/>
            <w:vAlign w:val="bottom"/>
          </w:tcPr>
          <w:p>
            <w:pPr>
              <w:ind w:left="260"/>
              <w:spacing w:after="0"/>
              <w:rPr>
                <w:sz w:val="20"/>
                <w:szCs w:val="20"/>
                <w:color w:val="auto"/>
              </w:rPr>
            </w:pPr>
            <w:r>
              <w:rPr>
                <w:rFonts w:ascii="Arial" w:cs="Arial" w:eastAsia="Arial" w:hAnsi="Arial"/>
                <w:sz w:val="18"/>
                <w:szCs w:val="18"/>
                <w:i w:val="1"/>
                <w:iCs w:val="1"/>
                <w:color w:val="auto"/>
              </w:rPr>
              <w:t>USA PATRIOT Act</w:t>
            </w:r>
          </w:p>
        </w:tc>
        <w:tc>
          <w:tcPr>
            <w:tcW w:w="39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17.17</w:t>
            </w:r>
          </w:p>
        </w:tc>
        <w:tc>
          <w:tcPr>
            <w:tcW w:w="5800" w:type="dxa"/>
            <w:vAlign w:val="bottom"/>
          </w:tcPr>
          <w:p>
            <w:pPr>
              <w:ind w:left="260"/>
              <w:spacing w:after="0"/>
              <w:rPr>
                <w:sz w:val="20"/>
                <w:szCs w:val="20"/>
                <w:color w:val="auto"/>
              </w:rPr>
            </w:pPr>
            <w:r>
              <w:rPr>
                <w:rFonts w:ascii="Arial" w:cs="Arial" w:eastAsia="Arial" w:hAnsi="Arial"/>
                <w:sz w:val="18"/>
                <w:szCs w:val="18"/>
                <w:i w:val="1"/>
                <w:iCs w:val="1"/>
                <w:color w:val="auto"/>
              </w:rPr>
              <w:t>Electronic Signatures</w:t>
            </w:r>
          </w:p>
        </w:tc>
        <w:tc>
          <w:tcPr>
            <w:tcW w:w="390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EXHIBIT</w:t>
      </w:r>
    </w:p>
    <w:p>
      <w:pPr>
        <w:sectPr>
          <w:pgSz w:w="11900" w:h="16838" w:orient="portrait"/>
          <w:cols w:equalWidth="0" w:num="1">
            <w:col w:w="10960"/>
          </w:cols>
          <w:pgMar w:left="440" w:top="274" w:right="49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Exhibit 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Form of Note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A-1</w:t>
      </w:r>
    </w:p>
    <w:p>
      <w:pPr>
        <w:spacing w:after="0" w:line="155" w:lineRule="exact"/>
        <w:rPr>
          <w:sz w:val="20"/>
          <w:szCs w:val="20"/>
          <w:color w:val="auto"/>
        </w:rPr>
      </w:pPr>
    </w:p>
    <w:p>
      <w:pPr>
        <w:sectPr>
          <w:pgSz w:w="11900" w:h="16838" w:orient="portrait"/>
          <w:cols w:equalWidth="0" w:num="3">
            <w:col w:w="700" w:space="260"/>
            <w:col w:w="9000" w:space="720"/>
            <w:col w:w="280"/>
          </w:cols>
          <w:pgMar w:left="440" w:top="274" w:right="49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10960"/>
          </w:cols>
          <w:pgMar w:left="440" w:top="274" w:right="499" w:bottom="1440" w:gutter="0" w:footer="0" w:header="0"/>
          <w:type w:val="continuous"/>
        </w:sectPr>
      </w:pPr>
    </w:p>
    <w:bookmarkStart w:id="11" w:name="page12"/>
    <w:bookmarkEnd w:id="11"/>
    <w:p>
      <w:pPr>
        <w:ind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February 4, 2022 between XOMETRY, INC., a Delaware corporation, as issuer (the “</w:t>
      </w:r>
      <w:r>
        <w:rPr>
          <w:rFonts w:ascii="Arial" w:cs="Arial" w:eastAsia="Arial" w:hAnsi="Arial"/>
          <w:sz w:val="18"/>
          <w:szCs w:val="18"/>
          <w:b w:val="1"/>
          <w:bCs w:val="1"/>
          <w:color w:val="auto"/>
        </w:rPr>
        <w:t>Company</w:t>
      </w:r>
      <w:r>
        <w:rPr>
          <w:rFonts w:ascii="Arial" w:cs="Arial" w:eastAsia="Arial" w:hAnsi="Arial"/>
          <w:sz w:val="18"/>
          <w:szCs w:val="18"/>
          <w:color w:val="auto"/>
        </w:rPr>
        <w:t>,” as more fully set forth in Section 1.01) and U.S. BANK TRUST COMPANY, NATIONAL ASSOCIATION, a national banking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more fully set forth in Section 1.01).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WHEREAS, for its lawful corporate purposes, the Company has duly authorized the issuance of its 1.00% Convertible Senior Notes due 2027 (the “</w:t>
      </w:r>
      <w:r>
        <w:rPr>
          <w:rFonts w:ascii="Arial" w:cs="Arial" w:eastAsia="Arial" w:hAnsi="Arial"/>
          <w:sz w:val="18"/>
          <w:szCs w:val="18"/>
          <w:b w:val="1"/>
          <w:bCs w:val="1"/>
          <w:color w:val="auto"/>
        </w:rPr>
        <w:t>Notes</w:t>
      </w:r>
      <w:r>
        <w:rPr>
          <w:rFonts w:ascii="Arial" w:cs="Arial" w:eastAsia="Arial" w:hAnsi="Arial"/>
          <w:sz w:val="18"/>
          <w:szCs w:val="18"/>
          <w:color w:val="auto"/>
        </w:rPr>
        <w:t>”), initially in an aggregate principal amount not to exceed $250,000,000 (as increased by an amount equal to the aggregate principal amount of any additional Notes purchased by the Initial Purchasers pursuant to the exercise of their option to purchase additional Notes as set forth in the Purchase Agreement), and in order to provide the terms and conditions upon which the Notes are to be authenticated, issued and delivered, the Company has duly authorized the execution and delivery of this Indenture; and</w:t>
      </w:r>
    </w:p>
    <w:p>
      <w:pPr>
        <w:spacing w:after="0" w:line="188" w:lineRule="exact"/>
        <w:rPr>
          <w:sz w:val="20"/>
          <w:szCs w:val="20"/>
          <w:color w:val="auto"/>
        </w:rPr>
      </w:pPr>
    </w:p>
    <w:p>
      <w:pPr>
        <w:jc w:val="both"/>
        <w:ind w:right="660" w:firstLine="440"/>
        <w:spacing w:after="0" w:line="263" w:lineRule="auto"/>
        <w:rPr>
          <w:sz w:val="20"/>
          <w:szCs w:val="20"/>
          <w:color w:val="auto"/>
        </w:rPr>
      </w:pPr>
      <w:r>
        <w:rPr>
          <w:rFonts w:ascii="Arial" w:cs="Arial" w:eastAsia="Arial" w:hAnsi="Arial"/>
          <w:sz w:val="18"/>
          <w:szCs w:val="18"/>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211" w:lineRule="exact"/>
        <w:rPr>
          <w:sz w:val="20"/>
          <w:szCs w:val="20"/>
          <w:color w:val="auto"/>
        </w:rPr>
      </w:pPr>
    </w:p>
    <w:p>
      <w:pPr>
        <w:jc w:val="both"/>
        <w:ind w:right="220" w:firstLine="440"/>
        <w:spacing w:after="0" w:line="279" w:lineRule="auto"/>
        <w:rPr>
          <w:sz w:val="20"/>
          <w:szCs w:val="20"/>
          <w:color w:val="auto"/>
        </w:rPr>
      </w:pPr>
      <w:r>
        <w:rPr>
          <w:rFonts w:ascii="Arial" w:cs="Arial" w:eastAsia="Arial" w:hAnsi="Arial"/>
          <w:sz w:val="17"/>
          <w:szCs w:val="17"/>
          <w:color w:val="auto"/>
        </w:rPr>
        <w:t>Section 1.01</w:t>
      </w:r>
      <w:r>
        <w:rPr>
          <w:rFonts w:ascii="Arial" w:cs="Arial" w:eastAsia="Arial" w:hAnsi="Arial"/>
          <w:sz w:val="17"/>
          <w:szCs w:val="17"/>
          <w:i w:val="1"/>
          <w:iCs w:val="1"/>
          <w:color w:val="auto"/>
        </w:rPr>
        <w:t>. Definitions.</w:t>
      </w:r>
      <w:r>
        <w:rPr>
          <w:rFonts w:ascii="Arial" w:cs="Arial" w:eastAsia="Arial" w:hAnsi="Arial"/>
          <w:sz w:val="17"/>
          <w:szCs w:val="17"/>
          <w:color w:val="auto"/>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ectPr>
          <w:pgSz w:w="11900" w:h="16838" w:orient="portrait"/>
          <w:cols w:equalWidth="0" w:num="1">
            <w:col w:w="11000"/>
          </w:cols>
          <w:pgMar w:left="440" w:top="270" w:right="459" w:bottom="1440" w:gutter="0" w:footer="0" w:header="0"/>
        </w:sectPr>
      </w:pPr>
    </w:p>
    <w:bookmarkStart w:id="12" w:name="page13"/>
    <w:bookmarkEnd w:id="12"/>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Additional Interest</w:t>
      </w:r>
      <w:r>
        <w:rPr>
          <w:rFonts w:ascii="Arial" w:cs="Arial" w:eastAsia="Arial" w:hAnsi="Arial"/>
          <w:sz w:val="17"/>
          <w:szCs w:val="17"/>
          <w:color w:val="auto"/>
        </w:rPr>
        <w:t>” means all amounts, if any, payable pursuant to Section 4.06(d), Section 4.06(e) and Section 6.03, as applicable.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w:t>
      </w:r>
      <w:r>
        <w:rPr>
          <w:rFonts w:ascii="Arial" w:cs="Arial" w:eastAsia="Arial" w:hAnsi="Arial"/>
          <w:sz w:val="18"/>
          <w:szCs w:val="18"/>
          <w:color w:val="auto"/>
        </w:rPr>
        <w:t>” shall have the meaning specified in Section 14.03(a).</w:t>
      </w:r>
    </w:p>
    <w:p>
      <w:pPr>
        <w:spacing w:after="0" w:line="225"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Arial" w:cs="Arial" w:eastAsia="Arial" w:hAnsi="Arial"/>
          <w:sz w:val="17"/>
          <w:szCs w:val="17"/>
          <w:b w:val="1"/>
          <w:bCs w:val="1"/>
          <w:color w:val="auto"/>
        </w:rPr>
        <w:t>Affiliate</w:t>
      </w:r>
      <w:r>
        <w:rPr>
          <w:rFonts w:ascii="Arial" w:cs="Arial" w:eastAsia="Arial" w:hAnsi="Arial"/>
          <w:sz w:val="17"/>
          <w:szCs w:val="17"/>
          <w:color w:val="auto"/>
        </w:rPr>
        <w:t>” of another Person for purposes of this Indenture shall be made based on the facts at the time such determination is made or required to be made, as the case may be, hereunder.</w:t>
      </w:r>
    </w:p>
    <w:p>
      <w:pPr>
        <w:spacing w:after="0" w:line="173"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Solicitation Agent</w:t>
      </w:r>
      <w:r>
        <w:rPr>
          <w:rFonts w:ascii="Arial" w:cs="Arial" w:eastAsia="Arial" w:hAnsi="Arial"/>
          <w:sz w:val="18"/>
          <w:szCs w:val="18"/>
          <w:color w:val="auto"/>
        </w:rPr>
        <w:t>” means the Company or the Person appointed by the Company to solicit bids for the Trading Price of the Notes in accordance with Section 14.01(b)(i). The Company shall initially act as the Bid Solicitation Agent.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Directors</w:t>
      </w:r>
      <w:r>
        <w:rPr>
          <w:rFonts w:ascii="Arial" w:cs="Arial" w:eastAsia="Arial" w:hAnsi="Arial"/>
          <w:sz w:val="17"/>
          <w:szCs w:val="17"/>
          <w:color w:val="auto"/>
        </w:rPr>
        <w:t>” means the board of directors of the Company or a committee of such board duly authorized to act for it hereunder.</w:t>
      </w:r>
    </w:p>
    <w:p>
      <w:pPr>
        <w:spacing w:after="0" w:line="237" w:lineRule="exact"/>
        <w:rPr>
          <w:sz w:val="20"/>
          <w:szCs w:val="20"/>
          <w:color w:val="auto"/>
        </w:rPr>
      </w:pPr>
    </w:p>
    <w:p>
      <w:pPr>
        <w:jc w:val="both"/>
        <w:ind w:right="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Resolution</w:t>
      </w:r>
      <w:r>
        <w:rPr>
          <w:rFonts w:ascii="Arial" w:cs="Arial" w:eastAsia="Arial" w:hAnsi="Arial"/>
          <w:sz w:val="17"/>
          <w:szCs w:val="17"/>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40"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with respect to any Note, any day other than a Saturday, a Sunday or a day on which the Federal Reserve Bank of New York is authorized or required by law or executive order to close or be closed.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Called Notes</w:t>
      </w:r>
      <w:r>
        <w:rPr>
          <w:rFonts w:ascii="Arial" w:cs="Arial" w:eastAsia="Arial" w:hAnsi="Arial"/>
          <w:sz w:val="18"/>
          <w:szCs w:val="18"/>
          <w:color w:val="auto"/>
        </w:rPr>
        <w:t>” means Notes called for Optional Redemption pursuant to Article 16 or subject to a Deemed Redemption.</w:t>
      </w:r>
    </w:p>
    <w:p>
      <w:pPr>
        <w:spacing w:after="0" w:line="225"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Settlement</w:t>
      </w:r>
      <w:r>
        <w:rPr>
          <w:rFonts w:ascii="Arial" w:cs="Arial" w:eastAsia="Arial" w:hAnsi="Arial"/>
          <w:sz w:val="18"/>
          <w:szCs w:val="18"/>
          <w:color w:val="auto"/>
        </w:rPr>
        <w:t>” shall have the meaning specified in Section 14.02(a).</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270" w:right="559" w:bottom="1440" w:gutter="0" w:footer="0" w:header="0"/>
        </w:sectPr>
      </w:pPr>
    </w:p>
    <w:bookmarkStart w:id="13" w:name="page14"/>
    <w:bookmarkEnd w:id="13"/>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Class A Common Stock</w:t>
      </w:r>
      <w:r>
        <w:rPr>
          <w:rFonts w:ascii="Arial" w:cs="Arial" w:eastAsia="Arial" w:hAnsi="Arial"/>
          <w:sz w:val="18"/>
          <w:szCs w:val="18"/>
          <w:color w:val="auto"/>
        </w:rPr>
        <w:t>” means the Class A common stock of the Company, par value $0.000001 per share, at the date of this Indenture, subject to Section 14.07.</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Common Stock</w:t>
      </w:r>
      <w:r>
        <w:rPr>
          <w:rFonts w:ascii="Arial" w:cs="Arial" w:eastAsia="Arial" w:hAnsi="Arial"/>
          <w:sz w:val="18"/>
          <w:szCs w:val="18"/>
          <w:color w:val="auto"/>
        </w:rPr>
        <w:t>” means the Class B common stock of the Company, par value $0.000001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A Distribution</w:t>
      </w:r>
      <w:r>
        <w:rPr>
          <w:rFonts w:ascii="Arial" w:cs="Arial" w:eastAsia="Arial" w:hAnsi="Arial"/>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B Distribution</w:t>
      </w:r>
      <w:r>
        <w:rPr>
          <w:rFonts w:ascii="Arial" w:cs="Arial" w:eastAsia="Arial" w:hAnsi="Arial"/>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C Distribution</w:t>
      </w:r>
      <w:r>
        <w:rPr>
          <w:rFonts w:ascii="Arial" w:cs="Arial" w:eastAsia="Arial" w:hAnsi="Arial"/>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Combination Settlement</w:t>
      </w:r>
      <w:r>
        <w:rPr>
          <w:rFonts w:ascii="Arial" w:cs="Arial" w:eastAsia="Arial" w:hAnsi="Arial"/>
          <w:sz w:val="18"/>
          <w:szCs w:val="18"/>
          <w:color w:val="auto"/>
        </w:rPr>
        <w:t>” shall have the meaning specified in Section 14.02(a).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Equity</w:t>
      </w:r>
      <w:r>
        <w:rPr>
          <w:rFonts w:ascii="Arial" w:cs="Arial" w:eastAsia="Arial" w:hAnsi="Arial"/>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Class A Common Stock, together with the Class B Common Stock.</w:t>
      </w:r>
    </w:p>
    <w:p>
      <w:pPr>
        <w:spacing w:after="0" w:line="225"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have the meaning specified in the first paragraph of this Indenture, and subject to the provisions of Article 11, shall include its successors and assigns.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order of the Company signed by any of its Officers and delivered to the Trustee.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Agent</w:t>
      </w:r>
      <w:r>
        <w:rPr>
          <w:rFonts w:ascii="Arial" w:cs="Arial" w:eastAsia="Arial" w:hAnsi="Arial"/>
          <w:sz w:val="18"/>
          <w:szCs w:val="18"/>
          <w:color w:val="auto"/>
        </w:rPr>
        <w:t>” shall have the meaning specified in Section 4.02.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Consideration</w:t>
      </w:r>
      <w:r>
        <w:rPr>
          <w:rFonts w:ascii="Arial" w:cs="Arial" w:eastAsia="Arial" w:hAnsi="Arial"/>
          <w:sz w:val="18"/>
          <w:szCs w:val="18"/>
          <w:color w:val="auto"/>
        </w:rPr>
        <w:t>” shall have the meaning specified in Section 14.12(a).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shall have the meaning specified in Section 14.02(c).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Obligation</w:t>
      </w:r>
      <w:r>
        <w:rPr>
          <w:rFonts w:ascii="Arial" w:cs="Arial" w:eastAsia="Arial" w:hAnsi="Arial"/>
          <w:sz w:val="18"/>
          <w:szCs w:val="18"/>
          <w:color w:val="auto"/>
        </w:rPr>
        <w:t>” shall have the meaning specified in Section 14.01(a).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means as of any time,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as of such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shall have the meaning specified in Section 14.01(a).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Event</w:t>
      </w:r>
      <w:r>
        <w:rPr>
          <w:rFonts w:ascii="Arial" w:cs="Arial" w:eastAsia="Arial" w:hAnsi="Arial"/>
          <w:sz w:val="18"/>
          <w:szCs w:val="18"/>
          <w:color w:val="auto"/>
        </w:rPr>
        <w:t>” shall have the meaning specified in Section 14.01(b)(iii).</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14" w:name="page15"/>
    <w:bookmarkEnd w:id="14"/>
    <w:p>
      <w:pPr>
        <w:ind w:left="4" w:right="20" w:firstLine="4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Corporate Trust Office</w:t>
      </w:r>
      <w:r>
        <w:rPr>
          <w:rFonts w:ascii="Arial" w:cs="Arial" w:eastAsia="Arial" w:hAnsi="Arial"/>
          <w:sz w:val="17"/>
          <w:szCs w:val="17"/>
          <w:color w:val="auto"/>
        </w:rPr>
        <w:t>” means the designated office of the Trustee at which at any time this Indenture shall be administered, which office at the date hereof is located at U.S. Bank Trust Company, National Association, 633 West Fifth Street, 24th Floor, Los Angeles, CA 90071, Attention: B. Scarbrough (Xometry, Inc. Administrator), or such other address in the continental United States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68" w:lineRule="exact"/>
        <w:rPr>
          <w:sz w:val="20"/>
          <w:szCs w:val="20"/>
          <w:color w:val="auto"/>
        </w:rPr>
      </w:pPr>
    </w:p>
    <w:p>
      <w:pPr>
        <w:ind w:left="4"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the Trustee, as custodian for The Depository Trust Company, with respect to the Global Notes, or any successor entity thereto.</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Conversion Value</w:t>
      </w:r>
      <w:r>
        <w:rPr>
          <w:rFonts w:ascii="Arial" w:cs="Arial" w:eastAsia="Arial" w:hAnsi="Arial"/>
          <w:sz w:val="16"/>
          <w:szCs w:val="16"/>
          <w:color w:val="auto"/>
        </w:rPr>
        <w:t>” means, for each of the 40 consecutive Trading Days during the relevant Observation Period, 2.5% of the product of</w:t>
      </w:r>
    </w:p>
    <w:p>
      <w:pPr>
        <w:spacing w:after="0" w:line="50" w:lineRule="exact"/>
        <w:rPr>
          <w:sz w:val="20"/>
          <w:szCs w:val="20"/>
          <w:color w:val="auto"/>
        </w:rPr>
      </w:pPr>
    </w:p>
    <w:p>
      <w:pPr>
        <w:ind w:left="4" w:right="4320" w:hanging="4"/>
        <w:spacing w:after="0" w:line="551"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Conversion Rate on such Trading Day and (b) the Daily VWAP for such Trading Day. “</w:t>
      </w:r>
      <w:r>
        <w:rPr>
          <w:rFonts w:ascii="Arial" w:cs="Arial" w:eastAsia="Arial" w:hAnsi="Arial"/>
          <w:sz w:val="16"/>
          <w:szCs w:val="16"/>
          <w:b w:val="1"/>
          <w:bCs w:val="1"/>
          <w:color w:val="auto"/>
        </w:rPr>
        <w:t>Daily Measurement Value</w:t>
      </w:r>
      <w:r>
        <w:rPr>
          <w:rFonts w:ascii="Arial" w:cs="Arial" w:eastAsia="Arial" w:hAnsi="Arial"/>
          <w:sz w:val="16"/>
          <w:szCs w:val="16"/>
          <w:color w:val="auto"/>
        </w:rPr>
        <w:t xml:space="preserve">” means the Specified Dollar Amount (if any),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40.</w:t>
      </w:r>
    </w:p>
    <w:p>
      <w:pPr>
        <w:spacing w:after="0" w:line="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Settlement Amount</w:t>
      </w:r>
      <w:r>
        <w:rPr>
          <w:rFonts w:ascii="Arial" w:cs="Arial" w:eastAsia="Arial" w:hAnsi="Arial"/>
          <w:sz w:val="18"/>
          <w:szCs w:val="18"/>
          <w:color w:val="auto"/>
        </w:rPr>
        <w:t>,” for each of the 40 consecutive Trading Days during the relevant Observation Period, shall consist of:</w:t>
      </w:r>
    </w:p>
    <w:p>
      <w:pPr>
        <w:spacing w:after="0" w:line="121" w:lineRule="exact"/>
        <w:rPr>
          <w:sz w:val="20"/>
          <w:szCs w:val="20"/>
          <w:color w:val="auto"/>
        </w:rPr>
      </w:pPr>
    </w:p>
    <w:p>
      <w:pPr>
        <w:ind w:left="1104" w:hanging="241"/>
        <w:spacing w:after="0"/>
        <w:tabs>
          <w:tab w:leader="none" w:pos="1104"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cash in an amount equal to the lesser of (i) the Daily Measurement Value and (ii) the Daily Conversion Value on such Trading Day; and</w:t>
      </w:r>
    </w:p>
    <w:p>
      <w:pPr>
        <w:spacing w:after="0" w:line="140" w:lineRule="exact"/>
        <w:rPr>
          <w:rFonts w:ascii="Arial" w:cs="Arial" w:eastAsia="Arial" w:hAnsi="Arial"/>
          <w:sz w:val="16"/>
          <w:szCs w:val="16"/>
          <w:color w:val="auto"/>
        </w:rPr>
      </w:pPr>
    </w:p>
    <w:p>
      <w:pPr>
        <w:ind w:left="444" w:right="140" w:firstLine="419"/>
        <w:spacing w:after="0" w:line="263" w:lineRule="auto"/>
        <w:tabs>
          <w:tab w:leader="none" w:pos="112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if the Daily Conversion Value on such Trading Day exceeds the Daily Measurement Value, a number of shares of Class A Common Stock equal to (i) the difference between the Daily Conversion Value and the Daily Measurement Value,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Daily VWAP for such Trading Day.</w:t>
      </w:r>
    </w:p>
    <w:p>
      <w:pPr>
        <w:spacing w:after="0" w:line="180"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VWAP</w:t>
      </w:r>
      <w:r>
        <w:rPr>
          <w:rFonts w:ascii="Arial" w:cs="Arial" w:eastAsia="Arial" w:hAnsi="Arial"/>
          <w:sz w:val="18"/>
          <w:szCs w:val="18"/>
          <w:color w:val="auto"/>
        </w:rPr>
        <w:t>” means, for each of the 40 consecutive Trading Days during the relevant Observation Period, the per share volume-weighted average price as displayed under the heading “Bloomberg VWAP” on Bloomberg page “XMTR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Class A Common Stock on such Trading Day determined, using a volume-weighted average method, by a nationally recognized independent investment banking firm retained for this purpose by the Company). The “</w:t>
      </w:r>
      <w:r>
        <w:rPr>
          <w:rFonts w:ascii="Arial" w:cs="Arial" w:eastAsia="Arial" w:hAnsi="Arial"/>
          <w:sz w:val="18"/>
          <w:szCs w:val="18"/>
          <w:b w:val="1"/>
          <w:bCs w:val="1"/>
          <w:color w:val="auto"/>
        </w:rPr>
        <w:t>Daily VWAP</w:t>
      </w:r>
      <w:r>
        <w:rPr>
          <w:rFonts w:ascii="Arial" w:cs="Arial" w:eastAsia="Arial" w:hAnsi="Arial"/>
          <w:sz w:val="18"/>
          <w:szCs w:val="18"/>
          <w:color w:val="auto"/>
        </w:rPr>
        <w:t>” shall be determined without regard to after-hours trading or any other trading outside of the regular trading session trading hours.</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Deemed Redemption</w:t>
      </w:r>
      <w:r>
        <w:rPr>
          <w:rFonts w:ascii="Arial" w:cs="Arial" w:eastAsia="Arial" w:hAnsi="Arial"/>
          <w:sz w:val="18"/>
          <w:szCs w:val="18"/>
          <w:color w:val="auto"/>
        </w:rPr>
        <w:t>” shall have the meaning specified in Section 14.01(b)(v).</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0" w:right="439" w:bottom="1440" w:gutter="0" w:footer="0" w:header="0"/>
        </w:sectPr>
      </w:pPr>
    </w:p>
    <w:bookmarkStart w:id="15" w:name="page16"/>
    <w:bookmarkEnd w:id="15"/>
    <w:p>
      <w:pPr>
        <w:ind w:right="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Default Settlement Method</w:t>
      </w:r>
      <w:r>
        <w:rPr>
          <w:rFonts w:ascii="Arial" w:cs="Arial" w:eastAsia="Arial" w:hAnsi="Arial"/>
          <w:sz w:val="18"/>
          <w:szCs w:val="18"/>
          <w:color w:val="auto"/>
        </w:rPr>
        <w:t>” means, initially, Combination Settlement with a Specified Dollar Amount per $1,000 principal amount of Notes of $1,000, subject to Section 14.02(a).</w:t>
      </w:r>
    </w:p>
    <w:p>
      <w:pPr>
        <w:spacing w:after="0" w:line="162" w:lineRule="exact"/>
        <w:rPr>
          <w:sz w:val="20"/>
          <w:szCs w:val="20"/>
          <w:color w:val="auto"/>
        </w:rPr>
      </w:pPr>
    </w:p>
    <w:p>
      <w:pPr>
        <w:ind w:right="8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Amounts</w:t>
      </w:r>
      <w:r>
        <w:rPr>
          <w:rFonts w:ascii="Arial" w:cs="Arial" w:eastAsia="Arial" w:hAnsi="Arial"/>
          <w:sz w:val="18"/>
          <w:szCs w:val="18"/>
          <w:color w:val="auto"/>
        </w:rPr>
        <w:t>” means any amounts on any Note (including, without limitation, the Redemption Price, the Fundamental Change Repurchase Price, principal and interest) that are payable but are not punctually paid or duly provided for.</w:t>
      </w:r>
    </w:p>
    <w:p>
      <w:pPr>
        <w:spacing w:after="0" w:line="162"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De-Legending Deadline Date</w:t>
      </w:r>
      <w:r>
        <w:rPr>
          <w:rFonts w:ascii="Arial" w:cs="Arial" w:eastAsia="Arial" w:hAnsi="Arial"/>
          <w:sz w:val="18"/>
          <w:szCs w:val="18"/>
          <w:color w:val="auto"/>
        </w:rPr>
        <w:t xml:space="preserve">” means, with respect to any Note, the 380th day after the last date of original issuance of such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380th day is after a Regular Record Date and on or before the next Interest Payment Date, then the “De-Legending Deadline Date”</w:t>
      </w:r>
      <w:r>
        <w:rPr>
          <w:rFonts w:ascii="Arial" w:cs="Arial" w:eastAsia="Arial" w:hAnsi="Arial"/>
          <w:sz w:val="18"/>
          <w:szCs w:val="18"/>
          <w:i w:val="1"/>
          <w:iCs w:val="1"/>
          <w:color w:val="auto"/>
        </w:rPr>
        <w:t xml:space="preserve"> </w:t>
      </w:r>
      <w:r>
        <w:rPr>
          <w:rFonts w:ascii="Arial" w:cs="Arial" w:eastAsia="Arial" w:hAnsi="Arial"/>
          <w:sz w:val="18"/>
          <w:szCs w:val="18"/>
          <w:color w:val="auto"/>
        </w:rPr>
        <w:t>for such Note will instead be the fifth (5th) Business Day immediately after such Interest Payment Date.</w:t>
      </w:r>
    </w:p>
    <w:p>
      <w:pPr>
        <w:spacing w:after="0" w:line="176" w:lineRule="exact"/>
        <w:rPr>
          <w:sz w:val="20"/>
          <w:szCs w:val="20"/>
          <w:color w:val="auto"/>
        </w:rPr>
      </w:pPr>
    </w:p>
    <w:p>
      <w:pPr>
        <w:jc w:val="both"/>
        <w:ind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Arial" w:cs="Arial" w:eastAsia="Arial" w:hAnsi="Arial"/>
          <w:sz w:val="18"/>
          <w:szCs w:val="18"/>
          <w:b w:val="1"/>
          <w:bCs w:val="1"/>
          <w:color w:val="auto"/>
        </w:rPr>
        <w:t>Depositary</w:t>
      </w:r>
      <w:r>
        <w:rPr>
          <w:rFonts w:ascii="Arial" w:cs="Arial" w:eastAsia="Arial" w:hAnsi="Arial"/>
          <w:sz w:val="18"/>
          <w:szCs w:val="18"/>
          <w:color w:val="auto"/>
        </w:rPr>
        <w:t>” shall mean or include such successor.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Financial Institution</w:t>
      </w:r>
      <w:r>
        <w:rPr>
          <w:rFonts w:ascii="Arial" w:cs="Arial" w:eastAsia="Arial" w:hAnsi="Arial"/>
          <w:sz w:val="18"/>
          <w:szCs w:val="18"/>
          <w:color w:val="auto"/>
        </w:rPr>
        <w:t>” shall have the meaning specified in Section 14.12(a).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Distributed Property</w:t>
      </w:r>
      <w:r>
        <w:rPr>
          <w:rFonts w:ascii="Arial" w:cs="Arial" w:eastAsia="Arial" w:hAnsi="Arial"/>
          <w:sz w:val="18"/>
          <w:szCs w:val="18"/>
          <w:color w:val="auto"/>
        </w:rPr>
        <w:t>” shall have the meaning specified in Section 14.04(c).</w:t>
      </w:r>
    </w:p>
    <w:p>
      <w:pPr>
        <w:spacing w:after="0" w:line="225" w:lineRule="exact"/>
        <w:rPr>
          <w:sz w:val="20"/>
          <w:szCs w:val="20"/>
          <w:color w:val="auto"/>
        </w:rPr>
      </w:pPr>
    </w:p>
    <w:p>
      <w:pPr>
        <w:jc w:val="both"/>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specified in Section 14.03(c), except that, as used in Section 14.04 and Section 14.05, “</w:t>
      </w:r>
      <w:r>
        <w:rPr>
          <w:rFonts w:ascii="Arial" w:cs="Arial" w:eastAsia="Arial" w:hAnsi="Arial"/>
          <w:sz w:val="18"/>
          <w:szCs w:val="18"/>
          <w:b w:val="1"/>
          <w:bCs w:val="1"/>
          <w:color w:val="auto"/>
        </w:rPr>
        <w:t>Effective Date</w:t>
      </w:r>
      <w:r>
        <w:rPr>
          <w:rFonts w:ascii="Arial" w:cs="Arial" w:eastAsia="Arial" w:hAnsi="Arial"/>
          <w:sz w:val="18"/>
          <w:szCs w:val="18"/>
          <w:color w:val="auto"/>
        </w:rPr>
        <w:t>” means the first date on which shares of the Class A Common Stock trade on the applicable exchange or in the applicable market, regular way, reflecting the relevant share split or share combination, as applicable. For the avoidance of doubt, any alternative trading convention on the applicable exchange or market in respect of shares of the Class A Common Stock under a separate ticker symbol or CUSIP number will not be considered “regular way” for this purpose.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shall have the meaning specified in Section 6.01.</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Ex-Dividend Date</w:t>
      </w:r>
      <w:r>
        <w:rPr>
          <w:rFonts w:ascii="Arial" w:cs="Arial" w:eastAsia="Arial" w:hAnsi="Arial"/>
          <w:sz w:val="17"/>
          <w:szCs w:val="17"/>
          <w:color w:val="auto"/>
        </w:rPr>
        <w:t>” means the first date on which shares of the Class A Common Stock trade on the applicable exchange or in the applicable market, regular way, without the right to receive the issuance, dividend or distribution in question, from the Company or, if applicable, from the seller of Class A Common Stock on such exchange or market (in the form of due bills or otherwise) as determined by such exchange or market. For the avoidance of doubt, any alternative trading convention on the applicable exchange or market in respect of shares of the Class A Common Stock under a separate ticker symbol or CUSIP number will not be considered “regular way” for this purpose.</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Exchange Election</w:t>
      </w:r>
      <w:r>
        <w:rPr>
          <w:rFonts w:ascii="Arial" w:cs="Arial" w:eastAsia="Arial" w:hAnsi="Arial"/>
          <w:sz w:val="18"/>
          <w:szCs w:val="18"/>
          <w:color w:val="auto"/>
        </w:rPr>
        <w:t>” shall have the meaning specified in Section 14.12(a).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Exempted Fundamental Change</w:t>
      </w:r>
      <w:r>
        <w:rPr>
          <w:rFonts w:ascii="Arial" w:cs="Arial" w:eastAsia="Arial" w:hAnsi="Arial"/>
          <w:sz w:val="18"/>
          <w:szCs w:val="18"/>
          <w:color w:val="auto"/>
        </w:rPr>
        <w:t>” shall have the meaning specified in Section 15.02(f).</w:t>
      </w:r>
    </w:p>
    <w:p>
      <w:pPr>
        <w:spacing w:after="0" w:line="225"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Assignment and Transfer</w:t>
      </w:r>
      <w:r>
        <w:rPr>
          <w:rFonts w:ascii="Arial" w:cs="Arial" w:eastAsia="Arial" w:hAnsi="Arial"/>
          <w:sz w:val="18"/>
          <w:szCs w:val="18"/>
          <w:color w:val="auto"/>
        </w:rPr>
        <w:t>” means the “Form of Assignment and Transfer” attached as Attachment 3 to the Form of Note attached hereto as Exhibit A.</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Fundamental Change Repurchase Notice</w:t>
      </w:r>
      <w:r>
        <w:rPr>
          <w:rFonts w:ascii="Arial" w:cs="Arial" w:eastAsia="Arial" w:hAnsi="Arial"/>
          <w:sz w:val="18"/>
          <w:szCs w:val="18"/>
          <w:color w:val="auto"/>
        </w:rPr>
        <w:t>” means the “Form of Fundamental Change Repurchase Notice” attached as Attachment 2 to the Form of Note attached hereto as Exhibit 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Note</w:t>
      </w:r>
      <w:r>
        <w:rPr>
          <w:rFonts w:ascii="Arial" w:cs="Arial" w:eastAsia="Arial" w:hAnsi="Arial"/>
          <w:sz w:val="18"/>
          <w:szCs w:val="18"/>
          <w:color w:val="auto"/>
        </w:rPr>
        <w:t>” means the “Form of Note” attached hereto as Exhibit A.</w:t>
      </w:r>
    </w:p>
    <w:p>
      <w:pPr>
        <w:spacing w:after="0" w:line="225"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Notice of Conversion</w:t>
      </w:r>
      <w:r>
        <w:rPr>
          <w:rFonts w:ascii="Arial" w:cs="Arial" w:eastAsia="Arial" w:hAnsi="Arial"/>
          <w:sz w:val="18"/>
          <w:szCs w:val="18"/>
          <w:color w:val="auto"/>
        </w:rPr>
        <w:t>” means the “Form of Notice of Conversion” attached as Attachment 1 to the Form of Note attached hereto as Exhibit A.</w:t>
      </w:r>
    </w:p>
    <w:p>
      <w:pPr>
        <w:spacing w:after="0" w:line="162"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Founder Group</w:t>
      </w:r>
      <w:r>
        <w:rPr>
          <w:rFonts w:ascii="Arial" w:cs="Arial" w:eastAsia="Arial" w:hAnsi="Arial"/>
          <w:sz w:val="16"/>
          <w:szCs w:val="16"/>
          <w:color w:val="auto"/>
        </w:rPr>
        <w:t xml:space="preserve">” means Randolph Altschuler and Laurence Zuriff (each “a </w:t>
      </w:r>
      <w:r>
        <w:rPr>
          <w:rFonts w:ascii="Arial" w:cs="Arial" w:eastAsia="Arial" w:hAnsi="Arial"/>
          <w:sz w:val="16"/>
          <w:szCs w:val="16"/>
          <w:b w:val="1"/>
          <w:bCs w:val="1"/>
          <w:color w:val="auto"/>
        </w:rPr>
        <w:t>Founder</w:t>
      </w:r>
      <w:r>
        <w:rPr>
          <w:rFonts w:ascii="Arial" w:cs="Arial" w:eastAsia="Arial" w:hAnsi="Arial"/>
          <w:sz w:val="16"/>
          <w:szCs w:val="16"/>
          <w:color w:val="auto"/>
        </w:rPr>
        <w:t>”) together with, (i) the “Family Members” (as such term is defined in the Company’s amended and restated certificate of incorporation in effect on the date hereof) of the respective Founders, (ii) estates or legal representatives of such Family Members, (iii) trusts established for the benefit of the Founders and their respective Family Members and (iv) any entity solely owned and controlled, directly or indirectly, by either of the Founders or any of the persons listed in clause (i), (ii) or (iii).</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Fundamental Change</w:t>
      </w:r>
      <w:r>
        <w:rPr>
          <w:rFonts w:ascii="Arial" w:cs="Arial" w:eastAsia="Arial" w:hAnsi="Arial"/>
          <w:sz w:val="17"/>
          <w:szCs w:val="17"/>
          <w:color w:val="auto"/>
        </w:rPr>
        <w:t>” shall be deemed to have occurred at the time after the Notes are originally issued if any of the following occurs:</w:t>
      </w:r>
    </w:p>
    <w:p>
      <w:pPr>
        <w:spacing w:after="0" w:line="133" w:lineRule="exact"/>
        <w:rPr>
          <w:sz w:val="20"/>
          <w:szCs w:val="20"/>
          <w:color w:val="auto"/>
        </w:rPr>
      </w:pPr>
    </w:p>
    <w:p>
      <w:pPr>
        <w:ind w:left="440" w:firstLine="419"/>
        <w:spacing w:after="0" w:line="269" w:lineRule="auto"/>
        <w:tabs>
          <w:tab w:leader="none" w:pos="1108" w:val="left"/>
        </w:tabs>
        <w:numPr>
          <w:ilvl w:val="0"/>
          <w:numId w:val="5"/>
        </w:numPr>
        <w:rPr>
          <w:rFonts w:ascii="Arial" w:cs="Arial" w:eastAsia="Arial" w:hAnsi="Arial"/>
          <w:sz w:val="17"/>
          <w:szCs w:val="17"/>
          <w:color w:val="auto"/>
        </w:rPr>
      </w:pPr>
      <w:r>
        <w:rPr>
          <w:rFonts w:ascii="Arial" w:cs="Arial" w:eastAsia="Arial" w:hAnsi="Arial"/>
          <w:sz w:val="17"/>
          <w:szCs w:val="17"/>
          <w:color w:val="auto"/>
        </w:rPr>
        <w:t>except in connection with transactions described in clause (b) below, (i) a “person” or “group” within the meaning of Section 13(d) of the Exchange Act, other than (w) the Company, (x) its direct or indirect Wholly Owned Subsidiaries, (y) any employee benefit plans of the Company’s or its Wholly Owned Subsidiaries or (z) any “Permitted Party” (as defined below) or any “person” or “group” consisting solely of Permitted Parties), has become and files a Schedule TO (or any successor schedule, form or report) or any schedule, form or report under the Exchange Act that discloses that such person or group has become the direct or indirect “beneficial owner,” as defined in Rule 13d-3 under the Exchange Act, of shares of Common Stock representing more than 50% of the voting power of the then-outstanding Class A Common Stock or Common Stock, as the case may be, or (ii) any Permitted Party, or any “person” or “group” consisting solely of Permitted Parties, has become and files a Schedule TO (or any successor schedule, form or report) or any schedule, form or report under the Exchange Act that discloses that such Permitted Party, “person” or “group,” as applicable, has become the direct or indirect “beneficial owner,” as defined in Rule 13d-3 under the Exchange Act, of (A) Class A Common Stock representing more than 50% of the voting power of all of the then- outstanding Class A Common Stock; (B) Common Stock representing more than 65%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17" w:name="page18"/>
    <w:bookmarkEnd w:id="1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voting power of all of the then-outstanding Common Stock; or (C) Class A Common Stock representing more than 50% of the number of the then-outstanding shares of Class A Common Stock (excluding, solely for purposes of clause (A) and this clause (C), any Class A Common Stock that such Permitted Party, “person” or “group,” as applicable, beneficially owns solely by virtue of its beneficial ownership of Class B Common Stock) unless, in the case of clauses (i) and (ii),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regardless of whether such a filing has actually been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Permitted Party, “person” or “group” shall be deemed to be the beneficial owner of any securities tendered pursuant to a tender or exchange offer made by or on behalf of such Permitted Party, “person” or “group” until such tendered securities are accepted for purchase or exchange under such offer;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voting power of the Class A Common Stock directly or indirectly “beneficially owned,” as defined in Rule 13d-3 under the Exchange Act, by a Permitted Party shall exclude (x) any shares of Class A Common Stock acquired after the date hereof or (y) any shares of the Class B Common Stock acquired after the date hereof that subsequently convert into or are reclassified as the Class A Common Stock, in each case, by such Permitted Party pursuant to equity grants of the Company outstanding on the date hereof or subsequently granted under one or more of the Company’s equity incentive plans;</w:t>
      </w:r>
    </w:p>
    <w:p>
      <w:pPr>
        <w:spacing w:after="0" w:line="66" w:lineRule="exact"/>
        <w:rPr>
          <w:sz w:val="20"/>
          <w:szCs w:val="20"/>
          <w:color w:val="auto"/>
        </w:rPr>
      </w:pPr>
    </w:p>
    <w:p>
      <w:pPr>
        <w:ind w:right="20" w:firstLine="419"/>
        <w:spacing w:after="0" w:line="288" w:lineRule="auto"/>
        <w:tabs>
          <w:tab w:leader="none" w:pos="678"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consummation of (A) any recapitalization, reclassification or change of the Class A Common Stock (other than a change to par value, or from par value to no par value, or changes resulting from a subdivision or combination) as a result of which the Class A Common Stock would be converted into, or exchanged for, stock, other securities, other property or assets; (B) any share exchange, consolidation or merger of the Company pursuant to which the Class A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transaction described in clause (A) or clause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w:t>
      </w:r>
    </w:p>
    <w:p>
      <w:pPr>
        <w:spacing w:after="0" w:line="60" w:lineRule="exact"/>
        <w:rPr>
          <w:rFonts w:ascii="Arial" w:cs="Arial" w:eastAsia="Arial" w:hAnsi="Arial"/>
          <w:sz w:val="16"/>
          <w:szCs w:val="16"/>
          <w:color w:val="auto"/>
        </w:rPr>
      </w:pPr>
    </w:p>
    <w:p>
      <w:pPr>
        <w:ind w:left="660" w:hanging="241"/>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stockholders of the Company approve any plan or proposal for the liquidation or dissolution of the Company; or</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80" w:top="274" w:right="439" w:bottom="1440" w:gutter="0" w:footer="0" w:header="0"/>
        </w:sectPr>
      </w:pPr>
    </w:p>
    <w:bookmarkStart w:id="18" w:name="page19"/>
    <w:bookmarkEnd w:id="18"/>
    <w:p>
      <w:pPr>
        <w:ind w:left="444" w:right="120" w:firstLine="419"/>
        <w:spacing w:after="0" w:line="277" w:lineRule="auto"/>
        <w:tabs>
          <w:tab w:leader="none" w:pos="1122"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Class A Common Stock (or other common stock underlying the Notes) ceases to be listed or quoted on any of The New York Stock Exchange, the Nasdaq Global Select Market or the Nasdaq Global Market (or any of their respective successors);</w:t>
      </w:r>
    </w:p>
    <w:p>
      <w:pPr>
        <w:spacing w:after="0" w:line="62" w:lineRule="exact"/>
        <w:rPr>
          <w:sz w:val="20"/>
          <w:szCs w:val="20"/>
          <w:color w:val="auto"/>
        </w:rPr>
      </w:pPr>
    </w:p>
    <w:p>
      <w:pPr>
        <w:ind w:left="4"/>
        <w:spacing w:after="0" w:line="269"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 transaction or transactions described in clause (b) above shall not constitute a Fundamental Change, if at least 90%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received or to be received by the common stockholders of the Company, excluding cash payments for fractional shares and cash payments made in respect of dissenters’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and cash payments made in respect of dissenters’ appraisal rights (subject to the provisions of Section 14.02(a)). If any transaction in which the Class A Common Stock is replaced by the common stock or other Common Equity of another entity occurs, following completion of any related Make-Whole Fundamental Change Period (or, in the case of a transaction that would have been a Fundamental Change or a Make-Whole Fundamental Change but for the proviso immediately following clause (d) of this definition, following the effective date of such transaction), references to the Company in this definition shall instead be references to such other entity.</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Company Notice</w:t>
      </w:r>
      <w:r>
        <w:rPr>
          <w:rFonts w:ascii="Arial" w:cs="Arial" w:eastAsia="Arial" w:hAnsi="Arial"/>
          <w:sz w:val="18"/>
          <w:szCs w:val="18"/>
          <w:color w:val="auto"/>
        </w:rPr>
        <w:t>” shall have the meaning specified in Section 15.02(c).</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Date</w:t>
      </w:r>
      <w:r>
        <w:rPr>
          <w:rFonts w:ascii="Arial" w:cs="Arial" w:eastAsia="Arial" w:hAnsi="Arial"/>
          <w:sz w:val="18"/>
          <w:szCs w:val="18"/>
          <w:color w:val="auto"/>
        </w:rPr>
        <w:t>” shall have the meaning specified in Section 15.02(a).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Notice</w:t>
      </w:r>
      <w:r>
        <w:rPr>
          <w:rFonts w:ascii="Arial" w:cs="Arial" w:eastAsia="Arial" w:hAnsi="Arial"/>
          <w:sz w:val="18"/>
          <w:szCs w:val="18"/>
          <w:color w:val="auto"/>
        </w:rPr>
        <w:t>” shall have the meaning specified in Section 15.02(b)(i).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 shall have the meaning specified in Section 15.02(a).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terms “</w:t>
      </w:r>
      <w:r>
        <w:rPr>
          <w:rFonts w:ascii="Arial" w:cs="Arial" w:eastAsia="Arial" w:hAnsi="Arial"/>
          <w:sz w:val="16"/>
          <w:szCs w:val="16"/>
          <w:b w:val="1"/>
          <w:bCs w:val="1"/>
          <w:color w:val="auto"/>
        </w:rPr>
        <w:t>given</w:t>
      </w:r>
      <w:r>
        <w:rPr>
          <w:rFonts w:ascii="Arial" w:cs="Arial" w:eastAsia="Arial" w:hAnsi="Arial"/>
          <w:sz w:val="16"/>
          <w:szCs w:val="16"/>
          <w:color w:val="auto"/>
        </w:rPr>
        <w:t>”, “</w:t>
      </w:r>
      <w:r>
        <w:rPr>
          <w:rFonts w:ascii="Arial" w:cs="Arial" w:eastAsia="Arial" w:hAnsi="Arial"/>
          <w:sz w:val="16"/>
          <w:szCs w:val="16"/>
          <w:b w:val="1"/>
          <w:bCs w:val="1"/>
          <w:color w:val="auto"/>
        </w:rPr>
        <w:t>mailed</w:t>
      </w:r>
      <w:r>
        <w:rPr>
          <w:rFonts w:ascii="Arial" w:cs="Arial" w:eastAsia="Arial" w:hAnsi="Arial"/>
          <w:sz w:val="16"/>
          <w:szCs w:val="16"/>
          <w:color w:val="auto"/>
        </w:rPr>
        <w:t>”, “</w:t>
      </w:r>
      <w:r>
        <w:rPr>
          <w:rFonts w:ascii="Arial" w:cs="Arial" w:eastAsia="Arial" w:hAnsi="Arial"/>
          <w:sz w:val="16"/>
          <w:szCs w:val="16"/>
          <w:b w:val="1"/>
          <w:bCs w:val="1"/>
          <w:color w:val="auto"/>
        </w:rPr>
        <w:t>notify</w:t>
      </w:r>
      <w:r>
        <w:rPr>
          <w:rFonts w:ascii="Arial" w:cs="Arial" w:eastAsia="Arial" w:hAnsi="Arial"/>
          <w:sz w:val="16"/>
          <w:szCs w:val="16"/>
          <w:color w:val="auto"/>
        </w:rPr>
        <w:t>” or “</w:t>
      </w:r>
      <w:r>
        <w:rPr>
          <w:rFonts w:ascii="Arial" w:cs="Arial" w:eastAsia="Arial" w:hAnsi="Arial"/>
          <w:sz w:val="16"/>
          <w:szCs w:val="16"/>
          <w:b w:val="1"/>
          <w:bCs w:val="1"/>
          <w:color w:val="auto"/>
        </w:rPr>
        <w:t>sent</w:t>
      </w:r>
      <w:r>
        <w:rPr>
          <w:rFonts w:ascii="Arial" w:cs="Arial" w:eastAsia="Arial" w:hAnsi="Arial"/>
          <w:sz w:val="16"/>
          <w:szCs w:val="16"/>
          <w:color w:val="auto"/>
        </w:rPr>
        <w:t>” with respect to any notice to be given to a Holder pursuant to this Indenture, shall mean notice</w:t>
      </w:r>
    </w:p>
    <w:p>
      <w:pPr>
        <w:spacing w:after="0" w:line="50" w:lineRule="exact"/>
        <w:rPr>
          <w:sz w:val="20"/>
          <w:szCs w:val="20"/>
          <w:color w:val="auto"/>
        </w:rPr>
      </w:pPr>
    </w:p>
    <w:p>
      <w:pPr>
        <w:ind w:left="4" w:right="40" w:hanging="4"/>
        <w:spacing w:after="0" w:line="273" w:lineRule="auto"/>
        <w:tabs>
          <w:tab w:leader="none" w:pos="259" w:val="left"/>
        </w:tabs>
        <w:numPr>
          <w:ilvl w:val="0"/>
          <w:numId w:val="8"/>
        </w:numPr>
        <w:rPr>
          <w:rFonts w:ascii="Arial" w:cs="Arial" w:eastAsia="Arial" w:hAnsi="Arial"/>
          <w:sz w:val="17"/>
          <w:szCs w:val="17"/>
          <w:color w:val="auto"/>
        </w:rPr>
      </w:pPr>
      <w:r>
        <w:rPr>
          <w:rFonts w:ascii="Arial" w:cs="Arial" w:eastAsia="Arial" w:hAnsi="Arial"/>
          <w:sz w:val="17"/>
          <w:szCs w:val="17"/>
          <w:color w:val="auto"/>
        </w:rPr>
        <w:t>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(in the case of a Physical Note), in each case, in accordance with Section 17.03. Notice so “given” shall be deemed to include any notice to be “mailed” or “delivered,” as applicable, under this Indenture.</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shall have the meaning specified in Section 2.05(b).</w:t>
      </w:r>
    </w:p>
    <w:p>
      <w:pPr>
        <w:spacing w:after="0" w:line="16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4"/>
          </w:cols>
          <w:pgMar w:left="436" w:top="274" w:right="499" w:bottom="1440" w:gutter="0" w:footer="0" w:header="0"/>
        </w:sectPr>
      </w:pPr>
    </w:p>
    <w:bookmarkStart w:id="19" w:name="page20"/>
    <w:bookmarkEnd w:id="19"/>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Holder</w:t>
      </w:r>
      <w:r>
        <w:rPr>
          <w:rFonts w:ascii="Arial" w:cs="Arial" w:eastAsia="Arial" w:hAnsi="Arial"/>
          <w:sz w:val="18"/>
          <w:szCs w:val="18"/>
          <w:color w:val="auto"/>
        </w:rPr>
        <w:t>,” as applied to any Note, or other similar terms (but excluding the term “beneficial holder”), means any Person in whose name at the time a particular Note is registered on the Note Register.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or, if amended or supplemented as herein provided, as so amended or supplemented.</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Purchasers</w:t>
      </w:r>
      <w:r>
        <w:rPr>
          <w:rFonts w:ascii="Arial" w:cs="Arial" w:eastAsia="Arial" w:hAnsi="Arial"/>
          <w:sz w:val="18"/>
          <w:szCs w:val="18"/>
          <w:color w:val="auto"/>
        </w:rPr>
        <w:t>” means the several initial purchasers named in Schedule I to the Purchase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each February 1 and August 1 of each year, beginning on August 1, 2022.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Irrevocable Election</w:t>
      </w:r>
      <w:r>
        <w:rPr>
          <w:rFonts w:ascii="Arial" w:cs="Arial" w:eastAsia="Arial" w:hAnsi="Arial"/>
          <w:sz w:val="18"/>
          <w:szCs w:val="18"/>
          <w:color w:val="auto"/>
        </w:rPr>
        <w:t>” shall have the meaning specified in Section 14.02(a)(iii).</w:t>
      </w:r>
    </w:p>
    <w:p>
      <w:pPr>
        <w:spacing w:after="0" w:line="225" w:lineRule="exact"/>
        <w:rPr>
          <w:sz w:val="20"/>
          <w:szCs w:val="20"/>
          <w:color w:val="auto"/>
        </w:rPr>
      </w:pPr>
    </w:p>
    <w:p>
      <w:pPr>
        <w:ind w:right="3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last date of original issuance</w:t>
      </w:r>
      <w:r>
        <w:rPr>
          <w:rFonts w:ascii="Arial" w:cs="Arial" w:eastAsia="Arial" w:hAnsi="Arial"/>
          <w:sz w:val="18"/>
          <w:szCs w:val="18"/>
          <w:color w:val="auto"/>
        </w:rPr>
        <w:t>” means (a) with respect to the Notes issued pursuant to the Purchase Agreement, the later of (i) the date the Company first issues such Notes; and (ii) the last date any Notes are originally issued pursuant to the exercise of the Initial Purchasers’ option to purchase additional Notes as set forth in the Purchase Agreement. Any additional Notes issued pursuant to Section 2.10 of this Indenture will have a different last date of original issuance.</w:t>
      </w:r>
    </w:p>
    <w:p>
      <w:pPr>
        <w:spacing w:after="0" w:line="18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Last Reported Sale Price</w:t>
      </w:r>
      <w:r>
        <w:rPr>
          <w:rFonts w:ascii="Arial" w:cs="Arial" w:eastAsia="Arial" w:hAnsi="Arial"/>
          <w:sz w:val="16"/>
          <w:szCs w:val="16"/>
          <w:color w:val="auto"/>
        </w:rPr>
        <w:t>” of the Class A Common Stock (or any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Class A Common Stock (or such other security) is traded. If the Class A Common Stock (or such other security) is not listed for trading on a U.S. national or regional securities exchange on the relevant date, the “</w:t>
      </w:r>
      <w:r>
        <w:rPr>
          <w:rFonts w:ascii="Arial" w:cs="Arial" w:eastAsia="Arial" w:hAnsi="Arial"/>
          <w:sz w:val="16"/>
          <w:szCs w:val="16"/>
          <w:b w:val="1"/>
          <w:bCs w:val="1"/>
          <w:color w:val="auto"/>
        </w:rPr>
        <w:t>Last Reported Sale Price</w:t>
      </w:r>
      <w:r>
        <w:rPr>
          <w:rFonts w:ascii="Arial" w:cs="Arial" w:eastAsia="Arial" w:hAnsi="Arial"/>
          <w:sz w:val="16"/>
          <w:szCs w:val="16"/>
          <w:color w:val="auto"/>
        </w:rPr>
        <w:t>” shall be the last quoted bid price for the Class A Common Stock (or such other security) in the over-the-counter market on the relevant date as reported by OTC Markets Group Inc. or a similar organization. If the Class A Common Stock (or such other security) is not so quoted, the “</w:t>
      </w:r>
      <w:r>
        <w:rPr>
          <w:rFonts w:ascii="Arial" w:cs="Arial" w:eastAsia="Arial" w:hAnsi="Arial"/>
          <w:sz w:val="16"/>
          <w:szCs w:val="16"/>
          <w:b w:val="1"/>
          <w:bCs w:val="1"/>
          <w:color w:val="auto"/>
        </w:rPr>
        <w:t>Last Reported Sale Price</w:t>
      </w:r>
      <w:r>
        <w:rPr>
          <w:rFonts w:ascii="Arial" w:cs="Arial" w:eastAsia="Arial" w:hAnsi="Arial"/>
          <w:sz w:val="16"/>
          <w:szCs w:val="16"/>
          <w:color w:val="auto"/>
        </w:rPr>
        <w:t>” shall be the average of the mid-point of the last bid and ask prices for the Class A Common Stock (or such other security) on the relevant date from each of at least three nationally recognized independent investment banking firms selected by the Company for this purpose. The “</w:t>
      </w:r>
      <w:r>
        <w:rPr>
          <w:rFonts w:ascii="Arial" w:cs="Arial" w:eastAsia="Arial" w:hAnsi="Arial"/>
          <w:sz w:val="16"/>
          <w:szCs w:val="16"/>
          <w:b w:val="1"/>
          <w:bCs w:val="1"/>
          <w:color w:val="auto"/>
        </w:rPr>
        <w:t>Last Reported Sale Price</w:t>
      </w:r>
      <w:r>
        <w:rPr>
          <w:rFonts w:ascii="Arial" w:cs="Arial" w:eastAsia="Arial" w:hAnsi="Arial"/>
          <w:sz w:val="16"/>
          <w:szCs w:val="16"/>
          <w:color w:val="auto"/>
        </w:rPr>
        <w:t>” shall be determined without regard to after-hours trading or any other trading outside of regular trading session hours.</w:t>
      </w:r>
    </w:p>
    <w:p>
      <w:pPr>
        <w:spacing w:after="0" w:line="161" w:lineRule="exact"/>
        <w:rPr>
          <w:sz w:val="20"/>
          <w:szCs w:val="20"/>
          <w:color w:val="auto"/>
        </w:rPr>
      </w:pPr>
    </w:p>
    <w:p>
      <w:pPr>
        <w:ind w:right="1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Make-Whole Fundamental Change</w:t>
      </w:r>
      <w:r>
        <w:rPr>
          <w:rFonts w:ascii="Arial" w:cs="Arial" w:eastAsia="Arial" w:hAnsi="Arial"/>
          <w:sz w:val="16"/>
          <w:szCs w:val="16"/>
          <w:color w:val="auto"/>
        </w:rPr>
        <w:t xml:space="preserve">” means any transaction or event that constitutes a Fundamental Change (as defined above and determined after giving effect to any exceptions to or exclusions from such definition, but without regard to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clause (b) of the definition thereof).</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 Period</w:t>
      </w:r>
      <w:r>
        <w:rPr>
          <w:rFonts w:ascii="Arial" w:cs="Arial" w:eastAsia="Arial" w:hAnsi="Arial"/>
          <w:sz w:val="18"/>
          <w:szCs w:val="18"/>
          <w:color w:val="auto"/>
        </w:rPr>
        <w:t>” shall have the meaning specified in Section 14.03(a).</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20" w:name="page21"/>
    <w:bookmarkEnd w:id="20"/>
    <w:p>
      <w:pPr>
        <w:ind w:firstLine="4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for the purposes of determining amounts due upon conversion (a) a failure by the primary U.S. national or regional securities exchange or market on which the Class A Common Stock is listed or admitted for trading to open for trading during its regular trading session or (b) the occurrence or existence prior to 1:00 p.m., New York City time, on any Scheduled Trading Day for the Class A Common Stock for more than one half-hour period in the aggregate during regular trading hours of any suspension or limitation imposed on trading (by reason of movements in price exceeding limits permitted by the relevant stock exchange or otherwise) in the Class A Common Stock or in any options contracts or futures contracts relating to the Class A Common Stock.</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February 1, 2027.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Period</w:t>
      </w:r>
      <w:r>
        <w:rPr>
          <w:rFonts w:ascii="Arial" w:cs="Arial" w:eastAsia="Arial" w:hAnsi="Arial"/>
          <w:sz w:val="18"/>
          <w:szCs w:val="18"/>
          <w:color w:val="auto"/>
        </w:rPr>
        <w:t>” shall have the meaning specified in Section 14.01(b)(i).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or “</w:t>
      </w:r>
      <w:r>
        <w:rPr>
          <w:rFonts w:ascii="Arial" w:cs="Arial" w:eastAsia="Arial" w:hAnsi="Arial"/>
          <w:sz w:val="18"/>
          <w:szCs w:val="18"/>
          <w:b w:val="1"/>
          <w:bCs w:val="1"/>
          <w:color w:val="auto"/>
        </w:rPr>
        <w:t>Notes</w:t>
      </w:r>
      <w:r>
        <w:rPr>
          <w:rFonts w:ascii="Arial" w:cs="Arial" w:eastAsia="Arial" w:hAnsi="Arial"/>
          <w:sz w:val="18"/>
          <w:szCs w:val="18"/>
          <w:color w:val="auto"/>
        </w:rPr>
        <w:t>” shall have the meaning specified in the first paragraph of the recitals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Register</w:t>
      </w:r>
      <w:r>
        <w:rPr>
          <w:rFonts w:ascii="Arial" w:cs="Arial" w:eastAsia="Arial" w:hAnsi="Arial"/>
          <w:sz w:val="18"/>
          <w:szCs w:val="18"/>
          <w:color w:val="auto"/>
        </w:rPr>
        <w:t>” shall have the meaning specified in Section 2.05(a).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Registrar</w:t>
      </w:r>
      <w:r>
        <w:rPr>
          <w:rFonts w:ascii="Arial" w:cs="Arial" w:eastAsia="Arial" w:hAnsi="Arial"/>
          <w:sz w:val="18"/>
          <w:szCs w:val="18"/>
          <w:color w:val="auto"/>
        </w:rPr>
        <w:t>” shall have the meaning specified in Section 2.05(a).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w:t>
      </w:r>
      <w:r>
        <w:rPr>
          <w:rFonts w:ascii="Arial" w:cs="Arial" w:eastAsia="Arial" w:hAnsi="Arial"/>
          <w:sz w:val="18"/>
          <w:szCs w:val="18"/>
          <w:color w:val="auto"/>
        </w:rPr>
        <w:t>” shall have the meaning specified in Section 14.02(b).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Redemption</w:t>
      </w:r>
      <w:r>
        <w:rPr>
          <w:rFonts w:ascii="Arial" w:cs="Arial" w:eastAsia="Arial" w:hAnsi="Arial"/>
          <w:sz w:val="18"/>
          <w:szCs w:val="18"/>
          <w:color w:val="auto"/>
        </w:rPr>
        <w:t>” shall have the meaning specified in Section 16.02(a).</w:t>
      </w:r>
    </w:p>
    <w:p>
      <w:pPr>
        <w:spacing w:after="0" w:line="225"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Observation Period</w:t>
      </w:r>
      <w:r>
        <w:rPr>
          <w:rFonts w:ascii="Arial" w:cs="Arial" w:eastAsia="Arial" w:hAnsi="Arial"/>
          <w:sz w:val="17"/>
          <w:szCs w:val="17"/>
          <w:color w:val="auto"/>
        </w:rPr>
        <w:t>” with respect to any Note surrendered for conversion means: (i) subject to clause (ii), if the relevant Conversion Date occurs prior to November 1, 2026, the 40 consecutive Trading Day period beginning on, and including, the second Trading Day immediately succeeding such Conversion Date; (ii) with respect to any Called Notes, if the relevant Conversion Date occurs during the related Redemption Period, the 40 consecutive Trading Days beginning on, and including, the 41st Scheduled Trading Day immediately preceding such Redemption Date; and (iii) subject to clause (ii), if the relevant Conversion Date occurs on or after November 1, 2026, the 40 consecutive Trading Days beginning on, and including, the 41st Scheduled Trading Day immediately preceding the Maturity Date.</w:t>
      </w:r>
    </w:p>
    <w:p>
      <w:pPr>
        <w:spacing w:after="0" w:line="173"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Memorandum</w:t>
      </w:r>
      <w:r>
        <w:rPr>
          <w:rFonts w:ascii="Arial" w:cs="Arial" w:eastAsia="Arial" w:hAnsi="Arial"/>
          <w:sz w:val="18"/>
          <w:szCs w:val="18"/>
          <w:color w:val="auto"/>
        </w:rPr>
        <w:t>” means the preliminary offering memorandum dated January 31, 2022, as supplemented by the related pricing term sheet dated February 1, 2022, relating to the offering and sale of the Notes.</w:t>
      </w:r>
    </w:p>
    <w:p>
      <w:pPr>
        <w:spacing w:after="0" w:line="162"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Company, the Chief Executive Officer, the President, the Chief Financial Officer, the Chief Operating Officer, the Chief Legal Officer, the Treasurer, the Secretary, any Executive or Senior Vice President or any Vice President (whether or not designated by a number or numbers or word or words added before or after the title “Vice President”).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21" w:name="page22"/>
    <w:bookmarkEnd w:id="21"/>
    <w:p>
      <w:pPr>
        <w:ind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Officer’s Certificate</w:t>
      </w:r>
      <w:r>
        <w:rPr>
          <w:rFonts w:ascii="Arial" w:cs="Arial" w:eastAsia="Arial" w:hAnsi="Arial"/>
          <w:sz w:val="18"/>
          <w:szCs w:val="18"/>
          <w:color w:val="auto"/>
        </w:rPr>
        <w:t>,” when used with respect to the Company, means a certificate that is delivered to the Trustee and that is signed by any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accounting officer of the Company.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17.05 if and to the extent required by the provisions of such Section 17.05.</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Redemption</w:t>
      </w:r>
      <w:r>
        <w:rPr>
          <w:rFonts w:ascii="Arial" w:cs="Arial" w:eastAsia="Arial" w:hAnsi="Arial"/>
          <w:sz w:val="18"/>
          <w:szCs w:val="18"/>
          <w:color w:val="auto"/>
        </w:rPr>
        <w:t>” shall have the meaning specified in Section 16.01.</w:t>
      </w:r>
    </w:p>
    <w:p>
      <w:pPr>
        <w:spacing w:after="0" w:line="225"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58" w:lineRule="exact"/>
        <w:rPr>
          <w:sz w:val="20"/>
          <w:szCs w:val="20"/>
          <w:color w:val="auto"/>
        </w:rPr>
      </w:pPr>
    </w:p>
    <w:p>
      <w:pPr>
        <w:ind w:left="1100" w:hanging="241"/>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Notes theretofore canceled by the Trustee or accepted by the Trustee for cancellation;</w:t>
      </w:r>
    </w:p>
    <w:p>
      <w:pPr>
        <w:spacing w:after="0" w:line="117" w:lineRule="exact"/>
        <w:rPr>
          <w:rFonts w:ascii="Arial" w:cs="Arial" w:eastAsia="Arial" w:hAnsi="Arial"/>
          <w:sz w:val="18"/>
          <w:szCs w:val="18"/>
          <w:color w:val="auto"/>
        </w:rPr>
      </w:pPr>
    </w:p>
    <w:p>
      <w:pPr>
        <w:ind w:left="440" w:right="160" w:firstLine="419"/>
        <w:spacing w:after="0" w:line="263" w:lineRule="auto"/>
        <w:tabs>
          <w:tab w:leader="none" w:pos="1118"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75" w:lineRule="exact"/>
        <w:rPr>
          <w:rFonts w:ascii="Arial" w:cs="Arial" w:eastAsia="Arial" w:hAnsi="Arial"/>
          <w:sz w:val="18"/>
          <w:szCs w:val="18"/>
          <w:color w:val="auto"/>
        </w:rPr>
      </w:pPr>
    </w:p>
    <w:p>
      <w:pPr>
        <w:ind w:left="440" w:right="120" w:firstLine="419"/>
        <w:spacing w:after="0" w:line="263" w:lineRule="auto"/>
        <w:tabs>
          <w:tab w:leader="none" w:pos="1108"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Notes that have been paid pursuant to the second paragraph of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Notes converted pursuant to Article 14 and required to be cancelled pursuant to Section 2.08;</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Notes repurchased by the Company pursuant to (i) Section 15.02 and</w:t>
      </w:r>
    </w:p>
    <w:p>
      <w:pPr>
        <w:spacing w:after="0" w:line="117" w:lineRule="exact"/>
        <w:rPr>
          <w:sz w:val="20"/>
          <w:szCs w:val="20"/>
          <w:color w:val="auto"/>
        </w:rPr>
      </w:pPr>
    </w:p>
    <w:p>
      <w:pPr>
        <w:ind w:left="1120" w:hanging="261"/>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2.10 and delivered to the Trustee for cancellation in accordance with Section 2.10; and</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Notes redeemed pursuant to Article 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Partial Redemption Limitation</w:t>
      </w:r>
      <w:r>
        <w:rPr>
          <w:rFonts w:ascii="Arial" w:cs="Arial" w:eastAsia="Arial" w:hAnsi="Arial"/>
          <w:sz w:val="18"/>
          <w:szCs w:val="18"/>
          <w:color w:val="auto"/>
        </w:rPr>
        <w:t>” shall have the meaning specified in Section 16.02(d).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shall have the meaning specified in Section 4.02.</w:t>
      </w:r>
    </w:p>
    <w:p>
      <w:pPr>
        <w:spacing w:after="0" w:line="225"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Party</w:t>
      </w:r>
      <w:r>
        <w:rPr>
          <w:rFonts w:ascii="Arial" w:cs="Arial" w:eastAsia="Arial" w:hAnsi="Arial"/>
          <w:sz w:val="18"/>
          <w:szCs w:val="18"/>
          <w:color w:val="auto"/>
        </w:rPr>
        <w:t>” means any of the Founder Group and, with respect to the Class B common stock, any other “Permitted Transferee” (as such term is defined in the Company’s amended and restated certificate of incorporation in effect on the date hereof).</w:t>
      </w:r>
    </w:p>
    <w:p>
      <w:pPr>
        <w:spacing w:after="0" w:line="162"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62"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Notes</w:t>
      </w:r>
      <w:r>
        <w:rPr>
          <w:rFonts w:ascii="Arial" w:cs="Arial" w:eastAsia="Arial" w:hAnsi="Arial"/>
          <w:sz w:val="18"/>
          <w:szCs w:val="18"/>
          <w:color w:val="auto"/>
        </w:rPr>
        <w:t>” means permanent certificated Notes in registered form issued in denominations of $1,000 principal amount and integral multiples thereof.</w:t>
      </w:r>
    </w:p>
    <w:p>
      <w:pPr>
        <w:spacing w:after="0" w:line="162"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Settlement</w:t>
      </w:r>
      <w:r>
        <w:rPr>
          <w:rFonts w:ascii="Arial" w:cs="Arial" w:eastAsia="Arial" w:hAnsi="Arial"/>
          <w:sz w:val="18"/>
          <w:szCs w:val="18"/>
          <w:color w:val="auto"/>
        </w:rPr>
        <w:t>” shall have the meaning specified in Section 14.02(a). “</w:t>
      </w:r>
      <w:r>
        <w:rPr>
          <w:rFonts w:ascii="Arial" w:cs="Arial" w:eastAsia="Arial" w:hAnsi="Arial"/>
          <w:sz w:val="18"/>
          <w:szCs w:val="18"/>
          <w:b w:val="1"/>
          <w:bCs w:val="1"/>
          <w:color w:val="auto"/>
        </w:rPr>
        <w:t>Predecessor Note</w:t>
      </w:r>
      <w:r>
        <w:rPr>
          <w:rFonts w:ascii="Arial" w:cs="Arial" w:eastAsia="Arial" w:hAnsi="Arial"/>
          <w:sz w:val="18"/>
          <w:szCs w:val="18"/>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80"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means that certain Purchase Agreement, dated February 1, 2022, between the Company and Goldman Sachs &amp; Co. LLC, J.P. Morgan Securities LLC and RBC Capital Markets, LLC, as representatives of the several Initial Purchasers.</w:t>
      </w:r>
    </w:p>
    <w:p>
      <w:pPr>
        <w:spacing w:after="0" w:line="162"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means, with respect to any dividend, distribution or other transaction or event in which the holders of Class A Common Stock (or other applicable security) have the right to receive any cash, securities or other property or in which the Class A Common Stock (or such other security) is exchanged for or converted into any combination of cash, securities or other property, the date fixed for determination of holders of the Class A Common Stock (or such other security) entitled to receive such cash, securities or other property (whether such date is fixed by the Board of Directors, by statute, by contract or otherwise).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shall have the meaning specified in Section 16.02(a).</w:t>
      </w:r>
    </w:p>
    <w:p>
      <w:pPr>
        <w:spacing w:after="0" w:line="225"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Period</w:t>
      </w:r>
      <w:r>
        <w:rPr>
          <w:rFonts w:ascii="Arial" w:cs="Arial" w:eastAsia="Arial" w:hAnsi="Arial"/>
          <w:sz w:val="17"/>
          <w:szCs w:val="17"/>
          <w:color w:val="auto"/>
        </w:rPr>
        <w:t>” means, with respect to any Optional Redemption, the period from, and including, the date on which the Company delivers a Notice of Redemption for such Optional Redemption until the close of business on the Scheduled Trading Day immediately preceding the related Redemption Date (or, if the Company defaults in the payment of the Redemption Price, until the close of business on the Scheduled Trading Day immediately preceding the date on which the Redemption Price has been paid or duly provided for).</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0" w:right="519" w:bottom="1440" w:gutter="0" w:footer="0" w:header="0"/>
        </w:sectPr>
      </w:pPr>
    </w:p>
    <w:bookmarkStart w:id="23" w:name="page24"/>
    <w:bookmarkEnd w:id="23"/>
    <w:p>
      <w:pPr>
        <w:jc w:val="both"/>
        <w:ind w:right="20" w:firstLine="4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Redemption Price</w:t>
      </w:r>
      <w:r>
        <w:rPr>
          <w:rFonts w:ascii="Arial" w:cs="Arial" w:eastAsia="Arial" w:hAnsi="Arial"/>
          <w:sz w:val="17"/>
          <w:szCs w:val="17"/>
          <w:color w:val="auto"/>
        </w:rPr>
        <w:t xml:space="preserve">” means, for any Notes to be redeemed pursuant to Section 16.01, 100% of the principal amount of such Notes,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if any, to, but excluding, the Redemption Date (unless the Redemption Date falls after a Regular Record Date but on or prior to the immediately succeeding Interest Payment Date, in which case interest accrued to the Interest Payment Date will be paid by the Company to Holders of record of such Notes as of the close of business on such Regular Record Date on, or at the Company’s election, before, such Interest Payment Date, and the Redemption Price will be equal to 100% of the principal amount of such Notes).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w:t>
      </w:r>
      <w:r>
        <w:rPr>
          <w:rFonts w:ascii="Arial" w:cs="Arial" w:eastAsia="Arial" w:hAnsi="Arial"/>
          <w:sz w:val="18"/>
          <w:szCs w:val="18"/>
          <w:color w:val="auto"/>
        </w:rPr>
        <w:t>” shall have the meaning specified in Section 14.07(a).</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with respect to any Interest Payment Date, means the January 15 or July 15 (whether or not such day is a Business Day) immediately preceding the applicable February 1 or August 1 Interest Payment Date, respectively.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 shall have the meaning specified in Section 2.05(c).</w:t>
      </w:r>
    </w:p>
    <w:p>
      <w:pPr>
        <w:spacing w:after="0" w:line="225"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183"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Securities</w:t>
      </w:r>
      <w:r>
        <w:rPr>
          <w:rFonts w:ascii="Arial" w:cs="Arial" w:eastAsia="Arial" w:hAnsi="Arial"/>
          <w:sz w:val="18"/>
          <w:szCs w:val="18"/>
          <w:color w:val="auto"/>
        </w:rPr>
        <w:t>” shall have the meaning specified in Section 2.05(c). “</w:t>
      </w:r>
      <w:r>
        <w:rPr>
          <w:rFonts w:ascii="Arial" w:cs="Arial" w:eastAsia="Arial" w:hAnsi="Arial"/>
          <w:sz w:val="18"/>
          <w:szCs w:val="18"/>
          <w:b w:val="1"/>
          <w:bCs w:val="1"/>
          <w:color w:val="auto"/>
        </w:rPr>
        <w:t>Restrictive Notes Legend</w:t>
      </w:r>
      <w:r>
        <w:rPr>
          <w:rFonts w:ascii="Arial" w:cs="Arial" w:eastAsia="Arial" w:hAnsi="Arial"/>
          <w:sz w:val="18"/>
          <w:szCs w:val="18"/>
          <w:color w:val="auto"/>
        </w:rPr>
        <w:t>” shall have the meaning specified in Section 2.05(c). “</w:t>
      </w:r>
      <w:r>
        <w:rPr>
          <w:rFonts w:ascii="Arial" w:cs="Arial" w:eastAsia="Arial" w:hAnsi="Arial"/>
          <w:sz w:val="18"/>
          <w:szCs w:val="18"/>
          <w:b w:val="1"/>
          <w:bCs w:val="1"/>
          <w:color w:val="auto"/>
        </w:rPr>
        <w:t>Rule 144</w:t>
      </w:r>
      <w:r>
        <w:rPr>
          <w:rFonts w:ascii="Arial" w:cs="Arial" w:eastAsia="Arial" w:hAnsi="Arial"/>
          <w:sz w:val="18"/>
          <w:szCs w:val="18"/>
          <w:color w:val="auto"/>
        </w:rPr>
        <w:t>” means Rule 144 as promulgated under the Securities Act.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144A</w:t>
      </w:r>
      <w:r>
        <w:rPr>
          <w:rFonts w:ascii="Arial" w:cs="Arial" w:eastAsia="Arial" w:hAnsi="Arial"/>
          <w:sz w:val="18"/>
          <w:szCs w:val="18"/>
          <w:color w:val="auto"/>
        </w:rPr>
        <w:t>” means Rule 144A as promulgated under the Securities Act.</w:t>
      </w:r>
    </w:p>
    <w:p>
      <w:pPr>
        <w:spacing w:after="0" w:line="225"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day that is scheduled to be a Trading Day on the principal U.S. national or regional securities exchange or market on which the Class A Common Stock is listed or admitted for trading. If the Class A Common Stock is not so listed or admitted for trading, “</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Business Day.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Amount</w:t>
      </w:r>
      <w:r>
        <w:rPr>
          <w:rFonts w:ascii="Arial" w:cs="Arial" w:eastAsia="Arial" w:hAnsi="Arial"/>
          <w:sz w:val="18"/>
          <w:szCs w:val="18"/>
          <w:color w:val="auto"/>
        </w:rPr>
        <w:t>” has the meaning specified in Section 14.02(a)(iv).</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70" w:right="519" w:bottom="1440" w:gutter="0" w:footer="0" w:header="0"/>
        </w:sectPr>
      </w:pPr>
    </w:p>
    <w:bookmarkStart w:id="24" w:name="page25"/>
    <w:bookmarkEnd w:id="24"/>
    <w:p>
      <w:pPr>
        <w:ind w:left="4" w:right="4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Settlement Method</w:t>
      </w:r>
      <w:r>
        <w:rPr>
          <w:rFonts w:ascii="Arial" w:cs="Arial" w:eastAsia="Arial" w:hAnsi="Arial"/>
          <w:sz w:val="18"/>
          <w:szCs w:val="18"/>
          <w:color w:val="auto"/>
        </w:rPr>
        <w:t>” means, with respect to any conversion of Notes, Physical Settlement, Cash Settlement or Combination Settlement, as elected (or deemed to have been elected) by the Company.</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Notice</w:t>
      </w:r>
      <w:r>
        <w:rPr>
          <w:rFonts w:ascii="Arial" w:cs="Arial" w:eastAsia="Arial" w:hAnsi="Arial"/>
          <w:sz w:val="18"/>
          <w:szCs w:val="18"/>
          <w:color w:val="auto"/>
        </w:rPr>
        <w:t>” has the meaning specified in Section 14.02(a)(iii).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Exchange Event</w:t>
      </w:r>
      <w:r>
        <w:rPr>
          <w:rFonts w:ascii="Arial" w:cs="Arial" w:eastAsia="Arial" w:hAnsi="Arial"/>
          <w:sz w:val="18"/>
          <w:szCs w:val="18"/>
          <w:color w:val="auto"/>
        </w:rPr>
        <w:t>” shall have the meaning specified in Section 14.07(a).</w:t>
      </w:r>
    </w:p>
    <w:p>
      <w:pPr>
        <w:spacing w:after="0" w:line="225" w:lineRule="exact"/>
        <w:rPr>
          <w:sz w:val="20"/>
          <w:szCs w:val="20"/>
          <w:color w:val="auto"/>
        </w:rPr>
      </w:pPr>
    </w:p>
    <w:p>
      <w:pPr>
        <w:ind w:left="4" w:right="7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means a Subsidiary of the Company that is a “significant subsidiary” as defined in Article 1, Rule 1-02(w) of Regulation S-X promulgated by the Commission (or any successor rule).</w:t>
      </w:r>
    </w:p>
    <w:p>
      <w:pPr>
        <w:spacing w:after="0" w:line="162" w:lineRule="exact"/>
        <w:rPr>
          <w:sz w:val="20"/>
          <w:szCs w:val="20"/>
          <w:color w:val="auto"/>
        </w:rPr>
      </w:pPr>
    </w:p>
    <w:p>
      <w:pPr>
        <w:ind w:left="4" w:right="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Dollar Amount</w:t>
      </w:r>
      <w:r>
        <w:rPr>
          <w:rFonts w:ascii="Arial" w:cs="Arial" w:eastAsia="Arial" w:hAnsi="Arial"/>
          <w:sz w:val="17"/>
          <w:szCs w:val="17"/>
          <w:color w:val="auto"/>
        </w:rPr>
        <w:t>” means the maximum cash amount per $1,000 principal amount of Notes to be received upon conversion as specified in the Settlement Notice (or deemed specified as provided in Section 14.02(a)(iii)) related to any converted Notes.</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shall have the meaning specified in Section 14.04(c). “</w:t>
      </w:r>
      <w:r>
        <w:rPr>
          <w:rFonts w:ascii="Arial" w:cs="Arial" w:eastAsia="Arial" w:hAnsi="Arial"/>
          <w:sz w:val="18"/>
          <w:szCs w:val="18"/>
          <w:b w:val="1"/>
          <w:bCs w:val="1"/>
          <w:color w:val="auto"/>
        </w:rPr>
        <w:t>Stock Price</w:t>
      </w:r>
      <w:r>
        <w:rPr>
          <w:rFonts w:ascii="Arial" w:cs="Arial" w:eastAsia="Arial" w:hAnsi="Arial"/>
          <w:sz w:val="18"/>
          <w:szCs w:val="18"/>
          <w:color w:val="auto"/>
        </w:rPr>
        <w:t>” shall have the meaning specified in Section 14.03(c).</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corporation, association, partnership or other business entity of which more than 50% of the total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voting power of shares of Capital Stock or other interests (including partnership interests) entitled (without regard to the occurrence of any contingency)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vote in the election of directors, managers, general partners or trustees thereof is at the time owned or controlled, directly or indirectly, by (i)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Person; (ii) such Person and one or more Subsidiaries of such Person; or (iii) one or more Subsidiaries of such Person.</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Company</w:t>
      </w:r>
      <w:r>
        <w:rPr>
          <w:rFonts w:ascii="Arial" w:cs="Arial" w:eastAsia="Arial" w:hAnsi="Arial"/>
          <w:sz w:val="18"/>
          <w:szCs w:val="18"/>
          <w:color w:val="auto"/>
        </w:rPr>
        <w:t>” shall have the meaning specified in Section 11.01(a).</w:t>
      </w:r>
    </w:p>
    <w:p>
      <w:pPr>
        <w:spacing w:after="0" w:line="225"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except for determining amounts due upon conversion, a day on which (i) trading in the Class A Common Stock (or other security for which a closing sale price must be determined) generally occurs on the Nasdaq Global Select Market or, if the Class A Common Stock (or such other security) is not then listed on the Nasdaq Global Select Market, on the principal other U.S. national or regional securities exchange on which the Class A Common Stock (or such other security) is then listed or, if the Class A Common Stock (or such other security) is not then listed on a U.S. national or regional securities exchange, on the principal other market on which the Class A Common Stock (or such other security) is then traded and</w:t>
      </w:r>
    </w:p>
    <w:p>
      <w:pPr>
        <w:spacing w:after="0" w:line="2" w:lineRule="exact"/>
        <w:rPr>
          <w:sz w:val="20"/>
          <w:szCs w:val="20"/>
          <w:color w:val="auto"/>
        </w:rPr>
      </w:pPr>
    </w:p>
    <w:p>
      <w:pPr>
        <w:ind w:left="4" w:right="80" w:hanging="4"/>
        <w:spacing w:after="0" w:line="253" w:lineRule="auto"/>
        <w:tabs>
          <w:tab w:leader="none" w:pos="2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 Last Reported Sale Price for the Class A Common Stock (or closing sale price for such other security) is available on such securities exchange or market;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Class A Common Stock (or such other security) is not so listed or traded, “</w:t>
      </w:r>
      <w:r>
        <w:rPr>
          <w:rFonts w:ascii="Arial" w:cs="Arial" w:eastAsia="Arial" w:hAnsi="Arial"/>
          <w:sz w:val="18"/>
          <w:szCs w:val="18"/>
          <w:b w:val="1"/>
          <w:bCs w:val="1"/>
          <w:color w:val="auto"/>
        </w:rPr>
        <w:t>Trading Day</w:t>
      </w:r>
      <w:r>
        <w:rPr>
          <w:rFonts w:ascii="Arial" w:cs="Arial" w:eastAsia="Arial" w:hAnsi="Arial"/>
          <w:sz w:val="18"/>
          <w:szCs w:val="18"/>
          <w:color w:val="auto"/>
        </w:rPr>
        <w:t xml:space="preserve">” means a Business Day; and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for purposes of determining amounts due upon conversion only, “</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(x) there is no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Disruption Event and (y) trading in the Class A Common Stock generally occurs on the Nasdaq Global Select Market or, if the Class A Common Stock is not then listed on the Nasdaq Global Select Market,</w:t>
      </w:r>
    </w:p>
    <w:p>
      <w:pPr>
        <w:spacing w:after="0" w:line="12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4"/>
          </w:cols>
          <w:pgMar w:left="436" w:top="270" w:right="499" w:bottom="1440" w:gutter="0" w:footer="0" w:header="0"/>
        </w:sectPr>
      </w:pPr>
    </w:p>
    <w:bookmarkStart w:id="25" w:name="page26"/>
    <w:bookmarkEnd w:id="25"/>
    <w:p>
      <w:pPr>
        <w:jc w:val="both"/>
        <w:ind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principal other U.S. national or regional securities exchange on which the Class A Common Stock is then listed or, if the Class A Common Stock is not then listed on a U.S. national or regional securities exchange, on the principal other market on which the Class A Common Stock is then listed or admitted for trading, except that if the Class A Common Stock is not so listed or admitted for trading, “</w:t>
      </w:r>
      <w:r>
        <w:rPr>
          <w:rFonts w:ascii="Arial" w:cs="Arial" w:eastAsia="Arial" w:hAnsi="Arial"/>
          <w:sz w:val="16"/>
          <w:szCs w:val="16"/>
          <w:b w:val="1"/>
          <w:bCs w:val="1"/>
          <w:color w:val="auto"/>
        </w:rPr>
        <w:t>Trading Day</w:t>
      </w:r>
      <w:r>
        <w:rPr>
          <w:rFonts w:ascii="Arial" w:cs="Arial" w:eastAsia="Arial" w:hAnsi="Arial"/>
          <w:sz w:val="16"/>
          <w:szCs w:val="16"/>
          <w:color w:val="auto"/>
        </w:rPr>
        <w:t>” means a Business Day.</w:t>
      </w:r>
    </w:p>
    <w:p>
      <w:pPr>
        <w:spacing w:after="0" w:line="14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Price</w:t>
      </w:r>
      <w:r>
        <w:rPr>
          <w:rFonts w:ascii="Arial" w:cs="Arial" w:eastAsia="Arial" w:hAnsi="Arial"/>
          <w:sz w:val="18"/>
          <w:szCs w:val="18"/>
          <w:color w:val="auto"/>
        </w:rPr>
        <w:t xml:space="preserve">” of the Notes on any date of determination means the average of the secondary market bid quotations obtained by the Bid Solicitation Agent for $5,000,000 principal amount of Notes at approximately 3:30 p.m., New York City time, on such determination date from three independent nationally recognized securities dealers the Company selects for this purpose;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three such bids cannot reasonably be obtained by the Bid Solicitation Agent but two such bids are obtained, then the average of the two bids shall be used, and if only one such bid can reasonably be obtained by the Bid Solicitation Agent, that one bid shall be used. If, on any determination date, the Bid Solicitation Agent cannot reasonably obtain at least one bid for $5,000,000 principal amount of Notes from a nationally recognized securities dealer, then the Trading Price per $1,000 principal amount of Notes on such determination date shall be deemed to be less than 98% of the product of the Last Reported Sale Price of the Class A Common Stock and the Conversion Rate.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shall have the meaning specified in Section 2.05(c).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shall have the meaning specified in Section 14.04(c).</w:t>
      </w:r>
    </w:p>
    <w:p>
      <w:pPr>
        <w:spacing w:after="0" w:line="225"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xml:space="preserve">” means the Trust Indenture Act of 1939, as amended, as it was in force at the date of execution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the Trust Indenture Act of 1939 is amended after the date hereof, the term “Trust Indenture Act” shall mean,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such amendment, the Trust Indenture Act of 1939, as so amended.</w:t>
      </w:r>
    </w:p>
    <w:p>
      <w:pPr>
        <w:spacing w:after="0" w:line="176" w:lineRule="exact"/>
        <w:rPr>
          <w:sz w:val="20"/>
          <w:szCs w:val="20"/>
          <w:color w:val="auto"/>
        </w:rPr>
      </w:pPr>
    </w:p>
    <w:p>
      <w:pPr>
        <w:ind w:right="40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named as the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of this Indenture until a successor trustee shall have become such pursuant to the applicable provisions of this Indenture, and thereafter “</w:t>
      </w:r>
      <w:r>
        <w:rPr>
          <w:rFonts w:ascii="Arial" w:cs="Arial" w:eastAsia="Arial" w:hAnsi="Arial"/>
          <w:sz w:val="16"/>
          <w:szCs w:val="16"/>
          <w:b w:val="1"/>
          <w:bCs w:val="1"/>
          <w:color w:val="auto"/>
        </w:rPr>
        <w:t>Trustee</w:t>
      </w:r>
      <w:r>
        <w:rPr>
          <w:rFonts w:ascii="Arial" w:cs="Arial" w:eastAsia="Arial" w:hAnsi="Arial"/>
          <w:sz w:val="16"/>
          <w:szCs w:val="16"/>
          <w:color w:val="auto"/>
        </w:rPr>
        <w:t>” shall mean or include each Person who is then a Trustee hereunder.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 of Reference Property</w:t>
      </w:r>
      <w:r>
        <w:rPr>
          <w:rFonts w:ascii="Arial" w:cs="Arial" w:eastAsia="Arial" w:hAnsi="Arial"/>
          <w:sz w:val="18"/>
          <w:szCs w:val="18"/>
          <w:color w:val="auto"/>
        </w:rPr>
        <w:t>” shall have the meaning specified in Section 14.07(a).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 shall have the meaning specified in Section 14.04(c).</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6" w:name="page27"/>
    <w:bookmarkEnd w:id="26"/>
    <w:p>
      <w:pPr>
        <w:ind w:right="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1.02</w:t>
      </w:r>
      <w:r>
        <w:rPr>
          <w:rFonts w:ascii="Arial" w:cs="Arial" w:eastAsia="Arial" w:hAnsi="Arial"/>
          <w:sz w:val="17"/>
          <w:szCs w:val="17"/>
          <w:i w:val="1"/>
          <w:iCs w:val="1"/>
          <w:color w:val="auto"/>
        </w:rPr>
        <w:t>. References to Interest.</w:t>
      </w:r>
      <w:r>
        <w:rPr>
          <w:rFonts w:ascii="Arial" w:cs="Arial" w:eastAsia="Arial" w:hAnsi="Arial"/>
          <w:sz w:val="17"/>
          <w:szCs w:val="17"/>
          <w:color w:val="auto"/>
        </w:rPr>
        <w:t xml:space="preserve"> Unless the context otherwise requires, any reference to interest on, or in respect of, any Note in this Indenture shall be deemed to include Additional Interest if, in such context, Additional Interest is, was or would be payable pursuant to any of Section 4.06(d), Section 4.06(e) and Section 6.03. Unless the context otherwise requires, any express mention of Additional Interest in any provision hereof shall not be construed as excluding Additional Interest in those provisions hereof where such express mention is not made.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SSUE</w:t>
      </w:r>
      <w:r>
        <w:rPr>
          <w:rFonts w:ascii="Arial" w:cs="Arial" w:eastAsia="Arial" w:hAnsi="Arial"/>
          <w:sz w:val="18"/>
          <w:szCs w:val="18"/>
          <w:color w:val="auto"/>
        </w:rPr>
        <w:t>, D</w:t>
      </w:r>
      <w:r>
        <w:rPr>
          <w:rFonts w:ascii="Arial" w:cs="Arial" w:eastAsia="Arial" w:hAnsi="Arial"/>
          <w:sz w:val="14"/>
          <w:szCs w:val="14"/>
          <w:color w:val="auto"/>
        </w:rPr>
        <w:t>ESCRIPTION</w:t>
      </w:r>
      <w:r>
        <w:rPr>
          <w:rFonts w:ascii="Arial" w:cs="Arial" w:eastAsia="Arial" w:hAnsi="Arial"/>
          <w:sz w:val="18"/>
          <w:szCs w:val="18"/>
          <w:color w:val="auto"/>
        </w:rPr>
        <w:t>, E</w:t>
      </w:r>
      <w:r>
        <w:rPr>
          <w:rFonts w:ascii="Arial" w:cs="Arial" w:eastAsia="Arial" w:hAnsi="Arial"/>
          <w:sz w:val="14"/>
          <w:szCs w:val="14"/>
          <w:color w:val="auto"/>
        </w:rPr>
        <w:t>XECUTION</w:t>
      </w:r>
      <w:r>
        <w:rPr>
          <w:rFonts w:ascii="Arial" w:cs="Arial" w:eastAsia="Arial" w:hAnsi="Arial"/>
          <w:sz w:val="18"/>
          <w:szCs w:val="18"/>
          <w:color w:val="auto"/>
        </w:rPr>
        <w:t>, R</w:t>
      </w:r>
      <w:r>
        <w:rPr>
          <w:rFonts w:ascii="Arial" w:cs="Arial" w:eastAsia="Arial" w:hAnsi="Arial"/>
          <w:sz w:val="14"/>
          <w:szCs w:val="14"/>
          <w:color w:val="auto"/>
        </w:rPr>
        <w:t>EGISTRATION AND</w:t>
      </w:r>
      <w:r>
        <w:rPr>
          <w:rFonts w:ascii="Arial" w:cs="Arial" w:eastAsia="Arial" w:hAnsi="Arial"/>
          <w:sz w:val="18"/>
          <w:szCs w:val="18"/>
          <w:color w:val="auto"/>
        </w:rPr>
        <w:t xml:space="preserve"> E</w:t>
      </w:r>
      <w:r>
        <w:rPr>
          <w:rFonts w:ascii="Arial" w:cs="Arial" w:eastAsia="Arial" w:hAnsi="Arial"/>
          <w:sz w:val="14"/>
          <w:szCs w:val="14"/>
          <w:color w:val="auto"/>
        </w:rPr>
        <w:t>XCHANGE OF</w:t>
      </w:r>
      <w:r>
        <w:rPr>
          <w:rFonts w:ascii="Arial" w:cs="Arial" w:eastAsia="Arial" w:hAnsi="Arial"/>
          <w:sz w:val="18"/>
          <w:szCs w:val="18"/>
          <w:color w:val="auto"/>
        </w:rPr>
        <w:t xml:space="preserve"> N</w:t>
      </w:r>
      <w:r>
        <w:rPr>
          <w:rFonts w:ascii="Arial" w:cs="Arial" w:eastAsia="Arial" w:hAnsi="Arial"/>
          <w:sz w:val="14"/>
          <w:szCs w:val="14"/>
          <w:color w:val="auto"/>
        </w:rPr>
        <w:t>OTES</w:t>
      </w:r>
    </w:p>
    <w:p>
      <w:pPr>
        <w:spacing w:after="0" w:line="211"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Designation and Amount.</w:t>
      </w:r>
      <w:r>
        <w:rPr>
          <w:rFonts w:ascii="Arial" w:cs="Arial" w:eastAsia="Arial" w:hAnsi="Arial"/>
          <w:sz w:val="18"/>
          <w:szCs w:val="18"/>
          <w:color w:val="auto"/>
        </w:rPr>
        <w:t xml:space="preserve"> The Notes shall be designated as the “1.00% Convertible Senior Notes due 2027.” The aggregate principal amount of Notes that may be authenticated and delivered under this Indenture is initially limited to $250,000,000 (as increased by an amount equal to the aggregate principal amount of any additional Notes purchased by the Initial Purchasers pursuant to the exercise of their option to purchase additional Notes as set forth in the Purchase Agreement), subject to Section 2.10 and except for Notes authenticated and delivered upon registration or transfer of, or in exchange for, or in lieu of other Notes to the</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extent expressly permitted hereunder.</w:t>
      </w:r>
    </w:p>
    <w:p>
      <w:pPr>
        <w:spacing w:after="0" w:line="211" w:lineRule="exact"/>
        <w:rPr>
          <w:sz w:val="20"/>
          <w:szCs w:val="20"/>
          <w:color w:val="auto"/>
        </w:rPr>
      </w:pPr>
    </w:p>
    <w:p>
      <w:pPr>
        <w:ind w:right="460" w:firstLine="440"/>
        <w:spacing w:after="0" w:line="291" w:lineRule="auto"/>
        <w:rPr>
          <w:sz w:val="20"/>
          <w:szCs w:val="20"/>
          <w:color w:val="auto"/>
        </w:rPr>
      </w:pPr>
      <w:r>
        <w:rPr>
          <w:rFonts w:ascii="Arial" w:cs="Arial" w:eastAsia="Arial" w:hAnsi="Arial"/>
          <w:sz w:val="16"/>
          <w:szCs w:val="16"/>
          <w:color w:val="auto"/>
        </w:rPr>
        <w:t>Section 2.02</w:t>
      </w:r>
      <w:r>
        <w:rPr>
          <w:rFonts w:ascii="Arial" w:cs="Arial" w:eastAsia="Arial" w:hAnsi="Arial"/>
          <w:sz w:val="16"/>
          <w:szCs w:val="16"/>
          <w:i w:val="1"/>
          <w:iCs w:val="1"/>
          <w:color w:val="auto"/>
        </w:rPr>
        <w:t>. Form of Notes.</w:t>
      </w:r>
      <w:r>
        <w:rPr>
          <w:rFonts w:ascii="Arial" w:cs="Arial" w:eastAsia="Arial" w:hAnsi="Arial"/>
          <w:sz w:val="16"/>
          <w:szCs w:val="16"/>
          <w:color w:val="auto"/>
        </w:rPr>
        <w:t xml:space="preserve"> The Notes and the Trustee’s certificate of authentication to be borne by such Notes shall be substantially in the respective forms set forth in Exhibit A, the terms and provisions of which shall constitute, and are hereby expressly incorporated in and</w:t>
      </w:r>
    </w:p>
    <w:p>
      <w:pPr>
        <w:ind w:right="120" w:firstLine="440"/>
        <w:spacing w:after="0" w:line="255" w:lineRule="auto"/>
        <w:rPr>
          <w:sz w:val="20"/>
          <w:szCs w:val="20"/>
          <w:color w:val="auto"/>
        </w:rPr>
      </w:pPr>
      <w:r>
        <w:rPr>
          <w:rFonts w:ascii="Arial" w:cs="Arial" w:eastAsia="Arial" w:hAnsi="Arial"/>
          <w:sz w:val="18"/>
          <w:szCs w:val="18"/>
          <w:color w:val="auto"/>
        </w:rPr>
        <w:t>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9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88"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7" w:name="page28"/>
    <w:bookmarkEnd w:id="27"/>
    <w:p>
      <w:pPr>
        <w:ind w:left="4"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165" w:lineRule="exact"/>
        <w:rPr>
          <w:sz w:val="20"/>
          <w:szCs w:val="20"/>
          <w:color w:val="auto"/>
        </w:rPr>
      </w:pPr>
    </w:p>
    <w:p>
      <w:pPr>
        <w:ind w:left="4" w:right="60" w:firstLine="440"/>
        <w:spacing w:after="0" w:line="301" w:lineRule="auto"/>
        <w:rPr>
          <w:sz w:val="20"/>
          <w:szCs w:val="20"/>
          <w:color w:val="auto"/>
        </w:rPr>
      </w:pPr>
      <w:r>
        <w:rPr>
          <w:rFonts w:ascii="Arial" w:cs="Arial" w:eastAsia="Arial" w:hAnsi="Arial"/>
          <w:sz w:val="16"/>
          <w:szCs w:val="16"/>
          <w:color w:val="auto"/>
        </w:rPr>
        <w:t>Section 2.03</w:t>
      </w:r>
      <w:r>
        <w:rPr>
          <w:rFonts w:ascii="Arial" w:cs="Arial" w:eastAsia="Arial" w:hAnsi="Arial"/>
          <w:sz w:val="16"/>
          <w:szCs w:val="16"/>
          <w:i w:val="1"/>
          <w:iCs w:val="1"/>
          <w:color w:val="auto"/>
        </w:rPr>
        <w:t>. Date and Denomination of Notes; Payments of Interest and Defaulted Amounts.</w:t>
      </w:r>
      <w:r>
        <w:rPr>
          <w:rFonts w:ascii="Arial" w:cs="Arial" w:eastAsia="Arial" w:hAnsi="Arial"/>
          <w:sz w:val="16"/>
          <w:szCs w:val="16"/>
          <w:color w:val="auto"/>
        </w:rPr>
        <w:t xml:space="preserve"> (a) The Notes shall be issuable in registered form without coupons in minimum denominations of $1,000 principal amount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157" w:lineRule="exact"/>
        <w:rPr>
          <w:sz w:val="20"/>
          <w:szCs w:val="20"/>
          <w:color w:val="auto"/>
        </w:rPr>
      </w:pPr>
    </w:p>
    <w:p>
      <w:pPr>
        <w:ind w:left="4" w:right="60" w:firstLine="436"/>
        <w:spacing w:after="0" w:line="283" w:lineRule="auto"/>
        <w:tabs>
          <w:tab w:leader="none" w:pos="699"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office or agency of the Company maintained by the Company for such purposes in the continental United States of America, which shall initially be the Corporate Trust Office and (y) in the case of any Global Note, shall be payable by wire transfer of immediately available funds to the account of the Depositary or its nominee. The Company shall pay, or cause the Paying Agent to pay, interest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either by check mailed to each such Holder or, upon written application by such a Holder to the Note Registrar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w:t>
      </w:r>
    </w:p>
    <w:p>
      <w:pPr>
        <w:spacing w:after="0" w:line="3" w:lineRule="exact"/>
        <w:rPr>
          <w:rFonts w:ascii="Arial" w:cs="Arial" w:eastAsia="Arial" w:hAnsi="Arial"/>
          <w:sz w:val="16"/>
          <w:szCs w:val="16"/>
          <w:color w:val="auto"/>
        </w:rPr>
      </w:pPr>
    </w:p>
    <w:p>
      <w:pPr>
        <w:ind w:left="264" w:hanging="264"/>
        <w:spacing w:after="0"/>
        <w:tabs>
          <w:tab w:leader="none" w:pos="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any Global Note by wire transfer of immediately available funds to the account of the Depositary or its nominee.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28" w:name="page29"/>
    <w:bookmarkEnd w:id="28"/>
    <w:p>
      <w:pPr>
        <w:ind w:left="-60" w:right="60" w:firstLine="436"/>
        <w:spacing w:after="0" w:line="311" w:lineRule="auto"/>
        <w:tabs>
          <w:tab w:leader="none" w:pos="625"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40" w:lineRule="exact"/>
        <w:rPr>
          <w:rFonts w:ascii="Arial" w:cs="Arial" w:eastAsia="Arial" w:hAnsi="Arial"/>
          <w:sz w:val="16"/>
          <w:szCs w:val="16"/>
          <w:color w:val="auto"/>
        </w:rPr>
      </w:pPr>
    </w:p>
    <w:p>
      <w:pPr>
        <w:ind w:left="380" w:right="100" w:firstLine="419"/>
        <w:spacing w:after="0" w:line="283" w:lineRule="auto"/>
        <w:tabs>
          <w:tab w:leader="none" w:pos="1015"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in writing of such special record date and the Trustee, in the name and at the expense of the Company, shall cause notice of the proposed payment of such Defaulted Amounts and the special record date therefor to be</w:t>
      </w:r>
    </w:p>
    <w:p>
      <w:pPr>
        <w:spacing w:after="0" w:line="2" w:lineRule="exact"/>
        <w:rPr>
          <w:rFonts w:ascii="Arial" w:cs="Arial" w:eastAsia="Arial" w:hAnsi="Arial"/>
          <w:sz w:val="16"/>
          <w:szCs w:val="16"/>
          <w:color w:val="auto"/>
        </w:rPr>
      </w:pPr>
    </w:p>
    <w:p>
      <w:pPr>
        <w:ind w:left="380" w:firstLine="423"/>
        <w:spacing w:after="0" w:line="253" w:lineRule="auto"/>
        <w:rPr>
          <w:rFonts w:ascii="Arial" w:cs="Arial" w:eastAsia="Arial" w:hAnsi="Arial"/>
          <w:sz w:val="16"/>
          <w:szCs w:val="16"/>
          <w:color w:val="auto"/>
        </w:rPr>
      </w:pPr>
      <w:r>
        <w:rPr>
          <w:rFonts w:ascii="Arial" w:cs="Arial" w:eastAsia="Arial" w:hAnsi="Arial"/>
          <w:sz w:val="18"/>
          <w:szCs w:val="18"/>
          <w:color w:val="auto"/>
        </w:rPr>
        <w:t>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spacing w:after="0" w:line="84" w:lineRule="exact"/>
        <w:rPr>
          <w:rFonts w:ascii="Arial" w:cs="Arial" w:eastAsia="Arial" w:hAnsi="Arial"/>
          <w:sz w:val="16"/>
          <w:szCs w:val="16"/>
          <w:color w:val="auto"/>
        </w:rPr>
      </w:pPr>
    </w:p>
    <w:p>
      <w:pPr>
        <w:jc w:val="both"/>
        <w:ind w:left="380" w:right="120" w:firstLine="419"/>
        <w:spacing w:after="0" w:line="279" w:lineRule="auto"/>
        <w:tabs>
          <w:tab w:leader="none" w:pos="1068"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w:t>
      </w:r>
    </w:p>
    <w:p>
      <w:pPr>
        <w:spacing w:after="0" w:line="63" w:lineRule="exact"/>
        <w:rPr>
          <w:rFonts w:ascii="Arial" w:cs="Arial" w:eastAsia="Arial" w:hAnsi="Arial"/>
          <w:sz w:val="17"/>
          <w:szCs w:val="17"/>
          <w:color w:val="auto"/>
        </w:rPr>
      </w:pPr>
    </w:p>
    <w:p>
      <w:pPr>
        <w:ind w:left="380" w:right="260" w:firstLine="419"/>
        <w:spacing w:after="0" w:line="263" w:lineRule="auto"/>
        <w:tabs>
          <w:tab w:leader="none" w:pos="1118"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Trustee shall not at any time be under any duty or responsibility to any Holder of Notes to determine the Defaulted Amounts, or with respect to the nature, extent, or calculation of the amount of Defaulted Amounts owed, or with respect to the method employed in such calculation of the Defaulted Amounts.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500" w:top="274" w:right="499" w:bottom="1440" w:gutter="0" w:footer="0" w:header="0"/>
        </w:sectPr>
      </w:pPr>
    </w:p>
    <w:bookmarkStart w:id="29" w:name="page30"/>
    <w:bookmarkEnd w:id="29"/>
    <w:p>
      <w:pPr>
        <w:ind w:right="5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2.04</w:t>
      </w:r>
      <w:r>
        <w:rPr>
          <w:rFonts w:ascii="Arial" w:cs="Arial" w:eastAsia="Arial" w:hAnsi="Arial"/>
          <w:sz w:val="17"/>
          <w:szCs w:val="17"/>
          <w:i w:val="1"/>
          <w:iCs w:val="1"/>
          <w:color w:val="auto"/>
        </w:rPr>
        <w:t>. Execution, Authentication and Delivery of Notes.</w:t>
      </w:r>
      <w:r>
        <w:rPr>
          <w:rFonts w:ascii="Arial" w:cs="Arial" w:eastAsia="Arial" w:hAnsi="Arial"/>
          <w:sz w:val="17"/>
          <w:szCs w:val="17"/>
          <w:color w:val="auto"/>
        </w:rPr>
        <w:t xml:space="preserve"> The Notes shall be signed in the name and on behalf of the Company by the manual, facsimile or electronic signature of its Chief Executive Officer, President, Chief Financial Officer, Treasurer or Secretary.</w:t>
      </w:r>
    </w:p>
    <w:p>
      <w:pPr>
        <w:spacing w:after="0" w:line="14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Section 17.05, the Trustee shall receive an Officer’s Certificate and an Opinion of Counsel of the Company with respect to the issuance, authentication and delivery of such Notes.</w:t>
      </w:r>
    </w:p>
    <w:p>
      <w:pPr>
        <w:spacing w:after="0" w:line="188"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88" w:lineRule="exact"/>
        <w:rPr>
          <w:sz w:val="20"/>
          <w:szCs w:val="20"/>
          <w:color w:val="auto"/>
        </w:rPr>
      </w:pPr>
    </w:p>
    <w:p>
      <w:pPr>
        <w:ind w:right="240" w:firstLine="440"/>
        <w:spacing w:after="0" w:line="275" w:lineRule="auto"/>
        <w:rPr>
          <w:sz w:val="20"/>
          <w:szCs w:val="20"/>
          <w:color w:val="auto"/>
        </w:rPr>
      </w:pPr>
      <w:r>
        <w:rPr>
          <w:rFonts w:ascii="Arial" w:cs="Arial" w:eastAsia="Arial" w:hAnsi="Arial"/>
          <w:sz w:val="17"/>
          <w:szCs w:val="17"/>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2.05</w:t>
      </w:r>
      <w:r>
        <w:rPr>
          <w:rFonts w:ascii="Arial" w:cs="Arial" w:eastAsia="Arial" w:hAnsi="Arial"/>
          <w:sz w:val="18"/>
          <w:szCs w:val="18"/>
          <w:i w:val="1"/>
          <w:iCs w:val="1"/>
          <w:color w:val="auto"/>
        </w:rPr>
        <w:t>. Exchange and Registration of Transfer of Notes; Restrictions on Transfer; Depositary.</w:t>
      </w:r>
    </w:p>
    <w:p>
      <w:pPr>
        <w:spacing w:after="0" w:line="117" w:lineRule="exact"/>
        <w:rPr>
          <w:sz w:val="20"/>
          <w:szCs w:val="20"/>
          <w:color w:val="auto"/>
        </w:rPr>
      </w:pPr>
    </w:p>
    <w:p>
      <w:pPr>
        <w:ind w:firstLine="436"/>
        <w:spacing w:after="0" w:line="296" w:lineRule="auto"/>
        <w:tabs>
          <w:tab w:leader="none" w:pos="6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shall cause to be kept at the Corporate Trust Office a register (the register maintained in such office or in any other office or agency of the Company designated pursuant to Section 4.02, the “</w:t>
      </w:r>
      <w:r>
        <w:rPr>
          <w:rFonts w:ascii="Arial" w:cs="Arial" w:eastAsia="Arial" w:hAnsi="Arial"/>
          <w:sz w:val="16"/>
          <w:szCs w:val="16"/>
          <w:b w:val="1"/>
          <w:bCs w:val="1"/>
          <w:color w:val="auto"/>
        </w:rPr>
        <w:t>Note Register</w:t>
      </w:r>
      <w:r>
        <w:rPr>
          <w:rFonts w:ascii="Arial" w:cs="Arial" w:eastAsia="Arial" w:hAnsi="Arial"/>
          <w:sz w:val="16"/>
          <w:szCs w:val="16"/>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Arial" w:cs="Arial" w:eastAsia="Arial" w:hAnsi="Arial"/>
          <w:sz w:val="16"/>
          <w:szCs w:val="16"/>
          <w:b w:val="1"/>
          <w:bCs w:val="1"/>
          <w:color w:val="auto"/>
        </w:rPr>
        <w:t>Note Registrar</w:t>
      </w:r>
      <w:r>
        <w:rPr>
          <w:rFonts w:ascii="Arial" w:cs="Arial" w:eastAsia="Arial" w:hAnsi="Arial"/>
          <w:sz w:val="16"/>
          <w:szCs w:val="16"/>
          <w:color w:val="auto"/>
        </w:rPr>
        <w:t>” for the purpose of registering Notes and transfers of Notes as herein provided. The Company may appoint one or more co-Note Registrars in accordance with Section 4.02.</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0" w:name="page31"/>
    <w:bookmarkEnd w:id="30"/>
    <w:p>
      <w:pPr>
        <w:ind w:left="4"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surrender for registration of transfer of any Note to the Note Registrar or any co- Note Registrar, and satisfaction of the requirements for such transfer set forth in this Section 2.05, the Company shall execute, and the Trustee, upon receipt of a Company Order,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87"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87" w:lineRule="exact"/>
        <w:rPr>
          <w:sz w:val="20"/>
          <w:szCs w:val="20"/>
          <w:color w:val="auto"/>
        </w:rPr>
      </w:pPr>
    </w:p>
    <w:p>
      <w:pPr>
        <w:ind w:left="4" w:right="40" w:firstLine="440"/>
        <w:spacing w:after="0" w:line="311" w:lineRule="auto"/>
        <w:rPr>
          <w:sz w:val="20"/>
          <w:szCs w:val="20"/>
          <w:color w:val="auto"/>
        </w:rPr>
      </w:pPr>
      <w:r>
        <w:rPr>
          <w:rFonts w:ascii="Arial" w:cs="Arial" w:eastAsia="Arial" w:hAnsi="Arial"/>
          <w:sz w:val="16"/>
          <w:szCs w:val="16"/>
          <w:color w:val="auto"/>
        </w:rPr>
        <w:t>All Notes presented or surrendered for registration of transfer or for exchange, repurchase or conversion shall (if so required by the Company, the Trustee, the Note Registrar or any co- Note Registrar) be duly endorsed, or be accompanied by a written instrument or instruments of transfer in form satisfactory to the Company and duly executed, by the Holder thereof or its attorney-in-fact duly authorized in writing.</w:t>
      </w:r>
    </w:p>
    <w:p>
      <w:pPr>
        <w:spacing w:after="0" w:line="149"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71"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w:t>
      </w:r>
    </w:p>
    <w:p>
      <w:pPr>
        <w:ind w:left="4" w:right="460" w:hanging="4"/>
        <w:spacing w:after="0" w:line="255" w:lineRule="auto"/>
        <w:tabs>
          <w:tab w:leader="none" w:pos="2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Notes, or a portion of any Note, surrendered for required repurchase upon a Fundamental Change (and not withdrawn) in accordance with Article 15 or (iii) any Notes selected for Optional Redemption in accordance with Article 16, except the unredeemed portion of any Note being redeemed in part.</w:t>
      </w:r>
    </w:p>
    <w:p>
      <w:pPr>
        <w:spacing w:after="0" w:line="190"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76" w:lineRule="exact"/>
        <w:rPr>
          <w:sz w:val="20"/>
          <w:szCs w:val="20"/>
          <w:color w:val="auto"/>
        </w:rPr>
      </w:pPr>
    </w:p>
    <w:p>
      <w:pPr>
        <w:ind w:left="4" w:right="20" w:firstLine="436"/>
        <w:spacing w:after="0" w:line="255" w:lineRule="auto"/>
        <w:tabs>
          <w:tab w:leader="none" w:pos="69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Arial" w:cs="Arial" w:eastAsia="Arial" w:hAnsi="Arial"/>
          <w:sz w:val="18"/>
          <w:szCs w:val="18"/>
          <w:b w:val="1"/>
          <w:bCs w:val="1"/>
          <w:color w:val="auto"/>
        </w:rPr>
        <w:t>Global Note</w:t>
      </w:r>
      <w:r>
        <w:rPr>
          <w:rFonts w:ascii="Arial" w:cs="Arial" w:eastAsia="Arial" w:hAnsi="Arial"/>
          <w:sz w:val="18"/>
          <w:szCs w:val="18"/>
          <w:color w:val="auto"/>
        </w:rPr>
        <w:t>”)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applicable procedures of the Depositary therefor.</w:t>
      </w:r>
    </w:p>
    <w:p>
      <w:pPr>
        <w:spacing w:after="0" w:line="1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274" w:right="499" w:bottom="1440" w:gutter="0" w:footer="0" w:header="0"/>
        </w:sectPr>
      </w:pPr>
    </w:p>
    <w:bookmarkStart w:id="31" w:name="page32"/>
    <w:bookmarkEnd w:id="31"/>
    <w:p>
      <w:pPr>
        <w:ind w:right="20" w:firstLine="436"/>
        <w:spacing w:after="0" w:line="273" w:lineRule="auto"/>
        <w:tabs>
          <w:tab w:leader="none" w:pos="685"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Every Note that bears or is required under this Section 2.05(c) to bear the Restrictive Notes Legend (together with any Class A Common Stock issued upon conversion of the Notes that is required to bear the legend set forth in Section 2.05(d), collectively, the “</w:t>
      </w:r>
      <w:r>
        <w:rPr>
          <w:rFonts w:ascii="Arial" w:cs="Arial" w:eastAsia="Arial" w:hAnsi="Arial"/>
          <w:sz w:val="17"/>
          <w:szCs w:val="17"/>
          <w:b w:val="1"/>
          <w:bCs w:val="1"/>
          <w:color w:val="auto"/>
        </w:rPr>
        <w:t>Restricted Securities</w:t>
      </w:r>
      <w:r>
        <w:rPr>
          <w:rFonts w:ascii="Arial" w:cs="Arial" w:eastAsia="Arial" w:hAnsi="Arial"/>
          <w:sz w:val="17"/>
          <w:szCs w:val="17"/>
          <w:color w:val="auto"/>
        </w:rPr>
        <w:t>”) shall be subject to the restrictions on transfer set forth in this Section 2.05(c) (including the Restrictive Notes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Arial" w:cs="Arial" w:eastAsia="Arial" w:hAnsi="Arial"/>
          <w:sz w:val="17"/>
          <w:szCs w:val="17"/>
          <w:b w:val="1"/>
          <w:bCs w:val="1"/>
          <w:color w:val="auto"/>
        </w:rPr>
        <w:t>transfer</w:t>
      </w:r>
      <w:r>
        <w:rPr>
          <w:rFonts w:ascii="Arial" w:cs="Arial" w:eastAsia="Arial" w:hAnsi="Arial"/>
          <w:sz w:val="17"/>
          <w:szCs w:val="17"/>
          <w:color w:val="auto"/>
        </w:rPr>
        <w:t>” encompasses any sale, pledge, transfer or other disposition whatsoever of any Restricted Security.</w:t>
      </w:r>
    </w:p>
    <w:p>
      <w:pPr>
        <w:spacing w:after="0" w:line="174"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Until the date (the “</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 that is the later of (1) the date that is one year after the last date of original issuance of the Notes, or such shorter period of time as permitted by Rule 144 or any successor provision thereto, and (2) such later date, if any, as may be required by applicable law, any certificate evidencing such Note (and all securities issued in exchange therefor or substitution thereof, other than Class A Common Stock, if any, issued upon conversion thereof, which shall bear the legend set forth in Section 2.05(d), if applicable) shall bear a legend in substantially the following form (the “</w:t>
      </w:r>
      <w:r>
        <w:rPr>
          <w:rFonts w:ascii="Arial" w:cs="Arial" w:eastAsia="Arial" w:hAnsi="Arial"/>
          <w:sz w:val="18"/>
          <w:szCs w:val="18"/>
          <w:b w:val="1"/>
          <w:bCs w:val="1"/>
          <w:color w:val="auto"/>
        </w:rPr>
        <w:t>Restrictive Notes Legend</w:t>
      </w:r>
      <w:r>
        <w:rPr>
          <w:rFonts w:ascii="Arial" w:cs="Arial" w:eastAsia="Arial" w:hAnsi="Arial"/>
          <w:sz w:val="18"/>
          <w:szCs w:val="18"/>
          <w:color w:val="auto"/>
        </w:rPr>
        <w:t>”) (unless such Notes have been transferred pursuant to a registration statement that has become or been declared effective under the Securities Act and that continues to be effective at the time of such transfer, or sold pursuant to the exemption from registration provided by Rule</w:t>
      </w:r>
    </w:p>
    <w:p>
      <w:pPr>
        <w:spacing w:after="0" w:line="3" w:lineRule="exact"/>
        <w:rPr>
          <w:sz w:val="20"/>
          <w:szCs w:val="20"/>
          <w:color w:val="auto"/>
        </w:rPr>
      </w:pPr>
    </w:p>
    <w:p>
      <w:pPr>
        <w:ind w:right="180" w:firstLine="440"/>
        <w:spacing w:after="0" w:line="260" w:lineRule="auto"/>
        <w:rPr>
          <w:sz w:val="20"/>
          <w:szCs w:val="20"/>
          <w:color w:val="auto"/>
        </w:rPr>
      </w:pPr>
      <w:r>
        <w:rPr>
          <w:rFonts w:ascii="Arial" w:cs="Arial" w:eastAsia="Arial" w:hAnsi="Arial"/>
          <w:sz w:val="18"/>
          <w:szCs w:val="18"/>
          <w:color w:val="auto"/>
        </w:rPr>
        <w:t>144 or any similar provision then in force under the Securities Act, or unless otherwise agreed by the Company in writing, with notice thereof to the Trustee):</w:t>
      </w:r>
    </w:p>
    <w:p>
      <w:pPr>
        <w:spacing w:after="0" w:line="18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THIS SECURITY AND THE CLASS A COMMON STOCK, IF ANY, ISSUABLE UPON CONVERSION OF THIS SECURITY HAVE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MAY NOT BE OFFERED, SOLD, PLEDGED OR OTHERWISE TRANSFERRED EXCEPT IN ACCORDANCE WITH THE FOLLOWING SENTENCE. BY ITS ACQUISITION HEREOF OR OF A BENEFICIAL INTEREST HEREIN, THE ACQUIRER:</w:t>
      </w:r>
    </w:p>
    <w:p>
      <w:pPr>
        <w:spacing w:after="0" w:line="79" w:lineRule="exact"/>
        <w:rPr>
          <w:sz w:val="20"/>
          <w:szCs w:val="20"/>
          <w:color w:val="auto"/>
        </w:rPr>
      </w:pPr>
    </w:p>
    <w:p>
      <w:pPr>
        <w:ind w:left="440" w:right="460" w:firstLine="419"/>
        <w:spacing w:after="0" w:line="263" w:lineRule="auto"/>
        <w:tabs>
          <w:tab w:leader="none" w:pos="1118"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71" w:lineRule="exact"/>
        <w:rPr>
          <w:rFonts w:ascii="Arial" w:cs="Arial" w:eastAsia="Arial" w:hAnsi="Arial"/>
          <w:sz w:val="18"/>
          <w:szCs w:val="18"/>
          <w:color w:val="auto"/>
        </w:rPr>
      </w:pPr>
    </w:p>
    <w:p>
      <w:pPr>
        <w:ind w:left="440" w:right="40" w:firstLine="419"/>
        <w:spacing w:after="0" w:line="276" w:lineRule="auto"/>
        <w:tabs>
          <w:tab w:leader="none" w:pos="1118" w:val="left"/>
        </w:tabs>
        <w:numPr>
          <w:ilvl w:val="1"/>
          <w:numId w:val="20"/>
        </w:numPr>
        <w:rPr>
          <w:rFonts w:ascii="Arial" w:cs="Arial" w:eastAsia="Arial" w:hAnsi="Arial"/>
          <w:sz w:val="17"/>
          <w:szCs w:val="17"/>
          <w:color w:val="auto"/>
        </w:rPr>
      </w:pPr>
      <w:r>
        <w:rPr>
          <w:rFonts w:ascii="Arial" w:cs="Arial" w:eastAsia="Arial" w:hAnsi="Arial"/>
          <w:sz w:val="17"/>
          <w:szCs w:val="17"/>
          <w:color w:val="auto"/>
        </w:rPr>
        <w:t>AGREES FOR THE BENEFIT OF XOMETRY, INC. (THE “</w:t>
      </w:r>
      <w:r>
        <w:rPr>
          <w:rFonts w:ascii="Arial" w:cs="Arial" w:eastAsia="Arial" w:hAnsi="Arial"/>
          <w:sz w:val="17"/>
          <w:szCs w:val="17"/>
          <w:b w:val="1"/>
          <w:bCs w:val="1"/>
          <w:color w:val="auto"/>
        </w:rPr>
        <w:t>COMPANY</w:t>
      </w:r>
      <w:r>
        <w:rPr>
          <w:rFonts w:ascii="Arial" w:cs="Arial" w:eastAsia="Arial" w:hAnsi="Arial"/>
          <w:sz w:val="17"/>
          <w:szCs w:val="17"/>
          <w:color w:val="auto"/>
        </w:rPr>
        <w:t>”) THAT IT WILL NOT OFFER, SELL, PLEDGE OR OTHERWISE TRANSFER THIS SECURITY OR ANY BENEFICIAL INTEREST HEREIN PRIOR TO THE DATE THAT IS THE LATER OF</w:t>
      </w:r>
    </w:p>
    <w:p>
      <w:pPr>
        <w:ind w:left="440" w:right="240" w:hanging="4"/>
        <w:spacing w:after="0" w:line="255" w:lineRule="auto"/>
        <w:tabs>
          <w:tab w:leader="none" w:pos="7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ONE YEAR AFTER THE LAST ORIGINAL ISSUE DATE HEREOF OR SUCH SHORTER PERIOD OF TIME AS PERMITTED BY RULE 144 UNDER THE SECURITIES ACT OR ANY SUCCESSOR PROVISION THERETO AND (Y) SUCH LATER DATE, IF ANY, AS MAY BE REQUIRED BY APPLICABLE LAW, EXCEPT: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2" w:name="page33"/>
    <w:bookmarkEnd w:id="32"/>
    <w:p>
      <w:pPr>
        <w:ind w:left="984" w:firstLine="408"/>
        <w:spacing w:after="0" w:line="277"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COMPANY OR ANY SUBSIDIARY THEREOF, OR (B) PURSUANT TO A REGISTRATION STATEMENT THAT HAS BECOME EFFECTIVE UNDER THE SECURITIES ACT, OR</w:t>
      </w:r>
    </w:p>
    <w:p>
      <w:pPr>
        <w:spacing w:after="0" w:line="62" w:lineRule="exact"/>
        <w:rPr>
          <w:sz w:val="20"/>
          <w:szCs w:val="20"/>
          <w:color w:val="auto"/>
        </w:rPr>
      </w:pPr>
    </w:p>
    <w:p>
      <w:pPr>
        <w:ind w:left="984" w:firstLine="408"/>
        <w:spacing w:after="0" w:line="277" w:lineRule="auto"/>
        <w:tabs>
          <w:tab w:leader="none" w:pos="16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 PERSON IT REASONABLY BELIEVES TO BE A QUALIFIED INSTITUTIONAL BUYER IN COMPLIANCE WITH RULE 144A UNDER THE SECURITIES ACT, OR</w:t>
      </w:r>
    </w:p>
    <w:p>
      <w:pPr>
        <w:spacing w:after="0" w:line="62" w:lineRule="exact"/>
        <w:rPr>
          <w:rFonts w:ascii="Arial" w:cs="Arial" w:eastAsia="Arial" w:hAnsi="Arial"/>
          <w:sz w:val="18"/>
          <w:szCs w:val="18"/>
          <w:color w:val="auto"/>
        </w:rPr>
      </w:pPr>
    </w:p>
    <w:p>
      <w:pPr>
        <w:ind w:left="984" w:right="120" w:firstLine="408"/>
        <w:spacing w:after="0" w:line="263"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(IF AVAILABLE) OR ANY OTHER AVAILABLE EXEMPTION FROM THE REGISTRATION REQUIREMENTS OF THE SECURITIES ACT.</w:t>
      </w:r>
    </w:p>
    <w:p>
      <w:pPr>
        <w:spacing w:after="0" w:line="184" w:lineRule="exact"/>
        <w:rPr>
          <w:sz w:val="20"/>
          <w:szCs w:val="20"/>
          <w:color w:val="auto"/>
        </w:rPr>
      </w:pPr>
    </w:p>
    <w:p>
      <w:pPr>
        <w:jc w:val="both"/>
        <w:ind w:left="4" w:right="120" w:firstLine="440"/>
        <w:spacing w:after="0" w:line="253" w:lineRule="auto"/>
        <w:rPr>
          <w:sz w:val="20"/>
          <w:szCs w:val="20"/>
          <w:color w:val="auto"/>
        </w:rPr>
      </w:pPr>
      <w:r>
        <w:rPr>
          <w:rFonts w:ascii="Arial" w:cs="Arial" w:eastAsia="Arial" w:hAnsi="Arial"/>
          <w:sz w:val="18"/>
          <w:szCs w:val="18"/>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w:t>
      </w:r>
    </w:p>
    <w:p>
      <w:pPr>
        <w:spacing w:after="0" w:line="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EXEMPTION FROM THE REGISTRATION REQUIREMENTS OF THE SECURITIES ACT.</w:t>
      </w:r>
    </w:p>
    <w:p>
      <w:pPr>
        <w:spacing w:after="0" w:line="211"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No transfer of any Note prior to the Resale Restriction Termination Date will be registered by the Note Registrar unless the applicable box on the Form of Assignment and Transfer has been checked.</w:t>
      </w:r>
    </w:p>
    <w:p>
      <w:pPr>
        <w:spacing w:after="0" w:line="170" w:lineRule="exact"/>
        <w:rPr>
          <w:sz w:val="20"/>
          <w:szCs w:val="20"/>
          <w:color w:val="auto"/>
        </w:rPr>
      </w:pPr>
    </w:p>
    <w:p>
      <w:pPr>
        <w:ind w:left="4" w:right="80" w:firstLine="440"/>
        <w:spacing w:after="0" w:line="284" w:lineRule="auto"/>
        <w:rPr>
          <w:sz w:val="20"/>
          <w:szCs w:val="20"/>
          <w:color w:val="auto"/>
        </w:rPr>
      </w:pPr>
      <w:r>
        <w:rPr>
          <w:rFonts w:ascii="Arial" w:cs="Arial" w:eastAsia="Arial" w:hAnsi="Arial"/>
          <w:sz w:val="16"/>
          <w:szCs w:val="16"/>
          <w:color w:val="auto"/>
        </w:rPr>
        <w:t>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Notes Legend required by this Section 2.05(c) and shall not be assigned a restricted CUSIP number. The Company shall be entitled to instruct the Custodian in writing to so surrender any Global Note as to which any of the conditions set forth in clause (i) through</w:t>
      </w:r>
    </w:p>
    <w:p>
      <w:pPr>
        <w:spacing w:after="0" w:line="2" w:lineRule="exact"/>
        <w:rPr>
          <w:sz w:val="20"/>
          <w:szCs w:val="20"/>
          <w:color w:val="auto"/>
        </w:rPr>
      </w:pPr>
    </w:p>
    <w:p>
      <w:pPr>
        <w:ind w:left="4" w:right="480" w:hanging="4"/>
        <w:spacing w:after="0" w:line="323" w:lineRule="auto"/>
        <w:tabs>
          <w:tab w:leader="none" w:pos="31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of the immediately preceding sentence have been satisfied, and, upon such instruction, the Custodian shall so surrender such Global Note for exchange; and any new Global Note so exchanged therefor shall not bear the Restrictive Notes Legend specified in this Section 2.05(c)</w:t>
      </w:r>
    </w:p>
    <w:p>
      <w:pPr>
        <w:spacing w:after="0" w:line="7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4"/>
          </w:cols>
          <w:pgMar w:left="436" w:top="274" w:right="539" w:bottom="1440" w:gutter="0" w:footer="0" w:header="0"/>
        </w:sectPr>
      </w:pPr>
    </w:p>
    <w:bookmarkStart w:id="33" w:name="page34"/>
    <w:bookmarkEnd w:id="3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shall not be assigned a restricted CUSIP number. In addition, the Company may effect the removal of the Restrictive Notes Legend upon the Company’s delivery to the Trustee of written notice to such effect, whereupon the Restrictive Notes Legend set forth above and affixed on any Note shall be deemed, in accordance with the terms of the certificate representing such Note, to be removed therefrom without further action by the Company, the Trustee, the Holder(s) thereof or any other Person; at such time, such Note shall be deemed to be assigned an unrestricted CUSIP number as provided in the certificate representing such Note, it being understood, including for purposes of Section 4.06(e), that the Depositary of any Global Note may require a mandatory exchange or other process to cause such Global Note to be identified by an unrestricted CUSIP number in the facilities of such Depositary. The Company shall promptly notify the Trustee in writing upon the occurrence of the Resale Restriction Termination Date and promptly after a registration statement, if any, with respect to the Notes or any Class A Common Stock issued upon conversion of the Notes has become or been declared effective under the Securities Act.</w:t>
      </w:r>
    </w:p>
    <w:p>
      <w:pPr>
        <w:spacing w:after="0" w:line="181"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157"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8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4" w:name="page35"/>
    <w:bookmarkEnd w:id="34"/>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in writing. Upon execution and authentication, the Trustee shall deliver such Physical Notes to the Persons in whose names such Physical Notes are so registered.</w:t>
      </w:r>
    </w:p>
    <w:p>
      <w:pPr>
        <w:spacing w:after="0" w:line="17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At such time as all interests in a Global Note have been converted, canceled, repurchased upon a Fundamental Change,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upon a Fundamental Change,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66"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None of the Company, the Trustee or any agent of the Company or the Trustee shall have any responsibility or liability for any act or omission of the Depositary or for the payment of amounts to owners of beneficial interest in a Global Note, for any aspect of the records relating to or payments made on account of those interests by the Depositary, or for maintaining, supervising or reviewing any records of the Depositary relating to those interests.</w:t>
      </w:r>
    </w:p>
    <w:p>
      <w:pPr>
        <w:spacing w:after="0" w:line="79" w:lineRule="exact"/>
        <w:rPr>
          <w:sz w:val="20"/>
          <w:szCs w:val="20"/>
          <w:color w:val="auto"/>
        </w:rPr>
      </w:pPr>
    </w:p>
    <w:p>
      <w:pPr>
        <w:ind w:firstLine="436"/>
        <w:spacing w:after="0" w:line="271" w:lineRule="auto"/>
        <w:tabs>
          <w:tab w:leader="none" w:pos="6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Until the Resale Restriction Termination Date, any stock certificate representing Class A Common Stock issued upon conversion of a Note shall bear a legend in substantially the following form (unless such Class A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Class A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Class A Common Stock):</w:t>
      </w:r>
    </w:p>
    <w:p>
      <w:pPr>
        <w:spacing w:after="0" w:line="174"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THIS SECURITY HAS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MAY NOT BE OFFERED, SOLD, PLEDGED OR OTHERWISE TRANSFERRED EXCEPT IN ACCORDANCE WITH THE FOLLOWING SENTENCE. BY ITS ACQUISITION HEREOF OR OF A BENEFICIAL INTEREST HEREIN, THE ACQUIRER: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5" w:name="page36"/>
    <w:bookmarkEnd w:id="35"/>
    <w:p>
      <w:pPr>
        <w:ind w:left="440" w:right="440" w:firstLine="419"/>
        <w:spacing w:after="0" w:line="263" w:lineRule="auto"/>
        <w:tabs>
          <w:tab w:leader="none" w:pos="1118" w:val="left"/>
        </w:tabs>
        <w:numPr>
          <w:ilvl w:val="1"/>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REPRESENTS THAT IT AND ANY ACCOUNT FOR WHICH IT IS ACTING IS A “QUALIFIED INSTITUTIONAL BUYER” (WITHIN THE MEANING OF RULE 144A UNDER THE SECURITIES ACT) AND THAT IT EXERCISES SOLE INVESTMENT DISCRETION WITH RESPECT TO EACH SUCH ACCOUNT, AND</w:t>
      </w:r>
    </w:p>
    <w:p>
      <w:pPr>
        <w:spacing w:after="0" w:line="71" w:lineRule="exact"/>
        <w:rPr>
          <w:rFonts w:ascii="Arial" w:cs="Arial" w:eastAsia="Arial" w:hAnsi="Arial"/>
          <w:sz w:val="18"/>
          <w:szCs w:val="18"/>
          <w:color w:val="auto"/>
        </w:rPr>
      </w:pPr>
    </w:p>
    <w:p>
      <w:pPr>
        <w:ind w:left="440" w:firstLine="419"/>
        <w:spacing w:after="0" w:line="276" w:lineRule="auto"/>
        <w:tabs>
          <w:tab w:leader="none" w:pos="1118" w:val="left"/>
        </w:tabs>
        <w:numPr>
          <w:ilvl w:val="1"/>
          <w:numId w:val="26"/>
        </w:numPr>
        <w:rPr>
          <w:rFonts w:ascii="Arial" w:cs="Arial" w:eastAsia="Arial" w:hAnsi="Arial"/>
          <w:sz w:val="17"/>
          <w:szCs w:val="17"/>
          <w:color w:val="auto"/>
        </w:rPr>
      </w:pPr>
      <w:r>
        <w:rPr>
          <w:rFonts w:ascii="Arial" w:cs="Arial" w:eastAsia="Arial" w:hAnsi="Arial"/>
          <w:sz w:val="17"/>
          <w:szCs w:val="17"/>
          <w:color w:val="auto"/>
        </w:rPr>
        <w:t>AGREES FOR THE BENEFIT OF XOMETRY, INC. (THE “</w:t>
      </w:r>
      <w:r>
        <w:rPr>
          <w:rFonts w:ascii="Arial" w:cs="Arial" w:eastAsia="Arial" w:hAnsi="Arial"/>
          <w:sz w:val="17"/>
          <w:szCs w:val="17"/>
          <w:b w:val="1"/>
          <w:bCs w:val="1"/>
          <w:color w:val="auto"/>
        </w:rPr>
        <w:t>COMPANY</w:t>
      </w:r>
      <w:r>
        <w:rPr>
          <w:rFonts w:ascii="Arial" w:cs="Arial" w:eastAsia="Arial" w:hAnsi="Arial"/>
          <w:sz w:val="17"/>
          <w:szCs w:val="17"/>
          <w:color w:val="auto"/>
        </w:rPr>
        <w:t>”) THAT IT WILL NOT OFFER, SELL, PLEDGE OR OTHERWISE TRANSFER THIS SECURITY OR ANY BENEFICIAL INTEREST HEREIN PRIOR TO THE DATE THAT IS THE LATER OF</w:t>
      </w:r>
    </w:p>
    <w:p>
      <w:pPr>
        <w:jc w:val="both"/>
        <w:ind w:left="440" w:right="140" w:hanging="4"/>
        <w:spacing w:after="0" w:line="253"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spacing w:after="0" w:line="84" w:lineRule="exact"/>
        <w:rPr>
          <w:rFonts w:ascii="Arial" w:cs="Arial" w:eastAsia="Arial" w:hAnsi="Arial"/>
          <w:sz w:val="18"/>
          <w:szCs w:val="18"/>
          <w:color w:val="auto"/>
        </w:rPr>
      </w:pPr>
    </w:p>
    <w:p>
      <w:pPr>
        <w:ind w:left="980" w:right="40" w:firstLine="408"/>
        <w:spacing w:after="0" w:line="277" w:lineRule="auto"/>
        <w:tabs>
          <w:tab w:leader="none" w:pos="1676"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THE COMPANY OR ANY SUBSIDIARY THEREOF, OR (B) PURSUANT TO A REGISTRATION STATEMENT THAT HAS BECOME EFFECTIVE UNDER THE SECURITIES ACT, OR</w:t>
      </w:r>
    </w:p>
    <w:p>
      <w:pPr>
        <w:spacing w:after="0" w:line="62" w:lineRule="exact"/>
        <w:rPr>
          <w:sz w:val="20"/>
          <w:szCs w:val="20"/>
          <w:color w:val="auto"/>
        </w:rPr>
      </w:pPr>
    </w:p>
    <w:p>
      <w:pPr>
        <w:ind w:left="980" w:right="20" w:firstLine="408"/>
        <w:spacing w:after="0" w:line="277" w:lineRule="auto"/>
        <w:tabs>
          <w:tab w:leader="none" w:pos="16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 PERSON IT REASONABLY BELIEVES TO BE A QUALIFIED INSTITUTIONAL BUYER IN COMPLIANCE WITH RULE 144A UNDER THE SECURITIES ACT, OR</w:t>
      </w:r>
    </w:p>
    <w:p>
      <w:pPr>
        <w:spacing w:after="0" w:line="62" w:lineRule="exact"/>
        <w:rPr>
          <w:rFonts w:ascii="Arial" w:cs="Arial" w:eastAsia="Arial" w:hAnsi="Arial"/>
          <w:sz w:val="18"/>
          <w:szCs w:val="18"/>
          <w:color w:val="auto"/>
        </w:rPr>
      </w:pPr>
    </w:p>
    <w:p>
      <w:pPr>
        <w:ind w:left="980" w:right="280" w:firstLine="408"/>
        <w:spacing w:after="0" w:line="263" w:lineRule="auto"/>
        <w:tabs>
          <w:tab w:leader="none" w:pos="16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(IF AVAILABLE) UNDER THE SECURITIES ACT OR ANY OTHER AVAILABLE EXEMPTION FROM THE REGISTRATION REQUIREMENTS OF THE SECURITIES ACT.</w:t>
      </w:r>
    </w:p>
    <w:p>
      <w:pPr>
        <w:spacing w:after="0" w:line="184"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PRIOR TO THE REGISTRATION OF ANY TRANSFER IN ACCORDANCE WITH CLAUSE (2)(D) ABOVE, THE COMPANY AND THE TRANSFER AGENT FOR THE COMPANY’S COMMON STOCK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92"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Any such Class A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Class A</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4" w:right="499" w:bottom="1440" w:gutter="0" w:footer="0" w:header="0"/>
        </w:sectPr>
      </w:pPr>
    </w:p>
    <w:bookmarkStart w:id="36" w:name="page37"/>
    <w:bookmarkEnd w:id="36"/>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 Stock for exchange in accordance with the procedures of the transfer agent for the Class A Common Stock, be exchanged for a new certificate or certificates for a like aggregate number of shares of Class A Common Stock, which shall not bear the restrictive legend required by this Section 2.05(d).</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80" w:lineRule="exact"/>
        <w:rPr>
          <w:sz w:val="20"/>
          <w:szCs w:val="20"/>
          <w:color w:val="auto"/>
        </w:rPr>
      </w:pPr>
    </w:p>
    <w:p>
      <w:pPr>
        <w:ind w:firstLine="436"/>
        <w:spacing w:after="0" w:line="257" w:lineRule="auto"/>
        <w:tabs>
          <w:tab w:leader="none" w:pos="6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Note or restricted Class A Common Stock issued upon the conversion or exchange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Class A Common Stock, as the case may be, no longer being a “restricted security” (as defined under Rule 144).</w:t>
      </w:r>
    </w:p>
    <w:p>
      <w:pPr>
        <w:spacing w:after="0" w:line="188"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Section 2.06</w:t>
      </w:r>
      <w:r>
        <w:rPr>
          <w:rFonts w:ascii="Arial" w:cs="Arial" w:eastAsia="Arial" w:hAnsi="Arial"/>
          <w:sz w:val="17"/>
          <w:szCs w:val="17"/>
          <w:i w:val="1"/>
          <w:iCs w:val="1"/>
          <w:color w:val="auto"/>
        </w:rPr>
        <w:t>. Mutilated, Destroyed, Lost or Stolen Notes.</w:t>
      </w:r>
      <w:r>
        <w:rPr>
          <w:rFonts w:ascii="Arial" w:cs="Arial" w:eastAsia="Arial" w:hAnsi="Arial"/>
          <w:sz w:val="17"/>
          <w:szCs w:val="17"/>
          <w:color w:val="auto"/>
        </w:rPr>
        <w:t xml:space="preserve"> 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claim,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78"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37" w:name="page38"/>
    <w:bookmarkEnd w:id="37"/>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that has matured or is about to mature or has been surrendered for required repurchase upon a Fundamental Change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claim,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178"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166"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Section 2.07</w:t>
      </w:r>
      <w:r>
        <w:rPr>
          <w:rFonts w:ascii="Arial" w:cs="Arial" w:eastAsia="Arial" w:hAnsi="Arial"/>
          <w:sz w:val="16"/>
          <w:szCs w:val="16"/>
          <w:i w:val="1"/>
          <w:iCs w:val="1"/>
          <w:color w:val="auto"/>
        </w:rPr>
        <w:t>. Temporary Notes.</w:t>
      </w:r>
      <w:r>
        <w:rPr>
          <w:rFonts w:ascii="Arial" w:cs="Arial" w:eastAsia="Arial" w:hAnsi="Arial"/>
          <w:sz w:val="16"/>
          <w:szCs w:val="16"/>
          <w:color w:val="auto"/>
        </w:rPr>
        <w:t xml:space="preserve">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8" w:name="page39"/>
    <w:bookmarkEnd w:id="38"/>
    <w:p>
      <w:pPr>
        <w:ind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2.08</w:t>
      </w:r>
      <w:r>
        <w:rPr>
          <w:rFonts w:ascii="Arial" w:cs="Arial" w:eastAsia="Arial" w:hAnsi="Arial"/>
          <w:sz w:val="16"/>
          <w:szCs w:val="16"/>
          <w:i w:val="1"/>
          <w:iCs w:val="1"/>
          <w:color w:val="auto"/>
        </w:rPr>
        <w:t>. Cancellation of Notes Paid, Converted, Etc.</w:t>
      </w:r>
      <w:r>
        <w:rPr>
          <w:rFonts w:ascii="Arial" w:cs="Arial" w:eastAsia="Arial" w:hAnsi="Arial"/>
          <w:sz w:val="16"/>
          <w:szCs w:val="16"/>
          <w:color w:val="auto"/>
        </w:rPr>
        <w:t xml:space="preserve"> The Company shall cause all Notes surrendered for the purpose of payment at maturity, repurchase upon a Fundamental Change, redemption, registration of transfer or exchange or conversion (other than any Notes exchanged pursuant to Section 14.12), if surrendered to the Company or any of its agents or Subsidiaries, to be surrendered to the Trustee for cancellation. All Notes delivered to the Trustee shall be canceled promptly by it in accordance with its customary procedures.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evidence of such disposition to the Company, at the Company’s written request in a Company Order.</w:t>
      </w:r>
    </w:p>
    <w:p>
      <w:pPr>
        <w:spacing w:after="0" w:line="166"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Section 2.09</w:t>
      </w:r>
      <w:r>
        <w:rPr>
          <w:rFonts w:ascii="Arial" w:cs="Arial" w:eastAsia="Arial" w:hAnsi="Arial"/>
          <w:sz w:val="16"/>
          <w:szCs w:val="16"/>
          <w:i w:val="1"/>
          <w:iCs w:val="1"/>
          <w:color w:val="auto"/>
        </w:rPr>
        <w:t>. CUSIP Numbers.</w:t>
      </w:r>
      <w:r>
        <w:rPr>
          <w:rFonts w:ascii="Arial" w:cs="Arial" w:eastAsia="Arial" w:hAnsi="Arial"/>
          <w:sz w:val="16"/>
          <w:szCs w:val="16"/>
          <w:color w:val="auto"/>
        </w:rPr>
        <w:t xml:space="preserve"> The Company in issuing the Notes may use “CUSIP” numbers (if then generally in use), and, if so, the Trustee shall use “CUSIP” numbers in all notices issued to Holders as a convenience to such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shall have no liability for any defect in the “CUSIP” numbers as they appear on any Note, notice or elsewhere,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6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Section 2.10</w:t>
      </w:r>
      <w:r>
        <w:rPr>
          <w:rFonts w:ascii="Arial" w:cs="Arial" w:eastAsia="Arial" w:hAnsi="Arial"/>
          <w:sz w:val="16"/>
          <w:szCs w:val="16"/>
          <w:i w:val="1"/>
          <w:iCs w:val="1"/>
          <w:color w:val="auto"/>
        </w:rPr>
        <w:t>. Additional Notes; Repurchases.</w:t>
      </w:r>
      <w:r>
        <w:rPr>
          <w:rFonts w:ascii="Arial" w:cs="Arial" w:eastAsia="Arial" w:hAnsi="Arial"/>
          <w:sz w:val="16"/>
          <w:szCs w:val="16"/>
          <w:color w:val="auto"/>
        </w:rPr>
        <w:t xml:space="preserve"> The Company may, without the consent of, or notice to, the Holders and notwithstanding Section 2.01, reopen this Indenture and issue additional Notes hereunder with the same terms as the Notes initially issued hereunder (other than differences in the issue date, the issue price, interest accrued prior to the issue date of such additional Notes and, if applicable, restrictions on transfer in respect of such additional Notes) in an unlimited aggregate principal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additional Notes are not fungible with the Notes initially issued hereunder for U.S. federal income tax or securities law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in each case, without the consent of or notice to the Holders of the Notes. The Company may, at its option and to the extent permitted by applicable law, reissue, resell or surrender to the Trustee for cancellation any Notes that it may repurchase, in the case of a reissuance or resale, so long as such Notes do not constitute “restricted securities” (as defined under Rule 144) upon such reissuance or resale;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reissued or resold Notes are not fungible with the Notes initially issued hereunder for U.S. federal income tax or securities law purposes, such reissued or resold Notes shall have one or more separate CUSIP numbers. Any Notes that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9" w:name="page40"/>
    <w:bookmarkEnd w:id="39"/>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may repurchase shall be considered outstanding for all purposes under this Indenture (other than, at any time when such Notes are owned by the Company, by any Subsidiary thereof or by any Affiliate of the Company or any Subsidiary thereof, as set forth in Section 8.04) unless and until such time as the Company surrenders them to the Trustee for cancellation and, upon receipt of a Company Order, the Trustee shall cancel all Notes so surrendered.</w:t>
      </w:r>
    </w:p>
    <w:p>
      <w:pPr>
        <w:spacing w:after="0" w:line="18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w:t>
      </w:r>
      <w:r>
        <w:rPr>
          <w:rFonts w:ascii="Arial" w:cs="Arial" w:eastAsia="Arial" w:hAnsi="Arial"/>
          <w:sz w:val="18"/>
          <w:szCs w:val="18"/>
          <w:color w:val="auto"/>
        </w:rPr>
        <w:t xml:space="preserve"> AND D</w:t>
      </w:r>
      <w:r>
        <w:rPr>
          <w:rFonts w:ascii="Arial" w:cs="Arial" w:eastAsia="Arial" w:hAnsi="Arial"/>
          <w:sz w:val="14"/>
          <w:szCs w:val="14"/>
          <w:color w:val="auto"/>
        </w:rPr>
        <w:t>ISCHARGE</w:t>
      </w:r>
    </w:p>
    <w:p>
      <w:pPr>
        <w:spacing w:after="0" w:line="211"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Section 3.01</w:t>
      </w:r>
      <w:r>
        <w:rPr>
          <w:rFonts w:ascii="Arial" w:cs="Arial" w:eastAsia="Arial" w:hAnsi="Arial"/>
          <w:sz w:val="16"/>
          <w:szCs w:val="16"/>
          <w:i w:val="1"/>
          <w:iCs w:val="1"/>
          <w:color w:val="auto"/>
        </w:rPr>
        <w:t>. Satisfaction and Discharge.</w:t>
      </w:r>
      <w:r>
        <w:rPr>
          <w:rFonts w:ascii="Arial" w:cs="Arial" w:eastAsia="Arial" w:hAnsi="Arial"/>
          <w:sz w:val="16"/>
          <w:szCs w:val="16"/>
          <w:color w:val="auto"/>
        </w:rPr>
        <w:t xml:space="preserve"> (a) This Indenture and the Notes shall cease to be of further effect when (i) all Notes theretofore authenticated and delivered (other than (x) Notes which have been destroyed, lost or stolen and which have been replaced, paid or converted as provided in Section 2.06 and (y) Notes for whose payment money has heretofore been deposited in trust or segregated and held in trust by the Company and thereafter repaid to the Company or discharged from such trust, as provided in Section 4.04(d)) have been delivered to the Trustee for cancellation; or</w:t>
      </w:r>
    </w:p>
    <w:p>
      <w:pPr>
        <w:spacing w:after="0" w:line="1" w:lineRule="exact"/>
        <w:rPr>
          <w:sz w:val="20"/>
          <w:szCs w:val="20"/>
          <w:color w:val="auto"/>
        </w:rPr>
      </w:pPr>
    </w:p>
    <w:p>
      <w:pPr>
        <w:ind w:left="4" w:right="20" w:hanging="4"/>
        <w:spacing w:after="0" w:line="287" w:lineRule="auto"/>
        <w:tabs>
          <w:tab w:leader="none" w:pos="26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has deposited with the Trustee or delivered to Holders, as applicable, after the Notes have become due and payable, whether on the Maturity Date, any Redemption Date, any Fundamental Change Repurchase Date, upon conversion or otherwise, cash or cash and/or shares of Class A Common Stock, solely to satisfy the Company’s Conversion Obligation, sufficient to pay all of the outstanding Notes and all other sums due and payable under this Indenture or the Notes by the Company; and (b) the Trustee upon request of the Company contained in an Officer’s Certificate and at the expense of the Company, shall execute proper instruments acknowledging satisfaction and discharge of this Indenture and the Notes, when the Company has delivered to the Trustee an Officer’s Certificate and an Opinion of Counsel, each stating that all conditions precedent herein provided for relating to the satisfaction and discharge of this Indenture and the Notes have been complied with. Notwithstanding the satisfaction and discharge of this Indenture or the earlier resignation or removal of the Trustee, the obligations of the Company to the Trustee under Section 7.06 shall survive.</w:t>
      </w:r>
    </w:p>
    <w:p>
      <w:pPr>
        <w:spacing w:after="0" w:line="17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ARTICULAR</w:t>
      </w:r>
      <w:r>
        <w:rPr>
          <w:rFonts w:ascii="Arial" w:cs="Arial" w:eastAsia="Arial" w:hAnsi="Arial"/>
          <w:sz w:val="18"/>
          <w:szCs w:val="18"/>
          <w:color w:val="auto"/>
        </w:rPr>
        <w:t xml:space="preserve"> C</w:t>
      </w:r>
      <w:r>
        <w:rPr>
          <w:rFonts w:ascii="Arial" w:cs="Arial" w:eastAsia="Arial" w:hAnsi="Arial"/>
          <w:sz w:val="14"/>
          <w:szCs w:val="14"/>
          <w:color w:val="auto"/>
        </w:rPr>
        <w:t>OVENANTS</w:t>
      </w:r>
      <w:r>
        <w:rPr>
          <w:rFonts w:ascii="Arial" w:cs="Arial" w:eastAsia="Arial" w:hAnsi="Arial"/>
          <w:sz w:val="18"/>
          <w:szCs w:val="18"/>
          <w:color w:val="auto"/>
        </w:rPr>
        <w:t xml:space="preserve"> OF THE C</w:t>
      </w:r>
      <w:r>
        <w:rPr>
          <w:rFonts w:ascii="Arial" w:cs="Arial" w:eastAsia="Arial" w:hAnsi="Arial"/>
          <w:sz w:val="14"/>
          <w:szCs w:val="14"/>
          <w:color w:val="auto"/>
        </w:rPr>
        <w:t>OMPANY</w:t>
      </w:r>
    </w:p>
    <w:p>
      <w:pPr>
        <w:spacing w:after="0" w:line="211"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Payment of Principal and Interest.</w:t>
      </w:r>
      <w:r>
        <w:rPr>
          <w:rFonts w:ascii="Arial" w:cs="Arial" w:eastAsia="Arial" w:hAnsi="Arial"/>
          <w:sz w:val="18"/>
          <w:szCs w:val="18"/>
          <w:color w:val="auto"/>
        </w:rPr>
        <w:t xml:space="preserve"> The Company covenants and agrees that it will cause to be paid the principal (including the Redemption Price and the Fundamental Change Repurchase Price, if applicable) of, and accrued and unpaid interest on, each of the Notes at the places, at the respective times and in the manner provided herein and in the Notes.</w:t>
      </w:r>
    </w:p>
    <w:p>
      <w:pPr>
        <w:spacing w:after="0" w:line="184" w:lineRule="exact"/>
        <w:rPr>
          <w:sz w:val="20"/>
          <w:szCs w:val="20"/>
          <w:color w:val="auto"/>
        </w:rPr>
      </w:pPr>
    </w:p>
    <w:p>
      <w:pPr>
        <w:ind w:left="4" w:right="80" w:firstLine="440"/>
        <w:spacing w:after="0" w:line="279" w:lineRule="auto"/>
        <w:rPr>
          <w:sz w:val="20"/>
          <w:szCs w:val="20"/>
          <w:color w:val="auto"/>
        </w:rPr>
      </w:pPr>
      <w:r>
        <w:rPr>
          <w:rFonts w:ascii="Arial" w:cs="Arial" w:eastAsia="Arial" w:hAnsi="Arial"/>
          <w:sz w:val="17"/>
          <w:szCs w:val="17"/>
          <w:color w:val="auto"/>
        </w:rPr>
        <w:t>Any applicable withholding taxes (including backup withholding) may be withheld from interest and payments upon conversion, repurchase or maturity of the Notes, or if any withholding taxes (including backup withholding) are paid on behalf of a Holder or beneficial owner, those withholding taxes may be withheld from payments of cash or Class A Common Stock, if any, payable on the Notes (or, in some circumstances, any payments on the Class A Common Stock) or sales proceeds received by, or other funds or assets of, the Holder or beneficial owner.</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4" w:right="479" w:bottom="1440" w:gutter="0" w:footer="0" w:header="0"/>
        </w:sectPr>
      </w:pPr>
    </w:p>
    <w:bookmarkStart w:id="40" w:name="page41"/>
    <w:bookmarkEnd w:id="40"/>
    <w:p>
      <w:pPr>
        <w:ind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4.02</w:t>
      </w:r>
      <w:r>
        <w:rPr>
          <w:rFonts w:ascii="Arial" w:cs="Arial" w:eastAsia="Arial" w:hAnsi="Arial"/>
          <w:sz w:val="16"/>
          <w:szCs w:val="16"/>
          <w:i w:val="1"/>
          <w:iCs w:val="1"/>
          <w:color w:val="auto"/>
        </w:rPr>
        <w:t>. Maintenance of Office or Agency.</w:t>
      </w:r>
      <w:r>
        <w:rPr>
          <w:rFonts w:ascii="Arial" w:cs="Arial" w:eastAsia="Arial" w:hAnsi="Arial"/>
          <w:sz w:val="16"/>
          <w:szCs w:val="16"/>
          <w:color w:val="auto"/>
        </w:rPr>
        <w:t xml:space="preserve"> The Company will maintain in the continental United States of America an office or agency where the Notes may be surrendered for registration of transfer or exchange or for presentation for payment or repurchase (“</w:t>
      </w:r>
      <w:r>
        <w:rPr>
          <w:rFonts w:ascii="Arial" w:cs="Arial" w:eastAsia="Arial" w:hAnsi="Arial"/>
          <w:sz w:val="16"/>
          <w:szCs w:val="16"/>
          <w:b w:val="1"/>
          <w:bCs w:val="1"/>
          <w:color w:val="auto"/>
        </w:rPr>
        <w:t>Paying Agent</w:t>
      </w:r>
      <w:r>
        <w:rPr>
          <w:rFonts w:ascii="Arial" w:cs="Arial" w:eastAsia="Arial" w:hAnsi="Arial"/>
          <w:sz w:val="16"/>
          <w:szCs w:val="16"/>
          <w:color w:val="auto"/>
        </w:rPr>
        <w:t>”) or for conversion (“</w:t>
      </w:r>
      <w:r>
        <w:rPr>
          <w:rFonts w:ascii="Arial" w:cs="Arial" w:eastAsia="Arial" w:hAnsi="Arial"/>
          <w:sz w:val="16"/>
          <w:szCs w:val="16"/>
          <w:b w:val="1"/>
          <w:bCs w:val="1"/>
          <w:color w:val="auto"/>
        </w:rPr>
        <w:t>Conversion Agent</w:t>
      </w:r>
      <w:r>
        <w:rPr>
          <w:rFonts w:ascii="Arial" w:cs="Arial" w:eastAsia="Arial" w:hAnsi="Arial"/>
          <w:sz w:val="16"/>
          <w:szCs w:val="16"/>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continental United States of America.</w:t>
      </w:r>
    </w:p>
    <w:p>
      <w:pPr>
        <w:spacing w:after="0" w:line="164"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designation or rescission shall in any manner relieve the Company of its obligation to maintain an office or agency in the continental United States of America for such purposes. The Company will give prompt written notice to the Trustee of any such designation or rescission and of any change in the location of any such other office or agency. The terms “</w:t>
      </w:r>
      <w:r>
        <w:rPr>
          <w:rFonts w:ascii="Arial" w:cs="Arial" w:eastAsia="Arial" w:hAnsi="Arial"/>
          <w:sz w:val="16"/>
          <w:szCs w:val="16"/>
          <w:b w:val="1"/>
          <w:bCs w:val="1"/>
          <w:color w:val="auto"/>
        </w:rPr>
        <w:t>Paying Agent</w:t>
      </w:r>
      <w:r>
        <w:rPr>
          <w:rFonts w:ascii="Arial" w:cs="Arial" w:eastAsia="Arial" w:hAnsi="Arial"/>
          <w:sz w:val="16"/>
          <w:szCs w:val="16"/>
          <w:color w:val="auto"/>
        </w:rPr>
        <w:t>” and “</w:t>
      </w:r>
      <w:r>
        <w:rPr>
          <w:rFonts w:ascii="Arial" w:cs="Arial" w:eastAsia="Arial" w:hAnsi="Arial"/>
          <w:sz w:val="16"/>
          <w:szCs w:val="16"/>
          <w:b w:val="1"/>
          <w:bCs w:val="1"/>
          <w:color w:val="auto"/>
        </w:rPr>
        <w:t>Conversion Agent</w:t>
      </w:r>
      <w:r>
        <w:rPr>
          <w:rFonts w:ascii="Arial" w:cs="Arial" w:eastAsia="Arial" w:hAnsi="Arial"/>
          <w:sz w:val="16"/>
          <w:szCs w:val="16"/>
          <w:color w:val="auto"/>
        </w:rPr>
        <w:t>” include any such additional or other offices or agencies, as applicable.</w:t>
      </w:r>
    </w:p>
    <w:p>
      <w:pPr>
        <w:spacing w:after="0" w:line="161"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 xml:space="preserve">The Company hereby initially designates the Trustee as the Paying Agent, Note Registrar, Custodian and Conversion Agent and the Corporate Trust Office as the office or agency in the continental United States of America where Notes may be surrendered for registration of transfer or exchange or for presentation for payment or repurchase or for conversion and where notices and demands to or upon the Company in respect of the Notes and this Indenture may be served;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Corporate Trust Office shall not be a place for service of legal process for the Company.</w:t>
      </w:r>
    </w:p>
    <w:p>
      <w:pPr>
        <w:spacing w:after="0" w:line="157"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Section 4.03</w:t>
      </w:r>
      <w:r>
        <w:rPr>
          <w:rFonts w:ascii="Arial" w:cs="Arial" w:eastAsia="Arial" w:hAnsi="Arial"/>
          <w:sz w:val="17"/>
          <w:szCs w:val="17"/>
          <w:i w:val="1"/>
          <w:iCs w:val="1"/>
          <w:color w:val="auto"/>
        </w:rPr>
        <w:t>. Appointments to Fill Vacancies in Trustee’s Office.</w:t>
      </w:r>
      <w:r>
        <w:rPr>
          <w:rFonts w:ascii="Arial" w:cs="Arial" w:eastAsia="Arial" w:hAnsi="Arial"/>
          <w:sz w:val="17"/>
          <w:szCs w:val="17"/>
          <w:color w:val="auto"/>
        </w:rPr>
        <w:t xml:space="preserve"> The Company, whenever necessary to avoid or fill a vacancy in the office of Trustee, will appoint, in the manner provided in Section 7.09, a Trustee, so that there shall at all times be a Trustee hereunder.</w:t>
      </w:r>
    </w:p>
    <w:p>
      <w:pPr>
        <w:spacing w:after="0" w:line="14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Section 4.04</w:t>
      </w:r>
      <w:r>
        <w:rPr>
          <w:rFonts w:ascii="Arial" w:cs="Arial" w:eastAsia="Arial" w:hAnsi="Arial"/>
          <w:sz w:val="18"/>
          <w:szCs w:val="18"/>
          <w:i w:val="1"/>
          <w:iCs w:val="1"/>
          <w:color w:val="auto"/>
        </w:rPr>
        <w:t>. Provisions as to Paying Agent.</w:t>
      </w:r>
      <w:r>
        <w:rPr>
          <w:rFonts w:ascii="Arial" w:cs="Arial" w:eastAsia="Arial" w:hAnsi="Arial"/>
          <w:sz w:val="18"/>
          <w:szCs w:val="18"/>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184" w:lineRule="exact"/>
        <w:rPr>
          <w:sz w:val="20"/>
          <w:szCs w:val="20"/>
          <w:color w:val="auto"/>
        </w:rPr>
      </w:pPr>
    </w:p>
    <w:p>
      <w:pPr>
        <w:ind w:left="440" w:right="180" w:firstLine="419"/>
        <w:spacing w:after="0" w:line="342" w:lineRule="auto"/>
        <w:tabs>
          <w:tab w:leader="none" w:pos="10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that it will hold all sums held by it as such agent for the payment of the principal (including the Redemption Price and the Fundamental Change Repurchase Price, if applicable) of, and accrued and unpaid interest on, the Notes in trust for the benefit of the Holders;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1" w:name="page42"/>
    <w:bookmarkEnd w:id="41"/>
    <w:p>
      <w:pPr>
        <w:ind w:left="440" w:right="20" w:firstLine="419"/>
        <w:spacing w:after="0" w:line="263" w:lineRule="auto"/>
        <w:tabs>
          <w:tab w:leader="none" w:pos="1128"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it will give the Trustee prompt written notice of any failure by the Company to make any payment of the principal (including the Redemption Price and the Fundamental Change Repurchase Price, if applicable) of, and accrued and unpaid interest on, the Notes when the same shall be due and payable; and</w:t>
      </w:r>
    </w:p>
    <w:p>
      <w:pPr>
        <w:spacing w:after="0" w:line="75" w:lineRule="exact"/>
        <w:rPr>
          <w:rFonts w:ascii="Arial" w:cs="Arial" w:eastAsia="Arial" w:hAnsi="Arial"/>
          <w:sz w:val="18"/>
          <w:szCs w:val="18"/>
          <w:color w:val="auto"/>
        </w:rPr>
      </w:pPr>
    </w:p>
    <w:p>
      <w:pPr>
        <w:ind w:left="440" w:right="40" w:firstLine="419"/>
        <w:spacing w:after="0" w:line="277" w:lineRule="auto"/>
        <w:tabs>
          <w:tab w:leader="none" w:pos="117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at any time during the continuance of an Event of Default, upon request of the Trustee, it will forthwith pay to the Trustee all sums so held in trust.</w:t>
      </w:r>
    </w:p>
    <w:p>
      <w:pPr>
        <w:spacing w:after="0" w:line="170"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The Company shall, on or before each due date of the principal (including the Redemption Price and the Fundamental Change Repurchase Price, if applicable) of, or accrued and unpaid interest on, the Notes, deposit with the Paying Agent a sum sufficient to pay such principal (including the Redemption Price and the Fundamental Change Repurchase Price, if applicable) or accrued and unpaid interest, and (unless such Paying Agent is the Trustee) the Company will promptly notify the Trustee in writing of any failure to take such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deposit is made on the due date, such deposit must be received by the Paying Agent by 11:00 a.m., New York City time, on such date.</w:t>
      </w:r>
    </w:p>
    <w:p>
      <w:pPr>
        <w:spacing w:after="0" w:line="68" w:lineRule="exact"/>
        <w:rPr>
          <w:sz w:val="20"/>
          <w:szCs w:val="20"/>
          <w:color w:val="auto"/>
        </w:rPr>
      </w:pPr>
    </w:p>
    <w:p>
      <w:pPr>
        <w:ind w:right="60" w:firstLine="436"/>
        <w:spacing w:after="0" w:line="293"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the Company shall act as its own Paying Agent, it will, on or before each due date of the principal (including the Redemption Price and the Fundamental Change Repurchase Price, if applicable) of, and accrued and unpaid interest on, the Notes, set aside, segregate and hold in trust for the benefit of the Holders of the Notes a sum sufficient to pay such principal (including the Redemption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w:t>
      </w:r>
    </w:p>
    <w:p>
      <w:pPr>
        <w:spacing w:after="0" w:line="56" w:lineRule="exact"/>
        <w:rPr>
          <w:rFonts w:ascii="Arial" w:cs="Arial" w:eastAsia="Arial" w:hAnsi="Arial"/>
          <w:sz w:val="16"/>
          <w:szCs w:val="16"/>
          <w:color w:val="auto"/>
        </w:rPr>
      </w:pPr>
    </w:p>
    <w:p>
      <w:pPr>
        <w:ind w:firstLine="436"/>
        <w:spacing w:after="0" w:line="257" w:lineRule="auto"/>
        <w:tabs>
          <w:tab w:leader="none" w:pos="6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79" w:lineRule="exact"/>
        <w:rPr>
          <w:rFonts w:ascii="Arial" w:cs="Arial" w:eastAsia="Arial" w:hAnsi="Arial"/>
          <w:sz w:val="18"/>
          <w:szCs w:val="18"/>
          <w:color w:val="auto"/>
        </w:rPr>
      </w:pPr>
    </w:p>
    <w:p>
      <w:pPr>
        <w:jc w:val="both"/>
        <w:ind w:firstLine="436"/>
        <w:spacing w:after="0" w:line="296"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Subject to applicable escheatment laws, any money and shares of Class A Common Stock deposited with the Trustee or any Paying Agent, or then held by the Company, in trust for the payment of the principal (including the Redemption Price and the Fundamental Change Repurchase Price, if applicable) of, accrued and unpaid interest on and the consideration due upon conversion of any Note and remaining unclaimed for two years after such principal (including the Redemption Price and the Fundamental Change Repurchase Price, if applicable), interest or consideration due upon conversion has become due and payable shall be paid to the Company on request of the Company contained in an Officer’s Certificate, or (if then held by the</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440" w:top="274" w:right="539" w:bottom="1440" w:gutter="0" w:footer="0" w:header="0"/>
        </w:sectPr>
      </w:pPr>
    </w:p>
    <w:bookmarkStart w:id="42" w:name="page43"/>
    <w:bookmarkEnd w:id="42"/>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shall be discharged from such trust; and the Holder of such Note shall thereafter, as an unsecured general creditor, look only to the Company for payment thereof, and all liability of the Trustee or such Paying Agent with respect to such trust money and shares of Class A Common Stock, and all liability of the Company as trustee thereof, shall thereupon cease.</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 Upon any Event of Default pursuant to Section 6.01(h) or (i), the Trustee shall automatically be Paying Agent for the Notes.</w:t>
      </w:r>
    </w:p>
    <w:p>
      <w:pPr>
        <w:spacing w:after="0" w:line="225"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Section 4.05</w:t>
      </w:r>
      <w:r>
        <w:rPr>
          <w:rFonts w:ascii="Arial" w:cs="Arial" w:eastAsia="Arial" w:hAnsi="Arial"/>
          <w:sz w:val="18"/>
          <w:szCs w:val="18"/>
          <w:i w:val="1"/>
          <w:iCs w:val="1"/>
          <w:color w:val="auto"/>
        </w:rPr>
        <w:t>. Existence.</w:t>
      </w:r>
      <w:r>
        <w:rPr>
          <w:rFonts w:ascii="Arial" w:cs="Arial" w:eastAsia="Arial" w:hAnsi="Arial"/>
          <w:sz w:val="18"/>
          <w:szCs w:val="18"/>
          <w:color w:val="auto"/>
        </w:rPr>
        <w:t xml:space="preserve"> Subject to Article 11, the Company shall do or cause to be done all things necessary to preserve and keep in full force and effect its corporate existence.</w:t>
      </w:r>
    </w:p>
    <w:p>
      <w:pPr>
        <w:spacing w:after="0" w:line="170" w:lineRule="exact"/>
        <w:rPr>
          <w:sz w:val="20"/>
          <w:szCs w:val="20"/>
          <w:color w:val="auto"/>
        </w:rPr>
      </w:pPr>
    </w:p>
    <w:p>
      <w:pPr>
        <w:jc w:val="both"/>
        <w:ind w:right="80" w:firstLine="440"/>
        <w:spacing w:after="0" w:line="269" w:lineRule="auto"/>
        <w:rPr>
          <w:sz w:val="20"/>
          <w:szCs w:val="20"/>
          <w:color w:val="auto"/>
        </w:rPr>
      </w:pPr>
      <w:r>
        <w:rPr>
          <w:rFonts w:ascii="Arial" w:cs="Arial" w:eastAsia="Arial" w:hAnsi="Arial"/>
          <w:sz w:val="17"/>
          <w:szCs w:val="17"/>
          <w:color w:val="auto"/>
        </w:rPr>
        <w:t>Section 4.06</w:t>
      </w:r>
      <w:r>
        <w:rPr>
          <w:rFonts w:ascii="Arial" w:cs="Arial" w:eastAsia="Arial" w:hAnsi="Arial"/>
          <w:sz w:val="17"/>
          <w:szCs w:val="17"/>
          <w:i w:val="1"/>
          <w:iCs w:val="1"/>
          <w:color w:val="auto"/>
        </w:rPr>
        <w:t>. Rule 144A Information Requirement and Annual Reports.</w:t>
      </w:r>
      <w:r>
        <w:rPr>
          <w:rFonts w:ascii="Arial" w:cs="Arial" w:eastAsia="Arial" w:hAnsi="Arial"/>
          <w:sz w:val="17"/>
          <w:szCs w:val="17"/>
          <w:color w:val="auto"/>
        </w:rPr>
        <w:t xml:space="preserve"> (a) At any time the Company is not subject to Section 13 or 15(d) of the Exchange Act, the Company shall, so long as any of the Notes or any shares of Class A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Class A Common</w:t>
      </w:r>
    </w:p>
    <w:p>
      <w:pPr>
        <w:spacing w:after="0" w:line="2" w:lineRule="exact"/>
        <w:rPr>
          <w:sz w:val="20"/>
          <w:szCs w:val="20"/>
          <w:color w:val="auto"/>
        </w:rPr>
      </w:pPr>
    </w:p>
    <w:p>
      <w:pPr>
        <w:ind w:right="200" w:firstLine="440"/>
        <w:spacing w:after="0" w:line="260" w:lineRule="auto"/>
        <w:rPr>
          <w:sz w:val="20"/>
          <w:szCs w:val="20"/>
          <w:color w:val="auto"/>
        </w:rPr>
      </w:pPr>
      <w:r>
        <w:rPr>
          <w:rFonts w:ascii="Arial" w:cs="Arial" w:eastAsia="Arial" w:hAnsi="Arial"/>
          <w:sz w:val="18"/>
          <w:szCs w:val="18"/>
          <w:color w:val="auto"/>
        </w:rPr>
        <w:t>Stock issuable upon conversion of such Notes, the information required to be delivered pursuant to Rule 144A(d)(4) under the Securities Act to facilitate the resale of such Notes or shares of Class A Common Stock pursuant to Rule 144A.</w:t>
      </w:r>
    </w:p>
    <w:p>
      <w:pPr>
        <w:spacing w:after="0" w:line="77" w:lineRule="exact"/>
        <w:rPr>
          <w:sz w:val="20"/>
          <w:szCs w:val="20"/>
          <w:color w:val="auto"/>
        </w:rPr>
      </w:pPr>
    </w:p>
    <w:p>
      <w:pPr>
        <w:ind w:firstLine="436"/>
        <w:spacing w:after="0" w:line="291" w:lineRule="auto"/>
        <w:tabs>
          <w:tab w:leader="none" w:pos="6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shall file with the Trustee, within 15 days after the same are required to be filed with the Commission, copies of any annual or quarterly reports (on Form 10-K or Form 10-Q or any respective successor form) that the Company is required to file with the Commission pursuant to Section 13 or 15(d) of the Exchange Act (excluding any such information, documents or reports, or portions thereof, subject to confidential treatment and any correspondence with the Commission, and giving effect to any grace period provided by Rule 12b-25 under the Exchange Act (or any successor thereto)). Any such document or report that the Company files with the Commission via the Commission’s EDGAR system (or any successor system) shall be deemed to be filed with the Trustee for purposes of this Section 4.06(b) at the time such documents are filed via the EDGAR system (or such successor), it being understood that the Trustee shall not be responsible for determining whether such filings have been made.</w:t>
      </w:r>
    </w:p>
    <w:p>
      <w:pPr>
        <w:spacing w:after="0" w:line="58" w:lineRule="exact"/>
        <w:rPr>
          <w:rFonts w:ascii="Arial" w:cs="Arial" w:eastAsia="Arial" w:hAnsi="Arial"/>
          <w:sz w:val="16"/>
          <w:szCs w:val="16"/>
          <w:color w:val="auto"/>
        </w:rPr>
      </w:pPr>
    </w:p>
    <w:p>
      <w:pPr>
        <w:ind w:right="20" w:firstLine="436"/>
        <w:spacing w:after="0" w:line="259" w:lineRule="auto"/>
        <w:tabs>
          <w:tab w:leader="none" w:pos="6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Delivery of the reports, information and documents described in subsection (b) above to the Trustee is for informational purposes only, and the information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on an Officer’s Certificate).</w:t>
      </w:r>
    </w:p>
    <w:p>
      <w:pPr>
        <w:spacing w:after="0" w:line="78" w:lineRule="exact"/>
        <w:rPr>
          <w:rFonts w:ascii="Arial" w:cs="Arial" w:eastAsia="Arial" w:hAnsi="Arial"/>
          <w:sz w:val="18"/>
          <w:szCs w:val="18"/>
          <w:color w:val="auto"/>
        </w:rPr>
      </w:pPr>
    </w:p>
    <w:p>
      <w:pPr>
        <w:ind w:firstLine="436"/>
        <w:spacing w:after="0" w:line="263"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at any time during the six-month period beginning on, and including, the date that is six months after the last date of original issuance of the Notes, the Company fails to timely file any document or report that it is required to file with the Commission pursuant to Section 13 or 15(d) of the Exchange Act, as applicable (after giving effect to all applicable grace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43" w:name="page44"/>
    <w:bookmarkEnd w:id="4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periods thereunder and other than reports on Form 8-K),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the Company shall pay Additional Interest on the Notes. Such Additional Interest shall accrue on the Notes at the rate of 0.50% per annum of the principal amount of the Notes outstanding for each day during such period for which the Company’s failure to file has occurred and is continuing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 For purposes of this Section 4.06(d), the phrase “restrictions pursuant to U.S. securities laws or the terms of this Indenture or the Notes” shall not include, for the avoidance of doubt, the assignment of a restricted CUSIP number or the existence of the Restrictive Notes Legend on Notes in compliance with Section 2.05(c), in either case, during the six-month period described in this Section 4.06(d).</w:t>
      </w:r>
    </w:p>
    <w:p>
      <w:pPr>
        <w:spacing w:after="0" w:line="71" w:lineRule="exact"/>
        <w:rPr>
          <w:sz w:val="20"/>
          <w:szCs w:val="20"/>
          <w:color w:val="auto"/>
        </w:rPr>
      </w:pPr>
    </w:p>
    <w:p>
      <w:pPr>
        <w:ind w:right="60" w:firstLine="436"/>
        <w:spacing w:after="0" w:line="271" w:lineRule="auto"/>
        <w:tabs>
          <w:tab w:leader="none" w:pos="685"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and for so long as, the Restrictive Notes Legend on the Notes specified in Section 2.05(c) has not been removed, the Notes are assigned a restricted CUSIP number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of the De-Legending Deadline Date, the Company shall pay Additional Interest on the Notes at a rate equal to 0.50% per annum of the principal amount of Notes outstanding until the Restrictive Notes Legend on the Notes has been removed in accordance with Section 2.05(c), the Notes are assigned an unrestricted CUSIP number and the Notes are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w:t>
      </w:r>
    </w:p>
    <w:p>
      <w:pPr>
        <w:spacing w:after="0" w:line="70" w:lineRule="exact"/>
        <w:rPr>
          <w:rFonts w:ascii="Arial" w:cs="Arial" w:eastAsia="Arial" w:hAnsi="Arial"/>
          <w:sz w:val="17"/>
          <w:szCs w:val="17"/>
          <w:color w:val="auto"/>
        </w:rPr>
      </w:pPr>
    </w:p>
    <w:p>
      <w:pPr>
        <w:ind w:left="660" w:hanging="224"/>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Additional Interest will be payable in arrears on each Interest Payment Date following accrual in the same manner as regular interest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102" w:lineRule="exact"/>
        <w:rPr>
          <w:rFonts w:ascii="Arial" w:cs="Arial" w:eastAsia="Arial" w:hAnsi="Arial"/>
          <w:sz w:val="16"/>
          <w:szCs w:val="16"/>
          <w:color w:val="auto"/>
        </w:rPr>
      </w:pPr>
    </w:p>
    <w:p>
      <w:pPr>
        <w:ind w:right="180" w:firstLine="436"/>
        <w:spacing w:after="0" w:line="296" w:lineRule="auto"/>
        <w:tabs>
          <w:tab w:leader="none" w:pos="6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Subject to the immediately succeeding sentence, the Additional Interest that is payable in accordance with Section 4.06(d) or Section 4.06(e) shall be in addition to, and not in lieu of, any Additional Interest that may be payable as a result of the Company’s election pursuant to Section 6.03. However, in no event shall Additional Interest payable for the Company’s failure to comply with its obligations to timely file any document or report that the Company is required to file with the Commission pursuant to Section 13 or 15(d) of the Exchange Act, as applicable (after giving effect to all applicable grace periods thereunder and other than reports on Form 8-K), as set forth in Section 4.06(d), together with any Additional</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4" w:name="page45"/>
    <w:bookmarkEnd w:id="44"/>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that may accrue at the Company’s election as a result of the Company’s failure to comply with its reporting obligations pursuant to Section 6.03, accrue at a rate in excess of 0.50% per annum pursuant to this Indenture, regardless of the number of events or circumstances giving rise to the requirement to pay such Additional Interest.</w:t>
      </w:r>
    </w:p>
    <w:p>
      <w:pPr>
        <w:spacing w:after="0" w:line="76" w:lineRule="exact"/>
        <w:rPr>
          <w:sz w:val="20"/>
          <w:szCs w:val="20"/>
          <w:color w:val="auto"/>
        </w:rPr>
      </w:pPr>
    </w:p>
    <w:p>
      <w:pPr>
        <w:ind w:right="120" w:firstLine="436"/>
        <w:spacing w:after="0" w:line="296"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Additional Interest is payable by the Company pursuant to Section 4.06(d) or Section 4.06(e),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Officer’s Certificate, the Trustee may conclusively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spacing w:after="0" w:line="16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Section 4.07</w:t>
      </w:r>
      <w:r>
        <w:rPr>
          <w:rFonts w:ascii="Arial" w:cs="Arial" w:eastAsia="Arial" w:hAnsi="Arial"/>
          <w:sz w:val="18"/>
          <w:szCs w:val="18"/>
          <w:i w:val="1"/>
          <w:iCs w:val="1"/>
          <w:color w:val="auto"/>
        </w:rPr>
        <w:t>. Stay, Extension and Usury Laws.</w:t>
      </w:r>
      <w:r>
        <w:rPr>
          <w:rFonts w:ascii="Arial" w:cs="Arial" w:eastAsia="Arial" w:hAnsi="Arial"/>
          <w:sz w:val="18"/>
          <w:szCs w:val="18"/>
          <w:color w:val="auto"/>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95"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Section 4.08</w:t>
      </w:r>
      <w:r>
        <w:rPr>
          <w:rFonts w:ascii="Arial" w:cs="Arial" w:eastAsia="Arial" w:hAnsi="Arial"/>
          <w:sz w:val="16"/>
          <w:szCs w:val="16"/>
          <w:i w:val="1"/>
          <w:iCs w:val="1"/>
          <w:color w:val="auto"/>
        </w:rPr>
        <w:t>. Compliance Certificate; Statements as to Defaults.</w:t>
      </w:r>
      <w:r>
        <w:rPr>
          <w:rFonts w:ascii="Arial" w:cs="Arial" w:eastAsia="Arial" w:hAnsi="Arial"/>
          <w:sz w:val="16"/>
          <w:szCs w:val="16"/>
          <w:color w:val="auto"/>
        </w:rPr>
        <w:t xml:space="preserve"> The Company shall deliver to the Trustee within 120 days after the end of each fiscal year of the Company (beginning with the fiscal year ending on December 31, 2022) an Officer’s Certificate stating whether the signers thereof have knowledge of any Event of Default that occurred during the previous year and, if so, specifying each such Event of Default and the nature thereof.</w:t>
      </w:r>
    </w:p>
    <w:p>
      <w:pPr>
        <w:spacing w:after="0" w:line="149"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In addition, the Company shall deliver to the Trustee, within 30 days after the Company obtains knowledge of the occurrence of any Event of Default or Default, an Officer’s Certificate setting forth the details of such Event of Default or Default, its status and the action that the Company is taking or proposing to take in respect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is not required to deliver such notice if such Event of Default or Default has been cured or is no longer continuing.</w:t>
      </w:r>
    </w:p>
    <w:p>
      <w:pPr>
        <w:spacing w:after="0" w:line="187"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Section 4.09</w:t>
      </w:r>
      <w:r>
        <w:rPr>
          <w:rFonts w:ascii="Arial" w:cs="Arial" w:eastAsia="Arial" w:hAnsi="Arial"/>
          <w:sz w:val="17"/>
          <w:szCs w:val="17"/>
          <w:i w:val="1"/>
          <w:iCs w:val="1"/>
          <w:color w:val="auto"/>
        </w:rPr>
        <w:t>. Further Instruments and Acts.</w:t>
      </w:r>
      <w:r>
        <w:rPr>
          <w:rFonts w:ascii="Arial" w:cs="Arial" w:eastAsia="Arial" w:hAnsi="Arial"/>
          <w:sz w:val="17"/>
          <w:szCs w:val="17"/>
          <w:color w:val="auto"/>
        </w:rPr>
        <w:t xml:space="preserve"> Upon request of the Trustee, the Company will execute and deliver such further instruments and do such further acts as may be reasonably necessary or proper to carry out more effectively the purposes of this Indenture.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4" w:right="47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5</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ISTS OF</w:t>
      </w:r>
      <w:r>
        <w:rPr>
          <w:rFonts w:ascii="Arial" w:cs="Arial" w:eastAsia="Arial" w:hAnsi="Arial"/>
          <w:sz w:val="18"/>
          <w:szCs w:val="18"/>
          <w:color w:val="auto"/>
        </w:rPr>
        <w:t xml:space="preserve"> H</w:t>
      </w:r>
      <w:r>
        <w:rPr>
          <w:rFonts w:ascii="Arial" w:cs="Arial" w:eastAsia="Arial" w:hAnsi="Arial"/>
          <w:sz w:val="14"/>
          <w:szCs w:val="14"/>
          <w:color w:val="auto"/>
        </w:rPr>
        <w:t>OLDERS AND</w:t>
      </w:r>
      <w:r>
        <w:rPr>
          <w:rFonts w:ascii="Arial" w:cs="Arial" w:eastAsia="Arial" w:hAnsi="Arial"/>
          <w:sz w:val="18"/>
          <w:szCs w:val="18"/>
          <w:color w:val="auto"/>
        </w:rPr>
        <w:t xml:space="preserve"> R</w:t>
      </w:r>
      <w:r>
        <w:rPr>
          <w:rFonts w:ascii="Arial" w:cs="Arial" w:eastAsia="Arial" w:hAnsi="Arial"/>
          <w:sz w:val="14"/>
          <w:szCs w:val="14"/>
          <w:color w:val="auto"/>
        </w:rPr>
        <w:t>EPORTS</w:t>
      </w:r>
      <w:r>
        <w:rPr>
          <w:rFonts w:ascii="Arial" w:cs="Arial" w:eastAsia="Arial" w:hAnsi="Arial"/>
          <w:sz w:val="18"/>
          <w:szCs w:val="18"/>
          <w:color w:val="auto"/>
        </w:rPr>
        <w:t xml:space="preserve"> BY </w:t>
      </w:r>
      <w:r>
        <w:rPr>
          <w:rFonts w:ascii="Arial" w:cs="Arial" w:eastAsia="Arial" w:hAnsi="Arial"/>
          <w:sz w:val="14"/>
          <w:szCs w:val="14"/>
          <w:color w:val="auto"/>
        </w:rPr>
        <w:t>THE</w:t>
      </w:r>
      <w:r>
        <w:rPr>
          <w:rFonts w:ascii="Arial" w:cs="Arial" w:eastAsia="Arial" w:hAnsi="Arial"/>
          <w:sz w:val="18"/>
          <w:szCs w:val="18"/>
          <w:color w:val="auto"/>
        </w:rPr>
        <w:t xml:space="preserve"> C</w:t>
      </w:r>
      <w:r>
        <w:rPr>
          <w:rFonts w:ascii="Arial" w:cs="Arial" w:eastAsia="Arial" w:hAnsi="Arial"/>
          <w:sz w:val="14"/>
          <w:szCs w:val="14"/>
          <w:color w:val="auto"/>
        </w:rPr>
        <w:t>OMPANY AND THE</w:t>
      </w:r>
      <w:r>
        <w:rPr>
          <w:rFonts w:ascii="Arial" w:cs="Arial" w:eastAsia="Arial" w:hAnsi="Arial"/>
          <w:sz w:val="18"/>
          <w:szCs w:val="18"/>
          <w:color w:val="auto"/>
        </w:rPr>
        <w:t xml:space="preserve"> T</w:t>
      </w:r>
      <w:r>
        <w:rPr>
          <w:rFonts w:ascii="Arial" w:cs="Arial" w:eastAsia="Arial" w:hAnsi="Arial"/>
          <w:sz w:val="14"/>
          <w:szCs w:val="14"/>
          <w:color w:val="auto"/>
        </w:rPr>
        <w:t>RUSTEE</w:t>
      </w:r>
    </w:p>
    <w:p>
      <w:pPr>
        <w:spacing w:after="0" w:line="21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Section 5.01</w:t>
      </w:r>
      <w:r>
        <w:rPr>
          <w:rFonts w:ascii="Arial" w:cs="Arial" w:eastAsia="Arial" w:hAnsi="Arial"/>
          <w:sz w:val="16"/>
          <w:szCs w:val="16"/>
          <w:i w:val="1"/>
          <w:iCs w:val="1"/>
          <w:color w:val="auto"/>
        </w:rPr>
        <w:t>. Lists of Holders.</w:t>
      </w:r>
      <w:r>
        <w:rPr>
          <w:rFonts w:ascii="Arial" w:cs="Arial" w:eastAsia="Arial" w:hAnsi="Arial"/>
          <w:sz w:val="16"/>
          <w:szCs w:val="16"/>
          <w:color w:val="auto"/>
        </w:rPr>
        <w:t xml:space="preserve"> The Company covenants and agrees that it will furnish or cause to be furnished to the Trustee, semi-annually, not more than 15 days after each January 15 and July 15 in each year beginning with July 15, 2022,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6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Section 5.02</w:t>
      </w:r>
      <w:r>
        <w:rPr>
          <w:rFonts w:ascii="Arial" w:cs="Arial" w:eastAsia="Arial" w:hAnsi="Arial"/>
          <w:sz w:val="18"/>
          <w:szCs w:val="18"/>
          <w:i w:val="1"/>
          <w:iCs w:val="1"/>
          <w:color w:val="auto"/>
        </w:rPr>
        <w:t>. Preservation and Disclosure of Lists.</w:t>
      </w:r>
      <w:r>
        <w:rPr>
          <w:rFonts w:ascii="Arial" w:cs="Arial" w:eastAsia="Arial" w:hAnsi="Arial"/>
          <w:sz w:val="18"/>
          <w:szCs w:val="18"/>
          <w:color w:val="auto"/>
        </w:rPr>
        <w:t xml:space="preserve">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dispose of any list furnished to it as provided in Section 5.01 upon receipt of a new list so furnished.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EFAULTS AND</w:t>
      </w:r>
      <w:r>
        <w:rPr>
          <w:rFonts w:ascii="Arial" w:cs="Arial" w:eastAsia="Arial" w:hAnsi="Arial"/>
          <w:sz w:val="18"/>
          <w:szCs w:val="18"/>
          <w:color w:val="auto"/>
        </w:rPr>
        <w:t xml:space="preserve"> R</w:t>
      </w:r>
      <w:r>
        <w:rPr>
          <w:rFonts w:ascii="Arial" w:cs="Arial" w:eastAsia="Arial" w:hAnsi="Arial"/>
          <w:sz w:val="14"/>
          <w:szCs w:val="14"/>
          <w:color w:val="auto"/>
        </w:rPr>
        <w:t>EMEDIES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6.01</w:t>
      </w:r>
      <w:r>
        <w:rPr>
          <w:rFonts w:ascii="Arial" w:cs="Arial" w:eastAsia="Arial" w:hAnsi="Arial"/>
          <w:sz w:val="18"/>
          <w:szCs w:val="18"/>
          <w:i w:val="1"/>
          <w:iCs w:val="1"/>
          <w:color w:val="auto"/>
        </w:rPr>
        <w:t>. Events of Default.</w:t>
      </w:r>
      <w:r>
        <w:rPr>
          <w:rFonts w:ascii="Arial" w:cs="Arial" w:eastAsia="Arial" w:hAnsi="Arial"/>
          <w:sz w:val="18"/>
          <w:szCs w:val="18"/>
          <w:color w:val="auto"/>
        </w:rPr>
        <w:t xml:space="preserve"> Each of the following events shall be an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the Notes:</w:t>
      </w:r>
    </w:p>
    <w:p>
      <w:pPr>
        <w:spacing w:after="0" w:line="121" w:lineRule="exact"/>
        <w:rPr>
          <w:sz w:val="20"/>
          <w:szCs w:val="20"/>
          <w:color w:val="auto"/>
        </w:rPr>
      </w:pPr>
    </w:p>
    <w:p>
      <w:pPr>
        <w:ind w:left="680" w:hanging="244"/>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any payment of interest on any Note when due and payable, and the default continues for a period of 30 days;</w:t>
      </w:r>
    </w:p>
    <w:p>
      <w:pPr>
        <w:spacing w:after="0" w:line="117" w:lineRule="exact"/>
        <w:rPr>
          <w:rFonts w:ascii="Arial" w:cs="Arial" w:eastAsia="Arial" w:hAnsi="Arial"/>
          <w:sz w:val="18"/>
          <w:szCs w:val="18"/>
          <w:color w:val="auto"/>
        </w:rPr>
      </w:pPr>
    </w:p>
    <w:p>
      <w:pPr>
        <w:ind w:right="260" w:firstLine="436"/>
        <w:spacing w:after="0" w:line="277"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payment of principal of any Note when due and payable on the Maturity Date, upon Optional Redemption, upon any required repurchase, upon declaration of acceleration or otherwise;</w:t>
      </w:r>
    </w:p>
    <w:p>
      <w:pPr>
        <w:spacing w:after="0" w:line="62" w:lineRule="exact"/>
        <w:rPr>
          <w:rFonts w:ascii="Arial" w:cs="Arial" w:eastAsia="Arial" w:hAnsi="Arial"/>
          <w:sz w:val="18"/>
          <w:szCs w:val="18"/>
          <w:color w:val="auto"/>
        </w:rPr>
      </w:pPr>
    </w:p>
    <w:p>
      <w:pPr>
        <w:ind w:right="500" w:firstLine="436"/>
        <w:spacing w:after="0" w:line="277" w:lineRule="auto"/>
        <w:tabs>
          <w:tab w:leader="none" w:pos="6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 to convert the Notes in accordance with this Indenture upon exercise of a Holder’s conversion right and such failure continues for three Business Days;</w:t>
      </w:r>
    </w:p>
    <w:p>
      <w:pPr>
        <w:spacing w:after="0" w:line="62" w:lineRule="exact"/>
        <w:rPr>
          <w:rFonts w:ascii="Arial" w:cs="Arial" w:eastAsia="Arial" w:hAnsi="Arial"/>
          <w:sz w:val="18"/>
          <w:szCs w:val="18"/>
          <w:color w:val="auto"/>
        </w:rPr>
      </w:pPr>
    </w:p>
    <w:p>
      <w:pPr>
        <w:ind w:right="120" w:firstLine="436"/>
        <w:spacing w:after="0" w:line="259"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by the Company to give (i) a Fundamental Change Company Notice in accordance with Section 15.02(c) or notice of a Make-Whole Fundamental Change in accordance with Section 14.03(b), in either case when due and such failure continues for two Business Days, or (ii) notice of a specified corporate transaction or event in accordance with Section 14.01(b)(ii) or 14.01(b)(iii) when due and such failure continues for one Business Day;</w:t>
      </w:r>
    </w:p>
    <w:p>
      <w:pPr>
        <w:spacing w:after="0" w:line="78" w:lineRule="exact"/>
        <w:rPr>
          <w:rFonts w:ascii="Arial" w:cs="Arial" w:eastAsia="Arial" w:hAnsi="Arial"/>
          <w:sz w:val="18"/>
          <w:szCs w:val="18"/>
          <w:color w:val="auto"/>
        </w:rPr>
      </w:pPr>
    </w:p>
    <w:p>
      <w:pPr>
        <w:ind w:left="680" w:hanging="244"/>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obligations under Article 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46" w:name="page47"/>
    <w:bookmarkEnd w:id="46"/>
    <w:p>
      <w:pPr>
        <w:ind w:right="220" w:firstLine="436"/>
        <w:spacing w:after="0" w:line="308" w:lineRule="auto"/>
        <w:tabs>
          <w:tab w:leader="none" w:pos="665" w:val="left"/>
        </w:tabs>
        <w:numPr>
          <w:ilvl w:val="0"/>
          <w:numId w:val="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failure by the Company for 60 days after written notice from the Trustee or the Holders of at least 25% in principal amount of the Notes then outstanding has been received by the Company to comply with any of its other agreements contained in the Notes or this Indenture;</w:t>
      </w:r>
    </w:p>
    <w:p>
      <w:pPr>
        <w:spacing w:after="0" w:line="38" w:lineRule="exact"/>
        <w:rPr>
          <w:rFonts w:ascii="Arial" w:cs="Arial" w:eastAsia="Arial" w:hAnsi="Arial"/>
          <w:sz w:val="17"/>
          <w:szCs w:val="17"/>
          <w:color w:val="auto"/>
        </w:rPr>
      </w:pPr>
    </w:p>
    <w:p>
      <w:pPr>
        <w:ind w:right="80" w:firstLine="436"/>
        <w:spacing w:after="0" w:line="270" w:lineRule="auto"/>
        <w:tabs>
          <w:tab w:leader="none" w:pos="695"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default by the Company or any Significant Subsidiary of the Company with respect to any mortgage, agreement or other instrument under which there may be outstanding, or by which there may be secured or evidenced, any indebtedness for money borrowed in excess of $50,000,000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debt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30 days after written notice to the Company by the Trustee or to the Company and the Trustee by Holders of at least 25% in aggregate principal amount of Notes then outstanding in accordance with this Indenture;</w:t>
      </w:r>
    </w:p>
    <w:p>
      <w:pPr>
        <w:spacing w:after="0" w:line="72" w:lineRule="exact"/>
        <w:rPr>
          <w:rFonts w:ascii="Arial" w:cs="Arial" w:eastAsia="Arial" w:hAnsi="Arial"/>
          <w:sz w:val="17"/>
          <w:szCs w:val="17"/>
          <w:color w:val="auto"/>
        </w:rPr>
      </w:pPr>
    </w:p>
    <w:p>
      <w:pPr>
        <w:ind w:firstLine="436"/>
        <w:spacing w:after="0" w:line="255"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84" w:lineRule="exact"/>
        <w:rPr>
          <w:rFonts w:ascii="Arial" w:cs="Arial" w:eastAsia="Arial" w:hAnsi="Arial"/>
          <w:sz w:val="18"/>
          <w:szCs w:val="18"/>
          <w:color w:val="auto"/>
        </w:rPr>
      </w:pPr>
    </w:p>
    <w:p>
      <w:pPr>
        <w:ind w:left="660" w:hanging="224"/>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involuntary case or other proceeding shall be commenced against the Company or any Significant Subsidiary seeking liquidation,</w:t>
      </w:r>
    </w:p>
    <w:p>
      <w:pPr>
        <w:spacing w:after="0" w:line="34" w:lineRule="exact"/>
        <w:rPr>
          <w:rFonts w:ascii="Arial" w:cs="Arial" w:eastAsia="Arial" w:hAnsi="Arial"/>
          <w:sz w:val="17"/>
          <w:szCs w:val="17"/>
          <w:color w:val="auto"/>
        </w:rPr>
      </w:pPr>
    </w:p>
    <w:p>
      <w:pPr>
        <w:ind w:right="80"/>
        <w:spacing w:after="0" w:line="253" w:lineRule="auto"/>
        <w:rPr>
          <w:rFonts w:ascii="Arial" w:cs="Arial" w:eastAsia="Arial" w:hAnsi="Arial"/>
          <w:sz w:val="17"/>
          <w:szCs w:val="17"/>
          <w:color w:val="auto"/>
        </w:rPr>
      </w:pPr>
      <w:r>
        <w:rPr>
          <w:rFonts w:ascii="Arial" w:cs="Arial" w:eastAsia="Arial" w:hAnsi="Arial"/>
          <w:sz w:val="18"/>
          <w:szCs w:val="18"/>
          <w:color w:val="auto"/>
        </w:rPr>
        <w:t>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60 consecutive days.</w:t>
      </w:r>
    </w:p>
    <w:p>
      <w:pPr>
        <w:spacing w:after="0" w:line="193" w:lineRule="exact"/>
        <w:rPr>
          <w:sz w:val="20"/>
          <w:szCs w:val="20"/>
          <w:color w:val="auto"/>
        </w:rPr>
      </w:pPr>
    </w:p>
    <w:p>
      <w:pPr>
        <w:jc w:val="both"/>
        <w:ind w:right="60" w:firstLine="440"/>
        <w:spacing w:after="0" w:line="279"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Acceleration; Rescission and Annulment</w:t>
      </w:r>
      <w:r>
        <w:rPr>
          <w:rFonts w:ascii="Arial" w:cs="Arial" w:eastAsia="Arial" w:hAnsi="Arial"/>
          <w:sz w:val="17"/>
          <w:szCs w:val="17"/>
          <w:color w:val="auto"/>
        </w:rPr>
        <w:t>. If one or more Events of Default shall have occurred and be continuing, then, and in each and every such case (other than an Event of Default specified in Section 6.01(h) or Section 6.01(i) with respect to the Company), unless the principal of, and accrued and unpaid interest, if any, on, all of the Notes shall have already become due and payable, either the Trustee or the Holders of at least 25% in aggregate principal amount of the Notes then outstanding determined in accordance with Section 8.04, by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47" w:name="page48"/>
    <w:bookmarkEnd w:id="47"/>
    <w:p>
      <w:pPr>
        <w:ind w:left="4"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in writing to the Company (and to the Trustee if given by Holders), may declare 100% of the principal of, and accrued and unpaid interest, if any, on, all the outstanding Notes to be due and payable immediately, and upon any such declaration the same shall become and shall automatically be immediately due and payable, anything contained in this Indenture or in the Notes to the contrary notwithstanding. If an Event of Default specified in Section 6.01(h) or Section 6.01(i) with respect to the Company occurs and is continuing, 100% of the principal of, and accrued and unpaid interest, if any, on, all Notes shall become and shall automatically be immediately due and payable.</w:t>
      </w:r>
    </w:p>
    <w:p>
      <w:pPr>
        <w:spacing w:after="0" w:line="176"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and the Fundamental Change Repurchase Price, if applicable) of, or accrued and unpaid interest on, any Notes, (ii) a failure to repurchase or redeem any Notes when required or (iii) a failure to pay or deliver, as the case may be, the consideration due upon conversion of the Notes.</w:t>
      </w:r>
    </w:p>
    <w:p>
      <w:pPr>
        <w:spacing w:after="0" w:line="174" w:lineRule="exact"/>
        <w:rPr>
          <w:sz w:val="20"/>
          <w:szCs w:val="20"/>
          <w:color w:val="auto"/>
        </w:rPr>
      </w:pPr>
    </w:p>
    <w:p>
      <w:pPr>
        <w:jc w:val="both"/>
        <w:ind w:left="4" w:right="20" w:firstLine="440"/>
        <w:spacing w:after="0" w:line="287"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Additional Interest</w:t>
      </w:r>
      <w:r>
        <w:rPr>
          <w:rFonts w:ascii="Arial" w:cs="Arial" w:eastAsia="Arial" w:hAnsi="Arial"/>
          <w:sz w:val="16"/>
          <w:szCs w:val="16"/>
          <w:color w:val="auto"/>
        </w:rPr>
        <w:t>. Notwithstanding anything in this Indenture or in the Notes to the contrary, to the extent the Company elects, the sole remedy for an Event of Default relating to the Company’s failure to comply with its obligations as set forth in Section 4.06(b) shall, for the first 365 days after the occurrence of such an Event of Default, consist exclusively of the right to receive Additional Interest on the Notes at a rate equal to</w:t>
      </w:r>
    </w:p>
    <w:p>
      <w:pPr>
        <w:spacing w:after="0" w:line="2" w:lineRule="exact"/>
        <w:rPr>
          <w:sz w:val="20"/>
          <w:szCs w:val="20"/>
          <w:color w:val="auto"/>
        </w:rPr>
      </w:pPr>
    </w:p>
    <w:p>
      <w:pPr>
        <w:ind w:left="4" w:right="60" w:hanging="4"/>
        <w:spacing w:after="0" w:line="252" w:lineRule="auto"/>
        <w:tabs>
          <w:tab w:leader="none" w:pos="2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0.25% per annum of the principal amount of the Notes outstanding for each day that such Event of Default is continuing during the first 180 days after the occurrence of such Event of Default and (y) 0.50% per annum of the principal amount of the Notes outstanding from the 181st day to, and including, the 365th day following the occurrence of such Event of Default, as long as such Event of Default is continuing. Subject to the last paragraph of this Section 6.03, Additional Interest payable pursuant to this Section 6.03 shall be in addition to, not in lieu of, any Additional Interest payable pursuant to Section 4.06(d) or Section 4.06(e). If the Company so elects, such Additional Interest shall be payable in the same manner and on the same dates as the stated</w:t>
      </w:r>
    </w:p>
    <w:p>
      <w:pPr>
        <w:spacing w:after="0" w:line="36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4" w:right="459" w:bottom="1440" w:gutter="0" w:footer="0" w:header="0"/>
        </w:sectPr>
      </w:pPr>
    </w:p>
    <w:bookmarkStart w:id="48" w:name="page49"/>
    <w:bookmarkEnd w:id="48"/>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payable on the Notes. On the 366th day after such Event of Default (if the Event of Default relating to the Company’s failure to comply with its obligations as set forth in Section 4.06(b) is not cured or waived prior to such 366th day), the Notes shall be immediately subject to acceleration as provided in Section 6.02. The provisions of this paragraph will not affect the rights of Holders in the event of the occurrence of any Event of Default other than the Company’s failure to comply with its obligations as set forth in Section 4.06(b). In the event the Company does not elect to pay Additional Interest following an Event of Default in accordance with this Section 6.03 or the Company elected to make such payment but does not pay the Additional Interest when due, the Notes shall be immediately subject to acceleration as provided in Section 6.02 as a result of the Event of Default pursuant to Section 6.01(f) if such Event of Default is then continuing.</w:t>
      </w:r>
    </w:p>
    <w:p>
      <w:pPr>
        <w:spacing w:after="0" w:line="177"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In order to elect to pay Additional Interest as the sole remedy during the first 365 days after the occurrence of any Event of Default relating to the Company’s failure to comply with its obligations as set forth in Section 4.06(b) in accordance with the immediately preceding paragraph, the Company must notify all Holders of the Notes, the Trustee and the Paying Agent (if other than the Trustee) in writing of such election prior to the beginning of such 365-day period. Upon the failure to timely give such notice, the Notes shall be immediately subject to acceleration as provided in Section 6.02.</w:t>
      </w:r>
    </w:p>
    <w:p>
      <w:pPr>
        <w:spacing w:after="0" w:line="157"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In no event shall Additional Interest payable at the Company’s election for failure to comply with its obligations as set forth in Section 4.06(b) as set forth in this Section 6.03, together with any Additional Interest that may accrue as a result of the Company’s failure to timely file any document or report that the Company is required to file with the Commission pursuant to Section 13 or 15(d) of the Exchange Act, as applicable (after giving effect to all applicable grace periods thereunder and other than reports on Form 8-K), pursuant to Section 4.06(d), accrue at a rate in excess of 0.50% per annum pursuant to this Indenture, regardless of the number of events or circumstances giving rise to the requirement to pay such Additional Interest.</w:t>
      </w:r>
    </w:p>
    <w:p>
      <w:pPr>
        <w:spacing w:after="0" w:line="16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Section 6.04</w:t>
      </w:r>
      <w:r>
        <w:rPr>
          <w:rFonts w:ascii="Arial" w:cs="Arial" w:eastAsia="Arial" w:hAnsi="Arial"/>
          <w:sz w:val="17"/>
          <w:szCs w:val="17"/>
          <w:i w:val="1"/>
          <w:iCs w:val="1"/>
          <w:color w:val="auto"/>
        </w:rPr>
        <w:t>. Payments of Notes on Default; Suit Therefor.</w:t>
      </w:r>
      <w:r>
        <w:rPr>
          <w:rFonts w:ascii="Arial" w:cs="Arial" w:eastAsia="Arial" w:hAnsi="Arial"/>
          <w:sz w:val="17"/>
          <w:szCs w:val="17"/>
          <w:color w:val="auto"/>
        </w:rPr>
        <w:t xml:space="preserve"> 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49" w:name="page50"/>
    <w:bookmarkEnd w:id="49"/>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expenses,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82"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84"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50" w:name="page51"/>
    <w:bookmarkEnd w:id="50"/>
    <w:p>
      <w:pPr>
        <w:ind w:right="3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84"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76"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Section 6.05</w:t>
      </w:r>
      <w:r>
        <w:rPr>
          <w:rFonts w:ascii="Arial" w:cs="Arial" w:eastAsia="Arial" w:hAnsi="Arial"/>
          <w:sz w:val="16"/>
          <w:szCs w:val="16"/>
          <w:i w:val="1"/>
          <w:iCs w:val="1"/>
          <w:color w:val="auto"/>
        </w:rPr>
        <w:t>. Application of Monies Collected by Trustee.</w:t>
      </w:r>
      <w:r>
        <w:rPr>
          <w:rFonts w:ascii="Arial" w:cs="Arial" w:eastAsia="Arial" w:hAnsi="Arial"/>
          <w:sz w:val="16"/>
          <w:szCs w:val="16"/>
          <w:color w:val="auto"/>
        </w:rPr>
        <w:t xml:space="preserve"> Any monies or property collected by the Trustee pursuant to this 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to the payment of all amounts due the Trustee in all of its capacities under this Indenture;</w:t>
      </w:r>
    </w:p>
    <w:p>
      <w:pPr>
        <w:spacing w:after="0" w:line="225" w:lineRule="exact"/>
        <w:rPr>
          <w:sz w:val="20"/>
          <w:szCs w:val="20"/>
          <w:color w:val="auto"/>
        </w:rPr>
      </w:pPr>
    </w:p>
    <w:p>
      <w:pPr>
        <w:jc w:val="both"/>
        <w:ind w:right="100" w:firstLine="440"/>
        <w:spacing w:after="0" w:line="261"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in case the principal of the outstanding Notes shall not have become due and be unpaid, to the payment of interest on, and any cash due</w:t>
      </w:r>
      <w:r>
        <w:rPr>
          <w:rFonts w:ascii="Arial" w:cs="Arial" w:eastAsia="Arial" w:hAnsi="Arial"/>
          <w:sz w:val="18"/>
          <w:szCs w:val="18"/>
          <w:b w:val="1"/>
          <w:bCs w:val="1"/>
          <w:color w:val="auto"/>
        </w:rPr>
        <w:t xml:space="preserve"> </w:t>
      </w:r>
      <w:r>
        <w:rPr>
          <w:rFonts w:ascii="Arial" w:cs="Arial" w:eastAsia="Arial" w:hAnsi="Arial"/>
          <w:sz w:val="18"/>
          <w:szCs w:val="18"/>
          <w:color w:val="auto"/>
        </w:rPr>
        <w:t>upon conversion of, the Notes in default in the order of the date due of the payments of such interest and cash due upon conversion, as the case may be, with interest (to the extent that such interest has been collected by the Trustee) upon such overdue payments at the rate borne by the Notes at such time, such payments to be made ratably to the Persons entitled thereto;</w:t>
      </w:r>
    </w:p>
    <w:p>
      <w:pPr>
        <w:spacing w:after="0" w:line="18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Third</w:t>
      </w:r>
      <w:r>
        <w:rPr>
          <w:rFonts w:ascii="Arial" w:cs="Arial" w:eastAsia="Arial" w:hAnsi="Arial"/>
          <w:sz w:val="17"/>
          <w:szCs w:val="17"/>
          <w:color w:val="auto"/>
        </w:rPr>
        <w:t>, in case the principal of the outstanding Notes shall have become due, by declaration or otherwise, and be unpaid to the payment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whole amount (including, if applicable, the payment of the Redemption Price and the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conversion) and accrued and unpaid interest;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51" w:name="page52"/>
    <w:bookmarkEnd w:id="5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Fourth</w:t>
      </w:r>
      <w:r>
        <w:rPr>
          <w:rFonts w:ascii="Arial" w:cs="Arial" w:eastAsia="Arial" w:hAnsi="Arial"/>
          <w:sz w:val="18"/>
          <w:szCs w:val="18"/>
          <w:color w:val="auto"/>
        </w:rPr>
        <w:t>, to the payment of the remainder, if any, to the Company.</w:t>
      </w:r>
    </w:p>
    <w:p>
      <w:pPr>
        <w:spacing w:after="0" w:line="22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Section 6.06</w:t>
      </w:r>
      <w:r>
        <w:rPr>
          <w:rFonts w:ascii="Arial" w:cs="Arial" w:eastAsia="Arial" w:hAnsi="Arial"/>
          <w:sz w:val="18"/>
          <w:szCs w:val="18"/>
          <w:i w:val="1"/>
          <w:iCs w:val="1"/>
          <w:color w:val="auto"/>
        </w:rPr>
        <w:t>. Proceedings by Holders.</w:t>
      </w:r>
      <w:r>
        <w:rPr>
          <w:rFonts w:ascii="Arial" w:cs="Arial" w:eastAsia="Arial" w:hAnsi="Arial"/>
          <w:sz w:val="18"/>
          <w:szCs w:val="18"/>
          <w:color w:val="auto"/>
        </w:rPr>
        <w:t xml:space="preserve"> Except to enforce the right to receive payment of principal (including, if applicable, the Redemption Price and the Fundamental Change Repurchase Price) or interest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80" w:lineRule="exact"/>
        <w:rPr>
          <w:sz w:val="20"/>
          <w:szCs w:val="20"/>
          <w:color w:val="auto"/>
        </w:rPr>
      </w:pPr>
    </w:p>
    <w:p>
      <w:pPr>
        <w:ind w:left="680" w:hanging="244"/>
        <w:spacing w:after="0"/>
        <w:tabs>
          <w:tab w:leader="none" w:pos="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such Holder previously shall have given to the Trustee written notice of an Event of Default and of the continuance thereof, as herein provided;</w:t>
      </w:r>
    </w:p>
    <w:p>
      <w:pPr>
        <w:spacing w:after="0" w:line="140" w:lineRule="exact"/>
        <w:rPr>
          <w:rFonts w:ascii="Arial" w:cs="Arial" w:eastAsia="Arial" w:hAnsi="Arial"/>
          <w:sz w:val="16"/>
          <w:szCs w:val="16"/>
          <w:color w:val="auto"/>
        </w:rPr>
      </w:pPr>
    </w:p>
    <w:p>
      <w:pPr>
        <w:ind w:right="520" w:firstLine="436"/>
        <w:spacing w:after="0" w:line="277"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Notes then outstanding shall have made written request upon the Trustee to institute such action, suit or proceeding in its own name as Trustee hereunder;</w:t>
      </w:r>
    </w:p>
    <w:p>
      <w:pPr>
        <w:spacing w:after="0" w:line="62" w:lineRule="exact"/>
        <w:rPr>
          <w:rFonts w:ascii="Arial" w:cs="Arial" w:eastAsia="Arial" w:hAnsi="Arial"/>
          <w:sz w:val="18"/>
          <w:szCs w:val="18"/>
          <w:color w:val="auto"/>
        </w:rPr>
      </w:pPr>
    </w:p>
    <w:p>
      <w:pPr>
        <w:ind w:right="520" w:firstLine="436"/>
        <w:spacing w:after="0" w:line="277" w:lineRule="auto"/>
        <w:tabs>
          <w:tab w:leader="none" w:pos="6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Holders shall have offered to the Trustee such security or indemnity reasonably satisfactory to it against any loss, claim, liability or expense to be incurred therein or thereby;</w:t>
      </w:r>
    </w:p>
    <w:p>
      <w:pPr>
        <w:spacing w:after="0" w:line="62" w:lineRule="exact"/>
        <w:rPr>
          <w:rFonts w:ascii="Arial" w:cs="Arial" w:eastAsia="Arial" w:hAnsi="Arial"/>
          <w:sz w:val="18"/>
          <w:szCs w:val="18"/>
          <w:color w:val="auto"/>
        </w:rPr>
      </w:pPr>
    </w:p>
    <w:p>
      <w:pPr>
        <w:ind w:right="300" w:firstLine="436"/>
        <w:spacing w:after="0" w:line="277"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or provision, of such security or indemnity, shall have neglected or refused to institute any such action, suit or proceeding; and</w:t>
      </w:r>
    </w:p>
    <w:p>
      <w:pPr>
        <w:spacing w:after="0" w:line="62" w:lineRule="exact"/>
        <w:rPr>
          <w:rFonts w:ascii="Arial" w:cs="Arial" w:eastAsia="Arial" w:hAnsi="Arial"/>
          <w:sz w:val="18"/>
          <w:szCs w:val="18"/>
          <w:color w:val="auto"/>
        </w:rPr>
      </w:pPr>
    </w:p>
    <w:p>
      <w:pPr>
        <w:ind w:firstLine="436"/>
        <w:spacing w:after="0" w:line="308" w:lineRule="auto"/>
        <w:tabs>
          <w:tab w:leader="none" w:pos="685"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spacing w:after="0" w:line="14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0" w:right="439" w:bottom="1440" w:gutter="0" w:footer="0" w:header="0"/>
        </w:sectPr>
      </w:pPr>
    </w:p>
    <w:bookmarkStart w:id="52" w:name="page53"/>
    <w:bookmarkEnd w:id="52"/>
    <w:p>
      <w:pPr>
        <w:jc w:val="both"/>
        <w:ind w:left="4" w:right="40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this Indenture and any provision of any Note, each Holder shall have the right to receive payment or delivery, as the case may be, of (x) the principal (including the Redemption Price and the Fundamental Change Repurchase Price, if applicable) of,</w:t>
      </w:r>
    </w:p>
    <w:p>
      <w:pPr>
        <w:ind w:left="4" w:hanging="4"/>
        <w:spacing w:after="0" w:line="323" w:lineRule="auto"/>
        <w:tabs>
          <w:tab w:leader="none" w:pos="259"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spacing w:after="0" w:line="138"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Section 6.07</w:t>
      </w:r>
      <w:r>
        <w:rPr>
          <w:rFonts w:ascii="Arial" w:cs="Arial" w:eastAsia="Arial" w:hAnsi="Arial"/>
          <w:sz w:val="18"/>
          <w:szCs w:val="18"/>
          <w:i w:val="1"/>
          <w:iCs w:val="1"/>
          <w:color w:val="auto"/>
        </w:rPr>
        <w:t>. Proceedings by Trustee.</w:t>
      </w:r>
      <w:r>
        <w:rPr>
          <w:rFonts w:ascii="Arial" w:cs="Arial" w:eastAsia="Arial" w:hAnsi="Arial"/>
          <w:sz w:val="18"/>
          <w:szCs w:val="18"/>
          <w:color w:val="auto"/>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8"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Section 6.08</w:t>
      </w:r>
      <w:r>
        <w:rPr>
          <w:rFonts w:ascii="Arial" w:cs="Arial" w:eastAsia="Arial" w:hAnsi="Arial"/>
          <w:sz w:val="18"/>
          <w:szCs w:val="18"/>
          <w:i w:val="1"/>
          <w:iCs w:val="1"/>
          <w:color w:val="auto"/>
        </w:rPr>
        <w:t>. Remedies Cumulative and Continuing.</w:t>
      </w:r>
      <w:r>
        <w:rPr>
          <w:rFonts w:ascii="Arial" w:cs="Arial" w:eastAsia="Arial" w:hAnsi="Arial"/>
          <w:sz w:val="18"/>
          <w:szCs w:val="18"/>
          <w:color w:val="auto"/>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192"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Section 6.09</w:t>
      </w:r>
      <w:r>
        <w:rPr>
          <w:rFonts w:ascii="Arial" w:cs="Arial" w:eastAsia="Arial" w:hAnsi="Arial"/>
          <w:sz w:val="17"/>
          <w:szCs w:val="17"/>
          <w:i w:val="1"/>
          <w:iCs w:val="1"/>
          <w:color w:val="auto"/>
        </w:rPr>
        <w:t>. Direction of Proceedings and Waiver of Defaults by Majority of Holders.</w:t>
      </w:r>
      <w:r>
        <w:rPr>
          <w:rFonts w:ascii="Arial" w:cs="Arial" w:eastAsia="Arial" w:hAnsi="Arial"/>
          <w:sz w:val="17"/>
          <w:szCs w:val="17"/>
          <w:color w:val="auto"/>
        </w:rPr>
        <w:t xml:space="preserv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 such direction shall not be in conflict with any rule of law or with this Indenture, and (b) the Trustee may take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action deemed proper by the Trustee and that is not inconsistent with such direction. The Trustee may refuse to follow any direction that it determines is unduly prejudicial to the rights of any other Holder (it being understood that the Trustee shall not have an affirmative duty to ascertain whether or not any such direction is unduly prejudicial to any other Holder) or that would involve the Trustee in personal liability. The Holders of a majority in aggregate principal amount of the Notes at the time outstanding determined in accordance with Section 8.04 may on behalf of the Holders of all of the Notes waive any past Default or Event of Default hereunder and its consequences except any continuing defaults relating to (i) a default in the payment of accrued and unpaid interest, if any, on, or the principal (including any</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4"/>
          </w:cols>
          <w:pgMar w:left="436" w:top="274" w:right="499" w:bottom="1440" w:gutter="0" w:footer="0" w:header="0"/>
        </w:sectPr>
      </w:pPr>
    </w:p>
    <w:bookmarkStart w:id="53" w:name="page54"/>
    <w:bookmarkEnd w:id="53"/>
    <w:p>
      <w:pPr>
        <w:ind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 Price and any Fundamental Change Repurchase Price) of, the Notes when due that has not been cured pursuant to the provisions of Section 6.01, (ii) a failure by the Company to pay or deliver, as the case may be,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78" w:lineRule="exact"/>
        <w:rPr>
          <w:sz w:val="20"/>
          <w:szCs w:val="20"/>
          <w:color w:val="auto"/>
        </w:rPr>
      </w:pPr>
    </w:p>
    <w:p>
      <w:pPr>
        <w:jc w:val="both"/>
        <w:ind w:right="320" w:firstLine="440"/>
        <w:spacing w:after="0" w:line="255" w:lineRule="auto"/>
        <w:rPr>
          <w:sz w:val="20"/>
          <w:szCs w:val="20"/>
          <w:color w:val="auto"/>
        </w:rPr>
      </w:pPr>
      <w:r>
        <w:rPr>
          <w:rFonts w:ascii="Arial" w:cs="Arial" w:eastAsia="Arial" w:hAnsi="Arial"/>
          <w:sz w:val="18"/>
          <w:szCs w:val="18"/>
          <w:color w:val="auto"/>
        </w:rPr>
        <w:t>Section 6.10</w:t>
      </w:r>
      <w:r>
        <w:rPr>
          <w:rFonts w:ascii="Arial" w:cs="Arial" w:eastAsia="Arial" w:hAnsi="Arial"/>
          <w:sz w:val="18"/>
          <w:szCs w:val="18"/>
          <w:i w:val="1"/>
          <w:iCs w:val="1"/>
          <w:color w:val="auto"/>
        </w:rPr>
        <w:t>. Notice of Defaults.</w:t>
      </w:r>
      <w:r>
        <w:rPr>
          <w:rFonts w:ascii="Arial" w:cs="Arial" w:eastAsia="Arial" w:hAnsi="Arial"/>
          <w:sz w:val="18"/>
          <w:szCs w:val="18"/>
          <w:color w:val="auto"/>
        </w:rPr>
        <w:t xml:space="preserve"> The Trustee shall, within 90 days after a Responsible Officer obtains actual knowledge of the occurrence of a Default that is then continuing, deliver to all Holders notice of all Defaults actually known to a Responsible Officer, unless such Defaults shall have been cured or waived before the giving of such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in the</w:t>
      </w:r>
    </w:p>
    <w:p>
      <w:pPr>
        <w:spacing w:after="0" w:line="3" w:lineRule="exact"/>
        <w:rPr>
          <w:sz w:val="20"/>
          <w:szCs w:val="20"/>
          <w:color w:val="auto"/>
        </w:rPr>
      </w:pPr>
    </w:p>
    <w:p>
      <w:pPr>
        <w:ind w:right="60" w:firstLine="440"/>
        <w:spacing w:after="0" w:line="302" w:lineRule="auto"/>
        <w:rPr>
          <w:sz w:val="20"/>
          <w:szCs w:val="20"/>
          <w:color w:val="auto"/>
        </w:rPr>
      </w:pPr>
      <w:r>
        <w:rPr>
          <w:rFonts w:ascii="Arial" w:cs="Arial" w:eastAsia="Arial" w:hAnsi="Arial"/>
          <w:sz w:val="16"/>
          <w:szCs w:val="16"/>
          <w:color w:val="auto"/>
        </w:rPr>
        <w:t>case of a Default in the payment of the principal of (including the Redemption Price and the Fundamental Change Repurchase Price, if applicable), or accrued and unpaid interest on, any of the Notes or a Default in the payment or delivery of the consideration due upon conversion, the Trustee shall be protected in withholding such notice if and so long as it determines that the withholding of such notice is in the interests of the Holders.</w:t>
      </w:r>
    </w:p>
    <w:p>
      <w:pPr>
        <w:spacing w:after="0" w:line="15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Section 6.11</w:t>
      </w:r>
      <w:r>
        <w:rPr>
          <w:rFonts w:ascii="Arial" w:cs="Arial" w:eastAsia="Arial" w:hAnsi="Arial"/>
          <w:sz w:val="17"/>
          <w:szCs w:val="17"/>
          <w:i w:val="1"/>
          <w:iCs w:val="1"/>
          <w:color w:val="auto"/>
        </w:rPr>
        <w:t>. Undertaking to Pay Costs.</w:t>
      </w:r>
      <w:r>
        <w:rPr>
          <w:rFonts w:ascii="Arial" w:cs="Arial" w:eastAsia="Arial" w:hAnsi="Arial"/>
          <w:sz w:val="17"/>
          <w:szCs w:val="17"/>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T</w:t>
      </w:r>
      <w:r>
        <w:rPr>
          <w:rFonts w:ascii="Arial" w:cs="Arial" w:eastAsia="Arial" w:hAnsi="Arial"/>
          <w:sz w:val="14"/>
          <w:szCs w:val="14"/>
          <w:color w:val="auto"/>
        </w:rPr>
        <w:t>RUSTEE</w:t>
      </w:r>
    </w:p>
    <w:p>
      <w:pPr>
        <w:spacing w:after="0" w:line="21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Section 7.01</w:t>
      </w:r>
      <w:r>
        <w:rPr>
          <w:rFonts w:ascii="Arial" w:cs="Arial" w:eastAsia="Arial" w:hAnsi="Arial"/>
          <w:sz w:val="18"/>
          <w:szCs w:val="18"/>
          <w:i w:val="1"/>
          <w:iCs w:val="1"/>
          <w:color w:val="auto"/>
        </w:rPr>
        <w:t>. Duties and Responsibilities of Trustee.</w:t>
      </w:r>
      <w:r>
        <w:rPr>
          <w:rFonts w:ascii="Arial" w:cs="Arial" w:eastAsia="Arial" w:hAnsi="Arial"/>
          <w:sz w:val="18"/>
          <w:szCs w:val="18"/>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claim, liability or expense that might be incurred by it in compliance with such request or direction.</w:t>
      </w:r>
    </w:p>
    <w:p>
      <w:pPr>
        <w:spacing w:after="0" w:line="19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grossly negligent action, its own grossly negligent failure to act or its own willful misconduct, except that:</w:t>
      </w:r>
    </w:p>
    <w:p>
      <w:pPr>
        <w:spacing w:after="0" w:line="62" w:lineRule="exact"/>
        <w:rPr>
          <w:sz w:val="20"/>
          <w:szCs w:val="20"/>
          <w:color w:val="auto"/>
        </w:rPr>
      </w:pPr>
    </w:p>
    <w:p>
      <w:pPr>
        <w:ind w:left="680" w:hanging="244"/>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the occurrence of an Event of Default and after the curing or waiving of all Events of Default that may have occurred:</w:t>
      </w:r>
    </w:p>
    <w:p>
      <w:pPr>
        <w:spacing w:after="0" w:line="117" w:lineRule="exact"/>
        <w:rPr>
          <w:rFonts w:ascii="Arial" w:cs="Arial" w:eastAsia="Arial" w:hAnsi="Arial"/>
          <w:sz w:val="18"/>
          <w:szCs w:val="18"/>
          <w:color w:val="auto"/>
        </w:rPr>
      </w:pPr>
    </w:p>
    <w:p>
      <w:pPr>
        <w:ind w:left="440" w:right="160" w:firstLine="419"/>
        <w:spacing w:after="0" w:line="263" w:lineRule="auto"/>
        <w:tabs>
          <w:tab w:leader="none" w:pos="1078"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75" w:lineRule="exact"/>
        <w:rPr>
          <w:rFonts w:ascii="Arial" w:cs="Arial" w:eastAsia="Arial" w:hAnsi="Arial"/>
          <w:sz w:val="18"/>
          <w:szCs w:val="18"/>
          <w:color w:val="auto"/>
        </w:rPr>
      </w:pPr>
    </w:p>
    <w:p>
      <w:pPr>
        <w:ind w:left="440" w:right="220" w:firstLine="419"/>
        <w:spacing w:after="0" w:line="296" w:lineRule="auto"/>
        <w:tabs>
          <w:tab w:leader="none" w:pos="1128" w:val="left"/>
        </w:tabs>
        <w:numPr>
          <w:ilvl w:val="1"/>
          <w:numId w:val="42"/>
        </w:numPr>
        <w:rPr>
          <w:rFonts w:ascii="Arial" w:cs="Arial" w:eastAsia="Arial" w:hAnsi="Arial"/>
          <w:sz w:val="16"/>
          <w:szCs w:val="16"/>
          <w:color w:val="auto"/>
        </w:rPr>
      </w:pPr>
      <w:r>
        <w:rPr>
          <w:rFonts w:ascii="Arial" w:cs="Arial" w:eastAsia="Arial" w:hAnsi="Arial"/>
          <w:sz w:val="16"/>
          <w:szCs w:val="16"/>
          <w:color w:val="auto"/>
        </w:rPr>
        <w:t>in the absence of bad faith and willful misconduct on the part of the Trustee, the Trustee may, as to the truth of the statements and the correctness of the opinions expressed therein, conclusively rely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53" w:lineRule="exact"/>
        <w:rPr>
          <w:rFonts w:ascii="Arial" w:cs="Arial" w:eastAsia="Arial" w:hAnsi="Arial"/>
          <w:sz w:val="16"/>
          <w:szCs w:val="16"/>
          <w:color w:val="auto"/>
        </w:rPr>
      </w:pPr>
    </w:p>
    <w:p>
      <w:pPr>
        <w:ind w:right="140" w:firstLine="436"/>
        <w:spacing w:after="0" w:line="277"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5" w:name="page56"/>
    <w:bookmarkEnd w:id="55"/>
    <w:p>
      <w:pPr>
        <w:ind w:right="100" w:firstLine="436"/>
        <w:spacing w:after="0" w:line="259" w:lineRule="auto"/>
        <w:tabs>
          <w:tab w:leader="none" w:pos="685"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78" w:lineRule="exact"/>
        <w:rPr>
          <w:rFonts w:ascii="Arial" w:cs="Arial" w:eastAsia="Arial" w:hAnsi="Arial"/>
          <w:sz w:val="18"/>
          <w:szCs w:val="18"/>
          <w:color w:val="auto"/>
        </w:rPr>
      </w:pPr>
    </w:p>
    <w:p>
      <w:pPr>
        <w:ind w:right="20" w:firstLine="436"/>
        <w:spacing w:after="0" w:line="277"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or not therein provided, every provision of this Indenture relating to the conduct or affecting the liability of, or affording protection to, the Trustee shall be subject to the provisions of this Section;</w:t>
      </w:r>
    </w:p>
    <w:p>
      <w:pPr>
        <w:spacing w:after="0" w:line="62" w:lineRule="exact"/>
        <w:rPr>
          <w:rFonts w:ascii="Arial" w:cs="Arial" w:eastAsia="Arial" w:hAnsi="Arial"/>
          <w:sz w:val="18"/>
          <w:szCs w:val="18"/>
          <w:color w:val="auto"/>
        </w:rPr>
      </w:pPr>
    </w:p>
    <w:p>
      <w:pPr>
        <w:ind w:right="40" w:firstLine="436"/>
        <w:spacing w:after="0" w:line="342" w:lineRule="auto"/>
        <w:tabs>
          <w:tab w:leader="none" w:pos="68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5" w:lineRule="exact"/>
        <w:rPr>
          <w:rFonts w:ascii="Arial" w:cs="Arial" w:eastAsia="Arial" w:hAnsi="Arial"/>
          <w:sz w:val="16"/>
          <w:szCs w:val="16"/>
          <w:color w:val="auto"/>
        </w:rPr>
      </w:pPr>
    </w:p>
    <w:p>
      <w:pPr>
        <w:jc w:val="both"/>
        <w:ind w:right="200" w:firstLine="436"/>
        <w:spacing w:after="0" w:line="263" w:lineRule="auto"/>
        <w:tabs>
          <w:tab w:leader="none" w:pos="6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Trustee shall not be required to give any bond or surety in respect of the execution of the trusts and powers under this Indenture;</w:t>
      </w:r>
    </w:p>
    <w:p>
      <w:pPr>
        <w:spacing w:after="0" w:line="128" w:lineRule="exact"/>
        <w:rPr>
          <w:rFonts w:ascii="Arial" w:cs="Arial" w:eastAsia="Arial" w:hAnsi="Arial"/>
          <w:sz w:val="17"/>
          <w:szCs w:val="17"/>
          <w:color w:val="auto"/>
        </w:rPr>
      </w:pPr>
    </w:p>
    <w:p>
      <w:pPr>
        <w:ind w:firstLine="436"/>
        <w:spacing w:after="0" w:line="296" w:lineRule="auto"/>
        <w:tabs>
          <w:tab w:leader="none" w:pos="6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fees, taxes or other charges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spacing w:after="0" w:line="53" w:lineRule="exact"/>
        <w:rPr>
          <w:rFonts w:ascii="Arial" w:cs="Arial" w:eastAsia="Arial" w:hAnsi="Arial"/>
          <w:sz w:val="16"/>
          <w:szCs w:val="16"/>
          <w:color w:val="auto"/>
        </w:rPr>
      </w:pPr>
    </w:p>
    <w:p>
      <w:pPr>
        <w:jc w:val="both"/>
        <w:ind w:right="280" w:firstLine="436"/>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w:t>
      </w:r>
    </w:p>
    <w:p>
      <w:pPr>
        <w:spacing w:after="0" w:line="184"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None of the provisions contained in this Indenture shall require the Trustee to expend or risk its own funds or otherwise incur personal financial liability in the performance of any of its duties or in the exercise of any of its rights or powers. Prior to taking any action under this Indenture, the Trustee shall receive indemnification or security satisfactory to it against any loss, liability or expense caused by taking or not taking such action.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7.02</w:t>
      </w:r>
      <w:r>
        <w:rPr>
          <w:rFonts w:ascii="Arial" w:cs="Arial" w:eastAsia="Arial" w:hAnsi="Arial"/>
          <w:sz w:val="18"/>
          <w:szCs w:val="18"/>
          <w:i w:val="1"/>
          <w:iCs w:val="1"/>
          <w:color w:val="auto"/>
        </w:rPr>
        <w:t>. Reliance on Documents, Opinions, Etc.</w:t>
      </w:r>
      <w:r>
        <w:rPr>
          <w:rFonts w:ascii="Arial" w:cs="Arial" w:eastAsia="Arial" w:hAnsi="Arial"/>
          <w:sz w:val="18"/>
          <w:szCs w:val="18"/>
          <w:color w:val="auto"/>
        </w:rPr>
        <w:t xml:space="preserve"> Except as otherwise provided in Section 7.01: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6" w:name="page57"/>
    <w:bookmarkEnd w:id="56"/>
    <w:p>
      <w:pPr>
        <w:ind w:right="80" w:firstLine="436"/>
        <w:spacing w:after="0" w:line="263" w:lineRule="auto"/>
        <w:tabs>
          <w:tab w:leader="none" w:pos="685"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75" w:lineRule="exact"/>
        <w:rPr>
          <w:rFonts w:ascii="Arial" w:cs="Arial" w:eastAsia="Arial" w:hAnsi="Arial"/>
          <w:sz w:val="18"/>
          <w:szCs w:val="18"/>
          <w:color w:val="auto"/>
        </w:rPr>
      </w:pPr>
    </w:p>
    <w:p>
      <w:pPr>
        <w:ind w:right="280" w:firstLine="436"/>
        <w:spacing w:after="0" w:line="263"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75" w:lineRule="exact"/>
        <w:rPr>
          <w:rFonts w:ascii="Arial" w:cs="Arial" w:eastAsia="Arial" w:hAnsi="Arial"/>
          <w:sz w:val="18"/>
          <w:szCs w:val="18"/>
          <w:color w:val="auto"/>
        </w:rPr>
      </w:pPr>
    </w:p>
    <w:p>
      <w:pPr>
        <w:ind w:right="100" w:firstLine="436"/>
        <w:spacing w:after="0" w:line="263" w:lineRule="auto"/>
        <w:tabs>
          <w:tab w:leader="none" w:pos="6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spacing w:after="0" w:line="75" w:lineRule="exact"/>
        <w:rPr>
          <w:rFonts w:ascii="Arial" w:cs="Arial" w:eastAsia="Arial" w:hAnsi="Arial"/>
          <w:sz w:val="18"/>
          <w:szCs w:val="18"/>
          <w:color w:val="auto"/>
        </w:rPr>
      </w:pPr>
    </w:p>
    <w:p>
      <w:pPr>
        <w:ind w:right="20" w:firstLine="436"/>
        <w:spacing w:after="0" w:line="263"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75" w:lineRule="exact"/>
        <w:rPr>
          <w:rFonts w:ascii="Arial" w:cs="Arial" w:eastAsia="Arial" w:hAnsi="Arial"/>
          <w:sz w:val="18"/>
          <w:szCs w:val="18"/>
          <w:color w:val="auto"/>
        </w:rPr>
      </w:pPr>
    </w:p>
    <w:p>
      <w:pPr>
        <w:ind w:right="160" w:firstLine="436"/>
        <w:spacing w:after="0" w:line="257" w:lineRule="auto"/>
        <w:tabs>
          <w:tab w:leader="none" w:pos="6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79" w:lineRule="exact"/>
        <w:rPr>
          <w:rFonts w:ascii="Arial" w:cs="Arial" w:eastAsia="Arial" w:hAnsi="Arial"/>
          <w:sz w:val="18"/>
          <w:szCs w:val="18"/>
          <w:color w:val="auto"/>
        </w:rPr>
      </w:pPr>
    </w:p>
    <w:p>
      <w:pPr>
        <w:ind w:left="660" w:hanging="224"/>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Trustee may execute any of the trusts or powers hereunder or perform any duties hereunder either directly or by or through agents,</w:t>
      </w:r>
    </w:p>
    <w:p>
      <w:pPr>
        <w:spacing w:after="0" w:line="34" w:lineRule="exact"/>
        <w:rPr>
          <w:rFonts w:ascii="Arial" w:cs="Arial" w:eastAsia="Arial" w:hAnsi="Arial"/>
          <w:sz w:val="17"/>
          <w:szCs w:val="17"/>
          <w:color w:val="auto"/>
        </w:rPr>
      </w:pPr>
    </w:p>
    <w:p>
      <w:pPr>
        <w:spacing w:after="0" w:line="260" w:lineRule="auto"/>
        <w:rPr>
          <w:rFonts w:ascii="Arial" w:cs="Arial" w:eastAsia="Arial" w:hAnsi="Arial"/>
          <w:sz w:val="17"/>
          <w:szCs w:val="17"/>
          <w:color w:val="auto"/>
        </w:rPr>
      </w:pPr>
      <w:r>
        <w:rPr>
          <w:rFonts w:ascii="Arial" w:cs="Arial" w:eastAsia="Arial" w:hAnsi="Arial"/>
          <w:sz w:val="18"/>
          <w:szCs w:val="18"/>
          <w:color w:val="auto"/>
        </w:rPr>
        <w:t>custodians, nominees or attorneys and the Trustee shall not be responsible for any misconduct or negligence on the part of any agent, custodian, nominee or attorney appointed by it with due care hereunder;</w:t>
      </w:r>
    </w:p>
    <w:p>
      <w:pPr>
        <w:spacing w:after="0" w:line="77" w:lineRule="exact"/>
        <w:rPr>
          <w:rFonts w:ascii="Arial" w:cs="Arial" w:eastAsia="Arial" w:hAnsi="Arial"/>
          <w:sz w:val="17"/>
          <w:szCs w:val="17"/>
          <w:color w:val="auto"/>
        </w:rPr>
      </w:pPr>
    </w:p>
    <w:p>
      <w:pPr>
        <w:ind w:left="700" w:hanging="264"/>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117" w:lineRule="exact"/>
        <w:rPr>
          <w:rFonts w:ascii="Arial" w:cs="Arial" w:eastAsia="Arial" w:hAnsi="Arial"/>
          <w:sz w:val="18"/>
          <w:szCs w:val="18"/>
          <w:color w:val="auto"/>
        </w:rPr>
      </w:pPr>
    </w:p>
    <w:p>
      <w:pPr>
        <w:ind w:right="100" w:firstLine="436"/>
        <w:spacing w:after="0" w:line="311" w:lineRule="auto"/>
        <w:tabs>
          <w:tab w:leader="none" w:pos="6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 and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57" w:name="page58"/>
    <w:bookmarkEnd w:id="57"/>
    <w:p>
      <w:pPr>
        <w:ind w:right="60" w:firstLine="436"/>
        <w:spacing w:after="0" w:line="25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Trustee nor any of its directors, officers, employees, agents, or affiliates shall be responsible for nor have any duty to monitor the performance or any action of the Company, or its directors, members, officers, agents, affiliates, or employees, nor shall they have any liability in connection with the malfeasance or nonfeasance by such parties.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w:t>
      </w:r>
    </w:p>
    <w:p>
      <w:pPr>
        <w:spacing w:after="0" w:line="188"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received by a Responsible Officer of the Trustee from the Company or from any Holder.</w:t>
      </w:r>
    </w:p>
    <w:p>
      <w:pPr>
        <w:spacing w:after="0" w:line="188"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Section 7.03</w:t>
      </w:r>
      <w:r>
        <w:rPr>
          <w:rFonts w:ascii="Arial" w:cs="Arial" w:eastAsia="Arial" w:hAnsi="Arial"/>
          <w:sz w:val="18"/>
          <w:szCs w:val="18"/>
          <w:i w:val="1"/>
          <w:iCs w:val="1"/>
          <w:color w:val="auto"/>
        </w:rPr>
        <w:t>. No Responsibility for Recitals, Etc.</w:t>
      </w:r>
      <w:r>
        <w:rPr>
          <w:rFonts w:ascii="Arial" w:cs="Arial" w:eastAsia="Arial" w:hAnsi="Arial"/>
          <w:sz w:val="18"/>
          <w:szCs w:val="18"/>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the Offering Memorandum or of the Notes. The Trustee shall not be accountable for the use or application by the Company of any Notes or the proceeds of any Notes authenticated and delivered by the Trustee in conformity with the provisions of this Indenture.</w:t>
      </w:r>
    </w:p>
    <w:p>
      <w:pPr>
        <w:spacing w:after="0" w:line="188" w:lineRule="exact"/>
        <w:rPr>
          <w:sz w:val="20"/>
          <w:szCs w:val="20"/>
          <w:color w:val="auto"/>
        </w:rPr>
      </w:pPr>
    </w:p>
    <w:p>
      <w:pPr>
        <w:jc w:val="both"/>
        <w:ind w:right="340" w:firstLine="440"/>
        <w:spacing w:after="0" w:line="259" w:lineRule="auto"/>
        <w:rPr>
          <w:sz w:val="20"/>
          <w:szCs w:val="20"/>
          <w:color w:val="auto"/>
        </w:rPr>
      </w:pPr>
      <w:r>
        <w:rPr>
          <w:rFonts w:ascii="Arial" w:cs="Arial" w:eastAsia="Arial" w:hAnsi="Arial"/>
          <w:sz w:val="18"/>
          <w:szCs w:val="18"/>
          <w:color w:val="auto"/>
        </w:rPr>
        <w:t>Section 7.04</w:t>
      </w:r>
      <w:r>
        <w:rPr>
          <w:rFonts w:ascii="Arial" w:cs="Arial" w:eastAsia="Arial" w:hAnsi="Arial"/>
          <w:sz w:val="18"/>
          <w:szCs w:val="18"/>
          <w:i w:val="1"/>
          <w:iCs w:val="1"/>
          <w:color w:val="auto"/>
        </w:rPr>
        <w:t>. Trustee, Paying Agents, Conversion Agents, Bid Solicitation Agent or Note Registrar May Own Notes.</w:t>
      </w:r>
      <w:r>
        <w:rPr>
          <w:rFonts w:ascii="Arial" w:cs="Arial" w:eastAsia="Arial" w:hAnsi="Arial"/>
          <w:sz w:val="18"/>
          <w:szCs w:val="18"/>
          <w:color w:val="auto"/>
        </w:rPr>
        <w:t xml:space="preserve"> The Trustee, any Paying Agent, any Conversion Agent, Bid Solicitation Agent (if other than the Company or any Affiliate thereof) or Note Registrar, in its individual or any other capacity, may become the owner or pledgee of Notes with the same rights it would have if it were not the Trustee, Paying Agent, Conversion Agent, Bid Solicitation Agent or Note Registrar.</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Section 7.05</w:t>
      </w:r>
      <w:r>
        <w:rPr>
          <w:rFonts w:ascii="Arial" w:cs="Arial" w:eastAsia="Arial" w:hAnsi="Arial"/>
          <w:sz w:val="18"/>
          <w:szCs w:val="18"/>
          <w:i w:val="1"/>
          <w:iCs w:val="1"/>
          <w:color w:val="auto"/>
        </w:rPr>
        <w:t>. Monies and Shares of Class A Common Stock to Be Held in Trust.</w:t>
      </w:r>
      <w:r>
        <w:rPr>
          <w:rFonts w:ascii="Arial" w:cs="Arial" w:eastAsia="Arial" w:hAnsi="Arial"/>
          <w:sz w:val="18"/>
          <w:szCs w:val="18"/>
          <w:color w:val="auto"/>
        </w:rPr>
        <w:t xml:space="preserve"> All monies and shares of Class A Common Stock received by the Trustee shall, until used or applied as herein provided, be held in trust for the purposes for which they were received. Money and shares of Class A Common Stock held by the Trustee in trust hereunder need not be segregated from other funds except to the extent required by law. The Trustee shall be under no liability for interest on any money or shares of Class A Common Stock received by it hereunder except as may be agreed from time to time by the Company and the Trustee.</w:t>
      </w:r>
    </w:p>
    <w:p>
      <w:pPr>
        <w:spacing w:after="0" w:line="188"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Section 7.06</w:t>
      </w:r>
      <w:r>
        <w:rPr>
          <w:rFonts w:ascii="Arial" w:cs="Arial" w:eastAsia="Arial" w:hAnsi="Arial"/>
          <w:sz w:val="17"/>
          <w:szCs w:val="17"/>
          <w:i w:val="1"/>
          <w:iCs w:val="1"/>
          <w:color w:val="auto"/>
        </w:rPr>
        <w:t>. Compensation and Expenses of Trustee.</w:t>
      </w:r>
      <w:r>
        <w:rPr>
          <w:rFonts w:ascii="Arial" w:cs="Arial" w:eastAsia="Arial" w:hAnsi="Arial"/>
          <w:sz w:val="17"/>
          <w:szCs w:val="17"/>
          <w:color w:val="auto"/>
        </w:rPr>
        <w:t xml:space="preserve"> The Company covenants and agrees to pay to the Trustee from time to time and the Trustee shall receive such compensation for all services rendered by it hereunder in any capacity (which shall not be limited by any provision of law in regard to the compensation of a trustee of an express trust) as previously and mutually agreed to in writing between the Trustee and the Company, and the Company will pay or reimburse the Trustee upon its request for all reasonable expenses, disbursements and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440" w:top="274" w:right="499" w:bottom="1440" w:gutter="0" w:footer="0" w:header="0"/>
        </w:sectPr>
      </w:pPr>
    </w:p>
    <w:bookmarkStart w:id="58" w:name="page59"/>
    <w:bookmarkEnd w:id="58"/>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The Company also covenants to indemnify the Trustee or any predecessor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on the part of the Trustee, its officers, directors, agents or employees, or such agent or authenticating agent, as the case may be, and arising out of or in connection with the acceptance or administration of this Indenture or in any other capacity hereunder and the enforcement of this Indenture (including this Section 7.06),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lien to which the Notes are hereby made subordinate on all money or property held or collected by the Trustee, except, subject to the effect of Section 6.05, funds held in trust herewith for the benefit of the Holders of particular Notes, and, for the avoidance of doubt, such lien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176"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spacing w:after="0" w:line="165"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Section 7.07</w:t>
      </w:r>
      <w:r>
        <w:rPr>
          <w:rFonts w:ascii="Arial" w:cs="Arial" w:eastAsia="Arial" w:hAnsi="Arial"/>
          <w:sz w:val="17"/>
          <w:szCs w:val="17"/>
          <w:i w:val="1"/>
          <w:iCs w:val="1"/>
          <w:color w:val="auto"/>
        </w:rPr>
        <w:t>. Officer’s Certificate as Evidence.</w:t>
      </w:r>
      <w:r>
        <w:rPr>
          <w:rFonts w:ascii="Arial" w:cs="Arial" w:eastAsia="Arial" w:hAnsi="Arial"/>
          <w:sz w:val="17"/>
          <w:szCs w:val="17"/>
          <w:color w:val="auto"/>
        </w:rPr>
        <w:t xml:space="preserv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and willful misconduct on the part of the Trustee, be deemed to be conclusively proved and established by an Officer’s Certificate delivered to the Trustee, and such Officer’s Certificate, in the absence of gross negligence and willful misconduct on the part of the Trustee, shall be full warrant to the Trustee for any action taken or omitted by it under the provisions of this Indenture upon the faith thereof.</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40"/>
          </w:cols>
          <w:pgMar w:left="440" w:top="274" w:right="519" w:bottom="1440" w:gutter="0" w:footer="0" w:header="0"/>
        </w:sectPr>
      </w:pPr>
    </w:p>
    <w:bookmarkStart w:id="59" w:name="page60"/>
    <w:bookmarkEnd w:id="59"/>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7.08</w:t>
      </w:r>
      <w:r>
        <w:rPr>
          <w:rFonts w:ascii="Arial" w:cs="Arial" w:eastAsia="Arial" w:hAnsi="Arial"/>
          <w:sz w:val="17"/>
          <w:szCs w:val="17"/>
          <w:i w:val="1"/>
          <w:iCs w:val="1"/>
          <w:color w:val="auto"/>
        </w:rPr>
        <w:t>. Eligibility of Trustee.</w:t>
      </w:r>
      <w:r>
        <w:rPr>
          <w:rFonts w:ascii="Arial" w:cs="Arial" w:eastAsia="Arial" w:hAnsi="Arial"/>
          <w:sz w:val="17"/>
          <w:szCs w:val="17"/>
          <w:color w:val="auto"/>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promptly in the manner and with the effect hereinafter specified in this Article.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7.09</w:t>
      </w:r>
      <w:r>
        <w:rPr>
          <w:rFonts w:ascii="Arial" w:cs="Arial" w:eastAsia="Arial" w:hAnsi="Arial"/>
          <w:sz w:val="18"/>
          <w:szCs w:val="18"/>
          <w:i w:val="1"/>
          <w:iCs w:val="1"/>
          <w:color w:val="auto"/>
        </w:rPr>
        <w:t>. Resignation or Removal of Trustee.</w:t>
      </w:r>
    </w:p>
    <w:p>
      <w:pPr>
        <w:spacing w:after="0" w:line="117" w:lineRule="exact"/>
        <w:rPr>
          <w:sz w:val="20"/>
          <w:szCs w:val="20"/>
          <w:color w:val="auto"/>
        </w:rPr>
      </w:pPr>
    </w:p>
    <w:p>
      <w:pPr>
        <w:ind w:right="20" w:firstLine="436"/>
        <w:spacing w:after="0" w:line="270" w:lineRule="auto"/>
        <w:tabs>
          <w:tab w:leader="none" w:pos="68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upon ten Business Days’ notice to the Company and the Holders, petition any court of competent jurisdiction, at the expense of the Company,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72" w:lineRule="exact"/>
        <w:rPr>
          <w:rFonts w:ascii="Arial" w:cs="Arial" w:eastAsia="Arial" w:hAnsi="Arial"/>
          <w:sz w:val="17"/>
          <w:szCs w:val="17"/>
          <w:color w:val="auto"/>
        </w:rPr>
      </w:pPr>
    </w:p>
    <w:p>
      <w:pPr>
        <w:ind w:left="700" w:hanging="264"/>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117" w:lineRule="exact"/>
        <w:rPr>
          <w:rFonts w:ascii="Arial" w:cs="Arial" w:eastAsia="Arial" w:hAnsi="Arial"/>
          <w:sz w:val="18"/>
          <w:szCs w:val="18"/>
          <w:color w:val="auto"/>
        </w:rPr>
      </w:pPr>
    </w:p>
    <w:p>
      <w:pPr>
        <w:ind w:left="440" w:right="580" w:firstLine="419"/>
        <w:spacing w:after="0" w:line="277" w:lineRule="auto"/>
        <w:tabs>
          <w:tab w:leader="none" w:pos="1078"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7.08 and shall fail to resign after written request therefor by the Company or by any such Holder, or</w:t>
      </w:r>
    </w:p>
    <w:p>
      <w:pPr>
        <w:spacing w:after="0" w:line="62" w:lineRule="exact"/>
        <w:rPr>
          <w:rFonts w:ascii="Arial" w:cs="Arial" w:eastAsia="Arial" w:hAnsi="Arial"/>
          <w:sz w:val="18"/>
          <w:szCs w:val="18"/>
          <w:color w:val="auto"/>
        </w:rPr>
      </w:pPr>
    </w:p>
    <w:p>
      <w:pPr>
        <w:ind w:left="440" w:right="140" w:firstLine="419"/>
        <w:spacing w:after="0" w:line="263" w:lineRule="auto"/>
        <w:tabs>
          <w:tab w:leader="none" w:pos="1128"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60" w:name="page61"/>
    <w:bookmarkEnd w:id="60"/>
    <w:p>
      <w:pPr>
        <w:ind w:right="160" w:firstLine="436"/>
        <w:spacing w:after="0" w:line="301" w:lineRule="auto"/>
        <w:tabs>
          <w:tab w:leader="none" w:pos="685"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49" w:lineRule="exact"/>
        <w:rPr>
          <w:rFonts w:ascii="Arial" w:cs="Arial" w:eastAsia="Arial" w:hAnsi="Arial"/>
          <w:sz w:val="16"/>
          <w:szCs w:val="16"/>
          <w:color w:val="auto"/>
        </w:rPr>
      </w:pPr>
    </w:p>
    <w:p>
      <w:pPr>
        <w:ind w:right="220" w:firstLine="436"/>
        <w:spacing w:after="0" w:line="277"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70"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Section 7.10</w:t>
      </w:r>
      <w:r>
        <w:rPr>
          <w:rFonts w:ascii="Arial" w:cs="Arial" w:eastAsia="Arial" w:hAnsi="Arial"/>
          <w:sz w:val="16"/>
          <w:szCs w:val="16"/>
          <w:i w:val="1"/>
          <w:iCs w:val="1"/>
          <w:color w:val="auto"/>
        </w:rPr>
        <w:t>. Acceptance by Successor Trustee.</w:t>
      </w:r>
      <w:r>
        <w:rPr>
          <w:rFonts w:ascii="Arial" w:cs="Arial" w:eastAsia="Arial" w:hAnsi="Arial"/>
          <w:sz w:val="16"/>
          <w:szCs w:val="16"/>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6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 successor trustee shall accept appointment as provided in this Section 7.10 unless at the time of such acceptance such successor trustee shall be eligible under the provisions of Section 7.08.</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61" w:name="page62"/>
    <w:bookmarkEnd w:id="61"/>
    <w:p>
      <w:pPr>
        <w:ind w:right="8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7.11</w:t>
      </w:r>
      <w:r>
        <w:rPr>
          <w:rFonts w:ascii="Arial" w:cs="Arial" w:eastAsia="Arial" w:hAnsi="Arial"/>
          <w:sz w:val="17"/>
          <w:szCs w:val="17"/>
          <w:i w:val="1"/>
          <w:iCs w:val="1"/>
          <w:color w:val="auto"/>
        </w:rPr>
        <w:t>. Succession by Merger, Etc.</w:t>
      </w:r>
      <w:r>
        <w:rPr>
          <w:rFonts w:ascii="Arial" w:cs="Arial" w:eastAsia="Arial" w:hAnsi="Arial"/>
          <w:sz w:val="17"/>
          <w:szCs w:val="17"/>
          <w:color w:val="auto"/>
        </w:rPr>
        <w:t xml:space="preserve"> Any organization or other entity into which the Trustee may be merged or converted or with which it may be consolidated, or any organization or other entity resulting from any merger, conversion or consolidation to which the Trustee shall be a party, or any organization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provided that in the case of any organization or other entity succeeding to all or substantially all of the corporate trust business of the Trustee such organization or other entity shall be eligible under the provisions of Section 7.08.</w:t>
      </w:r>
    </w:p>
    <w:p>
      <w:pPr>
        <w:spacing w:after="0" w:line="17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78" w:lineRule="exact"/>
        <w:rPr>
          <w:sz w:val="20"/>
          <w:szCs w:val="20"/>
          <w:color w:val="auto"/>
        </w:rPr>
      </w:pPr>
    </w:p>
    <w:p>
      <w:pPr>
        <w:ind w:right="140" w:firstLine="440"/>
        <w:spacing w:after="0" w:line="270" w:lineRule="auto"/>
        <w:rPr>
          <w:sz w:val="20"/>
          <w:szCs w:val="20"/>
          <w:color w:val="auto"/>
        </w:rPr>
      </w:pPr>
      <w:r>
        <w:rPr>
          <w:rFonts w:ascii="Arial" w:cs="Arial" w:eastAsia="Arial" w:hAnsi="Arial"/>
          <w:sz w:val="17"/>
          <w:szCs w:val="17"/>
          <w:color w:val="auto"/>
        </w:rPr>
        <w:t>Section 7.12</w:t>
      </w:r>
      <w:r>
        <w:rPr>
          <w:rFonts w:ascii="Arial" w:cs="Arial" w:eastAsia="Arial" w:hAnsi="Arial"/>
          <w:sz w:val="17"/>
          <w:szCs w:val="17"/>
          <w:i w:val="1"/>
          <w:iCs w:val="1"/>
          <w:color w:val="auto"/>
        </w:rPr>
        <w:t>. Trustee’s Application for Instructions from the Company.</w:t>
      </w:r>
      <w:r>
        <w:rPr>
          <w:rFonts w:ascii="Arial" w:cs="Arial" w:eastAsia="Arial" w:hAnsi="Arial"/>
          <w:sz w:val="17"/>
          <w:szCs w:val="17"/>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62" w:name="page63"/>
    <w:bookmarkEnd w:id="62"/>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8</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H</w:t>
      </w:r>
      <w:r>
        <w:rPr>
          <w:rFonts w:ascii="Arial" w:cs="Arial" w:eastAsia="Arial" w:hAnsi="Arial"/>
          <w:sz w:val="14"/>
          <w:szCs w:val="14"/>
          <w:color w:val="auto"/>
        </w:rPr>
        <w:t>OLDERS</w:t>
      </w:r>
    </w:p>
    <w:p>
      <w:pPr>
        <w:spacing w:after="0" w:line="211" w:lineRule="exact"/>
        <w:rPr>
          <w:sz w:val="20"/>
          <w:szCs w:val="20"/>
          <w:color w:val="auto"/>
        </w:rPr>
      </w:pPr>
    </w:p>
    <w:p>
      <w:pPr>
        <w:jc w:val="both"/>
        <w:ind w:left="4" w:right="220" w:firstLine="440"/>
        <w:spacing w:after="0" w:line="287" w:lineRule="auto"/>
        <w:rPr>
          <w:sz w:val="20"/>
          <w:szCs w:val="20"/>
          <w:color w:val="auto"/>
        </w:rPr>
      </w:pPr>
      <w:r>
        <w:rPr>
          <w:rFonts w:ascii="Arial" w:cs="Arial" w:eastAsia="Arial" w:hAnsi="Arial"/>
          <w:sz w:val="16"/>
          <w:szCs w:val="16"/>
          <w:color w:val="auto"/>
        </w:rPr>
        <w:t>Section 8.01</w:t>
      </w:r>
      <w:r>
        <w:rPr>
          <w:rFonts w:ascii="Arial" w:cs="Arial" w:eastAsia="Arial" w:hAnsi="Arial"/>
          <w:sz w:val="16"/>
          <w:szCs w:val="16"/>
          <w:i w:val="1"/>
          <w:iCs w:val="1"/>
          <w:color w:val="auto"/>
        </w:rPr>
        <w:t>. Action by Holders.</w:t>
      </w:r>
      <w:r>
        <w:rPr>
          <w:rFonts w:ascii="Arial" w:cs="Arial" w:eastAsia="Arial" w:hAnsi="Arial"/>
          <w:sz w:val="16"/>
          <w:szCs w:val="16"/>
          <w:color w:val="auto"/>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w:t>
      </w:r>
    </w:p>
    <w:p>
      <w:pPr>
        <w:spacing w:after="0" w:line="2" w:lineRule="exact"/>
        <w:rPr>
          <w:sz w:val="20"/>
          <w:szCs w:val="20"/>
          <w:color w:val="auto"/>
        </w:rPr>
      </w:pPr>
    </w:p>
    <w:p>
      <w:pPr>
        <w:ind w:left="4" w:right="40" w:hanging="4"/>
        <w:spacing w:after="0" w:line="252" w:lineRule="auto"/>
        <w:tabs>
          <w:tab w:leader="none" w:pos="2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94"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Section 8.02</w:t>
      </w:r>
      <w:r>
        <w:rPr>
          <w:rFonts w:ascii="Arial" w:cs="Arial" w:eastAsia="Arial" w:hAnsi="Arial"/>
          <w:sz w:val="17"/>
          <w:szCs w:val="17"/>
          <w:i w:val="1"/>
          <w:iCs w:val="1"/>
          <w:color w:val="auto"/>
        </w:rPr>
        <w:t>. Proof of Execution by Holders.</w:t>
      </w:r>
      <w:r>
        <w:rPr>
          <w:rFonts w:ascii="Arial" w:cs="Arial" w:eastAsia="Arial" w:hAnsi="Arial"/>
          <w:sz w:val="17"/>
          <w:szCs w:val="17"/>
          <w:color w:val="auto"/>
        </w:rPr>
        <w:t xml:space="preserve"> Subject to the provisions of Section 7.01, Section 7.02 and Section 9.05, proof of the execution of any instrument or writing by a Holder or its agent or proxy shall be sufficient if made in accordance with such reasonable rules and regulations as may be prescribed by the Trustee or in such manner as shall be satisfactory to the Trustee . The holding of Notes shall be proved by the Note Register or by a certificate of the Note Registrar. The record of any Holders’ meeting shall be proved in the manner provided in Section 9.06.</w:t>
      </w:r>
    </w:p>
    <w:p>
      <w:pPr>
        <w:spacing w:after="0" w:line="171"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Section 8.03</w:t>
      </w:r>
      <w:r>
        <w:rPr>
          <w:rFonts w:ascii="Arial" w:cs="Arial" w:eastAsia="Arial" w:hAnsi="Arial"/>
          <w:sz w:val="16"/>
          <w:szCs w:val="16"/>
          <w:i w:val="1"/>
          <w:iCs w:val="1"/>
          <w:color w:val="auto"/>
        </w:rPr>
        <w:t>. Who Are Deemed Absolute Owners.</w:t>
      </w:r>
      <w:r>
        <w:rPr>
          <w:rFonts w:ascii="Arial" w:cs="Arial" w:eastAsia="Arial" w:hAnsi="Arial"/>
          <w:sz w:val="16"/>
          <w:szCs w:val="16"/>
          <w:color w:val="auto"/>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nor incur any liability by any notice to the contrary. The sole registered holder of a Global Note shall be the Depositary or its nominee. All such payments or deliveries so made to any Holder for the time being, or upon its order, shall be valid, and, to the extent of the sums or shares of Class A Common Stock so paid or delivered, effectual to satisfy and discharge the liability for monies payable or shares deliverable upon any such Note. Notwithstanding anything to the contrary in this Indenture or the Notes, any holder of a beneficial interest in a Global Note may directly enforce against the Company, without the consent, solicitation, proxy, authorization or any other action of the Depositary or any other Person (x) such holder’s right to convert a Note in which it holds such beneficial interest on account of a Deemed Redemption pursuant to Section 14.01(b)(v), and</w:t>
      </w:r>
    </w:p>
    <w:p>
      <w:pPr>
        <w:spacing w:after="0" w:line="3" w:lineRule="exact"/>
        <w:rPr>
          <w:sz w:val="20"/>
          <w:szCs w:val="20"/>
          <w:color w:val="auto"/>
        </w:rPr>
      </w:pPr>
    </w:p>
    <w:p>
      <w:pPr>
        <w:ind w:left="4" w:right="140" w:hanging="4"/>
        <w:spacing w:after="0" w:line="260" w:lineRule="auto"/>
        <w:tabs>
          <w:tab w:leader="none" w:pos="259"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holder’s right to exchange such beneficial interest for a Note in certificated form in accordance with the provisions of this Indenture following an Event of Default.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4" w:right="459" w:bottom="1440" w:gutter="0" w:footer="0" w:header="0"/>
        </w:sectPr>
      </w:pPr>
    </w:p>
    <w:bookmarkStart w:id="63" w:name="page64"/>
    <w:bookmarkEnd w:id="63"/>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8.04</w:t>
      </w:r>
      <w:r>
        <w:rPr>
          <w:rFonts w:ascii="Arial" w:cs="Arial" w:eastAsia="Arial" w:hAnsi="Arial"/>
          <w:sz w:val="17"/>
          <w:szCs w:val="17"/>
          <w:i w:val="1"/>
          <w:iCs w:val="1"/>
          <w:color w:val="auto"/>
        </w:rPr>
        <w:t>. Company-Owned Notes Disregarded.</w:t>
      </w:r>
      <w:r>
        <w:rPr>
          <w:rFonts w:ascii="Arial" w:cs="Arial" w:eastAsia="Arial" w:hAnsi="Arial"/>
          <w:sz w:val="17"/>
          <w:szCs w:val="17"/>
          <w:color w:val="auto"/>
        </w:rPr>
        <w:t xml:space="preserve">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7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Section 8.05</w:t>
      </w:r>
      <w:r>
        <w:rPr>
          <w:rFonts w:ascii="Arial" w:cs="Arial" w:eastAsia="Arial" w:hAnsi="Arial"/>
          <w:sz w:val="18"/>
          <w:szCs w:val="18"/>
          <w:i w:val="1"/>
          <w:iCs w:val="1"/>
          <w:color w:val="auto"/>
        </w:rPr>
        <w:t>. Revocation of Consents; Future Holders Bound.</w:t>
      </w:r>
      <w:r>
        <w:rPr>
          <w:rFonts w:ascii="Arial" w:cs="Arial" w:eastAsia="Arial" w:hAnsi="Arial"/>
          <w:sz w:val="18"/>
          <w:szCs w:val="18"/>
          <w:color w:val="auto"/>
        </w:rPr>
        <w:t xml:space="preserve">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274" w:right="47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OLDERS</w:t>
      </w:r>
      <w:r>
        <w:rPr>
          <w:rFonts w:ascii="Arial" w:cs="Arial" w:eastAsia="Arial" w:hAnsi="Arial"/>
          <w:sz w:val="18"/>
          <w:szCs w:val="18"/>
          <w:color w:val="auto"/>
        </w:rPr>
        <w:t>’ M</w:t>
      </w:r>
      <w:r>
        <w:rPr>
          <w:rFonts w:ascii="Arial" w:cs="Arial" w:eastAsia="Arial" w:hAnsi="Arial"/>
          <w:sz w:val="14"/>
          <w:szCs w:val="14"/>
          <w:color w:val="auto"/>
        </w:rPr>
        <w:t>EETINGS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Section 9.01</w:t>
      </w:r>
      <w:r>
        <w:rPr>
          <w:rFonts w:ascii="Arial" w:cs="Arial" w:eastAsia="Arial" w:hAnsi="Arial"/>
          <w:sz w:val="17"/>
          <w:szCs w:val="17"/>
          <w:i w:val="1"/>
          <w:iCs w:val="1"/>
          <w:color w:val="auto"/>
        </w:rPr>
        <w:t>. Purpose of Meetings.</w:t>
      </w:r>
      <w:r>
        <w:rPr>
          <w:rFonts w:ascii="Arial" w:cs="Arial" w:eastAsia="Arial" w:hAnsi="Arial"/>
          <w:sz w:val="17"/>
          <w:szCs w:val="17"/>
          <w:color w:val="auto"/>
        </w:rPr>
        <w:t xml:space="preserve"> A meeting of Holders may be called at any time and from time to time pursuant to the provisions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Article 9 for any of the following purposes:</w:t>
      </w:r>
    </w:p>
    <w:p>
      <w:pPr>
        <w:spacing w:after="0" w:line="103" w:lineRule="exact"/>
        <w:rPr>
          <w:sz w:val="20"/>
          <w:szCs w:val="20"/>
          <w:color w:val="auto"/>
        </w:rPr>
      </w:pPr>
    </w:p>
    <w:p>
      <w:pPr>
        <w:jc w:val="both"/>
        <w:ind w:right="80" w:firstLine="436"/>
        <w:spacing w:after="0" w:line="263" w:lineRule="auto"/>
        <w:tabs>
          <w:tab w:leader="none" w:pos="6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remove the Trustee and nominate a successor trustee pursuant to the provisions of Article 7;</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consent to the execution of an indenture or indentures supplemental hereto pursuant to the provisions of Section 10.02; or</w:t>
      </w:r>
    </w:p>
    <w:p>
      <w:pPr>
        <w:spacing w:after="0" w:line="117" w:lineRule="exact"/>
        <w:rPr>
          <w:rFonts w:ascii="Arial" w:cs="Arial" w:eastAsia="Arial" w:hAnsi="Arial"/>
          <w:sz w:val="18"/>
          <w:szCs w:val="18"/>
          <w:color w:val="auto"/>
        </w:rPr>
      </w:pPr>
    </w:p>
    <w:p>
      <w:pPr>
        <w:ind w:right="160" w:firstLine="436"/>
        <w:spacing w:after="0" w:line="277"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170"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Section 9.02</w:t>
      </w:r>
      <w:r>
        <w:rPr>
          <w:rFonts w:ascii="Arial" w:cs="Arial" w:eastAsia="Arial" w:hAnsi="Arial"/>
          <w:sz w:val="18"/>
          <w:szCs w:val="18"/>
          <w:i w:val="1"/>
          <w:iCs w:val="1"/>
          <w:color w:val="auto"/>
        </w:rPr>
        <w:t>. Call of Meetings by Trustee.</w:t>
      </w:r>
      <w:r>
        <w:rPr>
          <w:rFonts w:ascii="Arial" w:cs="Arial" w:eastAsia="Arial" w:hAnsi="Arial"/>
          <w:sz w:val="18"/>
          <w:szCs w:val="18"/>
          <w:color w:val="auto"/>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w:t>
      </w:r>
    </w:p>
    <w:p>
      <w:pPr>
        <w:spacing w:after="0" w:line="2" w:lineRule="exact"/>
        <w:rPr>
          <w:sz w:val="20"/>
          <w:szCs w:val="20"/>
          <w:color w:val="auto"/>
        </w:rPr>
      </w:pPr>
    </w:p>
    <w:p>
      <w:pPr>
        <w:ind w:right="60" w:firstLine="440"/>
        <w:spacing w:after="0" w:line="260" w:lineRule="auto"/>
        <w:rPr>
          <w:sz w:val="20"/>
          <w:szCs w:val="20"/>
          <w:color w:val="auto"/>
        </w:rPr>
      </w:pPr>
      <w:r>
        <w:rPr>
          <w:rFonts w:ascii="Arial" w:cs="Arial" w:eastAsia="Arial" w:hAnsi="Arial"/>
          <w:sz w:val="18"/>
          <w:szCs w:val="18"/>
          <w:color w:val="auto"/>
        </w:rPr>
        <w:t>of such Notes. Such notice shall also be delivered to the Company. Such notices shall be delivered not less than 20 nor more than 90 days prior to the date fixed for the meeting.</w:t>
      </w:r>
    </w:p>
    <w:p>
      <w:pPr>
        <w:spacing w:after="0" w:line="18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Section 9.03</w:t>
      </w:r>
      <w:r>
        <w:rPr>
          <w:rFonts w:ascii="Arial" w:cs="Arial" w:eastAsia="Arial" w:hAnsi="Arial"/>
          <w:sz w:val="17"/>
          <w:szCs w:val="17"/>
          <w:i w:val="1"/>
          <w:iCs w:val="1"/>
          <w:color w:val="auto"/>
        </w:rPr>
        <w:t>. Call of Meetings by Company or Holders.</w:t>
      </w:r>
      <w:r>
        <w:rPr>
          <w:rFonts w:ascii="Arial" w:cs="Arial" w:eastAsia="Arial" w:hAnsi="Arial"/>
          <w:sz w:val="17"/>
          <w:szCs w:val="17"/>
          <w:color w:val="auto"/>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76" w:lineRule="exact"/>
        <w:rPr>
          <w:sz w:val="20"/>
          <w:szCs w:val="20"/>
          <w:color w:val="auto"/>
        </w:rPr>
      </w:pPr>
    </w:p>
    <w:p>
      <w:pPr>
        <w:jc w:val="both"/>
        <w:ind w:firstLine="440"/>
        <w:spacing w:after="0" w:line="301" w:lineRule="auto"/>
        <w:rPr>
          <w:sz w:val="20"/>
          <w:szCs w:val="20"/>
          <w:color w:val="auto"/>
        </w:rPr>
      </w:pPr>
      <w:r>
        <w:rPr>
          <w:rFonts w:ascii="Arial" w:cs="Arial" w:eastAsia="Arial" w:hAnsi="Arial"/>
          <w:sz w:val="16"/>
          <w:szCs w:val="16"/>
          <w:color w:val="auto"/>
        </w:rPr>
        <w:t>Section 9.04</w:t>
      </w:r>
      <w:r>
        <w:rPr>
          <w:rFonts w:ascii="Arial" w:cs="Arial" w:eastAsia="Arial" w:hAnsi="Arial"/>
          <w:sz w:val="16"/>
          <w:szCs w:val="16"/>
          <w:i w:val="1"/>
          <w:iCs w:val="1"/>
          <w:color w:val="auto"/>
        </w:rPr>
        <w:t>. Qualifications for Voting.</w:t>
      </w:r>
      <w:r>
        <w:rPr>
          <w:rFonts w:ascii="Arial" w:cs="Arial" w:eastAsia="Arial" w:hAnsi="Arial"/>
          <w:sz w:val="16"/>
          <w:szCs w:val="16"/>
          <w:color w:val="auto"/>
        </w:rPr>
        <w:t xml:space="preserve">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4" w:right="479" w:bottom="1440" w:gutter="0" w:footer="0" w:header="0"/>
        </w:sectPr>
      </w:pPr>
    </w:p>
    <w:bookmarkStart w:id="65" w:name="page66"/>
    <w:bookmarkEnd w:id="65"/>
    <w:p>
      <w:pPr>
        <w:ind w:right="1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9.05</w:t>
      </w:r>
      <w:r>
        <w:rPr>
          <w:rFonts w:ascii="Arial" w:cs="Arial" w:eastAsia="Arial" w:hAnsi="Arial"/>
          <w:sz w:val="18"/>
          <w:szCs w:val="18"/>
          <w:i w:val="1"/>
          <w:iCs w:val="1"/>
          <w:color w:val="auto"/>
        </w:rPr>
        <w:t>. Regulations.</w:t>
      </w:r>
      <w:r>
        <w:rPr>
          <w:rFonts w:ascii="Arial" w:cs="Arial" w:eastAsia="Arial" w:hAnsi="Arial"/>
          <w:sz w:val="18"/>
          <w:szCs w:val="18"/>
          <w:color w:val="auto"/>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7" w:lineRule="exact"/>
        <w:rPr>
          <w:sz w:val="20"/>
          <w:szCs w:val="20"/>
          <w:color w:val="auto"/>
        </w:rPr>
      </w:pPr>
    </w:p>
    <w:p>
      <w:pPr>
        <w:jc w:val="both"/>
        <w:ind w:right="320" w:firstLine="440"/>
        <w:spacing w:after="0" w:line="301" w:lineRule="auto"/>
        <w:rPr>
          <w:sz w:val="20"/>
          <w:szCs w:val="20"/>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w:t>
      </w:r>
    </w:p>
    <w:p>
      <w:pPr>
        <w:spacing w:after="0" w:line="15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Subject to the provisions of Section 8.04, at any meeting of Holders each Holder or proxyholder shall be entitled to one vote for each $1,000 principal amount of Notes held or represented by him or her;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9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Section 9.06</w:t>
      </w:r>
      <w:r>
        <w:rPr>
          <w:rFonts w:ascii="Arial" w:cs="Arial" w:eastAsia="Arial" w:hAnsi="Arial"/>
          <w:sz w:val="17"/>
          <w:szCs w:val="17"/>
          <w:i w:val="1"/>
          <w:iCs w:val="1"/>
          <w:color w:val="auto"/>
        </w:rPr>
        <w:t>. Voting.</w:t>
      </w:r>
      <w:r>
        <w:rPr>
          <w:rFonts w:ascii="Arial" w:cs="Arial" w:eastAsia="Arial" w:hAnsi="Arial"/>
          <w:sz w:val="17"/>
          <w:szCs w:val="17"/>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66" w:name="page67"/>
    <w:bookmarkEnd w:id="66"/>
    <w:p>
      <w:pPr>
        <w:ind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9.07</w:t>
      </w:r>
      <w:r>
        <w:rPr>
          <w:rFonts w:ascii="Arial" w:cs="Arial" w:eastAsia="Arial" w:hAnsi="Arial"/>
          <w:sz w:val="16"/>
          <w:szCs w:val="16"/>
          <w:i w:val="1"/>
          <w:iCs w:val="1"/>
          <w:color w:val="auto"/>
        </w:rPr>
        <w:t>. No Delay of Rights by Meeting.</w:t>
      </w:r>
      <w:r>
        <w:rPr>
          <w:rFonts w:ascii="Arial" w:cs="Arial" w:eastAsia="Arial" w:hAnsi="Arial"/>
          <w:sz w:val="16"/>
          <w:szCs w:val="16"/>
          <w:color w:val="auto"/>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UPPLEMENTAL</w:t>
      </w:r>
      <w:r>
        <w:rPr>
          <w:rFonts w:ascii="Arial" w:cs="Arial" w:eastAsia="Arial" w:hAnsi="Arial"/>
          <w:sz w:val="18"/>
          <w:szCs w:val="18"/>
          <w:color w:val="auto"/>
        </w:rPr>
        <w:t xml:space="preserve"> I</w:t>
      </w:r>
      <w:r>
        <w:rPr>
          <w:rFonts w:ascii="Arial" w:cs="Arial" w:eastAsia="Arial" w:hAnsi="Arial"/>
          <w:sz w:val="14"/>
          <w:szCs w:val="14"/>
          <w:color w:val="auto"/>
        </w:rPr>
        <w:t>NDENTURES</w:t>
      </w:r>
    </w:p>
    <w:p>
      <w:pPr>
        <w:spacing w:after="0" w:line="211"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Section 10.01</w:t>
      </w:r>
      <w:r>
        <w:rPr>
          <w:rFonts w:ascii="Arial" w:cs="Arial" w:eastAsia="Arial" w:hAnsi="Arial"/>
          <w:sz w:val="17"/>
          <w:szCs w:val="17"/>
          <w:i w:val="1"/>
          <w:iCs w:val="1"/>
          <w:color w:val="auto"/>
        </w:rPr>
        <w:t>. Supplemental Indentures Without Consent of Holders.</w:t>
      </w:r>
      <w:r>
        <w:rPr>
          <w:rFonts w:ascii="Arial" w:cs="Arial" w:eastAsia="Arial" w:hAnsi="Arial"/>
          <w:sz w:val="17"/>
          <w:szCs w:val="17"/>
          <w:color w:val="auto"/>
        </w:rPr>
        <w:t xml:space="preserve"> The Company and the Trustee, at the Company’s expense, may from time to time and at any time enter into an indenture or indentures supplemental hereto for one or more of the following purposes:</w:t>
      </w:r>
    </w:p>
    <w:p>
      <w:pPr>
        <w:spacing w:after="0" w:line="38" w:lineRule="exact"/>
        <w:rPr>
          <w:sz w:val="20"/>
          <w:szCs w:val="20"/>
          <w:color w:val="auto"/>
        </w:rPr>
      </w:pPr>
    </w:p>
    <w:p>
      <w:pPr>
        <w:ind w:left="680" w:hanging="244"/>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 provide for the assumption by a Successor Company of the obligations of the Company under this Indenture pursuant to Article 11;</w:t>
      </w:r>
    </w:p>
    <w:p>
      <w:pPr>
        <w:spacing w:after="0" w:line="128" w:lineRule="exact"/>
        <w:rPr>
          <w:rFonts w:ascii="Arial" w:cs="Arial" w:eastAsia="Arial" w:hAnsi="Arial"/>
          <w:sz w:val="17"/>
          <w:szCs w:val="17"/>
          <w:color w:val="auto"/>
        </w:rPr>
      </w:pPr>
    </w:p>
    <w:p>
      <w:pPr>
        <w:ind w:left="680" w:hanging="244"/>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add guarantees with respect to the Notes; (d) to secure the Notes;</w:t>
      </w:r>
    </w:p>
    <w:p>
      <w:pPr>
        <w:spacing w:after="0" w:line="117" w:lineRule="exact"/>
        <w:rPr>
          <w:sz w:val="20"/>
          <w:szCs w:val="20"/>
          <w:color w:val="auto"/>
        </w:rPr>
      </w:pPr>
    </w:p>
    <w:p>
      <w:pPr>
        <w:ind w:right="80" w:firstLine="436"/>
        <w:spacing w:after="0" w:line="277" w:lineRule="auto"/>
        <w:tabs>
          <w:tab w:leader="none" w:pos="6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add to the covenants or Events of Default of the Company for the benefit of the Holders or surrender any right or power conferred upon the Company;</w:t>
      </w:r>
    </w:p>
    <w:p>
      <w:pPr>
        <w:spacing w:after="0" w:line="62" w:lineRule="exact"/>
        <w:rPr>
          <w:rFonts w:ascii="Arial" w:cs="Arial" w:eastAsia="Arial" w:hAnsi="Arial"/>
          <w:sz w:val="18"/>
          <w:szCs w:val="18"/>
          <w:color w:val="auto"/>
        </w:rPr>
      </w:pPr>
    </w:p>
    <w:p>
      <w:pPr>
        <w:ind w:left="660" w:hanging="224"/>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as determined by the Company in good faith;</w:t>
      </w:r>
    </w:p>
    <w:p>
      <w:pPr>
        <w:spacing w:after="0" w:line="117" w:lineRule="exact"/>
        <w:rPr>
          <w:rFonts w:ascii="Arial" w:cs="Arial" w:eastAsia="Arial" w:hAnsi="Arial"/>
          <w:sz w:val="18"/>
          <w:szCs w:val="18"/>
          <w:color w:val="auto"/>
        </w:rPr>
      </w:pPr>
    </w:p>
    <w:p>
      <w:pPr>
        <w:ind w:right="200" w:firstLine="436"/>
        <w:spacing w:after="0" w:line="308" w:lineRule="auto"/>
        <w:tabs>
          <w:tab w:leader="none" w:pos="695"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connection with any Share Exchange Event, to provide that the Notes are convertible into Reference Property, subject to the provisions of Section 14.02, and make such related changes to the terms of the Notes to the extent expressly required by Section 14.07;</w:t>
      </w:r>
    </w:p>
    <w:p>
      <w:pPr>
        <w:spacing w:after="0" w:line="38" w:lineRule="exact"/>
        <w:rPr>
          <w:rFonts w:ascii="Arial" w:cs="Arial" w:eastAsia="Arial" w:hAnsi="Arial"/>
          <w:sz w:val="17"/>
          <w:szCs w:val="17"/>
          <w:color w:val="auto"/>
        </w:rPr>
      </w:pPr>
    </w:p>
    <w:p>
      <w:pPr>
        <w:ind w:right="20" w:firstLine="436"/>
        <w:spacing w:after="0" w:line="277"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conform the provisions of this Indenture or the Notes to the “Description of Notes” section of the Offering Memorandum as evidenced in an Officer’s Certificate;</w:t>
      </w:r>
    </w:p>
    <w:p>
      <w:pPr>
        <w:spacing w:after="0" w:line="62" w:lineRule="exact"/>
        <w:rPr>
          <w:rFonts w:ascii="Arial" w:cs="Arial" w:eastAsia="Arial" w:hAnsi="Arial"/>
          <w:sz w:val="18"/>
          <w:szCs w:val="18"/>
          <w:color w:val="auto"/>
        </w:rPr>
      </w:pPr>
    </w:p>
    <w:p>
      <w:pPr>
        <w:ind w:right="660" w:firstLine="436"/>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comply with the rules of any applicable Depositary, including The Depository Trust Company, so long as such amendment does not adversely affect the rights of any Holder in any material respect;</w:t>
      </w:r>
    </w:p>
    <w:p>
      <w:pPr>
        <w:spacing w:after="0" w:line="62" w:lineRule="exact"/>
        <w:rPr>
          <w:rFonts w:ascii="Arial" w:cs="Arial" w:eastAsia="Arial" w:hAnsi="Arial"/>
          <w:sz w:val="18"/>
          <w:szCs w:val="18"/>
          <w:color w:val="auto"/>
        </w:rPr>
      </w:pPr>
    </w:p>
    <w:p>
      <w:pPr>
        <w:ind w:left="660" w:hanging="224"/>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appoint a successor trustee with respect to the Notes;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increase the Conversion Rate as provided in this Indenture;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67" w:name="page68"/>
    <w:bookmarkEnd w:id="67"/>
    <w:p>
      <w:pPr>
        <w:ind w:right="440" w:firstLine="436"/>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provide for the acceptance of appointment by a successor Trustee, Note Registrar, Paying Agent, Bid Solicitation Agent or Conversion Agent to facilitate the administration of the trusts under this Indenture by more than one trustee; or</w:t>
      </w:r>
    </w:p>
    <w:p>
      <w:pPr>
        <w:spacing w:after="0" w:line="62" w:lineRule="exact"/>
        <w:rPr>
          <w:rFonts w:ascii="Arial" w:cs="Arial" w:eastAsia="Arial" w:hAnsi="Arial"/>
          <w:sz w:val="18"/>
          <w:szCs w:val="18"/>
          <w:color w:val="auto"/>
        </w:rPr>
      </w:pPr>
    </w:p>
    <w:p>
      <w:pPr>
        <w:ind w:right="180" w:firstLine="436"/>
        <w:spacing w:after="0" w:line="301" w:lineRule="auto"/>
        <w:tabs>
          <w:tab w:leader="none" w:pos="745"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to irrevocably elect a Settlement Method or a Specified Dollar Amount, or eliminate the Company’s right to elect a Settlement Method (including at the Company’s option upon an Irrevocable 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election or elimination shall affect any Settlement Method theretofore elected (or deemed to be elected) with respect to any Note pursuant to the provisions of Article 14. For the avoidance of doubt, no amendment under Section 10.01(m) will affect the Company’s obligation to pay Additional Interest pursuant to the provisions of Section 4.06(e).</w:t>
      </w:r>
    </w:p>
    <w:p>
      <w:pPr>
        <w:spacing w:after="0" w:line="157"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Upon the written request of the Company, the Trustee is hereby authorized to join with the Company in the execution of any such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149"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46"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Section 10.02</w:t>
      </w:r>
      <w:r>
        <w:rPr>
          <w:rFonts w:ascii="Arial" w:cs="Arial" w:eastAsia="Arial" w:hAnsi="Arial"/>
          <w:sz w:val="16"/>
          <w:szCs w:val="16"/>
          <w:i w:val="1"/>
          <w:iCs w:val="1"/>
          <w:color w:val="auto"/>
        </w:rPr>
        <w:t>. Supplemental Indentures with Consent of Holders.</w:t>
      </w:r>
      <w:r>
        <w:rPr>
          <w:rFonts w:ascii="Arial" w:cs="Arial" w:eastAsia="Arial" w:hAnsi="Arial"/>
          <w:sz w:val="16"/>
          <w:szCs w:val="16"/>
          <w:color w:val="auto"/>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without the consent of each Holder of an outstanding Note affected, no such supplemental indenture shall:</w:t>
      </w:r>
    </w:p>
    <w:p>
      <w:pPr>
        <w:spacing w:after="0" w:line="56" w:lineRule="exact"/>
        <w:rPr>
          <w:sz w:val="20"/>
          <w:szCs w:val="20"/>
          <w:color w:val="auto"/>
        </w:rPr>
      </w:pPr>
    </w:p>
    <w:p>
      <w:pPr>
        <w:ind w:left="680" w:hanging="244"/>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reduce the rate of or extend the stated time for payment of interest on any Note; (c) reduce the principal of or extend the Maturity Date of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03" w:lineRule="exact"/>
        <w:rPr>
          <w:sz w:val="20"/>
          <w:szCs w:val="20"/>
          <w:color w:val="auto"/>
        </w:rPr>
      </w:pPr>
    </w:p>
    <w:p>
      <w:pPr>
        <w:ind w:left="5420" w:right="2240" w:hanging="4984"/>
        <w:spacing w:after="0" w:line="449" w:lineRule="auto"/>
        <w:tabs>
          <w:tab w:leader="none" w:pos="697"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except as required by this Indenture, make any change that adversely affects the conversion rights of any Notes; 57</w:t>
      </w:r>
    </w:p>
    <w:p>
      <w:pPr>
        <w:sectPr>
          <w:pgSz w:w="11900" w:h="16838" w:orient="portrait"/>
          <w:cols w:equalWidth="0" w:num="1">
            <w:col w:w="10980"/>
          </w:cols>
          <w:pgMar w:left="440" w:top="274" w:right="479" w:bottom="1440" w:gutter="0" w:footer="0" w:header="0"/>
        </w:sectPr>
      </w:pPr>
    </w:p>
    <w:bookmarkStart w:id="68" w:name="page69"/>
    <w:bookmarkEnd w:id="68"/>
    <w:p>
      <w:pPr>
        <w:jc w:val="both"/>
        <w:ind w:right="300" w:firstLine="436"/>
        <w:spacing w:after="0" w:line="263" w:lineRule="auto"/>
        <w:tabs>
          <w:tab w:leader="none" w:pos="685"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reduce the Redemption Price or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75" w:lineRule="exact"/>
        <w:rPr>
          <w:rFonts w:ascii="Arial" w:cs="Arial" w:eastAsia="Arial" w:hAnsi="Arial"/>
          <w:sz w:val="18"/>
          <w:szCs w:val="18"/>
          <w:color w:val="auto"/>
        </w:rPr>
      </w:pPr>
    </w:p>
    <w:p>
      <w:pPr>
        <w:ind w:left="660" w:hanging="224"/>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make any Note payable in a currency, or at a place of payment, other than that stated in the Note;</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 the ranking of the Notes; or</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make any change in this Article 10 that requires each Holder’s consent or in the waiver provisions in Section 6.02 or Section 6.09.</w:t>
      </w:r>
    </w:p>
    <w:p>
      <w:pPr>
        <w:spacing w:after="0" w:line="237" w:lineRule="exact"/>
        <w:rPr>
          <w:sz w:val="20"/>
          <w:szCs w:val="20"/>
          <w:color w:val="auto"/>
        </w:rPr>
      </w:pPr>
    </w:p>
    <w:p>
      <w:pPr>
        <w:jc w:val="both"/>
        <w:ind w:right="60" w:firstLine="440"/>
        <w:spacing w:after="0" w:line="255" w:lineRule="auto"/>
        <w:rPr>
          <w:sz w:val="20"/>
          <w:szCs w:val="20"/>
          <w:color w:val="auto"/>
        </w:rPr>
      </w:pPr>
      <w:r>
        <w:rPr>
          <w:rFonts w:ascii="Arial" w:cs="Arial" w:eastAsia="Arial" w:hAnsi="Arial"/>
          <w:sz w:val="18"/>
          <w:szCs w:val="18"/>
          <w:color w:val="auto"/>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Indenture or otherwise, in which case the Trustee may in its discretion, but shall not be obligated to, enter into such supplemental indenture.</w:t>
      </w:r>
    </w:p>
    <w:p>
      <w:pPr>
        <w:spacing w:after="0" w:line="23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Holders do not need under this Section 10.02 to approve the particular form of any proposed supplemental indenture. It shall be sufficient if such Holders approve the substance thereof. After any supplemental indenture under Section 10.01 or this Section 10.02 becomes effective, the Company shall deliver to the Holders a notice briefly describing such supplemental indenture. However, the failure to give such notice to all the Holders, or any defect in the notice, will not impair or affect the validity of the supplemental indenture.</w:t>
      </w:r>
    </w:p>
    <w:p>
      <w:pPr>
        <w:spacing w:after="0" w:line="18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Section 10.03</w:t>
      </w:r>
      <w:r>
        <w:rPr>
          <w:rFonts w:ascii="Arial" w:cs="Arial" w:eastAsia="Arial" w:hAnsi="Arial"/>
          <w:sz w:val="16"/>
          <w:szCs w:val="16"/>
          <w:i w:val="1"/>
          <w:iCs w:val="1"/>
          <w:color w:val="auto"/>
        </w:rPr>
        <w:t>. Effect of Supplemental Indentures.</w:t>
      </w:r>
      <w:r>
        <w:rPr>
          <w:rFonts w:ascii="Arial" w:cs="Arial" w:eastAsia="Arial" w:hAnsi="Arial"/>
          <w:sz w:val="16"/>
          <w:szCs w:val="16"/>
          <w:color w:val="auto"/>
        </w:rPr>
        <w:t xml:space="preserve"> Upon the execution of any supplemental indenture pursuant to the provisions of this Article 10, this Indenture shall be and be deemed to be modified and amended in accordance therewith and the respective rights, limitation of rights, obligations, duties, indemnities, privileges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Section 10.04</w:t>
      </w:r>
      <w:r>
        <w:rPr>
          <w:rFonts w:ascii="Arial" w:cs="Arial" w:eastAsia="Arial" w:hAnsi="Arial"/>
          <w:sz w:val="17"/>
          <w:szCs w:val="17"/>
          <w:i w:val="1"/>
          <w:iCs w:val="1"/>
          <w:color w:val="auto"/>
        </w:rPr>
        <w:t>. Notation on Notes.</w:t>
      </w:r>
      <w:r>
        <w:rPr>
          <w:rFonts w:ascii="Arial" w:cs="Arial" w:eastAsia="Arial" w:hAnsi="Arial"/>
          <w:sz w:val="17"/>
          <w:szCs w:val="17"/>
          <w:color w:val="auto"/>
        </w:rPr>
        <w:t xml:space="preserve">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00"/>
          </w:cols>
          <w:pgMar w:left="440" w:top="274" w:right="559" w:bottom="1440" w:gutter="0" w:footer="0" w:header="0"/>
        </w:sectPr>
      </w:pPr>
    </w:p>
    <w:bookmarkStart w:id="69" w:name="page70"/>
    <w:bookmarkEnd w:id="69"/>
    <w:p>
      <w:pPr>
        <w:ind w:right="6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10.05</w:t>
      </w:r>
      <w:r>
        <w:rPr>
          <w:rFonts w:ascii="Arial" w:cs="Arial" w:eastAsia="Arial" w:hAnsi="Arial"/>
          <w:sz w:val="18"/>
          <w:szCs w:val="18"/>
          <w:i w:val="1"/>
          <w:iCs w:val="1"/>
          <w:color w:val="auto"/>
        </w:rPr>
        <w:t>. Evidence of Compliance of Supplemental Indenture to Be Furnished to Trustee.</w:t>
      </w:r>
      <w:r>
        <w:rPr>
          <w:rFonts w:ascii="Arial" w:cs="Arial" w:eastAsia="Arial" w:hAnsi="Arial"/>
          <w:sz w:val="18"/>
          <w:szCs w:val="18"/>
          <w:color w:val="auto"/>
        </w:rPr>
        <w:t xml:space="preserve"> In addition to the documents required by Section 17.05, the Trustee shall receive an Officer’s Certificate and an Opinion of Counsel as conclusive evidence that any supplemental indenture executed pursuant hereto complies with the requirements of this Article 10 and is permitted or authorized by this Indenture; such Opinion of Counsel to include a customary legal opinion stating that such supplemental indenture is the valid and binding obligation of the Company, subject to customary exceptions and qualifications. The Trustee shall have no responsibility for determining whether any amendment or supplemental indenture will or may have an adverse effect on any Holder.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ONSOLIDATION</w:t>
      </w:r>
      <w:r>
        <w:rPr>
          <w:rFonts w:ascii="Arial" w:cs="Arial" w:eastAsia="Arial" w:hAnsi="Arial"/>
          <w:sz w:val="18"/>
          <w:szCs w:val="18"/>
          <w:color w:val="auto"/>
        </w:rPr>
        <w:t>, M</w:t>
      </w:r>
      <w:r>
        <w:rPr>
          <w:rFonts w:ascii="Arial" w:cs="Arial" w:eastAsia="Arial" w:hAnsi="Arial"/>
          <w:sz w:val="14"/>
          <w:szCs w:val="14"/>
          <w:color w:val="auto"/>
        </w:rPr>
        <w:t>ERGER</w:t>
      </w:r>
      <w:r>
        <w:rPr>
          <w:rFonts w:ascii="Arial" w:cs="Arial" w:eastAsia="Arial" w:hAnsi="Arial"/>
          <w:sz w:val="18"/>
          <w:szCs w:val="18"/>
          <w:color w:val="auto"/>
        </w:rPr>
        <w:t>, S</w:t>
      </w:r>
      <w:r>
        <w:rPr>
          <w:rFonts w:ascii="Arial" w:cs="Arial" w:eastAsia="Arial" w:hAnsi="Arial"/>
          <w:sz w:val="14"/>
          <w:szCs w:val="14"/>
          <w:color w:val="auto"/>
        </w:rPr>
        <w:t>ALE</w:t>
      </w:r>
      <w:r>
        <w:rPr>
          <w:rFonts w:ascii="Arial" w:cs="Arial" w:eastAsia="Arial" w:hAnsi="Arial"/>
          <w:sz w:val="18"/>
          <w:szCs w:val="18"/>
          <w:color w:val="auto"/>
        </w:rPr>
        <w:t>, C</w:t>
      </w:r>
      <w:r>
        <w:rPr>
          <w:rFonts w:ascii="Arial" w:cs="Arial" w:eastAsia="Arial" w:hAnsi="Arial"/>
          <w:sz w:val="14"/>
          <w:szCs w:val="14"/>
          <w:color w:val="auto"/>
        </w:rPr>
        <w:t>ONVEYANCE AND</w:t>
      </w:r>
      <w:r>
        <w:rPr>
          <w:rFonts w:ascii="Arial" w:cs="Arial" w:eastAsia="Arial" w:hAnsi="Arial"/>
          <w:sz w:val="18"/>
          <w:szCs w:val="18"/>
          <w:color w:val="auto"/>
        </w:rPr>
        <w:t xml:space="preserve"> L</w:t>
      </w:r>
      <w:r>
        <w:rPr>
          <w:rFonts w:ascii="Arial" w:cs="Arial" w:eastAsia="Arial" w:hAnsi="Arial"/>
          <w:sz w:val="14"/>
          <w:szCs w:val="14"/>
          <w:color w:val="auto"/>
        </w:rPr>
        <w:t>EASE</w:t>
      </w:r>
    </w:p>
    <w:p>
      <w:pPr>
        <w:spacing w:after="0" w:line="103"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 Company May Consolidate, Etc. on Certain Terms.</w:t>
      </w:r>
      <w:r>
        <w:rPr>
          <w:rFonts w:ascii="Arial" w:cs="Arial" w:eastAsia="Arial" w:hAnsi="Arial"/>
          <w:sz w:val="18"/>
          <w:szCs w:val="18"/>
          <w:color w:val="auto"/>
        </w:rPr>
        <w:t xml:space="preserve"> Subject to the provisions of Section 11.02, the Company shall not consolidate with,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w:t>
      </w:r>
    </w:p>
    <w:p>
      <w:pPr>
        <w:spacing w:after="0" w:line="75" w:lineRule="exact"/>
        <w:rPr>
          <w:sz w:val="20"/>
          <w:szCs w:val="20"/>
          <w:color w:val="auto"/>
        </w:rPr>
      </w:pPr>
    </w:p>
    <w:p>
      <w:pPr>
        <w:jc w:val="both"/>
        <w:ind w:right="240" w:firstLine="436"/>
        <w:spacing w:after="0" w:line="289" w:lineRule="auto"/>
        <w:tabs>
          <w:tab w:leader="none" w:pos="68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resulting, surviving or transferee Person (the “</w:t>
      </w:r>
      <w:r>
        <w:rPr>
          <w:rFonts w:ascii="Arial" w:cs="Arial" w:eastAsia="Arial" w:hAnsi="Arial"/>
          <w:sz w:val="17"/>
          <w:szCs w:val="17"/>
          <w:b w:val="1"/>
          <w:bCs w:val="1"/>
          <w:color w:val="auto"/>
        </w:rPr>
        <w:t>Successor Company</w:t>
      </w:r>
      <w:r>
        <w:rPr>
          <w:rFonts w:ascii="Arial" w:cs="Arial" w:eastAsia="Arial" w:hAnsi="Arial"/>
          <w:sz w:val="17"/>
          <w:szCs w:val="17"/>
          <w:color w:val="auto"/>
        </w:rPr>
        <w:t>”),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 and</w:t>
      </w:r>
    </w:p>
    <w:p>
      <w:pPr>
        <w:spacing w:after="0" w:line="53" w:lineRule="exact"/>
        <w:rPr>
          <w:rFonts w:ascii="Arial" w:cs="Arial" w:eastAsia="Arial" w:hAnsi="Arial"/>
          <w:sz w:val="17"/>
          <w:szCs w:val="17"/>
          <w:color w:val="auto"/>
        </w:rPr>
      </w:pPr>
    </w:p>
    <w:p>
      <w:pPr>
        <w:ind w:left="700" w:hanging="264"/>
        <w:spacing w:after="0"/>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no Default or Event of Default shall have occurred and be continuing under this Indenture.</w:t>
      </w:r>
    </w:p>
    <w:p>
      <w:pPr>
        <w:spacing w:after="0" w:line="248"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spacing w:after="0" w:line="17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Section 11.02</w:t>
      </w:r>
      <w:r>
        <w:rPr>
          <w:rFonts w:ascii="Arial" w:cs="Arial" w:eastAsia="Arial" w:hAnsi="Arial"/>
          <w:sz w:val="18"/>
          <w:szCs w:val="18"/>
          <w:i w:val="1"/>
          <w:iCs w:val="1"/>
          <w:color w:val="auto"/>
        </w:rPr>
        <w:t>. Successor Corporation to Be Substituted.</w:t>
      </w:r>
      <w:r>
        <w:rPr>
          <w:rFonts w:ascii="Arial" w:cs="Arial" w:eastAsia="Arial" w:hAnsi="Arial"/>
          <w:sz w:val="18"/>
          <w:szCs w:val="18"/>
          <w:color w:val="auto"/>
        </w:rPr>
        <w:t xml:space="preserve"> 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0"/>
          </w:cols>
          <w:pgMar w:left="440" w:top="274" w:right="479" w:bottom="1440" w:gutter="0" w:footer="0" w:header="0"/>
        </w:sectPr>
      </w:pPr>
    </w:p>
    <w:bookmarkStart w:id="70" w:name="page71"/>
    <w:bookmarkEnd w:id="7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such Successor Company (if not the Company) shall succeed to and, except in the case of a lease of all or substantially all of the consolidated properties and assets of the Company and its Subsidiaries, taken as a whole, shall be substituted for the Company, with the same effect as if it had been named herein as the party of the first part, and may thereafter exercise every right and power of the Company under this Indenture.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 In case of any such consolidation, merger, sale, conveyance, transfer or lease, such changes in phraseology and form (but not in substance) may be made in the Notes thereafter to be issued as may be appropriate.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MMUNITY OF</w:t>
      </w:r>
      <w:r>
        <w:rPr>
          <w:rFonts w:ascii="Arial" w:cs="Arial" w:eastAsia="Arial" w:hAnsi="Arial"/>
          <w:sz w:val="18"/>
          <w:szCs w:val="18"/>
          <w:color w:val="auto"/>
        </w:rPr>
        <w:t xml:space="preserve"> I</w:t>
      </w:r>
      <w:r>
        <w:rPr>
          <w:rFonts w:ascii="Arial" w:cs="Arial" w:eastAsia="Arial" w:hAnsi="Arial"/>
          <w:sz w:val="14"/>
          <w:szCs w:val="14"/>
          <w:color w:val="auto"/>
        </w:rPr>
        <w:t>NCORPORATORS</w:t>
      </w:r>
      <w:r>
        <w:rPr>
          <w:rFonts w:ascii="Arial" w:cs="Arial" w:eastAsia="Arial" w:hAnsi="Arial"/>
          <w:sz w:val="18"/>
          <w:szCs w:val="18"/>
          <w:color w:val="auto"/>
        </w:rPr>
        <w:t>, S</w:t>
      </w:r>
      <w:r>
        <w:rPr>
          <w:rFonts w:ascii="Arial" w:cs="Arial" w:eastAsia="Arial" w:hAnsi="Arial"/>
          <w:sz w:val="14"/>
          <w:szCs w:val="14"/>
          <w:color w:val="auto"/>
        </w:rPr>
        <w:t>TOCKHOLDERS</w:t>
      </w:r>
      <w:r>
        <w:rPr>
          <w:rFonts w:ascii="Arial" w:cs="Arial" w:eastAsia="Arial" w:hAnsi="Arial"/>
          <w:sz w:val="18"/>
          <w:szCs w:val="18"/>
          <w:color w:val="auto"/>
        </w:rPr>
        <w:t>, O</w:t>
      </w:r>
      <w:r>
        <w:rPr>
          <w:rFonts w:ascii="Arial" w:cs="Arial" w:eastAsia="Arial" w:hAnsi="Arial"/>
          <w:sz w:val="14"/>
          <w:szCs w:val="14"/>
          <w:color w:val="auto"/>
        </w:rPr>
        <w:t>FFICERS AND</w:t>
      </w:r>
      <w:r>
        <w:rPr>
          <w:rFonts w:ascii="Arial" w:cs="Arial" w:eastAsia="Arial" w:hAnsi="Arial"/>
          <w:sz w:val="18"/>
          <w:szCs w:val="18"/>
          <w:color w:val="auto"/>
        </w:rPr>
        <w:t xml:space="preserve"> D</w:t>
      </w:r>
      <w:r>
        <w:rPr>
          <w:rFonts w:ascii="Arial" w:cs="Arial" w:eastAsia="Arial" w:hAnsi="Arial"/>
          <w:sz w:val="14"/>
          <w:szCs w:val="14"/>
          <w:color w:val="auto"/>
        </w:rPr>
        <w:t>IRECTORS</w:t>
      </w:r>
    </w:p>
    <w:p>
      <w:pPr>
        <w:spacing w:after="0" w:line="103"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Section 12.01</w:t>
      </w:r>
      <w:r>
        <w:rPr>
          <w:rFonts w:ascii="Arial" w:cs="Arial" w:eastAsia="Arial" w:hAnsi="Arial"/>
          <w:sz w:val="16"/>
          <w:szCs w:val="16"/>
          <w:i w:val="1"/>
          <w:iCs w:val="1"/>
          <w:color w:val="auto"/>
        </w:rPr>
        <w:t>. Indenture and Notes Solely Corporate Obligations.</w:t>
      </w:r>
      <w:r>
        <w:rPr>
          <w:rFonts w:ascii="Arial" w:cs="Arial" w:eastAsia="Arial" w:hAnsi="Arial"/>
          <w:sz w:val="16"/>
          <w:szCs w:val="16"/>
          <w:color w:val="auto"/>
        </w:rPr>
        <w:t xml:space="preserve">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NTENTIONALLY</w:t>
      </w:r>
      <w:r>
        <w:rPr>
          <w:rFonts w:ascii="Arial" w:cs="Arial" w:eastAsia="Arial" w:hAnsi="Arial"/>
          <w:sz w:val="18"/>
          <w:szCs w:val="18"/>
          <w:color w:val="auto"/>
        </w:rPr>
        <w:t xml:space="preserve"> O</w:t>
      </w:r>
      <w:r>
        <w:rPr>
          <w:rFonts w:ascii="Arial" w:cs="Arial" w:eastAsia="Arial" w:hAnsi="Arial"/>
          <w:sz w:val="14"/>
          <w:szCs w:val="14"/>
          <w:color w:val="auto"/>
        </w:rPr>
        <w:t>MITTED</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ONVERSION OF</w:t>
      </w:r>
      <w:r>
        <w:rPr>
          <w:rFonts w:ascii="Arial" w:cs="Arial" w:eastAsia="Arial" w:hAnsi="Arial"/>
          <w:sz w:val="18"/>
          <w:szCs w:val="18"/>
          <w:color w:val="auto"/>
        </w:rPr>
        <w:t xml:space="preserve"> N</w:t>
      </w:r>
      <w:r>
        <w:rPr>
          <w:rFonts w:ascii="Arial" w:cs="Arial" w:eastAsia="Arial" w:hAnsi="Arial"/>
          <w:sz w:val="14"/>
          <w:szCs w:val="14"/>
          <w:color w:val="auto"/>
        </w:rPr>
        <w:t>OTES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Section 14.01</w:t>
      </w:r>
      <w:r>
        <w:rPr>
          <w:rFonts w:ascii="Arial" w:cs="Arial" w:eastAsia="Arial" w:hAnsi="Arial"/>
          <w:sz w:val="18"/>
          <w:szCs w:val="18"/>
          <w:i w:val="1"/>
          <w:iCs w:val="1"/>
          <w:color w:val="auto"/>
        </w:rPr>
        <w:t>. Conversion Privilege.</w:t>
      </w:r>
    </w:p>
    <w:p>
      <w:pPr>
        <w:spacing w:after="0" w:line="117" w:lineRule="exact"/>
        <w:rPr>
          <w:sz w:val="20"/>
          <w:szCs w:val="20"/>
          <w:color w:val="auto"/>
        </w:rPr>
      </w:pPr>
    </w:p>
    <w:p>
      <w:pPr>
        <w:ind w:left="-20" w:right="140" w:firstLine="436"/>
        <w:spacing w:after="0" w:line="270" w:lineRule="auto"/>
        <w:tabs>
          <w:tab w:leader="none" w:pos="665" w:val="left"/>
        </w:tabs>
        <w:numPr>
          <w:ilvl w:val="0"/>
          <w:numId w:val="58"/>
        </w:numPr>
        <w:rPr>
          <w:rFonts w:ascii="Arial" w:cs="Arial" w:eastAsia="Arial" w:hAnsi="Arial"/>
          <w:sz w:val="17"/>
          <w:szCs w:val="17"/>
          <w:color w:val="auto"/>
        </w:rPr>
      </w:pPr>
      <w:r>
        <w:rPr>
          <w:rFonts w:ascii="Arial" w:cs="Arial" w:eastAsia="Arial" w:hAnsi="Arial"/>
          <w:sz w:val="17"/>
          <w:szCs w:val="17"/>
          <w:color w:val="auto"/>
        </w:rPr>
        <w:t>Subject to and upon compliance with the provisions of this Article 14, each Holder of a Note shall have the right, at such Holder’s option, to convert all or any portion (if the portion to be converted is $1,000 principal amount or an integral multiple thereof) of such Note (i) subject to satisfaction of the conditions described in Section 14.01(b), at any time prior to the close of business on the Business Day immediately preceding November 1, 2026 under the circumstances and during the periods set forth in Section 14.01(b), and (ii) regardless of the conditions described in Section 14.01(b), on or after November 1, 2026 and prior to the close of business on the second Scheduled Trading Day immediately preceding the Maturity Date, in each case, at an initial conversion rate of 17.8213 shares of Class A Common Stock (subject to adjustment as provided in this Article 14, the “</w:t>
      </w:r>
      <w:r>
        <w:rPr>
          <w:rFonts w:ascii="Arial" w:cs="Arial" w:eastAsia="Arial" w:hAnsi="Arial"/>
          <w:sz w:val="17"/>
          <w:szCs w:val="17"/>
          <w:b w:val="1"/>
          <w:bCs w:val="1"/>
          <w:color w:val="auto"/>
        </w:rPr>
        <w:t>Conversion Rate</w:t>
      </w:r>
      <w:r>
        <w:rPr>
          <w:rFonts w:ascii="Arial" w:cs="Arial" w:eastAsia="Arial" w:hAnsi="Arial"/>
          <w:sz w:val="17"/>
          <w:szCs w:val="17"/>
          <w:color w:val="auto"/>
        </w:rPr>
        <w:t>”) per $1,000 principal amount of Notes (subject to, and in accordance with, the settlement provisions of Section 14.02, the “</w:t>
      </w:r>
      <w:r>
        <w:rPr>
          <w:rFonts w:ascii="Arial" w:cs="Arial" w:eastAsia="Arial" w:hAnsi="Arial"/>
          <w:sz w:val="17"/>
          <w:szCs w:val="17"/>
          <w:b w:val="1"/>
          <w:bCs w:val="1"/>
          <w:color w:val="auto"/>
        </w:rPr>
        <w:t>Conversion Obligation</w:t>
      </w:r>
      <w:r>
        <w:rPr>
          <w:rFonts w:ascii="Arial" w:cs="Arial" w:eastAsia="Arial" w:hAnsi="Arial"/>
          <w:sz w:val="17"/>
          <w:szCs w:val="17"/>
          <w:color w:val="auto"/>
        </w:rPr>
        <w:t>”). The Trustee shall have no obligation to make any determination as to whether any of the conditions described in Section 14.01(b) have been satisfied.</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w:t>
      </w:r>
    </w:p>
    <w:p>
      <w:pPr>
        <w:spacing w:after="0" w:line="117" w:lineRule="exact"/>
        <w:rPr>
          <w:sz w:val="20"/>
          <w:szCs w:val="20"/>
          <w:color w:val="auto"/>
        </w:rPr>
      </w:pPr>
    </w:p>
    <w:p>
      <w:pPr>
        <w:ind w:left="420" w:firstLine="419"/>
        <w:spacing w:after="0" w:line="287" w:lineRule="auto"/>
        <w:tabs>
          <w:tab w:leader="none" w:pos="1058"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Prior to the close of business on the Business Day immediately preceding November 1, 2026, a Holder may surrender all or any portion of its Notes for conversion at any time during the five Business Day period immediately after any ten consecutive Trading Day period (the “</w:t>
      </w:r>
      <w:r>
        <w:rPr>
          <w:rFonts w:ascii="Arial" w:cs="Arial" w:eastAsia="Arial" w:hAnsi="Arial"/>
          <w:sz w:val="16"/>
          <w:szCs w:val="16"/>
          <w:b w:val="1"/>
          <w:bCs w:val="1"/>
          <w:color w:val="auto"/>
        </w:rPr>
        <w:t>Measurement Period</w:t>
      </w:r>
      <w:r>
        <w:rPr>
          <w:rFonts w:ascii="Arial" w:cs="Arial" w:eastAsia="Arial" w:hAnsi="Arial"/>
          <w:sz w:val="16"/>
          <w:szCs w:val="16"/>
          <w:color w:val="auto"/>
        </w:rPr>
        <w:t>”) in which the Trading Price per $1,000 principal amount of Notes, as determined following a request by a Holder of Notes in accordance with this subsection (b)(i), for each Trading Day of the Measurement Period was less than 98% of the product of the Last Reported Sale Price of the Class A Common Stock on each such Trading Day and the Conversion Rate on each such Trading Day. The Trading Prices shall be determined by the Bid Solicitation Agent pursuant to this subsection (b)(i) and the definition of Trading Price set forth in this Indenture. The Bid Solicitation Agent (if other than the Company) shall have no obligation to determine the Trading Price per $1,000 principal amount of Notes unless the Company has requested such determination, and the Company shall have no obligation to make such request (or, if the Company is acting as Bid Solicitation Agent, the Company shall have no obligation to determine the Trading Price per $1,000 principal amount of Notes) unless a Holder or Holders of at least $5,000,000 aggregate principal amount of Notes provides the Company with reasonable evidence that the Trading Price per $1,000 principal amount of Notes on any Trading Day would be less than 98% of the product of the Last Reported Sale Price of the Class A Common Stock on such Trading Day and the Conversion Rate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0"/>
          </w:cols>
          <w:pgMar w:left="460" w:top="274" w:right="479" w:bottom="1440" w:gutter="0" w:footer="0" w:header="0"/>
        </w:sectPr>
      </w:pPr>
    </w:p>
    <w:bookmarkStart w:id="72" w:name="page73"/>
    <w:bookmarkEnd w:id="7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such Trading Day, at which time the Company shall instruct three independent nationally recognized securities dealers to deliver bids and instruct the Bid Solicitation Agent (if other than the Company) to determine, or if the Company is acting as Bid Solicitation Agent, the Company shall determine, the Trading Price per $1,000 principal amount of Notes beginning on the next Trading Day and on each successive Trading Day until the Trading Price per $1,000 principal amount of Notes is greater than or equal to 98% of the product of the Last Reported Sale Price of the Class A Common Stock and the Conversion Rate. If (x) the Company is not acting as Bid Solicitation Agent, and the Company does not, when the Company is required to, instruct the Bid Solicitation Agent to determine the Trading Price per $1,000 principal amount of Notes when obligated as provided in the preceding sentence, or if the Company gives such instruction to the Bid Solicitation Agent and the Bid Solicitation Agent fails to make such determination, or (y) the Company is acting as Bid Solicitation Agent and the Company fails to make such determination when obligated as provided in the preceding sentence, then, in either case, the Trading Price per $1,000 principal amount of Notes on any date shall be deemed to be less than 98% of the product of the Last Reported Sale Price of the Class A Common Stock and the Conversion Rate on each Trading Day of such failure. If the Trading Price condition set forth above has been met, the Company shall so notify the Holders, the Trustee and the Conversion Agent (if other than the Trustee) in writing. Any such determination shall be conclusive absent manifest error. If, at any time after the Trading Price condition set forth above has been met, the Trading Price per $1,000 principal amount of Notes is greater than or equal to 98% of the product of the Last Reported Sale Price of the Class A Common Stock and the Conversion Rate for such date, the Company shall so notify the Holders, the Trustee and the Conversion Agent (if other than the Trustee) in writing and thereafter neither the Company nor the Bid Solicitation Agent (if other than the Company) shall be required to solicit bids (or determine the Trading Price of the Notes as set forth in this Indenture) again unless a new Holder request is made as provided in this subsection (b)(i).</w:t>
      </w:r>
    </w:p>
    <w:p>
      <w:pPr>
        <w:spacing w:after="0" w:line="66" w:lineRule="exact"/>
        <w:rPr>
          <w:sz w:val="20"/>
          <w:szCs w:val="20"/>
          <w:color w:val="auto"/>
        </w:rPr>
      </w:pPr>
    </w:p>
    <w:p>
      <w:pPr>
        <w:ind w:left="680" w:hanging="261"/>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prior to the close of business on the Business Day immediately preceding November 1, 2026, the Company elects to:</w:t>
      </w:r>
    </w:p>
    <w:p>
      <w:pPr>
        <w:spacing w:after="0" w:line="117" w:lineRule="exact"/>
        <w:rPr>
          <w:rFonts w:ascii="Arial" w:cs="Arial" w:eastAsia="Arial" w:hAnsi="Arial"/>
          <w:sz w:val="18"/>
          <w:szCs w:val="18"/>
          <w:color w:val="auto"/>
        </w:rPr>
      </w:pPr>
    </w:p>
    <w:p>
      <w:pPr>
        <w:ind w:left="540" w:right="20" w:firstLine="408"/>
        <w:spacing w:after="0" w:line="255" w:lineRule="auto"/>
        <w:tabs>
          <w:tab w:leader="none" w:pos="1236"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distribute to all or substantially all holders of the Class A Common Stock any rights, options or warrants (other than in connection with a stockholder rights plan prior to the separation of such rights from the Class A Common Stock) entitling them, for a period of not more than 60 calendar days after the announcement date of such distribution, to subscribe for or purchase shares of the Class A Common Stock at a price per share that is less than the average of the Last Reported Sale Prices of the Class A Common Stock for the 10 consecutive Trading Day period ending on, and including, the Trading Day immediately preceding the date of announcement of such distribution; or</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560"/>
          </w:cols>
          <w:pgMar w:left="880" w:top="274" w:right="459" w:bottom="1440" w:gutter="0" w:footer="0" w:header="0"/>
        </w:sectPr>
      </w:pPr>
    </w:p>
    <w:bookmarkStart w:id="73" w:name="page74"/>
    <w:bookmarkEnd w:id="73"/>
    <w:p>
      <w:pPr>
        <w:ind w:left="540" w:right="120" w:firstLine="408"/>
        <w:spacing w:after="0" w:line="301" w:lineRule="auto"/>
        <w:tabs>
          <w:tab w:leader="none" w:pos="1226" w:val="left"/>
        </w:tabs>
        <w:numPr>
          <w:ilvl w:val="0"/>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distribute to all or substantially all holders of the Class A Common Stock the Company’s assets, securities or rights to purchase securities of the Company (other than in connection with a stockholder rights plan prior to separation of such rights from the Class A Common Stock), which distribution has a per share value, as reasonably determined by the Company in good faith, exceeding 10% of the Last Reported Sale Price of the Class A Common Stock on the Trading Day preceding the date of announcement for such distribution,</w:t>
      </w:r>
    </w:p>
    <w:p>
      <w:pPr>
        <w:spacing w:after="0" w:line="4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then, in either case, the Company shall notify all Holders of the Notes, the Trustee and the Conversion Agent (if other than the Trustee) in writing at least 46 Scheduled Trading Days prior to the Ex-Dividend Date for such distribution (or, if later in the case of any such separation of rights issued pursuant to a stockholder rights plan, as soon as reasonably practicable after the Company becomes aware that such separation or triggering event has occurred or will occur);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the Company is then otherwise permitted to settle conversions of Notes by Physical Settlement (and, for the avoidance of doubt, has not irrevocably elected another Settlement Method for conversions of Notes), then the Company may instead elect to provide such notice at least five Scheduled Trading Days prior to such Ex-Dividend Date, in which case the Company shall be required to settle all conversions of Notes with a Conversion Date occurring during the period on or after the date the Company provides such notice and before such Ex-Dividend Date (or, if earlier, the date the Company announces that such issuance or distribution will not take place) by Physical Settlement, and the Company shall describe the same in such notice. Once the Company has given such notice, a Holder may surrender all or any portion of its Notes for conversion at any time until the earlier of (1) the close of business on the Business Day immediately preceding the Ex- Dividend Date for such distribution and (2) the Company’s announcement that such distribution will not take place, in each case, even if the Notes are not otherwise convertible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may not convert their Notes pursuant to this subsection (b)(ii) if they participate, at the same time and upon the same terms as holders of the Class A Common Stock and solely as a result of holding the Notes, in any of the transactions described in clause (A) or (B) of this subsection (b)(ii) without having to convert their Notes as if they held a number of shares of Class A Common Stock equal to the Conversion Rate,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principal amount (expressed in thousands) of Notes held by such Holder.</w:t>
      </w:r>
    </w:p>
    <w:p>
      <w:pPr>
        <w:spacing w:after="0" w:line="72" w:lineRule="exact"/>
        <w:rPr>
          <w:sz w:val="20"/>
          <w:szCs w:val="20"/>
          <w:color w:val="auto"/>
        </w:rPr>
      </w:pPr>
    </w:p>
    <w:p>
      <w:pPr>
        <w:ind w:firstLine="419"/>
        <w:spacing w:after="0" w:line="272" w:lineRule="auto"/>
        <w:tabs>
          <w:tab w:leader="none" w:pos="738"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(A) a transaction or event that constitutes a Fundamental Change or a Make-Whole Fundamental Change occurs prior to the close of business on the Business Day immediately preceding November 1, 2026, regardless of whether a Holder has the right to require the Company to repurchase the Notes pursuant to Section 15.02, or (B) if the Company is a party to a Share Exchange Event (other than a Share Exchange Event that is solely for the purpose of changing the Company’s jurisdiction of organization that (x) does not constitute a Fundamental Change or a Make-Whole Fundamental Change and (y) results in a reclassification, conversion or exchange of outstanding shares of Class A Common Stock solely into shares of common stock of the surviving entity and such common stock becomes Reference Property for the Notes) that occurs prior to the close of business on the Business Day immediately preceding November 1, 2026, (each such</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580"/>
          </w:cols>
          <w:pgMar w:left="880" w:top="274" w:right="439" w:bottom="1440" w:gutter="0" w:footer="0" w:header="0"/>
        </w:sectPr>
      </w:pPr>
    </w:p>
    <w:bookmarkStart w:id="74" w:name="page75"/>
    <w:bookmarkEnd w:id="74"/>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Fundamental Change, Make-Whole Fundamental Change or Share Exchange Event, a “</w:t>
      </w:r>
      <w:r>
        <w:rPr>
          <w:rFonts w:ascii="Arial" w:cs="Arial" w:eastAsia="Arial" w:hAnsi="Arial"/>
          <w:sz w:val="16"/>
          <w:szCs w:val="16"/>
          <w:b w:val="1"/>
          <w:bCs w:val="1"/>
          <w:color w:val="auto"/>
        </w:rPr>
        <w:t>Corporate Event</w:t>
      </w:r>
      <w:r>
        <w:rPr>
          <w:rFonts w:ascii="Arial" w:cs="Arial" w:eastAsia="Arial" w:hAnsi="Arial"/>
          <w:sz w:val="16"/>
          <w:szCs w:val="16"/>
          <w:color w:val="auto"/>
        </w:rPr>
        <w:t>”), all or any portion of a Holder’s Notes may be surrendered for conversion at any time from or after the effective date of such Corporate Event until the earlier of (x) 35 Trading Days after the effective date of the Corporate Event (or, if the Company gives notice after the effective date of such Corporate Event, until 35 Trading Days after the date the Company gives notice of such Corporate Event) or, if such Corporate Event also constitutes a Fundamental Change (other than an Exempted Fundamental Change), until the close of business on the Business Day immediately preceding the related Fundamental Change Repurchase Date and (y) the close of business on the second Scheduled Trading Day immediately preceding the Maturity Date. The Company shall notify Holders, the Trustee and the Conversion Agent (if other than the Trustee) in writing as promptly as practicable following the effective date of such Corporate Event, but in no event later than one Business Day after the effective date of such Corporate Event.</w:t>
      </w:r>
    </w:p>
    <w:p>
      <w:pPr>
        <w:spacing w:after="0" w:line="55" w:lineRule="exact"/>
        <w:rPr>
          <w:sz w:val="20"/>
          <w:szCs w:val="20"/>
          <w:color w:val="auto"/>
        </w:rPr>
      </w:pPr>
    </w:p>
    <w:p>
      <w:pPr>
        <w:ind w:right="80" w:firstLine="419"/>
        <w:spacing w:after="0" w:line="275" w:lineRule="auto"/>
        <w:tabs>
          <w:tab w:leader="none" w:pos="7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Prior to the close of business on the Business Day immediately preceding November 1, 2026, a Holder may surrender all or any portion of its Notes for conversion at any time during any calendar quarter commencing after the calendar quarter ending on June 30, 2022 (and only during such calendar quarter), if the Last Reported Sale Price of the Class A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w:t>
      </w:r>
    </w:p>
    <w:p>
      <w:pPr>
        <w:spacing w:after="0" w:line="68" w:lineRule="exact"/>
        <w:rPr>
          <w:rFonts w:ascii="Arial" w:cs="Arial" w:eastAsia="Arial" w:hAnsi="Arial"/>
          <w:sz w:val="17"/>
          <w:szCs w:val="17"/>
          <w:color w:val="auto"/>
        </w:rPr>
      </w:pPr>
    </w:p>
    <w:p>
      <w:pPr>
        <w:ind w:firstLine="419"/>
        <w:spacing w:after="0" w:line="287" w:lineRule="auto"/>
        <w:tabs>
          <w:tab w:leader="none" w:pos="678"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Company calls any Notes for Optional Redemption pursuant to Article 16, then a Holder may surrender all or any portion of its Called Notes for conversion at any time prior to the close of business on the Scheduled Trading Day immediately preceding the Redemption Date, even if the Called Notes are not otherwise convertible at such time. After that time, the right to convert such Called Notes on account of the Company’s delivery of a Notice of Redemption shall expire, unless the Company defaults in the payment of the Redemption Price, in which case a Holder of Called Notes may convert all or a portion of its Called Notes until the close of business on the Scheduled Trading Day immediately preceding the date on which the Redemption Price has been paid or duly provided for. If the Company elects to redeem fewer than all of the outstanding Notes pursuant to Article 16, and the Holder of any Note (or any owner of a beneficial interest in any Global Note) is reasonably not able to determine, prior to the close of business on the 44th Scheduled Trading Day immediately preceding the relevant Redemption Date (or if, as permitted by Section 16.02(a), the Company delivers a Notice of Redemption not less than 15 nor more than 60 calendar days prior to the related Redemption Date, then prior to close of business on the 14th calendar day immediately before the relevant Redemption Date), whether such Note or beneficial interest, as applicable, is to be redeemed pursuant to such Optional Redemption (and, as a result thereof, convertible on account of the related Notice of Redemption in accordance with the provisions of this Indenture), then such Holder or owner, as applicable, will be</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560"/>
          </w:cols>
          <w:pgMar w:left="880" w:top="270" w:right="459" w:bottom="1440" w:gutter="0" w:footer="0" w:header="0"/>
        </w:sectPr>
      </w:pPr>
    </w:p>
    <w:bookmarkStart w:id="75" w:name="page76"/>
    <w:bookmarkEnd w:id="75"/>
    <w:p>
      <w:pPr>
        <w:ind w:left="44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entitled to convert such Note or beneficial interest, as applicable, at any time during the related Redemption Period, and each such conversion will be deemed to be of a Note called for Optional Redemption, and such Note or beneficial interest will be deemed called for Optional Redemption solely for the purposes of such conversion (“</w:t>
      </w:r>
      <w:r>
        <w:rPr>
          <w:rFonts w:ascii="Arial" w:cs="Arial" w:eastAsia="Arial" w:hAnsi="Arial"/>
          <w:sz w:val="17"/>
          <w:szCs w:val="17"/>
          <w:b w:val="1"/>
          <w:bCs w:val="1"/>
          <w:color w:val="auto"/>
        </w:rPr>
        <w:t>Deemed Redemption</w:t>
      </w:r>
      <w:r>
        <w:rPr>
          <w:rFonts w:ascii="Arial" w:cs="Arial" w:eastAsia="Arial" w:hAnsi="Arial"/>
          <w:sz w:val="17"/>
          <w:szCs w:val="17"/>
          <w:color w:val="auto"/>
        </w:rPr>
        <w:t>”). If a Holder elects to convert Called Notes during the related Redemption Period, such conversion will be deemed “in connection with” the relevant Notice of Redemption pursuant to Section 14.03(a), and the Company will, under certain circumstances, increase the Conversion Rate for such Called Notes pursuant to Section 14.03. Accordingly, if the Company elects to redeem fewer than all of the outstanding Notes pursuant to Article 16, Holders of the Notes that are not Called Notes shall not be entitled to convert such Notes pursuant to this Section 14.01(b)(v) and shall not be entitled to an increase in the Conversion Rate on account of the Notice of Redemption for conversions of such Notes during the related Redemption Period, even if such Notes are otherwise convertible pursuant to any other provision of this Section 14.01(b).</w:t>
      </w:r>
    </w:p>
    <w:p>
      <w:pPr>
        <w:spacing w:after="0" w:line="7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14.02</w:t>
      </w:r>
      <w:r>
        <w:rPr>
          <w:rFonts w:ascii="Arial" w:cs="Arial" w:eastAsia="Arial" w:hAnsi="Arial"/>
          <w:sz w:val="18"/>
          <w:szCs w:val="18"/>
          <w:i w:val="1"/>
          <w:iCs w:val="1"/>
          <w:color w:val="auto"/>
        </w:rPr>
        <w:t>. Conversion Procedure; Settlement Upon Conversion.</w:t>
      </w:r>
    </w:p>
    <w:p>
      <w:pPr>
        <w:spacing w:after="0" w:line="117" w:lineRule="exact"/>
        <w:rPr>
          <w:sz w:val="20"/>
          <w:szCs w:val="20"/>
          <w:color w:val="auto"/>
        </w:rPr>
      </w:pPr>
    </w:p>
    <w:p>
      <w:pPr>
        <w:ind w:left="4" w:right="120" w:firstLine="436"/>
        <w:spacing w:after="0" w:line="285" w:lineRule="auto"/>
        <w:tabs>
          <w:tab w:leader="none" w:pos="689" w:val="left"/>
        </w:tabs>
        <w:numPr>
          <w:ilvl w:val="1"/>
          <w:numId w:val="64"/>
        </w:numPr>
        <w:rPr>
          <w:rFonts w:ascii="Arial" w:cs="Arial" w:eastAsia="Arial" w:hAnsi="Arial"/>
          <w:sz w:val="16"/>
          <w:szCs w:val="16"/>
          <w:color w:val="auto"/>
        </w:rPr>
      </w:pPr>
      <w:r>
        <w:rPr>
          <w:rFonts w:ascii="Arial" w:cs="Arial" w:eastAsia="Arial" w:hAnsi="Arial"/>
          <w:sz w:val="16"/>
          <w:szCs w:val="16"/>
          <w:color w:val="auto"/>
        </w:rPr>
        <w:t>Subject to this Section 14.02, Section 14.03(b) and Section 14.07(a), upon conversion of any Note, the Company shall satisfy its Conversion Obligation by paying or delivering, as the case may be, to the converting Holder, in respect of each $1,000 principal amount of Notes being converted, cash (“</w:t>
      </w:r>
      <w:r>
        <w:rPr>
          <w:rFonts w:ascii="Arial" w:cs="Arial" w:eastAsia="Arial" w:hAnsi="Arial"/>
          <w:sz w:val="16"/>
          <w:szCs w:val="16"/>
          <w:b w:val="1"/>
          <w:bCs w:val="1"/>
          <w:color w:val="auto"/>
        </w:rPr>
        <w:t>Cash Settlement</w:t>
      </w:r>
      <w:r>
        <w:rPr>
          <w:rFonts w:ascii="Arial" w:cs="Arial" w:eastAsia="Arial" w:hAnsi="Arial"/>
          <w:sz w:val="16"/>
          <w:szCs w:val="16"/>
          <w:color w:val="auto"/>
        </w:rPr>
        <w:t>”), shares of Class A Common Stock, together with cash, if applicable, in lieu of delivering any fractional share of Class A Common Stock in accordance with subsection (j) of this Section 14.02 (“</w:t>
      </w:r>
      <w:r>
        <w:rPr>
          <w:rFonts w:ascii="Arial" w:cs="Arial" w:eastAsia="Arial" w:hAnsi="Arial"/>
          <w:sz w:val="16"/>
          <w:szCs w:val="16"/>
          <w:b w:val="1"/>
          <w:bCs w:val="1"/>
          <w:color w:val="auto"/>
        </w:rPr>
        <w:t>Physical Settlement</w:t>
      </w:r>
      <w:r>
        <w:rPr>
          <w:rFonts w:ascii="Arial" w:cs="Arial" w:eastAsia="Arial" w:hAnsi="Arial"/>
          <w:sz w:val="16"/>
          <w:szCs w:val="16"/>
          <w:color w:val="auto"/>
        </w:rPr>
        <w:t>”) or a combination of cash and shares of Class A Common Stock, together with cash, if applicable, in lieu of delivering any fractional share of Class A Common Stock in accordance with subsection</w:t>
      </w:r>
    </w:p>
    <w:p>
      <w:pPr>
        <w:spacing w:after="0" w:line="1" w:lineRule="exact"/>
        <w:rPr>
          <w:rFonts w:ascii="Arial" w:cs="Arial" w:eastAsia="Arial" w:hAnsi="Arial"/>
          <w:sz w:val="16"/>
          <w:szCs w:val="16"/>
          <w:color w:val="auto"/>
        </w:rPr>
      </w:pPr>
    </w:p>
    <w:p>
      <w:pPr>
        <w:ind w:left="224" w:hanging="224"/>
        <w:spacing w:after="0"/>
        <w:tabs>
          <w:tab w:leader="none" w:pos="2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of this Section 14.02 (“</w:t>
      </w:r>
      <w:r>
        <w:rPr>
          <w:rFonts w:ascii="Arial" w:cs="Arial" w:eastAsia="Arial" w:hAnsi="Arial"/>
          <w:sz w:val="18"/>
          <w:szCs w:val="18"/>
          <w:b w:val="1"/>
          <w:bCs w:val="1"/>
          <w:color w:val="auto"/>
        </w:rPr>
        <w:t>Combination Settlement</w:t>
      </w:r>
      <w:r>
        <w:rPr>
          <w:rFonts w:ascii="Arial" w:cs="Arial" w:eastAsia="Arial" w:hAnsi="Arial"/>
          <w:sz w:val="18"/>
          <w:szCs w:val="18"/>
          <w:color w:val="auto"/>
        </w:rPr>
        <w:t>”), at its election, as set forth in this Section 14.02.</w:t>
      </w:r>
    </w:p>
    <w:p>
      <w:pPr>
        <w:spacing w:after="0" w:line="102" w:lineRule="exact"/>
        <w:rPr>
          <w:rFonts w:ascii="Arial" w:cs="Arial" w:eastAsia="Arial" w:hAnsi="Arial"/>
          <w:sz w:val="18"/>
          <w:szCs w:val="18"/>
          <w:color w:val="auto"/>
        </w:rPr>
      </w:pPr>
    </w:p>
    <w:p>
      <w:pPr>
        <w:ind w:left="444" w:right="340" w:firstLine="419"/>
        <w:spacing w:after="0" w:line="342" w:lineRule="auto"/>
        <w:tabs>
          <w:tab w:leader="none" w:pos="1082" w:val="left"/>
        </w:tabs>
        <w:numPr>
          <w:ilvl w:val="2"/>
          <w:numId w:val="65"/>
        </w:numPr>
        <w:rPr>
          <w:rFonts w:ascii="Arial" w:cs="Arial" w:eastAsia="Arial" w:hAnsi="Arial"/>
          <w:sz w:val="16"/>
          <w:szCs w:val="16"/>
          <w:color w:val="auto"/>
        </w:rPr>
      </w:pPr>
      <w:r>
        <w:rPr>
          <w:rFonts w:ascii="Arial" w:cs="Arial" w:eastAsia="Arial" w:hAnsi="Arial"/>
          <w:sz w:val="16"/>
          <w:szCs w:val="16"/>
          <w:color w:val="auto"/>
        </w:rPr>
        <w:t>All conversions of Called Notes for which the relevant Conversion Date occurs during the related Redemption Period, and all conversions for which the relevant Conversion Date occurs on or after November 1, 2026, shall be settled using the same Settlement Method.</w:t>
      </w:r>
    </w:p>
    <w:p>
      <w:pPr>
        <w:spacing w:after="0" w:line="15" w:lineRule="exact"/>
        <w:rPr>
          <w:rFonts w:ascii="Arial" w:cs="Arial" w:eastAsia="Arial" w:hAnsi="Arial"/>
          <w:sz w:val="16"/>
          <w:szCs w:val="16"/>
          <w:color w:val="auto"/>
        </w:rPr>
      </w:pPr>
    </w:p>
    <w:p>
      <w:pPr>
        <w:ind w:left="444" w:right="140" w:firstLine="419"/>
        <w:spacing w:after="0" w:line="273" w:lineRule="auto"/>
        <w:tabs>
          <w:tab w:leader="none" w:pos="1132" w:val="left"/>
        </w:tabs>
        <w:numPr>
          <w:ilvl w:val="2"/>
          <w:numId w:val="65"/>
        </w:numPr>
        <w:rPr>
          <w:rFonts w:ascii="Arial" w:cs="Arial" w:eastAsia="Arial" w:hAnsi="Arial"/>
          <w:sz w:val="17"/>
          <w:szCs w:val="17"/>
          <w:color w:val="auto"/>
        </w:rPr>
      </w:pPr>
      <w:r>
        <w:rPr>
          <w:rFonts w:ascii="Arial" w:cs="Arial" w:eastAsia="Arial" w:hAnsi="Arial"/>
          <w:sz w:val="17"/>
          <w:szCs w:val="17"/>
          <w:color w:val="auto"/>
        </w:rPr>
        <w:t>Except for any conversions of Called Notes for which the relevant Conversion Date occurs during the related Redemption Period, and any conversions for which the relevant Conversion Date occurs on or after November 1, 2026, and except to the extent the Company has irrevocably elected Physical Settlement pursuant to Section 14.01(b)(ii) in a notice as described in such Section or has previously made an Irrevocable Election with respect to all subsequent conversions pursuant to the second paragraph of Section 14.02(a)(iii), the Company shall use the same Settlement Method for all conversions with the same Conversion Date, but the Company shall not have any obligation to use the same Settlement Method with respect to conversions with different Conversion Dates.</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4"/>
          </w:cols>
          <w:pgMar w:left="436" w:top="274" w:right="499" w:bottom="1440" w:gutter="0" w:footer="0" w:header="0"/>
        </w:sectPr>
      </w:pPr>
    </w:p>
    <w:bookmarkStart w:id="76" w:name="page77"/>
    <w:bookmarkEnd w:id="76"/>
    <w:p>
      <w:pPr>
        <w:ind w:firstLine="419"/>
        <w:spacing w:after="0" w:line="285" w:lineRule="auto"/>
        <w:tabs>
          <w:tab w:leader="none" w:pos="738" w:val="left"/>
        </w:tabs>
        <w:numPr>
          <w:ilvl w:val="0"/>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in respect of any Conversion Date (or any conversions of Called Notes for which the relevant Conversion Date occurs during the related Redemption Period, or any conversions for which the relevant Conversion Date occurs on or after November 1, 2026 or for which the Company has irrevocably elected Physical Settlement pursuant to Section 14.01(b)(ii) in a notice as described in such Section), the Company elects to deliver a notice (the “</w:t>
      </w:r>
      <w:r>
        <w:rPr>
          <w:rFonts w:ascii="Arial" w:cs="Arial" w:eastAsia="Arial" w:hAnsi="Arial"/>
          <w:sz w:val="16"/>
          <w:szCs w:val="16"/>
          <w:b w:val="1"/>
          <w:bCs w:val="1"/>
          <w:color w:val="auto"/>
        </w:rPr>
        <w:t>Settlement Notice</w:t>
      </w:r>
      <w:r>
        <w:rPr>
          <w:rFonts w:ascii="Arial" w:cs="Arial" w:eastAsia="Arial" w:hAnsi="Arial"/>
          <w:sz w:val="16"/>
          <w:szCs w:val="16"/>
          <w:color w:val="auto"/>
        </w:rPr>
        <w:t>”) of the relevant Settlement Method in respect of such Conversion Date (or such period, as the case may be), the Company shall deliver such Settlement Notice to converting Holders, the Trustee and the Conversion Agent (if other than the Trustee) no later than the close of business on the Trading Day immediately following the relevant Conversion Date (or, in the case of (A) any conversions of Called Notes for which the relevant Conversion Date occurs during the related Redemption Period, in the related Notice of Redemption, (B) any conversions of Notes for which the relevant Conversion Date occurs on or after November 1, 2026, no later than November 1, 2026 or (C) any conversions for which the Company has irrevocably elected Physical Settlement pursuant to Section 14.01(b)(ii), in a notice as described in such Section). If the Company does not elect a Settlement Method prior to the deadline set forth in the immediately preceding sentence, the Company shall no longer have the right to elect a Settlement Method with respect to any conversion on such Conversion Date or during such period, and the Company shall be deemed to have elected the Default Settlement Method with respect to such conversion. Such Settlement Notice shall specify the relevant Settlement Method and in the case of an election of Combination Settlement, the relevant Settlement Notice shall indicate the Specified Dollar Amount per $1,000 principal amount of Notes. If the Company delivers a Settlement Notice electing Combination Settlement (or is deemed to have elected Combination Settlement) in respect of its Conversion Obligation but does not indicate a Specified Dollar Amount per $1,000 principal amount of Notes to be converted in such Settlement Notice, the Specified Dollar Amount per $1,000 principal amount of Notes shall be deemed to be $1,000. For the avoidance of doubt, the Company’s failure to timely elect a Settlement Method or specify as applicable a Specified Dollar Amount shall not constitute a Default under this Indenture.</w:t>
      </w:r>
    </w:p>
    <w:p>
      <w:pPr>
        <w:spacing w:after="0" w:line="63" w:lineRule="exact"/>
        <w:rPr>
          <w:sz w:val="20"/>
          <w:szCs w:val="20"/>
          <w:color w:val="auto"/>
        </w:rPr>
      </w:pPr>
    </w:p>
    <w:p>
      <w:pPr>
        <w:ind w:right="20" w:firstLine="423"/>
        <w:spacing w:after="0" w:line="290" w:lineRule="auto"/>
        <w:rPr>
          <w:sz w:val="20"/>
          <w:szCs w:val="20"/>
          <w:color w:val="auto"/>
        </w:rPr>
      </w:pPr>
      <w:r>
        <w:rPr>
          <w:rFonts w:ascii="Arial" w:cs="Arial" w:eastAsia="Arial" w:hAnsi="Arial"/>
          <w:sz w:val="16"/>
          <w:szCs w:val="16"/>
          <w:color w:val="auto"/>
        </w:rPr>
        <w:t>By notice to Holders, the Trustee and the Conversion Agent (if other than the Trustee), the Company may, from time to time, change the Default Settlement Method prior to November 1, 2026. By notice to all Holders, the Company may, prior to November 1, 2026, at its option, irrevocably elect to satisfy its Conversion Obligation with respect to the Notes through any Settlement Method that the Company is then permitted to elect, including Combination Settlement with a Specified Dollar Amount per $1,000 principal amount of Notes of $1,000 or with an ability to continue to set the Specified Dollar Amount per $1,000 principal amount of Notes at or above a specific amount set forth in such election notice (any such election, an “</w:t>
      </w:r>
      <w:r>
        <w:rPr>
          <w:rFonts w:ascii="Arial" w:cs="Arial" w:eastAsia="Arial" w:hAnsi="Arial"/>
          <w:sz w:val="16"/>
          <w:szCs w:val="16"/>
          <w:b w:val="1"/>
          <w:bCs w:val="1"/>
          <w:color w:val="auto"/>
        </w:rPr>
        <w:t>Irrevocable Election</w:t>
      </w:r>
      <w:r>
        <w:rPr>
          <w:rFonts w:ascii="Arial" w:cs="Arial" w:eastAsia="Arial" w:hAnsi="Arial"/>
          <w:sz w:val="16"/>
          <w:szCs w:val="16"/>
          <w:color w:val="auto"/>
        </w:rPr>
        <w:t>”). If the Company changes the Default Settlement Method or the Company irrevocably elects to fix the Settlement Method, in either case, to Combination Settlement with an ability to continue to set the Specified Dollar Amount per $1,000 principal amount of Notes at or above a specific amount, the Company will, after the date of such change or</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560"/>
          </w:cols>
          <w:pgMar w:left="880" w:top="274" w:right="459" w:bottom="1440" w:gutter="0" w:footer="0" w:header="0"/>
        </w:sectPr>
      </w:pPr>
    </w:p>
    <w:bookmarkStart w:id="77" w:name="page78"/>
    <w:bookmarkEnd w:id="7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election, as the case may be, inform Holders converting their Notes, the Trustee and the Conversion Agent (if other than the Trustee) of such Specified Dollar Amount no later than the relevant deadline for election of a specified Settlement Method as set forth in the immediately preceding paragraph, or, if the Company does not timely notify Holders, such Specified Dollar Amount will be the specific amount set forth in the election notice or, if no specific amount was set forth in the election notice, such Specified Dollar Amount will be $1,000 per $1,000 principal amount of Notes. A change in the Default Settlement Method or an Irrevocable Election shall apply for all conversions of Notes with Conversion Dates occurring subsequent to delivery of such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change or election will affect any Settlement Method theretofore elected (or deemed to be elected) with respect to any Note. For the avoidance of doubt, such an Irrevocable Election, if made by the Company, will be effective without the need to amend this Indenture or the Notes, including pursuant to Section 10.01(m). However, the Company may nonetheless choose to execute such an amendment at its option. If the Company changes the Default Settlement Method or if the Company irrevocably fixes the Settlement Method pursuant to this paragraph, then, concurrently with providing notice to Holders of such change or election, the Company shall either post the Default Settlement Method or fixed Settlement Method, as the case may be, on its website or disclose the same in a current report on Form 8-K (or any successor form) that is filed with the Commission.</w:t>
      </w:r>
    </w:p>
    <w:p>
      <w:pPr>
        <w:spacing w:after="0" w:line="60" w:lineRule="exact"/>
        <w:rPr>
          <w:sz w:val="20"/>
          <w:szCs w:val="20"/>
          <w:color w:val="auto"/>
        </w:rPr>
      </w:pPr>
    </w:p>
    <w:p>
      <w:pPr>
        <w:ind w:right="160" w:firstLine="419"/>
        <w:spacing w:after="0" w:line="277" w:lineRule="auto"/>
        <w:tabs>
          <w:tab w:leader="none" w:pos="7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cash, shares of Class A Common Stock or combination of cash and shares of Class A Common Stock in respect of any conversion of Notes (the “</w:t>
      </w:r>
      <w:r>
        <w:rPr>
          <w:rFonts w:ascii="Arial" w:cs="Arial" w:eastAsia="Arial" w:hAnsi="Arial"/>
          <w:sz w:val="18"/>
          <w:szCs w:val="18"/>
          <w:b w:val="1"/>
          <w:bCs w:val="1"/>
          <w:color w:val="auto"/>
        </w:rPr>
        <w:t>Settlement Amount</w:t>
      </w:r>
      <w:r>
        <w:rPr>
          <w:rFonts w:ascii="Arial" w:cs="Arial" w:eastAsia="Arial" w:hAnsi="Arial"/>
          <w:sz w:val="18"/>
          <w:szCs w:val="18"/>
          <w:color w:val="auto"/>
        </w:rPr>
        <w:t>”) shall be computed as follows:</w:t>
      </w:r>
    </w:p>
    <w:p>
      <w:pPr>
        <w:spacing w:after="0" w:line="62" w:lineRule="exact"/>
        <w:rPr>
          <w:rFonts w:ascii="Arial" w:cs="Arial" w:eastAsia="Arial" w:hAnsi="Arial"/>
          <w:sz w:val="18"/>
          <w:szCs w:val="18"/>
          <w:color w:val="auto"/>
        </w:rPr>
      </w:pPr>
    </w:p>
    <w:p>
      <w:pPr>
        <w:jc w:val="both"/>
        <w:ind w:left="540" w:right="560" w:firstLine="408"/>
        <w:spacing w:after="0" w:line="311" w:lineRule="auto"/>
        <w:tabs>
          <w:tab w:leader="none" w:pos="1236"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the Company elects (or is deemed to have elected) to satisfy its Conversion Obligation in respect of such conversion by Physical Settlement, the Company shall deliver to the converting Holder in respect of each $1,000 principal amount of Notes being converted a number of shares of Class A Common Stock equal to the Conversion Rate in effect on the Conversion Date;</w:t>
      </w:r>
    </w:p>
    <w:p>
      <w:pPr>
        <w:spacing w:after="0" w:line="40" w:lineRule="exact"/>
        <w:rPr>
          <w:rFonts w:ascii="Arial" w:cs="Arial" w:eastAsia="Arial" w:hAnsi="Arial"/>
          <w:sz w:val="16"/>
          <w:szCs w:val="16"/>
          <w:color w:val="auto"/>
        </w:rPr>
      </w:pPr>
    </w:p>
    <w:p>
      <w:pPr>
        <w:jc w:val="both"/>
        <w:ind w:left="540" w:right="160" w:firstLine="408"/>
        <w:spacing w:after="0" w:line="259" w:lineRule="auto"/>
        <w:tabs>
          <w:tab w:leader="none" w:pos="1226"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the Company elects (or is deemed to have elected)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40 consecutive Trading Days during the related Observation Period; and</w:t>
      </w:r>
    </w:p>
    <w:p>
      <w:pPr>
        <w:spacing w:after="0" w:line="78" w:lineRule="exact"/>
        <w:rPr>
          <w:rFonts w:ascii="Arial" w:cs="Arial" w:eastAsia="Arial" w:hAnsi="Arial"/>
          <w:sz w:val="18"/>
          <w:szCs w:val="18"/>
          <w:color w:val="auto"/>
        </w:rPr>
      </w:pPr>
    </w:p>
    <w:p>
      <w:pPr>
        <w:ind w:left="540" w:right="340" w:firstLine="408"/>
        <w:spacing w:after="0" w:line="259" w:lineRule="auto"/>
        <w:tabs>
          <w:tab w:leader="none" w:pos="1226"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the Company elects (or is deemed to have elected)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40 consecutive Trading Days during the related Observation Period.</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560"/>
          </w:cols>
          <w:pgMar w:left="880" w:top="274" w:right="459" w:bottom="1440" w:gutter="0" w:footer="0" w:header="0"/>
        </w:sectPr>
      </w:pPr>
    </w:p>
    <w:bookmarkStart w:id="78" w:name="page79"/>
    <w:bookmarkEnd w:id="78"/>
    <w:p>
      <w:pPr>
        <w:ind w:left="440" w:right="40" w:firstLine="419"/>
        <w:spacing w:after="0" w:line="273" w:lineRule="auto"/>
        <w:tabs>
          <w:tab w:leader="none" w:pos="1118" w:val="left"/>
        </w:tabs>
        <w:numPr>
          <w:ilvl w:val="1"/>
          <w:numId w:val="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Daily Settlement Amounts (if applicable) and the Daily Conversion Values (if applicable) shall be determined by the Company promptly following the last day of the Observation Period. Promptly after such determination of the Daily Settlement Amounts (if applicable), the Daily Conversion Values (if applicable) and the amount of cash payable in lieu of delivering any fractional share of Class A Common Stock, the Company shall notify the Trustee and the Conversion Agent (if other than the Trustee) of the Daily Settlement Amounts (if applicable), the Daily Conversion Values (if applicable) and the amount of cash payable in lieu of delivering any fractional shares of Class A Common Stock. The Trustee and the Conversion Agent (if other than the Trustee) shall have no responsibility for any such determination.</w:t>
      </w:r>
    </w:p>
    <w:p>
      <w:pPr>
        <w:spacing w:after="0" w:line="69" w:lineRule="exact"/>
        <w:rPr>
          <w:rFonts w:ascii="Arial" w:cs="Arial" w:eastAsia="Arial" w:hAnsi="Arial"/>
          <w:sz w:val="17"/>
          <w:szCs w:val="17"/>
          <w:color w:val="auto"/>
        </w:rPr>
      </w:pPr>
    </w:p>
    <w:p>
      <w:pPr>
        <w:ind w:right="20" w:firstLine="436"/>
        <w:spacing w:after="0" w:line="268" w:lineRule="auto"/>
        <w:tabs>
          <w:tab w:leader="none" w:pos="695" w:val="left"/>
        </w:tabs>
        <w:numPr>
          <w:ilvl w:val="0"/>
          <w:numId w:val="69"/>
        </w:numPr>
        <w:rPr>
          <w:rFonts w:ascii="Arial" w:cs="Arial" w:eastAsia="Arial" w:hAnsi="Arial"/>
          <w:sz w:val="17"/>
          <w:szCs w:val="17"/>
          <w:color w:val="auto"/>
        </w:rPr>
      </w:pPr>
      <w:r>
        <w:rPr>
          <w:rFonts w:ascii="Arial" w:cs="Arial" w:eastAsia="Arial" w:hAnsi="Arial"/>
          <w:sz w:val="17"/>
          <w:szCs w:val="17"/>
          <w:color w:val="auto"/>
        </w:rPr>
        <w:t>Subject to Section 14.02(e), before any Holder of a Note shall be entitled to convert a Note as set forth above, such Holder shall (i) in the case of a Global Note, comply with the applicable procedures of the Depositary in effect at that time and, if required, pay funds equal to interest payable on the next Interest Payment Date to which such Holder is not entitled as set forth in Section 14.02(h) and (ii) in the case of a Physical Note (1) complete, manually sign and deliver an irrevocable notice to the Conversion Agent as set forth in the Form of Notice of Conversion (or a facsimile, PDF or other electronic transmission thereof) (a notice pursuant to the applicable procedures of the Depositary or a notice as set forth in the Form of Notice of Conversion, a “</w:t>
      </w:r>
      <w:r>
        <w:rPr>
          <w:rFonts w:ascii="Arial" w:cs="Arial" w:eastAsia="Arial" w:hAnsi="Arial"/>
          <w:sz w:val="17"/>
          <w:szCs w:val="17"/>
          <w:b w:val="1"/>
          <w:bCs w:val="1"/>
          <w:color w:val="auto"/>
        </w:rPr>
        <w:t>Notice of Conversion</w:t>
      </w:r>
      <w:r>
        <w:rPr>
          <w:rFonts w:ascii="Arial" w:cs="Arial" w:eastAsia="Arial" w:hAnsi="Arial"/>
          <w:sz w:val="17"/>
          <w:szCs w:val="17"/>
          <w:color w:val="auto"/>
        </w:rPr>
        <w:t>”) at the office of the Conversion Agent and state in writing therein the principal amount of Notes to be converted and the name or names (with addresses) in which such Holder wishes the certificate or certificates for any shares of Class A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interest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Notes may be surrendered for conversion by a Holder thereof if such Holder has also delivered a Fundamental Change Repurchase Notice to the Company in respect of such Notes and has not validly withdrawn such Fundamental Change Repurchase Notice in accordance with Section 15.03.</w:t>
      </w:r>
    </w:p>
    <w:p>
      <w:pPr>
        <w:spacing w:after="0" w:line="76"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72" w:lineRule="exact"/>
        <w:rPr>
          <w:sz w:val="20"/>
          <w:szCs w:val="20"/>
          <w:color w:val="auto"/>
        </w:rPr>
      </w:pPr>
    </w:p>
    <w:p>
      <w:pPr>
        <w:ind w:firstLine="436"/>
        <w:spacing w:after="0" w:line="314" w:lineRule="auto"/>
        <w:tabs>
          <w:tab w:leader="none" w:pos="685" w:val="left"/>
        </w:tabs>
        <w:numPr>
          <w:ilvl w:val="0"/>
          <w:numId w:val="70"/>
        </w:numPr>
        <w:rPr>
          <w:rFonts w:ascii="Arial" w:cs="Arial" w:eastAsia="Arial" w:hAnsi="Arial"/>
          <w:sz w:val="16"/>
          <w:szCs w:val="16"/>
          <w:color w:val="auto"/>
        </w:rPr>
      </w:pPr>
      <w:r>
        <w:rPr>
          <w:rFonts w:ascii="Arial" w:cs="Arial" w:eastAsia="Arial" w:hAnsi="Arial"/>
          <w:sz w:val="16"/>
          <w:szCs w:val="16"/>
          <w:color w:val="auto"/>
        </w:rPr>
        <w:t>A Note shall be deemed to have been converted immediately prior to the close of business on the date (the “</w:t>
      </w:r>
      <w:r>
        <w:rPr>
          <w:rFonts w:ascii="Arial" w:cs="Arial" w:eastAsia="Arial" w:hAnsi="Arial"/>
          <w:sz w:val="16"/>
          <w:szCs w:val="16"/>
          <w:b w:val="1"/>
          <w:bCs w:val="1"/>
          <w:color w:val="auto"/>
        </w:rPr>
        <w:t>Conversion Date</w:t>
      </w:r>
      <w:r>
        <w:rPr>
          <w:rFonts w:ascii="Arial" w:cs="Arial" w:eastAsia="Arial" w:hAnsi="Arial"/>
          <w:sz w:val="16"/>
          <w:szCs w:val="16"/>
          <w:color w:val="auto"/>
        </w:rPr>
        <w:t>”) that the Holder has complied with the requirements set forth in subsection (b) above. Except as set forth in Section 14.03(b) and Section 14.07(a), the Company shall pay or deliver, as the case may be, the consideration due in respect of the Conversion Obligation on the second Business Day immediately following the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79" w:name="page80"/>
    <w:bookmarkEnd w:id="79"/>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relevant Conversion Date, if the Company elects Physical Settlement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Conversion Date following the Regular Record Date immediately preceding the Maturity Date where Physical Settlement applies to the related conversion, the Company shall settle any such conversion on the Maturity Date), or on the second Business Day immediately following the last Trading Day of the Observation Period, in the case of any other Settlement Method. If any shares of Class A Common Stock are due to a converting Holder, the Company shall issue or cause to be issued, and deliver (if applicable) to the Conversion Agent or to such Holder, or such Holder’s nominee or nominees, the full number of shares of Class A Common Stock to which such Holder shall be entitled, in book-entry format through the Depositary, in satisfaction of the Company’s Conversion Obligation.</w:t>
      </w:r>
    </w:p>
    <w:p>
      <w:pPr>
        <w:spacing w:after="0" w:line="87" w:lineRule="exact"/>
        <w:rPr>
          <w:sz w:val="20"/>
          <w:szCs w:val="20"/>
          <w:color w:val="auto"/>
        </w:rPr>
      </w:pPr>
    </w:p>
    <w:p>
      <w:pPr>
        <w:ind w:right="140" w:firstLine="436"/>
        <w:spacing w:after="0" w:line="273" w:lineRule="auto"/>
        <w:tabs>
          <w:tab w:leader="none" w:pos="695"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69" w:lineRule="exact"/>
        <w:rPr>
          <w:rFonts w:ascii="Arial" w:cs="Arial" w:eastAsia="Arial" w:hAnsi="Arial"/>
          <w:sz w:val="17"/>
          <w:szCs w:val="17"/>
          <w:color w:val="auto"/>
        </w:rPr>
      </w:pPr>
    </w:p>
    <w:p>
      <w:pPr>
        <w:ind w:right="160" w:firstLine="436"/>
        <w:spacing w:after="0" w:line="257" w:lineRule="auto"/>
        <w:tabs>
          <w:tab w:leader="none" w:pos="6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 Holder submits a Note for conversion, the Company shall pay any documentary, stamp or similar issue or transfer tax due on the issue of any shares of Class A Common Stock upon conversion, unless the tax is due because the Holder requests such shares to be issued in a name other than the Holder’s name, in which case the Holder shall pay that tax. The Conversion Agent may refuse to deliver the certificates representing the shares of Class A Common Stock being issued in a name other than the Holder’s name until the Trustee receives a sum sufficient to pay any tax that is due by such Holder in accordance with the immediately preceding sentence.</w:t>
      </w:r>
    </w:p>
    <w:p>
      <w:pPr>
        <w:spacing w:after="0" w:line="79" w:lineRule="exact"/>
        <w:rPr>
          <w:rFonts w:ascii="Arial" w:cs="Arial" w:eastAsia="Arial" w:hAnsi="Arial"/>
          <w:sz w:val="18"/>
          <w:szCs w:val="18"/>
          <w:color w:val="auto"/>
        </w:rPr>
      </w:pPr>
    </w:p>
    <w:p>
      <w:pPr>
        <w:ind w:right="420" w:firstLine="436"/>
        <w:spacing w:after="0" w:line="277" w:lineRule="auto"/>
        <w:tabs>
          <w:tab w:leader="none" w:pos="6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Except as provided in Section 14.04, no adjustment shall be made for dividends on any shares of Class A Common Stock issued upon the conversion of any Note as provided in this Article 14.</w:t>
      </w:r>
    </w:p>
    <w:p>
      <w:pPr>
        <w:spacing w:after="0" w:line="62" w:lineRule="exact"/>
        <w:rPr>
          <w:rFonts w:ascii="Arial" w:cs="Arial" w:eastAsia="Arial" w:hAnsi="Arial"/>
          <w:sz w:val="18"/>
          <w:szCs w:val="18"/>
          <w:color w:val="auto"/>
        </w:rPr>
      </w:pPr>
    </w:p>
    <w:p>
      <w:pPr>
        <w:jc w:val="both"/>
        <w:ind w:firstLine="436"/>
        <w:spacing w:after="0" w:line="263"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75" w:lineRule="exact"/>
        <w:rPr>
          <w:rFonts w:ascii="Arial" w:cs="Arial" w:eastAsia="Arial" w:hAnsi="Arial"/>
          <w:sz w:val="18"/>
          <w:szCs w:val="18"/>
          <w:color w:val="auto"/>
        </w:rPr>
      </w:pPr>
    </w:p>
    <w:p>
      <w:pPr>
        <w:ind w:right="140" w:firstLine="436"/>
        <w:spacing w:after="0" w:line="259"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conversion, a Holder shall not receive any separate cash payment for accrued and unpaid interest, if any, except as set forth below. The Company’s settlement of the full Conversion Obligation shall be deemed to satisfy in full its obligation to pay the principal amount of the Note and accrued and unpaid interest, if any, to, but not including, the relevant Conversion Date. As a result, accrued and unpaid interest, if any, to, but not including,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0"/>
          </w:cols>
          <w:pgMar w:left="440" w:top="274" w:right="479" w:bottom="1440" w:gutter="0" w:footer="0" w:header="0"/>
        </w:sectPr>
      </w:pPr>
    </w:p>
    <w:bookmarkStart w:id="80" w:name="page81"/>
    <w:bookmarkEnd w:id="80"/>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relevant Conversion Date shall be deemed to be paid in full rather than cancelled, extinguished or forfeited. Upon a conversion of Notes into a combination of cash and shares of Class A Common Stock, accrued and unpaid interest will be deemed to be paid first out of the cash paid upon such conversion. Notwithstanding the foregoing, if Notes are converted after the close of business on a Regular Record Date, and prior to the open of business on the corresponding Interest Payment Date, Holders of such Notes as of the close of business on such Regular Record Date will receive the full amount of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payment shall be required (1) for conversions following the close of business on the Regular Record Date immediately preceding the Maturity Date; (2) for conversions during a Redemption Period; (3) if the Company has specified a Fundamental Change Repurchase Date that is after a Regular Record Date and on or prior to the Business Day immediately following the corresponding Interest Payment Date; or (4) to the extent of any overdue interest, if any overdue interest exists at the time of conversion with respect to such Note. Therefore, for the avoidance of doubt, all Holders of record on the Regular Record Date immediately preceding the Maturity Date shall receive the full interest payment due on the Maturity Date in cash regardless of whether their Notes have been converted following such Regular Record Date.</w:t>
      </w:r>
    </w:p>
    <w:p>
      <w:pPr>
        <w:spacing w:after="0" w:line="78" w:lineRule="exact"/>
        <w:rPr>
          <w:sz w:val="20"/>
          <w:szCs w:val="20"/>
          <w:color w:val="auto"/>
        </w:rPr>
      </w:pPr>
    </w:p>
    <w:p>
      <w:pPr>
        <w:ind w:firstLine="436"/>
        <w:spacing w:after="0" w:line="301" w:lineRule="auto"/>
        <w:tabs>
          <w:tab w:leader="none" w:pos="655"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Person in whose name the shares of Class A Common Stock shall be issuable upon conversion shall be treated as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w:t>
      </w:r>
    </w:p>
    <w:p>
      <w:pPr>
        <w:spacing w:after="0" w:line="49" w:lineRule="exact"/>
        <w:rPr>
          <w:rFonts w:ascii="Arial" w:cs="Arial" w:eastAsia="Arial" w:hAnsi="Arial"/>
          <w:sz w:val="16"/>
          <w:szCs w:val="16"/>
          <w:color w:val="auto"/>
        </w:rPr>
      </w:pPr>
    </w:p>
    <w:p>
      <w:pPr>
        <w:ind w:firstLine="436"/>
        <w:spacing w:after="0" w:line="273" w:lineRule="auto"/>
        <w:tabs>
          <w:tab w:leader="none" w:pos="6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Company shall not issue any fractional share of Class A Common Stock upon conversion of the Notes and shall instead pay cash in lieu of delivering any fractional share of Class A Common Stock issuable upon conversion based on the Daily VWAP for the relevant Conversion Date (in the case of Physical Settlement) or based on the Daily VWAP for the last Trading Day of the relevant Observation Period (in the case of Combination Settlement). For each Note surrendered for conversion, if the Company has elected (or is deemed to have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28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Section 14.03</w:t>
      </w:r>
      <w:r>
        <w:rPr>
          <w:rFonts w:ascii="Arial" w:cs="Arial" w:eastAsia="Arial" w:hAnsi="Arial"/>
          <w:sz w:val="18"/>
          <w:szCs w:val="18"/>
          <w:i w:val="1"/>
          <w:iCs w:val="1"/>
          <w:color w:val="auto"/>
        </w:rPr>
        <w:t>. Increased Conversion Rate Applicable to Certain Notes Surrendered in</w:t>
      </w:r>
      <w:r>
        <w:rPr>
          <w:rFonts w:ascii="Arial" w:cs="Arial" w:eastAsia="Arial" w:hAnsi="Arial"/>
          <w:sz w:val="18"/>
          <w:szCs w:val="18"/>
          <w:color w:val="auto"/>
        </w:rPr>
        <w:t xml:space="preserve"> Connection with Make-Whole Fundamental Changes or a Notice of Redemption.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81" w:name="page82"/>
    <w:bookmarkEnd w:id="81"/>
    <w:p>
      <w:pPr>
        <w:ind w:left="4" w:firstLine="436"/>
        <w:spacing w:after="0" w:line="284" w:lineRule="auto"/>
        <w:tabs>
          <w:tab w:leader="none" w:pos="689" w:val="left"/>
        </w:tabs>
        <w:numPr>
          <w:ilvl w:val="1"/>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(i) the Effective Date of a Make-Whole Fundamental Change occurs prior to the Maturity Date and a Holder elects to convert its Notes in connection with such Make-Whole Fundamental Change or (ii) the Company delivers a Notice of Redemption as provided under Section 16.02 and a Holder elects to convert its Called Notes in connection with such Notice of Redemption, as the case may be, the Company shall, under the circumstances described below, increase the Conversion Rate for the Notes so surrendered for conversion by a number of additional shares of Class A Common Stock (the “</w:t>
      </w:r>
      <w:r>
        <w:rPr>
          <w:rFonts w:ascii="Arial" w:cs="Arial" w:eastAsia="Arial" w:hAnsi="Arial"/>
          <w:sz w:val="16"/>
          <w:szCs w:val="16"/>
          <w:b w:val="1"/>
          <w:bCs w:val="1"/>
          <w:color w:val="auto"/>
        </w:rPr>
        <w:t>Additional Shares</w:t>
      </w:r>
      <w:r>
        <w:rPr>
          <w:rFonts w:ascii="Arial" w:cs="Arial" w:eastAsia="Arial" w:hAnsi="Arial"/>
          <w:sz w:val="16"/>
          <w:szCs w:val="16"/>
          <w:color w:val="auto"/>
        </w:rPr>
        <w:t xml:space="preserve">”), as described below. A conversion of Notes shall be deemed for these purposes to be “in connection with” a Make- Whole Fundamental Change if the relevant Conversion Date occurs during the period from, and including, the Effective Date of the Make-Whole Fundamental Change up to, and including, the Business Day immediately prior to the related Fundamental Change Repurchase Date (or, in the case of an Exempted Fundamental Change or a Make-Whole Fundamental Change that would have been a Fundamental Change but for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clause</w:t>
      </w:r>
    </w:p>
    <w:p>
      <w:pPr>
        <w:ind w:left="4" w:right="20" w:hanging="4"/>
        <w:spacing w:after="0" w:line="269" w:lineRule="auto"/>
        <w:tabs>
          <w:tab w:leader="none" w:pos="259" w:val="left"/>
        </w:tabs>
        <w:numPr>
          <w:ilvl w:val="0"/>
          <w:numId w:val="74"/>
        </w:numPr>
        <w:rPr>
          <w:rFonts w:ascii="Arial" w:cs="Arial" w:eastAsia="Arial" w:hAnsi="Arial"/>
          <w:sz w:val="17"/>
          <w:szCs w:val="17"/>
          <w:color w:val="auto"/>
        </w:rPr>
      </w:pPr>
      <w:r>
        <w:rPr>
          <w:rFonts w:ascii="Arial" w:cs="Arial" w:eastAsia="Arial" w:hAnsi="Arial"/>
          <w:sz w:val="17"/>
          <w:szCs w:val="17"/>
          <w:color w:val="auto"/>
        </w:rPr>
        <w:t>of the definition thereof, the 35th Trading Day immediately following the Effective Date of such Make-Whole Fundamental Change) (such period, the “</w:t>
      </w:r>
      <w:r>
        <w:rPr>
          <w:rFonts w:ascii="Arial" w:cs="Arial" w:eastAsia="Arial" w:hAnsi="Arial"/>
          <w:sz w:val="17"/>
          <w:szCs w:val="17"/>
          <w:b w:val="1"/>
          <w:bCs w:val="1"/>
          <w:color w:val="auto"/>
        </w:rPr>
        <w:t>Make-Whole Fundamental Change Period</w:t>
      </w:r>
      <w:r>
        <w:rPr>
          <w:rFonts w:ascii="Arial" w:cs="Arial" w:eastAsia="Arial" w:hAnsi="Arial"/>
          <w:sz w:val="17"/>
          <w:szCs w:val="17"/>
          <w:color w:val="auto"/>
        </w:rPr>
        <w:t>”). A conversion of Notes shall be deemed for these purposes to be “in connection with” a Notice of Redemption if such Notes are Called Notes with respect to such Notice of Redemption and the relevant Conversion Date occurs during the related Redemption Period. For the avoidance of doubt, if the Company elects to redeem fewer than all of the outstanding Notes pursuant to Article 16, Holders of the Notes that are not Called Notes shall not be entitled to convert such Notes pursuant to Section 14.01(b)(v) and shall not be entitled to an increase in the Conversion Rate for conversions of such Notes (on account of the Notice of Redemption) during the applicable Redemption Period, even if such Notes are otherwise convertible pursuant to Section 14.01(b)(i)- (iv).</w:t>
      </w:r>
    </w:p>
    <w:p>
      <w:pPr>
        <w:spacing w:after="0" w:line="72" w:lineRule="exact"/>
        <w:rPr>
          <w:rFonts w:ascii="Arial" w:cs="Arial" w:eastAsia="Arial" w:hAnsi="Arial"/>
          <w:sz w:val="17"/>
          <w:szCs w:val="17"/>
          <w:color w:val="auto"/>
        </w:rPr>
      </w:pPr>
    </w:p>
    <w:p>
      <w:pPr>
        <w:ind w:left="4" w:right="40" w:firstLine="436"/>
        <w:spacing w:after="0" w:line="269" w:lineRule="auto"/>
        <w:tabs>
          <w:tab w:leader="none" w:pos="699" w:val="left"/>
        </w:tabs>
        <w:numPr>
          <w:ilvl w:val="1"/>
          <w:numId w:val="74"/>
        </w:numPr>
        <w:rPr>
          <w:rFonts w:ascii="Arial" w:cs="Arial" w:eastAsia="Arial" w:hAnsi="Arial"/>
          <w:sz w:val="17"/>
          <w:szCs w:val="17"/>
          <w:color w:val="auto"/>
        </w:rPr>
      </w:pPr>
      <w:r>
        <w:rPr>
          <w:rFonts w:ascii="Arial" w:cs="Arial" w:eastAsia="Arial" w:hAnsi="Arial"/>
          <w:sz w:val="17"/>
          <w:szCs w:val="17"/>
          <w:color w:val="auto"/>
        </w:rPr>
        <w:t xml:space="preserve">Upon surrender of Notes for conversion in connection with a Make-Whole Fundamental Change or a Notice of Redemption, the Company shall, at its option, satisfy the related Conversion Obligation by Physical Settlement, Cash Settlement or Combination Settlement in accordance with Section 14.02;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increase to reflect the Additional Shares),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such Stock Price. In such event, the Conversion Obligation shall be determined and paid to Holders in cash on the fifth Business Day following the Conversion Date. The Company shall notify the Holders, the Trustee and the Conversion Agent (if other than the Trustee) in writing of the Effective Date of any Make-Whole Fundamental Change no later than five Business Days after such Effective Date.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84"/>
          </w:cols>
          <w:pgMar w:left="436" w:top="274" w:right="479" w:bottom="1440" w:gutter="0" w:footer="0" w:header="0"/>
        </w:sectPr>
      </w:pPr>
    </w:p>
    <w:bookmarkStart w:id="82" w:name="page83"/>
    <w:bookmarkEnd w:id="82"/>
    <w:p>
      <w:pPr>
        <w:ind w:right="20" w:firstLine="436"/>
        <w:spacing w:after="0" w:line="287" w:lineRule="auto"/>
        <w:tabs>
          <w:tab w:leader="none" w:pos="685"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number of Additional Shares, if any, by which the Conversion Rate shall be increased for conversions in connection with a Make-Whole Fundamental Change or a Notice of Redemption shall be determined by reference to the table below, based on the date on which the Make-Whole Fundamental Change occurs or becomes effective or the date the Company delivers the Notice of Redemption, as the case may be (in each case, the “</w:t>
      </w:r>
      <w:r>
        <w:rPr>
          <w:rFonts w:ascii="Arial" w:cs="Arial" w:eastAsia="Arial" w:hAnsi="Arial"/>
          <w:sz w:val="16"/>
          <w:szCs w:val="16"/>
          <w:b w:val="1"/>
          <w:bCs w:val="1"/>
          <w:color w:val="auto"/>
        </w:rPr>
        <w:t>Effective Date</w:t>
      </w:r>
      <w:r>
        <w:rPr>
          <w:rFonts w:ascii="Arial" w:cs="Arial" w:eastAsia="Arial" w:hAnsi="Arial"/>
          <w:sz w:val="16"/>
          <w:szCs w:val="16"/>
          <w:color w:val="auto"/>
        </w:rPr>
        <w:t>”), and the price (the “</w:t>
      </w:r>
      <w:r>
        <w:rPr>
          <w:rFonts w:ascii="Arial" w:cs="Arial" w:eastAsia="Arial" w:hAnsi="Arial"/>
          <w:sz w:val="16"/>
          <w:szCs w:val="16"/>
          <w:b w:val="1"/>
          <w:bCs w:val="1"/>
          <w:color w:val="auto"/>
        </w:rPr>
        <w:t>Stock Price</w:t>
      </w:r>
      <w:r>
        <w:rPr>
          <w:rFonts w:ascii="Arial" w:cs="Arial" w:eastAsia="Arial" w:hAnsi="Arial"/>
          <w:sz w:val="16"/>
          <w:szCs w:val="16"/>
          <w:color w:val="auto"/>
        </w:rPr>
        <w:t>”) paid (or deemed to be paid) per share of the Class A Common Stock in the Make-Whole Fundamental Change or determined with respect to the Notice of Redemption, as the case may be. If the holders of the Class A Common Stock receive in exchange for their Class A Common Stock only cash in a Make-Whole Fundamental Change described in clause (b) of the definition of Fundamental Change, the Stock Price shall be the cash amount paid per share. Otherwise, the Stock Price shall be the average of the Last Reported Sale Prices of the Class A Common Stock over the five consecutive Trading Day period ending on, and including, the Trading Day immediately preceding the applicable Effective Date. If a conversion of Called Notes during a Redemption Period would also be deemed to be in connection with a Make- Whole Fundamental Change, a Holder of any such Notes to be converted shall be entitled to a single increase to the Conversion Rate with respect to the first to occur of the Effective Date of the Notice of Redemption or the Make-Whole Fundamental Change, as applicable, and the later event shall be deemed not to have occurred for purposes of such conversion for purposes of this Section 14.03.</w:t>
      </w:r>
    </w:p>
    <w:p>
      <w:pPr>
        <w:spacing w:after="0" w:line="59" w:lineRule="exact"/>
        <w:rPr>
          <w:rFonts w:ascii="Arial" w:cs="Arial" w:eastAsia="Arial" w:hAnsi="Arial"/>
          <w:sz w:val="16"/>
          <w:szCs w:val="16"/>
          <w:color w:val="auto"/>
        </w:rPr>
      </w:pPr>
    </w:p>
    <w:p>
      <w:pPr>
        <w:ind w:right="140" w:firstLine="436"/>
        <w:spacing w:after="0" w:line="257"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spacing w:after="0" w:line="79" w:lineRule="exact"/>
        <w:rPr>
          <w:rFonts w:ascii="Arial" w:cs="Arial" w:eastAsia="Arial" w:hAnsi="Arial"/>
          <w:sz w:val="18"/>
          <w:szCs w:val="18"/>
          <w:color w:val="auto"/>
        </w:rPr>
      </w:pPr>
    </w:p>
    <w:p>
      <w:pPr>
        <w:ind w:right="180" w:firstLine="436"/>
        <w:spacing w:after="0" w:line="277" w:lineRule="auto"/>
        <w:tabs>
          <w:tab w:leader="none" w:pos="6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following table sets forth the number of Additional Shares by which the Conversion Rate shall be increased per $1,000 principal amount of Notes pursuant to this Section 14.03 for each Stock Price and Effective Date set forth below:</w:t>
      </w:r>
    </w:p>
    <w:p>
      <w:pPr>
        <w:spacing w:after="0" w:line="67"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Stock Price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8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89"/>
              </w:rPr>
              <w:t>Effective Date</w:t>
            </w: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jc w:val="right"/>
              <w:ind w:right="10"/>
              <w:spacing w:after="0" w:line="182" w:lineRule="exact"/>
              <w:rPr>
                <w:sz w:val="20"/>
                <w:szCs w:val="20"/>
                <w:color w:val="auto"/>
              </w:rPr>
            </w:pPr>
            <w:r>
              <w:rPr>
                <w:rFonts w:ascii="Arial" w:cs="Arial" w:eastAsia="Arial" w:hAnsi="Arial"/>
                <w:sz w:val="18"/>
                <w:szCs w:val="18"/>
                <w:b w:val="1"/>
                <w:bCs w:val="1"/>
                <w:color w:val="auto"/>
              </w:rPr>
              <w:t>$ 44.01</w:t>
            </w:r>
          </w:p>
        </w:tc>
        <w:tc>
          <w:tcPr>
            <w:tcW w:w="780" w:type="dxa"/>
            <w:vAlign w:val="bottom"/>
            <w:tcBorders>
              <w:top w:val="single" w:sz="8" w:color="auto"/>
              <w:bottom w:val="single" w:sz="8" w:color="CCEEFF"/>
            </w:tcBorders>
            <w:shd w:val="clear" w:color="auto" w:fill="CCEEFF"/>
          </w:tcPr>
          <w:p>
            <w:pPr>
              <w:jc w:val="right"/>
              <w:ind w:right="10"/>
              <w:spacing w:after="0" w:line="182" w:lineRule="exact"/>
              <w:rPr>
                <w:sz w:val="20"/>
                <w:szCs w:val="20"/>
                <w:color w:val="auto"/>
              </w:rPr>
            </w:pPr>
            <w:r>
              <w:rPr>
                <w:rFonts w:ascii="Arial" w:cs="Arial" w:eastAsia="Arial" w:hAnsi="Arial"/>
                <w:sz w:val="18"/>
                <w:szCs w:val="18"/>
                <w:b w:val="1"/>
                <w:bCs w:val="1"/>
                <w:color w:val="auto"/>
              </w:rPr>
              <w:t>$ 50.00</w:t>
            </w:r>
          </w:p>
        </w:tc>
        <w:tc>
          <w:tcPr>
            <w:tcW w:w="780" w:type="dxa"/>
            <w:vAlign w:val="bottom"/>
            <w:tcBorders>
              <w:top w:val="single" w:sz="8" w:color="auto"/>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$ 55.00</w:t>
            </w:r>
          </w:p>
        </w:tc>
        <w:tc>
          <w:tcPr>
            <w:tcW w:w="780" w:type="dxa"/>
            <w:vAlign w:val="bottom"/>
            <w:tcBorders>
              <w:top w:val="single" w:sz="8" w:color="auto"/>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$ 56.11</w:t>
            </w:r>
          </w:p>
        </w:tc>
        <w:tc>
          <w:tcPr>
            <w:tcW w:w="800" w:type="dxa"/>
            <w:vAlign w:val="bottom"/>
            <w:tcBorders>
              <w:top w:val="single" w:sz="8" w:color="auto"/>
              <w:bottom w:val="single" w:sz="8" w:color="CCEEFF"/>
            </w:tcBorders>
            <w:shd w:val="clear" w:color="auto" w:fill="CCEEFF"/>
          </w:tcPr>
          <w:p>
            <w:pPr>
              <w:jc w:val="right"/>
              <w:ind w:right="10"/>
              <w:spacing w:after="0" w:line="182" w:lineRule="exact"/>
              <w:rPr>
                <w:sz w:val="20"/>
                <w:szCs w:val="20"/>
                <w:color w:val="auto"/>
              </w:rPr>
            </w:pPr>
            <w:r>
              <w:rPr>
                <w:rFonts w:ascii="Arial" w:cs="Arial" w:eastAsia="Arial" w:hAnsi="Arial"/>
                <w:sz w:val="18"/>
                <w:szCs w:val="18"/>
                <w:b w:val="1"/>
                <w:bCs w:val="1"/>
                <w:color w:val="auto"/>
              </w:rPr>
              <w:t>$ 60.00</w:t>
            </w:r>
          </w:p>
        </w:tc>
        <w:tc>
          <w:tcPr>
            <w:tcW w:w="780" w:type="dxa"/>
            <w:vAlign w:val="bottom"/>
            <w:tcBorders>
              <w:top w:val="single" w:sz="8" w:color="auto"/>
              <w:bottom w:val="single" w:sz="8" w:color="CCEEFF"/>
            </w:tcBorders>
            <w:shd w:val="clear" w:color="auto" w:fill="CCEEFF"/>
          </w:tcPr>
          <w:p>
            <w:pPr>
              <w:jc w:val="right"/>
              <w:ind w:right="10"/>
              <w:spacing w:after="0" w:line="182" w:lineRule="exact"/>
              <w:rPr>
                <w:sz w:val="20"/>
                <w:szCs w:val="20"/>
                <w:color w:val="auto"/>
              </w:rPr>
            </w:pPr>
            <w:r>
              <w:rPr>
                <w:rFonts w:ascii="Arial" w:cs="Arial" w:eastAsia="Arial" w:hAnsi="Arial"/>
                <w:sz w:val="18"/>
                <w:szCs w:val="18"/>
                <w:b w:val="1"/>
                <w:bCs w:val="1"/>
                <w:color w:val="auto"/>
              </w:rPr>
              <w:t>$ 65.00</w:t>
            </w:r>
          </w:p>
        </w:tc>
        <w:tc>
          <w:tcPr>
            <w:tcW w:w="780" w:type="dxa"/>
            <w:vAlign w:val="bottom"/>
            <w:tcBorders>
              <w:top w:val="single" w:sz="8" w:color="auto"/>
              <w:bottom w:val="single" w:sz="8" w:color="CCEEFF"/>
            </w:tcBorders>
            <w:shd w:val="clear" w:color="auto" w:fill="CCEEFF"/>
          </w:tcPr>
          <w:p>
            <w:pPr>
              <w:jc w:val="right"/>
              <w:ind w:right="10"/>
              <w:spacing w:after="0" w:line="182" w:lineRule="exact"/>
              <w:rPr>
                <w:sz w:val="20"/>
                <w:szCs w:val="20"/>
                <w:color w:val="auto"/>
              </w:rPr>
            </w:pPr>
            <w:r>
              <w:rPr>
                <w:rFonts w:ascii="Arial" w:cs="Arial" w:eastAsia="Arial" w:hAnsi="Arial"/>
                <w:sz w:val="18"/>
                <w:szCs w:val="18"/>
                <w:b w:val="1"/>
                <w:bCs w:val="1"/>
                <w:color w:val="auto"/>
              </w:rPr>
              <w:t>$ 72.95</w:t>
            </w:r>
          </w:p>
        </w:tc>
        <w:tc>
          <w:tcPr>
            <w:tcW w:w="780" w:type="dxa"/>
            <w:vAlign w:val="bottom"/>
            <w:tcBorders>
              <w:top w:val="single" w:sz="8" w:color="auto"/>
              <w:bottom w:val="single" w:sz="8" w:color="CCEEFF"/>
            </w:tcBorders>
            <w:shd w:val="clear" w:color="auto" w:fill="CCEEFF"/>
          </w:tcPr>
          <w:p>
            <w:pPr>
              <w:jc w:val="right"/>
              <w:ind w:right="10"/>
              <w:spacing w:after="0" w:line="182" w:lineRule="exact"/>
              <w:rPr>
                <w:sz w:val="20"/>
                <w:szCs w:val="20"/>
                <w:color w:val="auto"/>
              </w:rPr>
            </w:pPr>
            <w:r>
              <w:rPr>
                <w:rFonts w:ascii="Arial" w:cs="Arial" w:eastAsia="Arial" w:hAnsi="Arial"/>
                <w:sz w:val="18"/>
                <w:szCs w:val="18"/>
                <w:b w:val="1"/>
                <w:bCs w:val="1"/>
                <w:color w:val="auto"/>
              </w:rPr>
              <w:t>$ 80.00</w:t>
            </w:r>
          </w:p>
        </w:tc>
        <w:tc>
          <w:tcPr>
            <w:tcW w:w="780" w:type="dxa"/>
            <w:vAlign w:val="bottom"/>
            <w:tcBorders>
              <w:top w:val="single" w:sz="8" w:color="auto"/>
              <w:bottom w:val="single" w:sz="8" w:color="CCEEFF"/>
            </w:tcBorders>
            <w:shd w:val="clear" w:color="auto" w:fill="CCEEFF"/>
          </w:tcPr>
          <w:p>
            <w:pPr>
              <w:jc w:val="right"/>
              <w:ind w:right="10"/>
              <w:spacing w:after="0" w:line="182" w:lineRule="exact"/>
              <w:rPr>
                <w:sz w:val="20"/>
                <w:szCs w:val="20"/>
                <w:color w:val="auto"/>
              </w:rPr>
            </w:pPr>
            <w:r>
              <w:rPr>
                <w:rFonts w:ascii="Arial" w:cs="Arial" w:eastAsia="Arial" w:hAnsi="Arial"/>
                <w:sz w:val="18"/>
                <w:szCs w:val="18"/>
                <w:b w:val="1"/>
                <w:bCs w:val="1"/>
                <w:color w:val="auto"/>
              </w:rPr>
              <w:t>$ 90.00</w:t>
            </w:r>
          </w:p>
        </w:tc>
        <w:tc>
          <w:tcPr>
            <w:tcW w:w="780" w:type="dxa"/>
            <w:vAlign w:val="bottom"/>
            <w:tcBorders>
              <w:top w:val="single" w:sz="8" w:color="auto"/>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$100.00</w:t>
            </w:r>
          </w:p>
        </w:tc>
        <w:tc>
          <w:tcPr>
            <w:tcW w:w="780" w:type="dxa"/>
            <w:vAlign w:val="bottom"/>
            <w:tcBorders>
              <w:top w:val="single" w:sz="8" w:color="auto"/>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$125.00</w:t>
            </w:r>
          </w:p>
        </w:tc>
        <w:tc>
          <w:tcPr>
            <w:tcW w:w="700" w:type="dxa"/>
            <w:vAlign w:val="bottom"/>
            <w:tcBorders>
              <w:top w:val="single" w:sz="8" w:color="auto"/>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$150.00</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February 4, 2022</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4.9008</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3.6416</w:t>
            </w:r>
          </w:p>
        </w:tc>
        <w:tc>
          <w:tcPr>
            <w:tcW w:w="780" w:type="dxa"/>
            <w:vAlign w:val="bottom"/>
          </w:tcPr>
          <w:p>
            <w:pPr>
              <w:jc w:val="right"/>
              <w:spacing w:after="0"/>
              <w:rPr>
                <w:sz w:val="20"/>
                <w:szCs w:val="20"/>
                <w:color w:val="auto"/>
              </w:rPr>
            </w:pPr>
            <w:r>
              <w:rPr>
                <w:rFonts w:ascii="Arial" w:cs="Arial" w:eastAsia="Arial" w:hAnsi="Arial"/>
                <w:sz w:val="18"/>
                <w:szCs w:val="18"/>
                <w:color w:val="auto"/>
              </w:rPr>
              <w:t>2.8633</w:t>
            </w:r>
          </w:p>
        </w:tc>
        <w:tc>
          <w:tcPr>
            <w:tcW w:w="780" w:type="dxa"/>
            <w:vAlign w:val="bottom"/>
          </w:tcPr>
          <w:p>
            <w:pPr>
              <w:jc w:val="right"/>
              <w:spacing w:after="0"/>
              <w:rPr>
                <w:sz w:val="20"/>
                <w:szCs w:val="20"/>
                <w:color w:val="auto"/>
              </w:rPr>
            </w:pPr>
            <w:r>
              <w:rPr>
                <w:rFonts w:ascii="Arial" w:cs="Arial" w:eastAsia="Arial" w:hAnsi="Arial"/>
                <w:sz w:val="18"/>
                <w:szCs w:val="18"/>
                <w:color w:val="auto"/>
              </w:rPr>
              <w:t>2.7163</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2.2613</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1.7902</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1.2348</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0.8835</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0.5382</w:t>
            </w:r>
          </w:p>
        </w:tc>
        <w:tc>
          <w:tcPr>
            <w:tcW w:w="780" w:type="dxa"/>
            <w:vAlign w:val="bottom"/>
          </w:tcPr>
          <w:p>
            <w:pPr>
              <w:jc w:val="right"/>
              <w:spacing w:after="0"/>
              <w:rPr>
                <w:sz w:val="20"/>
                <w:szCs w:val="20"/>
                <w:color w:val="auto"/>
              </w:rPr>
            </w:pPr>
            <w:r>
              <w:rPr>
                <w:rFonts w:ascii="Arial" w:cs="Arial" w:eastAsia="Arial" w:hAnsi="Arial"/>
                <w:sz w:val="18"/>
                <w:szCs w:val="18"/>
                <w:color w:val="auto"/>
              </w:rPr>
              <w:t>0.3133</w:t>
            </w:r>
          </w:p>
        </w:tc>
        <w:tc>
          <w:tcPr>
            <w:tcW w:w="780" w:type="dxa"/>
            <w:vAlign w:val="bottom"/>
          </w:tcPr>
          <w:p>
            <w:pPr>
              <w:jc w:val="right"/>
              <w:spacing w:after="0"/>
              <w:rPr>
                <w:sz w:val="20"/>
                <w:szCs w:val="20"/>
                <w:color w:val="auto"/>
              </w:rPr>
            </w:pPr>
            <w:r>
              <w:rPr>
                <w:rFonts w:ascii="Arial" w:cs="Arial" w:eastAsia="Arial" w:hAnsi="Arial"/>
                <w:sz w:val="18"/>
                <w:szCs w:val="18"/>
                <w:color w:val="auto"/>
              </w:rPr>
              <w:t>0.0470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0.0000</w:t>
            </w: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2023</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4.9008</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3.6270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2.6548</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2.1827</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1.6994</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1.1398</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0.7938</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0.4622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0.2537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0.0257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0.0000</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February 1, 2024</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4.9008</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3.6074</w:t>
            </w:r>
          </w:p>
        </w:tc>
        <w:tc>
          <w:tcPr>
            <w:tcW w:w="780" w:type="dxa"/>
            <w:vAlign w:val="bottom"/>
          </w:tcPr>
          <w:p>
            <w:pPr>
              <w:jc w:val="right"/>
              <w:spacing w:after="0"/>
              <w:rPr>
                <w:sz w:val="20"/>
                <w:szCs w:val="20"/>
                <w:color w:val="auto"/>
              </w:rPr>
            </w:pPr>
            <w:r>
              <w:rPr>
                <w:rFonts w:ascii="Arial" w:cs="Arial" w:eastAsia="Arial" w:hAnsi="Arial"/>
                <w:sz w:val="18"/>
                <w:szCs w:val="18"/>
                <w:color w:val="auto"/>
              </w:rPr>
              <w:t>2.7329</w:t>
            </w:r>
          </w:p>
        </w:tc>
        <w:tc>
          <w:tcPr>
            <w:tcW w:w="780" w:type="dxa"/>
            <w:vAlign w:val="bottom"/>
          </w:tcPr>
          <w:p>
            <w:pPr>
              <w:jc w:val="right"/>
              <w:spacing w:after="0"/>
              <w:rPr>
                <w:sz w:val="20"/>
                <w:szCs w:val="20"/>
                <w:color w:val="auto"/>
              </w:rPr>
            </w:pPr>
            <w:r>
              <w:rPr>
                <w:rFonts w:ascii="Arial" w:cs="Arial" w:eastAsia="Arial" w:hAnsi="Arial"/>
                <w:sz w:val="18"/>
                <w:szCs w:val="18"/>
                <w:color w:val="auto"/>
              </w:rPr>
              <w:t>2.5707</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2.0760</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1.5778</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1.0155</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0.6788</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0.3687</w:t>
            </w:r>
          </w:p>
        </w:tc>
        <w:tc>
          <w:tcPr>
            <w:tcW w:w="780" w:type="dxa"/>
            <w:vAlign w:val="bottom"/>
          </w:tcPr>
          <w:p>
            <w:pPr>
              <w:jc w:val="right"/>
              <w:spacing w:after="0"/>
              <w:rPr>
                <w:sz w:val="20"/>
                <w:szCs w:val="20"/>
                <w:color w:val="auto"/>
              </w:rPr>
            </w:pPr>
            <w:r>
              <w:rPr>
                <w:rFonts w:ascii="Arial" w:cs="Arial" w:eastAsia="Arial" w:hAnsi="Arial"/>
                <w:sz w:val="18"/>
                <w:szCs w:val="18"/>
                <w:color w:val="auto"/>
              </w:rPr>
              <w:t>0.1837</w:t>
            </w:r>
          </w:p>
        </w:tc>
        <w:tc>
          <w:tcPr>
            <w:tcW w:w="780" w:type="dxa"/>
            <w:vAlign w:val="bottom"/>
          </w:tcPr>
          <w:p>
            <w:pPr>
              <w:jc w:val="right"/>
              <w:spacing w:after="0"/>
              <w:rPr>
                <w:sz w:val="20"/>
                <w:szCs w:val="20"/>
                <w:color w:val="auto"/>
              </w:rPr>
            </w:pPr>
            <w:r>
              <w:rPr>
                <w:rFonts w:ascii="Arial" w:cs="Arial" w:eastAsia="Arial" w:hAnsi="Arial"/>
                <w:sz w:val="18"/>
                <w:szCs w:val="18"/>
                <w:color w:val="auto"/>
              </w:rPr>
              <w:t>0.0071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0.0000</w:t>
            </w: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2025</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4.9008</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3.4790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2.3654</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1.8493</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1.3448</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0.8012</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0.4951</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0.2337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0.0937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0.0000</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February 1, 2026</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4.9008</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3.1114</w:t>
            </w:r>
          </w:p>
        </w:tc>
        <w:tc>
          <w:tcPr>
            <w:tcW w:w="780" w:type="dxa"/>
            <w:vAlign w:val="bottom"/>
          </w:tcPr>
          <w:p>
            <w:pPr>
              <w:jc w:val="right"/>
              <w:spacing w:after="0"/>
              <w:rPr>
                <w:sz w:val="20"/>
                <w:szCs w:val="20"/>
                <w:color w:val="auto"/>
              </w:rPr>
            </w:pPr>
            <w:r>
              <w:rPr>
                <w:rFonts w:ascii="Arial" w:cs="Arial" w:eastAsia="Arial" w:hAnsi="Arial"/>
                <w:sz w:val="18"/>
                <w:szCs w:val="18"/>
                <w:color w:val="auto"/>
              </w:rPr>
              <w:t>2.0771</w:t>
            </w:r>
          </w:p>
        </w:tc>
        <w:tc>
          <w:tcPr>
            <w:tcW w:w="780" w:type="dxa"/>
            <w:vAlign w:val="bottom"/>
          </w:tcPr>
          <w:p>
            <w:pPr>
              <w:jc w:val="right"/>
              <w:spacing w:after="0"/>
              <w:rPr>
                <w:sz w:val="20"/>
                <w:szCs w:val="20"/>
                <w:color w:val="auto"/>
              </w:rPr>
            </w:pPr>
            <w:r>
              <w:rPr>
                <w:rFonts w:ascii="Arial" w:cs="Arial" w:eastAsia="Arial" w:hAnsi="Arial"/>
                <w:sz w:val="18"/>
                <w:szCs w:val="18"/>
                <w:color w:val="auto"/>
              </w:rPr>
              <w:t>1.8959</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1.3700</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0.8923</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0.4361</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0.2178</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0.0654</w:t>
            </w:r>
          </w:p>
        </w:tc>
        <w:tc>
          <w:tcPr>
            <w:tcW w:w="780" w:type="dxa"/>
            <w:vAlign w:val="bottom"/>
          </w:tcPr>
          <w:p>
            <w:pPr>
              <w:jc w:val="right"/>
              <w:spacing w:after="0"/>
              <w:rPr>
                <w:sz w:val="20"/>
                <w:szCs w:val="20"/>
                <w:color w:val="auto"/>
              </w:rPr>
            </w:pPr>
            <w:r>
              <w:rPr>
                <w:rFonts w:ascii="Arial" w:cs="Arial" w:eastAsia="Arial" w:hAnsi="Arial"/>
                <w:sz w:val="18"/>
                <w:szCs w:val="18"/>
                <w:color w:val="auto"/>
              </w:rPr>
              <w:t>0.0084</w:t>
            </w:r>
          </w:p>
        </w:tc>
        <w:tc>
          <w:tcPr>
            <w:tcW w:w="780" w:type="dxa"/>
            <w:vAlign w:val="bottom"/>
          </w:tcPr>
          <w:p>
            <w:pPr>
              <w:jc w:val="right"/>
              <w:spacing w:after="0"/>
              <w:rPr>
                <w:sz w:val="20"/>
                <w:szCs w:val="20"/>
                <w:color w:val="auto"/>
              </w:rPr>
            </w:pPr>
            <w:r>
              <w:rPr>
                <w:rFonts w:ascii="Arial" w:cs="Arial" w:eastAsia="Arial" w:hAnsi="Arial"/>
                <w:sz w:val="18"/>
                <w:szCs w:val="18"/>
                <w:color w:val="auto"/>
              </w:rPr>
              <w:t>0.0000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0.0000</w:t>
            </w: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2027</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4.9008</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2.1788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0.3605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0.0000</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0.0000</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0.0000</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0.0000</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0.0000</w:t>
            </w: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exact Stock Price and Effective Date may not be set forth in the table above, in which case:</w:t>
      </w:r>
    </w:p>
    <w:p>
      <w:pPr>
        <w:spacing w:after="0" w:line="117" w:lineRule="exact"/>
        <w:rPr>
          <w:sz w:val="20"/>
          <w:szCs w:val="20"/>
          <w:color w:val="auto"/>
        </w:rPr>
      </w:pPr>
    </w:p>
    <w:p>
      <w:pPr>
        <w:jc w:val="both"/>
        <w:ind w:left="440" w:right="320" w:firstLine="419"/>
        <w:spacing w:after="0" w:line="259" w:lineRule="auto"/>
        <w:tabs>
          <w:tab w:leader="none" w:pos="1078"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Stock Price is between two Stock Prices in the table above or the Effective Date is between two Effective Dates in the table, the number of Additional Shares by which the Conversion Rate shall be increased shall be determined by a straight- line interpolation between the number of Additional Shares set forth for the higher and lower Stock Prices and the earlier and later Effective Dates, as applicable, based on a 365-day year;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440" w:top="274" w:right="439" w:bottom="1440" w:gutter="0" w:footer="0" w:header="0"/>
        </w:sectPr>
      </w:pPr>
    </w:p>
    <w:bookmarkStart w:id="83" w:name="page84"/>
    <w:bookmarkEnd w:id="83"/>
    <w:p>
      <w:pPr>
        <w:ind w:left="440" w:right="60" w:firstLine="419"/>
        <w:spacing w:after="0" w:line="308" w:lineRule="auto"/>
        <w:tabs>
          <w:tab w:leader="none" w:pos="1128" w:val="left"/>
        </w:tabs>
        <w:numPr>
          <w:ilvl w:val="0"/>
          <w:numId w:val="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Stock Price is greater than $150.00 per share (subject to adjustment in the same manner as the Stock Prices set forth in the column headings of the table above pursuant to subsection (d) above), no Additional Shares shall be added to the Conversion Rate; and</w:t>
      </w:r>
    </w:p>
    <w:p>
      <w:pPr>
        <w:spacing w:after="0" w:line="38" w:lineRule="exact"/>
        <w:rPr>
          <w:rFonts w:ascii="Arial" w:cs="Arial" w:eastAsia="Arial" w:hAnsi="Arial"/>
          <w:sz w:val="17"/>
          <w:szCs w:val="17"/>
          <w:color w:val="auto"/>
        </w:rPr>
      </w:pPr>
    </w:p>
    <w:p>
      <w:pPr>
        <w:ind w:left="440" w:right="340" w:firstLine="419"/>
        <w:spacing w:after="0" w:line="308" w:lineRule="auto"/>
        <w:tabs>
          <w:tab w:leader="none" w:pos="1178"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the Stock Price is less than $44.01 per share (subject to adjustment in the same manner as the Stock Prices set forth in the column headings of the table above pursuant to subsection (d) above), no Additional Shares shall be added to the Conversion Rate.</w:t>
      </w:r>
    </w:p>
    <w:p>
      <w:pPr>
        <w:spacing w:after="0" w:line="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Notwithstanding the foregoing, in no event shall the Conversion Rate per $1,000 principal amount of Notes exceed 22.7221 shares of Class A Common Stock, subject to adjustment in the same manner as the Conversion Rate pursuant to Section 14.04.</w:t>
      </w:r>
    </w:p>
    <w:p>
      <w:pPr>
        <w:spacing w:after="0" w:line="62" w:lineRule="exact"/>
        <w:rPr>
          <w:sz w:val="20"/>
          <w:szCs w:val="20"/>
          <w:color w:val="auto"/>
        </w:rPr>
      </w:pPr>
    </w:p>
    <w:p>
      <w:pPr>
        <w:ind w:firstLine="436"/>
        <w:spacing w:after="0" w:line="277" w:lineRule="auto"/>
        <w:tabs>
          <w:tab w:leader="none" w:pos="665"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Nothing in this Section 14.03 shall prevent an adjustment to the Conversion Rate that would otherwise be required pursuant to Section 14.04 in respect of a Make-Whole Fundamental Change.</w:t>
      </w:r>
    </w:p>
    <w:p>
      <w:pPr>
        <w:spacing w:after="0" w:line="6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Section 14.04</w:t>
      </w:r>
      <w:r>
        <w:rPr>
          <w:rFonts w:ascii="Arial" w:cs="Arial" w:eastAsia="Arial" w:hAnsi="Arial"/>
          <w:sz w:val="18"/>
          <w:szCs w:val="18"/>
          <w:i w:val="1"/>
          <w:iCs w:val="1"/>
          <w:color w:val="auto"/>
        </w:rPr>
        <w:t>. Adjustment of Conversion Rate.</w:t>
      </w:r>
      <w:r>
        <w:rPr>
          <w:rFonts w:ascii="Arial" w:cs="Arial" w:eastAsia="Arial" w:hAnsi="Arial"/>
          <w:sz w:val="18"/>
          <w:szCs w:val="18"/>
          <w:color w:val="auto"/>
        </w:rPr>
        <w:t xml:space="preserve"> 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Class A Common Stock and solely as a result of holding the Notes, in any of the transactions described in this Section 14.04, without having to convert their Notes, as if they held a number of shares of Class A Common Stock equal to the Conversion Rate,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principal amount (expressed in thousands) of Notes held by such Holder.</w:t>
      </w:r>
    </w:p>
    <w:p>
      <w:pPr>
        <w:spacing w:after="0" w:line="84" w:lineRule="exact"/>
        <w:rPr>
          <w:sz w:val="20"/>
          <w:szCs w:val="20"/>
          <w:color w:val="auto"/>
        </w:rPr>
      </w:pPr>
    </w:p>
    <w:p>
      <w:pPr>
        <w:ind w:right="120" w:firstLine="436"/>
        <w:spacing w:after="0" w:line="308" w:lineRule="auto"/>
        <w:tabs>
          <w:tab w:leader="none" w:pos="685"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the Company exclusively issues shares of Class A Common Stock as a dividend or distribution on shares of the Class A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119380</wp:posOffset>
            </wp:positionV>
            <wp:extent cx="1183005" cy="4457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830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80"/>
          </w:cols>
          <w:pgMar w:left="440" w:top="274" w:right="479" w:bottom="1440" w:gutter="0" w:footer="0" w:header="0"/>
        </w:sectPr>
      </w:pPr>
    </w:p>
    <w:bookmarkStart w:id="84" w:name="page85"/>
    <w:bookmarkEnd w:id="8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w:t>
      </w:r>
    </w:p>
    <w:p>
      <w:pPr>
        <w:sectPr>
          <w:pgSz w:w="11900" w:h="16838" w:orient="portrait"/>
          <w:cols w:equalWidth="0" w:num="1">
            <w:col w:w="10960"/>
          </w:cols>
          <w:pgMar w:left="440" w:top="274" w:right="49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380" w:hanging="219"/>
        <w:spacing w:after="0" w:line="342"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the Conversion Rate in effect immediately prior to the open of business on the Ex- Dividend Date of such dividend or distribution, or immediately prior to the open of business on the Effective Date of such share split or share combination, as applicable;</w:t>
      </w:r>
    </w:p>
    <w:p>
      <w:pPr>
        <w:spacing w:after="0" w:line="16" w:lineRule="exact"/>
        <w:rPr>
          <w:sz w:val="20"/>
          <w:szCs w:val="20"/>
          <w:color w:val="auto"/>
        </w:rPr>
      </w:pPr>
    </w:p>
    <w:p>
      <w:pPr>
        <w:sectPr>
          <w:pgSz w:w="11900" w:h="16838" w:orient="portrait"/>
          <w:cols w:equalWidth="0" w:num="2">
            <w:col w:w="320" w:space="680"/>
            <w:col w:w="9960"/>
          </w:cols>
          <w:pgMar w:left="440" w:top="274" w:right="499" w:bottom="1440" w:gutter="0" w:footer="0" w:header="0"/>
          <w:type w:val="continuous"/>
        </w:sectPr>
      </w:pPr>
    </w:p>
    <w:p>
      <w:pPr>
        <w:spacing w:after="0"/>
        <w:rPr>
          <w:sz w:val="20"/>
          <w:szCs w:val="20"/>
          <w:color w:val="auto"/>
        </w:rPr>
      </w:pPr>
      <w:r>
        <w:rPr>
          <w:rFonts w:ascii="Arial" w:cs="Arial" w:eastAsia="Arial" w:hAnsi="Arial"/>
          <w:sz w:val="18"/>
          <w:szCs w:val="18"/>
          <w:color w:val="auto"/>
        </w:rPr>
        <w:t>CR’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Conversion Rate in effect immediately after the open of business on such Ex- Dividend Date or Effective Date;</w:t>
      </w:r>
    </w:p>
    <w:p>
      <w:pPr>
        <w:spacing w:after="0" w:line="139" w:lineRule="exact"/>
        <w:rPr>
          <w:sz w:val="20"/>
          <w:szCs w:val="20"/>
          <w:color w:val="auto"/>
        </w:rPr>
      </w:pPr>
    </w:p>
    <w:p>
      <w:pPr>
        <w:sectPr>
          <w:pgSz w:w="11900" w:h="16838" w:orient="portrait"/>
          <w:cols w:equalWidth="0" w:num="2">
            <w:col w:w="300" w:space="480"/>
            <w:col w:w="10180"/>
          </w:cols>
          <w:pgMar w:left="440" w:top="274" w:right="499" w:bottom="1440" w:gutter="0" w:footer="0" w:header="0"/>
          <w:type w:val="continuous"/>
        </w:sectPr>
      </w:pPr>
    </w:p>
    <w:p>
      <w:pPr>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420" w:hanging="2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number of shares of Class A Common Stock outstanding immediately prior to the open of business on such Ex-Dividend Date or Effective Date (before giving effect to any such dividend, distribution, split or combination); and</w:t>
      </w:r>
    </w:p>
    <w:p>
      <w:pPr>
        <w:spacing w:after="0" w:line="62" w:lineRule="exact"/>
        <w:rPr>
          <w:sz w:val="20"/>
          <w:szCs w:val="20"/>
          <w:color w:val="auto"/>
        </w:rPr>
      </w:pPr>
    </w:p>
    <w:p>
      <w:pPr>
        <w:sectPr>
          <w:pgSz w:w="11900" w:h="16838" w:orient="portrait"/>
          <w:cols w:equalWidth="0" w:num="2">
            <w:col w:w="300" w:space="700"/>
            <w:col w:w="9960"/>
          </w:cols>
          <w:pgMar w:left="44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OS’</w:t>
      </w:r>
    </w:p>
    <w:p>
      <w:pPr>
        <w:spacing w:after="0" w:line="20" w:lineRule="exact"/>
        <w:rPr>
          <w:sz w:val="20"/>
          <w:szCs w:val="20"/>
          <w:color w:val="auto"/>
        </w:rPr>
      </w:pPr>
      <w:r>
        <w:rPr>
          <w:sz w:val="20"/>
          <w:szCs w:val="20"/>
          <w:color w:val="auto"/>
        </w:rPr>
        <w:br w:type="column"/>
      </w:r>
    </w:p>
    <w:p>
      <w:pPr>
        <w:ind w:right="160" w:hanging="2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number of shares of Class A Common Stock outstanding immediately after giving effect to such dividend, distribution, share split or share combination.</w:t>
      </w:r>
    </w:p>
    <w:p>
      <w:pPr>
        <w:spacing w:after="0" w:line="62" w:lineRule="exact"/>
        <w:rPr>
          <w:sz w:val="20"/>
          <w:szCs w:val="20"/>
          <w:color w:val="auto"/>
        </w:rPr>
      </w:pPr>
    </w:p>
    <w:p>
      <w:pPr>
        <w:sectPr>
          <w:pgSz w:w="11900" w:h="16838" w:orient="portrait"/>
          <w:cols w:equalWidth="0" w:num="2">
            <w:col w:w="280" w:space="720"/>
            <w:col w:w="9960"/>
          </w:cols>
          <w:pgMar w:left="440" w:top="274" w:right="499" w:bottom="1440" w:gutter="0" w:footer="0" w:header="0"/>
          <w:type w:val="continuous"/>
        </w:sectPr>
      </w:pPr>
    </w:p>
    <w:p>
      <w:pPr>
        <w:spacing w:after="0" w:line="257" w:lineRule="auto"/>
        <w:rPr>
          <w:sz w:val="20"/>
          <w:szCs w:val="20"/>
          <w:color w:val="auto"/>
        </w:rPr>
      </w:pPr>
      <w:r>
        <w:rPr>
          <w:rFonts w:ascii="Arial" w:cs="Arial" w:eastAsia="Arial" w:hAnsi="Arial"/>
          <w:sz w:val="18"/>
          <w:szCs w:val="18"/>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80" w:lineRule="exact"/>
        <w:rPr>
          <w:sz w:val="20"/>
          <w:szCs w:val="20"/>
          <w:color w:val="auto"/>
        </w:rPr>
      </w:pPr>
    </w:p>
    <w:p>
      <w:pPr>
        <w:ind w:firstLine="436"/>
        <w:spacing w:after="0" w:line="275" w:lineRule="auto"/>
        <w:tabs>
          <w:tab w:leader="none" w:pos="695"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the Company distributes to all or substantially all holders of the Class A Common Stock any rights, options or warrants (other than pursuant to a stockholder rights plan) entitling them, for a period of not more than 60 calendar days after the announcement date of such distribution, to subscribe for or purchase shares of the Class A Common Stock at a price per share that is less than the average of the Last Reported Sale Prices of the Class A Common Stock for the 10 consecutive Trading Day period ending on, and including, the Trading Day immediately preceding the date of announcement of such distribution,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137795</wp:posOffset>
            </wp:positionV>
            <wp:extent cx="1380490" cy="4629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8049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0960"/>
          </w:cols>
          <w:pgMar w:left="440" w:top="274" w:right="49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  the Conversion Rate in effect immediately prior to the open of business on the Ex- Dividend Date for such distribution;</w:t>
      </w:r>
    </w:p>
    <w:p>
      <w:pPr>
        <w:spacing w:after="0" w:line="140" w:lineRule="exact"/>
        <w:rPr>
          <w:sz w:val="20"/>
          <w:szCs w:val="20"/>
          <w:color w:val="auto"/>
        </w:rPr>
      </w:pPr>
    </w:p>
    <w:p>
      <w:pPr>
        <w:sectPr>
          <w:pgSz w:w="11900" w:h="16838" w:orient="portrait"/>
          <w:cols w:equalWidth="0" w:num="2">
            <w:col w:w="320" w:space="460"/>
            <w:col w:w="10180"/>
          </w:cols>
          <w:pgMar w:left="440" w:top="274" w:right="499" w:bottom="1440" w:gutter="0" w:footer="0" w:header="0"/>
          <w:type w:val="continuous"/>
        </w:sectPr>
      </w:pPr>
    </w:p>
    <w:p>
      <w:pPr>
        <w:spacing w:after="0"/>
        <w:rPr>
          <w:sz w:val="20"/>
          <w:szCs w:val="20"/>
          <w:color w:val="auto"/>
        </w:rPr>
      </w:pPr>
      <w:r>
        <w:rPr>
          <w:rFonts w:ascii="Arial" w:cs="Arial" w:eastAsia="Arial" w:hAnsi="Arial"/>
          <w:sz w:val="18"/>
          <w:szCs w:val="18"/>
          <w:color w:val="auto"/>
        </w:rPr>
        <w:t>CR’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Conversion Rate in effect immediately after the open of business on such Ex- Dividend Date;</w:t>
      </w:r>
    </w:p>
    <w:p>
      <w:pPr>
        <w:spacing w:after="0" w:line="139" w:lineRule="exact"/>
        <w:rPr>
          <w:sz w:val="20"/>
          <w:szCs w:val="20"/>
          <w:color w:val="auto"/>
        </w:rPr>
      </w:pPr>
    </w:p>
    <w:p>
      <w:pPr>
        <w:sectPr>
          <w:pgSz w:w="11900" w:h="16838" w:orient="portrait"/>
          <w:cols w:equalWidth="0" w:num="2">
            <w:col w:w="300" w:space="480"/>
            <w:col w:w="10180"/>
          </w:cols>
          <w:pgMar w:left="440" w:top="274" w:right="499" w:bottom="1440" w:gutter="0" w:footer="0" w:header="0"/>
          <w:type w:val="continuous"/>
        </w:sectPr>
      </w:pPr>
    </w:p>
    <w:p>
      <w:pPr>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number of shares of Class A Common Stock outstanding immediately prior to the open of business on such Ex-Dividend Date;</w:t>
      </w:r>
    </w:p>
    <w:p>
      <w:pPr>
        <w:spacing w:after="0" w:line="181" w:lineRule="exact"/>
        <w:rPr>
          <w:sz w:val="20"/>
          <w:szCs w:val="20"/>
          <w:color w:val="auto"/>
        </w:rPr>
      </w:pPr>
    </w:p>
    <w:p>
      <w:pPr>
        <w:sectPr>
          <w:pgSz w:w="11900" w:h="16838" w:orient="portrait"/>
          <w:cols w:equalWidth="0" w:num="2">
            <w:col w:w="300" w:space="480"/>
            <w:col w:w="10180"/>
          </w:cols>
          <w:pgMar w:left="440" w:top="274" w:right="4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0960"/>
          </w:cols>
          <w:pgMar w:left="440" w:top="274" w:right="499" w:bottom="1440" w:gutter="0" w:footer="0" w:header="0"/>
          <w:type w:val="continuous"/>
        </w:sectPr>
      </w:pPr>
    </w:p>
    <w:bookmarkStart w:id="85" w:name="page86"/>
    <w:bookmarkEnd w:id="85"/>
    <w:p>
      <w:pPr>
        <w:ind w:left="784" w:hanging="784"/>
        <w:spacing w:after="0"/>
        <w:tabs>
          <w:tab w:leader="none" w:pos="784"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the total number of shares of Class A Common Stock distributable pursuant to such rights, options or warrants; and</w:t>
      </w:r>
    </w:p>
    <w:p>
      <w:pPr>
        <w:spacing w:after="0" w:line="117" w:lineRule="exact"/>
        <w:rPr>
          <w:sz w:val="20"/>
          <w:szCs w:val="20"/>
          <w:color w:val="auto"/>
        </w:rPr>
      </w:pPr>
    </w:p>
    <w:p>
      <w:pPr>
        <w:ind w:left="1004" w:right="20" w:hanging="1004"/>
        <w:spacing w:after="0" w:line="311" w:lineRule="auto"/>
        <w:tabs>
          <w:tab w:leader="none" w:pos="788"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 the number of shares of Class A Common Stock equal to the aggregate price payable to exercise such rights, options or warrants, </w:t>
      </w:r>
      <w:r>
        <w:rPr>
          <w:rFonts w:ascii="Arial" w:cs="Arial" w:eastAsia="Arial" w:hAnsi="Arial"/>
          <w:sz w:val="16"/>
          <w:szCs w:val="16"/>
          <w:i w:val="1"/>
          <w:iCs w:val="1"/>
          <w:color w:val="auto"/>
        </w:rPr>
        <w:t>divided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by </w:t>
      </w:r>
      <w:r>
        <w:rPr>
          <w:rFonts w:ascii="Arial" w:cs="Arial" w:eastAsia="Arial" w:hAnsi="Arial"/>
          <w:sz w:val="16"/>
          <w:szCs w:val="16"/>
          <w:color w:val="auto"/>
        </w:rPr>
        <w:t>the average of the Last Reported Sale Prices of the Class A Common Stock over the 10 consecutive Trading Day period ending on, and</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Trading Day immediately preceding the date of announcement of the distribution of such rights, options or warrants.</w:t>
      </w:r>
    </w:p>
    <w:p>
      <w:pPr>
        <w:spacing w:after="0" w:line="149" w:lineRule="exact"/>
        <w:rPr>
          <w:sz w:val="20"/>
          <w:szCs w:val="20"/>
          <w:color w:val="auto"/>
        </w:rPr>
      </w:pPr>
    </w:p>
    <w:p>
      <w:pPr>
        <w:ind w:left="4" w:right="60"/>
        <w:spacing w:after="0" w:line="293" w:lineRule="auto"/>
        <w:rPr>
          <w:sz w:val="20"/>
          <w:szCs w:val="20"/>
          <w:color w:val="auto"/>
        </w:rPr>
      </w:pPr>
      <w:r>
        <w:rPr>
          <w:rFonts w:ascii="Arial" w:cs="Arial" w:eastAsia="Arial" w:hAnsi="Arial"/>
          <w:sz w:val="16"/>
          <w:szCs w:val="16"/>
          <w:color w:val="auto"/>
        </w:rPr>
        <w:t>Any increase made under this Section 14.04(b) shall be made successively whenever any such rights, options or warrants are distributed and shall become effective immediately after the open of business on the Ex-Dividend Date for such distribution. To the extent that shares of the Class A Common Stock are not delivered after the expiration of such rights, options or warrants, the Conversion Rate shall be decreased to the Conversion Rate that would then be in effect had the increase with respect to the distribution of such rights, options or warrants been made on the basis of delivery of only the number of shares of Class A Common Stock actually delivered. If such rights, options or warrants are not so distributed, the Conversion Rate shall be decreased to the Conversion Rate that would then be in effect if such Ex-Dividend Date for such distribution had not occurred.</w:t>
      </w:r>
    </w:p>
    <w:p>
      <w:pPr>
        <w:spacing w:after="0" w:line="164"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For purposes of this Section 14.04(b) and for the purpose of Section 14.01(b)(ii)(A), in determining whether any rights, options or warrants entitle the holders of Class A Common Stock to subscribe for or purchase shares of the Class A Common Stock at less than such average of the Last Reported Sale Prices of the Class A Common Stock for the 10 consecutive Trading Day period ending on, and including, the Trading Day immediately preceding the date of announcement of such distribution, and in determining the aggregate offering price of such shares of Class A Common Stock,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spacing w:after="0" w:line="164" w:lineRule="exact"/>
        <w:rPr>
          <w:sz w:val="20"/>
          <w:szCs w:val="20"/>
          <w:color w:val="auto"/>
        </w:rPr>
      </w:pPr>
    </w:p>
    <w:p>
      <w:pPr>
        <w:ind w:left="4" w:firstLine="436"/>
        <w:spacing w:after="0" w:line="284" w:lineRule="auto"/>
        <w:tabs>
          <w:tab w:leader="none" w:pos="689"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the Company distributes shares of its Capital Stock, evidences of its indebtedness, other assets or property of the Company or rights, options or warrants to acquire its Capital Stock or other securities, to all or substantially all holders of the Class A Common Stock, excluding (i) dividends, distributions or issuances (including share splits) as to which an adjustment was effected pursuant to Section 14.04(a) or Section 14.04(b), (ii) except as otherwise provided in Section 14.11, rights issued pursuant to any stockholder rights plan of the Company then in effect, (iii) distributions of Reference Property in exchange for, or upon conversion of, Class A Common Stock in a Share Exchange Event, (iv) dividends or distributions paid exclusively in cash as to which the provisions set forth in Section 14.04(d) shall apply, and (v) Spin-Offs as to which the provisions set forth below in this</w:t>
      </w:r>
    </w:p>
    <w:p>
      <w:pPr>
        <w:spacing w:after="0" w:line="4" w:lineRule="exact"/>
        <w:rPr>
          <w:rFonts w:ascii="Arial" w:cs="Arial" w:eastAsia="Arial" w:hAnsi="Arial"/>
          <w:sz w:val="16"/>
          <w:szCs w:val="16"/>
          <w:color w:val="auto"/>
        </w:rPr>
      </w:pPr>
    </w:p>
    <w:p>
      <w:pPr>
        <w:ind w:left="4" w:right="240"/>
        <w:spacing w:after="0" w:line="260" w:lineRule="auto"/>
        <w:rPr>
          <w:rFonts w:ascii="Arial" w:cs="Arial" w:eastAsia="Arial" w:hAnsi="Arial"/>
          <w:sz w:val="16"/>
          <w:szCs w:val="16"/>
          <w:color w:val="auto"/>
        </w:rPr>
      </w:pPr>
      <w:r>
        <w:rPr>
          <w:rFonts w:ascii="Arial" w:cs="Arial" w:eastAsia="Arial" w:hAnsi="Arial"/>
          <w:sz w:val="18"/>
          <w:szCs w:val="18"/>
          <w:color w:val="auto"/>
        </w:rPr>
        <w:t>Section 14.04(c) shall apply (any of such shares of Capital Stock, evidences of indebtedness, other assets or property or rights, options or warrants to acquire Capital Stock or other securities, the</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64"/>
          </w:cols>
          <w:pgMar w:left="436" w:top="274" w:right="499" w:bottom="1440" w:gutter="0" w:footer="0" w:header="0"/>
        </w:sectPr>
      </w:pPr>
    </w:p>
    <w:bookmarkStart w:id="86" w:name="page87"/>
    <w:bookmarkEnd w:id="8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Distributed Property</w:t>
      </w:r>
      <w:r>
        <w:rPr>
          <w:rFonts w:ascii="Arial" w:cs="Arial" w:eastAsia="Arial" w:hAnsi="Arial"/>
          <w:sz w:val="16"/>
          <w:szCs w:val="16"/>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186055</wp:posOffset>
            </wp:positionV>
            <wp:extent cx="1568450" cy="4457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684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0960"/>
          </w:cols>
          <w:pgMar w:left="440" w:top="270" w:right="49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  the Conversion Rate in effect immediately prior to the open of business on the Ex- Dividend Date for such distribution;</w:t>
      </w:r>
    </w:p>
    <w:p>
      <w:pPr>
        <w:spacing w:after="0" w:line="140" w:lineRule="exact"/>
        <w:rPr>
          <w:sz w:val="20"/>
          <w:szCs w:val="20"/>
          <w:color w:val="auto"/>
        </w:rPr>
      </w:pPr>
    </w:p>
    <w:p>
      <w:pPr>
        <w:sectPr>
          <w:pgSz w:w="11900" w:h="16838" w:orient="portrait"/>
          <w:cols w:equalWidth="0" w:num="2">
            <w:col w:w="320" w:space="460"/>
            <w:col w:w="10180"/>
          </w:cols>
          <w:pgMar w:left="440" w:top="270" w:right="499" w:bottom="1440" w:gutter="0" w:footer="0" w:header="0"/>
          <w:type w:val="continuous"/>
        </w:sectPr>
      </w:pPr>
    </w:p>
    <w:p>
      <w:pPr>
        <w:spacing w:after="0"/>
        <w:rPr>
          <w:sz w:val="20"/>
          <w:szCs w:val="20"/>
          <w:color w:val="auto"/>
        </w:rPr>
      </w:pPr>
      <w:r>
        <w:rPr>
          <w:rFonts w:ascii="Arial" w:cs="Arial" w:eastAsia="Arial" w:hAnsi="Arial"/>
          <w:sz w:val="18"/>
          <w:szCs w:val="18"/>
          <w:color w:val="auto"/>
        </w:rPr>
        <w:t>CR’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Conversion Rate in effect immediately after the open of business on such Ex- Dividend Date;</w:t>
      </w:r>
    </w:p>
    <w:p>
      <w:pPr>
        <w:spacing w:after="0" w:line="139" w:lineRule="exact"/>
        <w:rPr>
          <w:sz w:val="20"/>
          <w:szCs w:val="20"/>
          <w:color w:val="auto"/>
        </w:rPr>
      </w:pPr>
    </w:p>
    <w:p>
      <w:pPr>
        <w:sectPr>
          <w:pgSz w:w="11900" w:h="16838" w:orient="portrait"/>
          <w:cols w:equalWidth="0" w:num="2">
            <w:col w:w="300" w:space="480"/>
            <w:col w:w="10180"/>
          </w:cols>
          <w:pgMar w:left="440" w:top="270" w:right="499" w:bottom="1440" w:gutter="0" w:footer="0" w:header="0"/>
          <w:type w:val="continuous"/>
        </w:sectPr>
      </w:pPr>
    </w:p>
    <w:p>
      <w:pPr>
        <w:spacing w:after="0"/>
        <w:rPr>
          <w:sz w:val="20"/>
          <w:szCs w:val="20"/>
          <w:color w:val="auto"/>
        </w:rPr>
      </w:pPr>
      <w:r>
        <w:rPr>
          <w:rFonts w:ascii="Arial" w:cs="Arial" w:eastAsia="Arial" w:hAnsi="Arial"/>
          <w:sz w:val="15"/>
          <w:szCs w:val="15"/>
          <w:color w:val="auto"/>
        </w:rPr>
        <w:t>SP</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220" w:hanging="2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Class A Common Stock over the 10 consecutive Trading Day period ending on, and including, the Trading Day immediately preceding the Ex-Dividend Date for such distribution; and</w:t>
      </w:r>
    </w:p>
    <w:p>
      <w:pPr>
        <w:spacing w:after="0" w:line="62" w:lineRule="exact"/>
        <w:rPr>
          <w:sz w:val="20"/>
          <w:szCs w:val="20"/>
          <w:color w:val="auto"/>
        </w:rPr>
      </w:pPr>
    </w:p>
    <w:p>
      <w:pPr>
        <w:sectPr>
          <w:pgSz w:w="11900" w:h="16838" w:orient="portrait"/>
          <w:cols w:equalWidth="0" w:num="2">
            <w:col w:w="280" w:space="720"/>
            <w:col w:w="9960"/>
          </w:cols>
          <w:pgMar w:left="440" w:top="270" w:right="499" w:bottom="1440" w:gutter="0" w:footer="0" w:header="0"/>
          <w:type w:val="continuous"/>
        </w:sectPr>
      </w:pPr>
    </w:p>
    <w:p>
      <w:pPr>
        <w:spacing w:after="0"/>
        <w:rPr>
          <w:sz w:val="20"/>
          <w:szCs w:val="20"/>
          <w:color w:val="auto"/>
        </w:rPr>
      </w:pPr>
      <w:r>
        <w:rPr>
          <w:rFonts w:ascii="Arial" w:cs="Arial" w:eastAsia="Arial" w:hAnsi="Arial"/>
          <w:sz w:val="18"/>
          <w:szCs w:val="18"/>
          <w:color w:val="auto"/>
        </w:rPr>
        <w:t>FMV</w:t>
      </w:r>
    </w:p>
    <w:p>
      <w:pPr>
        <w:spacing w:after="0" w:line="20" w:lineRule="exact"/>
        <w:rPr>
          <w:sz w:val="20"/>
          <w:szCs w:val="20"/>
          <w:color w:val="auto"/>
        </w:rPr>
      </w:pPr>
      <w:r>
        <w:rPr>
          <w:sz w:val="20"/>
          <w:szCs w:val="20"/>
          <w:color w:val="auto"/>
        </w:rPr>
        <w:br w:type="column"/>
      </w:r>
    </w:p>
    <w:p>
      <w:pPr>
        <w:ind w:right="140" w:hanging="2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fair market value (as determined by the Company in good faith) of the Distributed Property with respect to each outstanding share of the Class A Common Stock on the Ex-Dividend Date for such distribution.</w:t>
      </w:r>
    </w:p>
    <w:p>
      <w:pPr>
        <w:spacing w:after="0" w:line="170" w:lineRule="exact"/>
        <w:rPr>
          <w:sz w:val="20"/>
          <w:szCs w:val="20"/>
          <w:color w:val="auto"/>
        </w:rPr>
      </w:pPr>
    </w:p>
    <w:p>
      <w:pPr>
        <w:sectPr>
          <w:pgSz w:w="11900" w:h="16838" w:orient="portrait"/>
          <w:cols w:equalWidth="0" w:num="2">
            <w:col w:w="380" w:space="620"/>
            <w:col w:w="9960"/>
          </w:cols>
          <w:pgMar w:left="440" w:top="270" w:right="499" w:bottom="1440" w:gutter="0" w:footer="0" w:header="0"/>
          <w:type w:val="continuous"/>
        </w:sectPr>
      </w:pPr>
    </w:p>
    <w:p>
      <w:pPr>
        <w:ind w:firstLine="440"/>
        <w:spacing w:after="0" w:line="254" w:lineRule="auto"/>
        <w:rPr>
          <w:sz w:val="20"/>
          <w:szCs w:val="20"/>
          <w:color w:val="auto"/>
        </w:rPr>
      </w:pPr>
      <w:r>
        <w:rPr>
          <w:rFonts w:ascii="Arial" w:cs="Arial" w:eastAsia="Arial" w:hAnsi="Arial"/>
          <w:sz w:val="18"/>
          <w:szCs w:val="18"/>
          <w:color w:val="auto"/>
        </w:rPr>
        <w:t>Any increase made under the portion of this Section 14.04(c)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“SP0” (as defined above), in lieu of the foregoing increase, each Holder of a Note shall receive, in respect of each $1,000 principal amount thereof, at the same time and upon the same terms as holders of the Class A Common Stock receive the Distributed Property, the amount and kind of Distributed Property such Holder would have received if such Holder owned a number of shares of Class A Common Stock equal to the Conversion Rate in effect on the Ex-Dividend Date for the distribution.</w:t>
      </w:r>
    </w:p>
    <w:p>
      <w:pPr>
        <w:spacing w:after="0" w:line="19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With respect to an adjustment pursuant to this Section 14.04(c) where there has been a payment of a dividend or other distribution on the Class A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144780</wp:posOffset>
            </wp:positionV>
            <wp:extent cx="1671320" cy="4457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713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60"/>
          </w:cols>
          <w:pgMar w:left="440" w:top="270" w:right="49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w:t>
      </w:r>
    </w:p>
    <w:p>
      <w:pPr>
        <w:sectPr>
          <w:pgSz w:w="11900" w:h="16838" w:orient="portrait"/>
          <w:cols w:equalWidth="0" w:num="1">
            <w:col w:w="11000"/>
          </w:cols>
          <w:pgMar w:left="440" w:top="274" w:right="459" w:bottom="1440" w:gutter="0" w:footer="0" w:header="0"/>
        </w:sect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  the Conversion Rate in effect immediately prior to the end of the Valuation Period;</w:t>
      </w:r>
    </w:p>
    <w:p>
      <w:pPr>
        <w:spacing w:after="0" w:line="154" w:lineRule="exact"/>
        <w:rPr>
          <w:sz w:val="20"/>
          <w:szCs w:val="20"/>
          <w:color w:val="auto"/>
        </w:rPr>
      </w:pPr>
    </w:p>
    <w:p>
      <w:pPr>
        <w:sectPr>
          <w:pgSz w:w="11900" w:h="16838" w:orient="portrait"/>
          <w:cols w:equalWidth="0" w:num="2">
            <w:col w:w="320" w:space="460"/>
            <w:col w:w="10220"/>
          </w:cols>
          <w:pgMar w:left="440" w:top="274" w:right="459" w:bottom="1440" w:gutter="0" w:footer="0" w:header="0"/>
          <w:type w:val="continuous"/>
        </w:sectPr>
      </w:pPr>
    </w:p>
    <w:p>
      <w:pPr>
        <w:spacing w:after="0"/>
        <w:rPr>
          <w:sz w:val="20"/>
          <w:szCs w:val="20"/>
          <w:color w:val="auto"/>
        </w:rPr>
      </w:pPr>
      <w:r>
        <w:rPr>
          <w:rFonts w:ascii="Arial" w:cs="Arial" w:eastAsia="Arial" w:hAnsi="Arial"/>
          <w:sz w:val="18"/>
          <w:szCs w:val="18"/>
          <w:color w:val="auto"/>
        </w:rPr>
        <w:t>CR’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Conversion Rate in effect immediately after the end of the Valuation Period;</w:t>
      </w:r>
    </w:p>
    <w:p>
      <w:pPr>
        <w:spacing w:after="0" w:line="153" w:lineRule="exact"/>
        <w:rPr>
          <w:sz w:val="20"/>
          <w:szCs w:val="20"/>
          <w:color w:val="auto"/>
        </w:rPr>
      </w:pPr>
    </w:p>
    <w:p>
      <w:pPr>
        <w:sectPr>
          <w:pgSz w:w="11900" w:h="16838" w:orient="portrait"/>
          <w:cols w:equalWidth="0" w:num="2">
            <w:col w:w="300" w:space="480"/>
            <w:col w:w="10220"/>
          </w:cols>
          <w:pgMar w:left="440" w:top="274" w:right="459" w:bottom="1440" w:gutter="0" w:footer="0" w:header="0"/>
          <w:type w:val="continuous"/>
        </w:sectPr>
      </w:pPr>
    </w:p>
    <w:p>
      <w:pPr>
        <w:spacing w:after="0"/>
        <w:rPr>
          <w:sz w:val="20"/>
          <w:szCs w:val="20"/>
          <w:color w:val="auto"/>
        </w:rPr>
      </w:pPr>
      <w:r>
        <w:rPr>
          <w:rFonts w:ascii="Arial" w:cs="Arial" w:eastAsia="Arial" w:hAnsi="Arial"/>
          <w:sz w:val="17"/>
          <w:szCs w:val="17"/>
          <w:color w:val="auto"/>
        </w:rPr>
        <w:t>FMV</w:t>
      </w: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jc w:val="both"/>
        <w:ind w:right="80" w:hanging="219"/>
        <w:spacing w:after="0" w:line="301"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the average of the Last Reported Sale Prices of the Capital Stock or similar equity interest distributed to holders of the Class A Common Stock applicable to one share of the Class A Common Stock (determined by reference to the definition of Last Reported Sale Price as set forth in Section 1.01 as if references therein to Class A Common Stock were to such Capital Stock or similar equity interest) over the first 10 consecutive Trading Day period after, and including, the Ex-Dividend Date of the Spin-Off (the “</w:t>
      </w:r>
      <w:r>
        <w:rPr>
          <w:rFonts w:ascii="Arial" w:cs="Arial" w:eastAsia="Arial" w:hAnsi="Arial"/>
          <w:sz w:val="16"/>
          <w:szCs w:val="16"/>
          <w:b w:val="1"/>
          <w:bCs w:val="1"/>
          <w:color w:val="auto"/>
        </w:rPr>
        <w:t>Valuation Period</w:t>
      </w:r>
      <w:r>
        <w:rPr>
          <w:rFonts w:ascii="Arial" w:cs="Arial" w:eastAsia="Arial" w:hAnsi="Arial"/>
          <w:sz w:val="16"/>
          <w:szCs w:val="16"/>
          <w:color w:val="auto"/>
        </w:rPr>
        <w:t>”); and</w:t>
      </w:r>
    </w:p>
    <w:p>
      <w:pPr>
        <w:spacing w:after="0" w:line="63" w:lineRule="exact"/>
        <w:rPr>
          <w:sz w:val="20"/>
          <w:szCs w:val="20"/>
          <w:color w:val="auto"/>
        </w:rPr>
      </w:pPr>
    </w:p>
    <w:p>
      <w:pPr>
        <w:sectPr>
          <w:pgSz w:w="11900" w:h="16838" w:orient="portrait"/>
          <w:cols w:equalWidth="0" w:num="2">
            <w:col w:w="460" w:space="540"/>
            <w:col w:w="10000"/>
          </w:cols>
          <w:pgMar w:left="440" w:top="274" w:right="459" w:bottom="1440" w:gutter="0" w:footer="0" w:header="0"/>
          <w:type w:val="continuous"/>
        </w:sectPr>
      </w:pPr>
    </w:p>
    <w:p>
      <w:pPr>
        <w:spacing w:after="0"/>
        <w:rPr>
          <w:sz w:val="20"/>
          <w:szCs w:val="20"/>
          <w:color w:val="auto"/>
        </w:rPr>
      </w:pPr>
      <w:r>
        <w:rPr>
          <w:rFonts w:ascii="Arial" w:cs="Arial" w:eastAsia="Arial" w:hAnsi="Arial"/>
          <w:sz w:val="17"/>
          <w:szCs w:val="17"/>
          <w:color w:val="auto"/>
        </w:rPr>
        <w:t>MP</w:t>
      </w: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average of the Last Reported Sale Prices of the Class A Common Stock over the Valuation Period.</w:t>
      </w:r>
    </w:p>
    <w:p>
      <w:pPr>
        <w:spacing w:after="0" w:line="211" w:lineRule="exact"/>
        <w:rPr>
          <w:sz w:val="20"/>
          <w:szCs w:val="20"/>
          <w:color w:val="auto"/>
        </w:rPr>
      </w:pPr>
    </w:p>
    <w:p>
      <w:pPr>
        <w:sectPr>
          <w:pgSz w:w="11900" w:h="16838" w:orient="portrait"/>
          <w:cols w:equalWidth="0" w:num="2">
            <w:col w:w="340" w:space="440"/>
            <w:col w:w="10220"/>
          </w:cols>
          <w:pgMar w:left="440" w:top="274" w:right="459" w:bottom="1440" w:gutter="0" w:footer="0" w:header="0"/>
          <w:type w:val="continuous"/>
        </w:sectPr>
      </w:pPr>
    </w:p>
    <w:p>
      <w:pPr>
        <w:spacing w:after="0" w:line="3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The increase to the Conversion Rate under the preceding paragraph shall occur at the close of business on the last Trading Day of the Valuation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in respect of any conversion of Notes for which Physical Settlement is applicable, if the relevant Conversion Date occurs during the Valuation Period, the reference to “10” in the preceding paragraph shall be deemed to be replaced with such lesser number of Trading Days as have elapsed from, and including, the Ex-Dividend Date of such Spin-Off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the reference to “10” in the preceding paragraph shall be deemed to be replaced with such lesser number of Trading Days as have elapsed from, and including, the Ex-Dividend Date of such Spin-Off to, and including, such Trading Day in determining the Conversion Rate as of such Trading Day of such Observation Period.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82"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For purposes of this Section 14.04(c) (and subject in all respect to Section 14.11), rights, options or warrants distributed by the Company to all holders of the Class A Common Stock entitling them to subscribe for or purchase shares of the Company’s Capital Stock, including Class A Common Stock (either initially or under certain circumstances), which rights, options or warrants, until the occurrence of a specified event or events (“</w:t>
      </w:r>
      <w:r>
        <w:rPr>
          <w:rFonts w:ascii="Arial" w:cs="Arial" w:eastAsia="Arial" w:hAnsi="Arial"/>
          <w:sz w:val="16"/>
          <w:szCs w:val="16"/>
          <w:b w:val="1"/>
          <w:bCs w:val="1"/>
          <w:color w:val="auto"/>
        </w:rPr>
        <w:t>Trigger</w:t>
      </w:r>
      <w:r>
        <w:rPr>
          <w:rFonts w:ascii="Arial" w:cs="Arial" w:eastAsia="Arial" w:hAnsi="Arial"/>
          <w:sz w:val="16"/>
          <w:szCs w:val="16"/>
          <w:color w:val="auto"/>
        </w:rPr>
        <w:t xml:space="preserve"> </w:t>
      </w:r>
      <w:r>
        <w:rPr>
          <w:rFonts w:ascii="Arial" w:cs="Arial" w:eastAsia="Arial" w:hAnsi="Arial"/>
          <w:sz w:val="16"/>
          <w:szCs w:val="16"/>
          <w:b w:val="1"/>
          <w:bCs w:val="1"/>
          <w:color w:val="auto"/>
        </w:rPr>
        <w:t>Event</w:t>
      </w:r>
      <w:r>
        <w:rPr>
          <w:rFonts w:ascii="Arial" w:cs="Arial" w:eastAsia="Arial" w:hAnsi="Arial"/>
          <w:sz w:val="16"/>
          <w:szCs w:val="16"/>
          <w:color w:val="auto"/>
        </w:rPr>
        <w:t>”): (i) are deemed to be transferred with such shares of the Class A Common Stock; (ii) are not exercisable; and (iii) are also issued in respect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future issuances of the Class A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type w:val="continuous"/>
        </w:sectPr>
      </w:pPr>
    </w:p>
    <w:bookmarkStart w:id="88" w:name="page89"/>
    <w:bookmarkEnd w:id="8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 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Class A Common Stock with respect to such rights, options or warrants (assuming such holder had retained such rights, options or warrants), made to all holders of Class A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82"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For purposes of Section 14.04(a), Section 14.04(b) and this Section 14.04(c), if any dividend or distribution to which this Section 14.04(c) is applicable also includes one or both of:</w:t>
      </w:r>
    </w:p>
    <w:p>
      <w:pPr>
        <w:spacing w:after="0" w:line="58" w:lineRule="exact"/>
        <w:rPr>
          <w:sz w:val="20"/>
          <w:szCs w:val="20"/>
          <w:color w:val="auto"/>
        </w:rPr>
      </w:pPr>
    </w:p>
    <w:p>
      <w:pPr>
        <w:ind w:left="740" w:hanging="304"/>
        <w:spacing w:after="0"/>
        <w:tabs>
          <w:tab w:leader="none" w:pos="7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dividend or distribution of shares of Class A Common Stock to which Section 14.04(a) is applicable (the “</w:t>
      </w:r>
      <w:r>
        <w:rPr>
          <w:rFonts w:ascii="Arial" w:cs="Arial" w:eastAsia="Arial" w:hAnsi="Arial"/>
          <w:sz w:val="17"/>
          <w:szCs w:val="17"/>
          <w:b w:val="1"/>
          <w:bCs w:val="1"/>
          <w:color w:val="auto"/>
        </w:rPr>
        <w:t>Clause A Distribution</w:t>
      </w:r>
      <w:r>
        <w:rPr>
          <w:rFonts w:ascii="Arial" w:cs="Arial" w:eastAsia="Arial" w:hAnsi="Arial"/>
          <w:sz w:val="17"/>
          <w:szCs w:val="17"/>
          <w:color w:val="auto"/>
        </w:rPr>
        <w:t>”); or</w:t>
      </w:r>
    </w:p>
    <w:p>
      <w:pPr>
        <w:spacing w:after="0" w:line="128" w:lineRule="exact"/>
        <w:rPr>
          <w:rFonts w:ascii="Arial" w:cs="Arial" w:eastAsia="Arial" w:hAnsi="Arial"/>
          <w:sz w:val="17"/>
          <w:szCs w:val="17"/>
          <w:color w:val="auto"/>
        </w:rPr>
      </w:pPr>
    </w:p>
    <w:p>
      <w:pPr>
        <w:ind w:left="720" w:hanging="284"/>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dividend or distribution of rights, options or warrants to which Section 14.04(b) is applicable (the “</w:t>
      </w:r>
      <w:r>
        <w:rPr>
          <w:rFonts w:ascii="Arial" w:cs="Arial" w:eastAsia="Arial" w:hAnsi="Arial"/>
          <w:sz w:val="18"/>
          <w:szCs w:val="18"/>
          <w:b w:val="1"/>
          <w:bCs w:val="1"/>
          <w:color w:val="auto"/>
        </w:rPr>
        <w:t>Clause B Distribution</w:t>
      </w:r>
      <w:r>
        <w:rPr>
          <w:rFonts w:ascii="Arial" w:cs="Arial" w:eastAsia="Arial" w:hAnsi="Arial"/>
          <w:sz w:val="18"/>
          <w:szCs w:val="18"/>
          <w:color w:val="auto"/>
        </w:rPr>
        <w:t>”),</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then, in either case, (1) such dividend or distribution, other than the Clause A Distribution and the Clause B Distribution, shall be deemed to be a dividend or distribution to which this Section 14.04(c) is applicable (the “</w:t>
      </w:r>
      <w:r>
        <w:rPr>
          <w:rFonts w:ascii="Arial" w:cs="Arial" w:eastAsia="Arial" w:hAnsi="Arial"/>
          <w:sz w:val="17"/>
          <w:szCs w:val="17"/>
          <w:b w:val="1"/>
          <w:bCs w:val="1"/>
          <w:color w:val="auto"/>
        </w:rPr>
        <w:t>Clause C Distribution</w:t>
      </w:r>
      <w:r>
        <w:rPr>
          <w:rFonts w:ascii="Arial" w:cs="Arial" w:eastAsia="Arial" w:hAnsi="Arial"/>
          <w:sz w:val="17"/>
          <w:szCs w:val="17"/>
          <w:color w:val="auto"/>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Class A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89" w:name="page90"/>
    <w:bookmarkEnd w:id="89"/>
    <w:p>
      <w:pPr>
        <w:ind w:left="4" w:right="120" w:firstLine="436"/>
        <w:spacing w:after="0" w:line="277" w:lineRule="auto"/>
        <w:tabs>
          <w:tab w:leader="none" w:pos="699"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makes any cash dividend or distribution to all or substantially all holders of the Class A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133985</wp:posOffset>
            </wp:positionV>
            <wp:extent cx="2134235" cy="420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3423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where,</w:t>
            </w:r>
          </w:p>
        </w:tc>
        <w:tc>
          <w:tcPr>
            <w:tcW w:w="320" w:type="dxa"/>
            <w:vAlign w:val="bottom"/>
          </w:tcPr>
          <w:p>
            <w:pPr>
              <w:spacing w:after="0"/>
              <w:rPr>
                <w:sz w:val="20"/>
                <w:szCs w:val="20"/>
                <w:color w:val="auto"/>
              </w:rPr>
            </w:pPr>
          </w:p>
        </w:tc>
        <w:tc>
          <w:tcPr>
            <w:tcW w:w="9740" w:type="dxa"/>
            <w:vAlign w:val="bottom"/>
          </w:tcPr>
          <w:p>
            <w:pPr>
              <w:spacing w:after="0"/>
              <w:rPr>
                <w:sz w:val="20"/>
                <w:szCs w:val="20"/>
                <w:color w:val="auto"/>
              </w:rPr>
            </w:pPr>
          </w:p>
        </w:tc>
      </w:tr>
      <w:tr>
        <w:trPr>
          <w:trHeight w:val="343"/>
        </w:trPr>
        <w:tc>
          <w:tcPr>
            <w:tcW w:w="62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w w:val="94"/>
              </w:rPr>
              <w:t>=  the Conversion Rate in effect immediately prior to the open of business on the Ex- Dividend Date for such dividend or distribution;</w:t>
            </w:r>
          </w:p>
        </w:tc>
      </w:tr>
      <w:tr>
        <w:trPr>
          <w:trHeight w:val="305"/>
        </w:trPr>
        <w:tc>
          <w:tcPr>
            <w:tcW w:w="620" w:type="dxa"/>
            <w:vAlign w:val="bottom"/>
          </w:tcPr>
          <w:p>
            <w:pPr>
              <w:spacing w:after="0"/>
              <w:rPr>
                <w:sz w:val="20"/>
                <w:szCs w:val="20"/>
                <w:color w:val="auto"/>
              </w:rPr>
            </w:pPr>
            <w:r>
              <w:rPr>
                <w:rFonts w:ascii="Arial" w:cs="Arial" w:eastAsia="Arial" w:hAnsi="Arial"/>
                <w:sz w:val="18"/>
                <w:szCs w:val="18"/>
                <w:color w:val="auto"/>
              </w:rPr>
              <w:t>CR’</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9740" w:type="dxa"/>
            <w:vAlign w:val="bottom"/>
          </w:tcPr>
          <w:p>
            <w:pPr>
              <w:ind w:left="60"/>
              <w:spacing w:after="0"/>
              <w:rPr>
                <w:sz w:val="20"/>
                <w:szCs w:val="20"/>
                <w:color w:val="auto"/>
              </w:rPr>
            </w:pPr>
            <w:r>
              <w:rPr>
                <w:rFonts w:ascii="Arial" w:cs="Arial" w:eastAsia="Arial" w:hAnsi="Arial"/>
                <w:sz w:val="18"/>
                <w:szCs w:val="18"/>
                <w:color w:val="auto"/>
                <w:w w:val="95"/>
              </w:rPr>
              <w:t>the Conversion Rate in effect immediately after the open of business on the Ex- Dividend Date for such dividend or distribution;</w:t>
            </w: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9740" w:type="dxa"/>
            <w:vAlign w:val="bottom"/>
          </w:tcPr>
          <w:p>
            <w:pPr>
              <w:ind w:left="60"/>
              <w:spacing w:after="0"/>
              <w:rPr>
                <w:sz w:val="20"/>
                <w:szCs w:val="20"/>
                <w:color w:val="auto"/>
              </w:rPr>
            </w:pPr>
            <w:r>
              <w:rPr>
                <w:rFonts w:ascii="Arial" w:cs="Arial" w:eastAsia="Arial" w:hAnsi="Arial"/>
                <w:sz w:val="18"/>
                <w:szCs w:val="18"/>
                <w:color w:val="auto"/>
                <w:w w:val="90"/>
              </w:rPr>
              <w:t>the Last Reported Sale Price of the Class A Common Stock on the Trading Day immediately preceding the Ex-Dividend Date for such</w:t>
            </w:r>
          </w:p>
        </w:tc>
      </w:tr>
      <w:tr>
        <w:trPr>
          <w:trHeight w:val="230"/>
        </w:trPr>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40" w:type="dxa"/>
            <w:vAlign w:val="bottom"/>
          </w:tcPr>
          <w:p>
            <w:pPr>
              <w:ind w:left="60"/>
              <w:spacing w:after="0"/>
              <w:rPr>
                <w:sz w:val="20"/>
                <w:szCs w:val="20"/>
                <w:color w:val="auto"/>
              </w:rPr>
            </w:pPr>
            <w:r>
              <w:rPr>
                <w:rFonts w:ascii="Arial" w:cs="Arial" w:eastAsia="Arial" w:hAnsi="Arial"/>
                <w:sz w:val="18"/>
                <w:szCs w:val="18"/>
                <w:color w:val="auto"/>
              </w:rPr>
              <w:t>dividend or distribution; and</w:t>
            </w:r>
          </w:p>
        </w:tc>
      </w:tr>
    </w:tbl>
    <w:p>
      <w:pPr>
        <w:spacing w:after="0" w:line="94" w:lineRule="exact"/>
        <w:rPr>
          <w:sz w:val="20"/>
          <w:szCs w:val="20"/>
          <w:color w:val="auto"/>
        </w:rPr>
      </w:pPr>
    </w:p>
    <w:p>
      <w:pPr>
        <w:ind w:left="784" w:hanging="784"/>
        <w:spacing w:after="0"/>
        <w:tabs>
          <w:tab w:leader="none" w:pos="784" w:val="left"/>
        </w:tabs>
        <w:numPr>
          <w:ilvl w:val="0"/>
          <w:numId w:val="86"/>
        </w:numPr>
        <w:rPr>
          <w:rFonts w:ascii="Arial" w:cs="Arial" w:eastAsia="Arial" w:hAnsi="Arial"/>
          <w:sz w:val="18"/>
          <w:szCs w:val="18"/>
          <w:color w:val="auto"/>
        </w:rPr>
      </w:pPr>
      <w:r>
        <w:rPr>
          <w:rFonts w:ascii="Arial" w:cs="Arial" w:eastAsia="Arial" w:hAnsi="Arial"/>
          <w:sz w:val="18"/>
          <w:szCs w:val="18"/>
          <w:color w:val="auto"/>
        </w:rPr>
        <w:t>=  the amount in cash per share the Company distributes to all or substantially all holders of the Class A Common Stock.</w:t>
      </w:r>
    </w:p>
    <w:p>
      <w:pPr>
        <w:spacing w:after="0" w:line="225"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“SP0” (as defined above), in lieu of the foregoing increase, each Holder of a Note shall receive, for each $1,000 principal amount of Notes it holds, at the same time and upon the same terms as holders of shares of the Class A Common Stock, the amount of cash that such Holder would have received if such Holder owned a number of shares of Class A Common Stock equal to the Conversion Rate on the Ex-Dividend Date for such cash dividend or distribution.</w:t>
      </w:r>
    </w:p>
    <w:p>
      <w:pPr>
        <w:spacing w:after="0" w:line="58" w:lineRule="exact"/>
        <w:rPr>
          <w:sz w:val="20"/>
          <w:szCs w:val="20"/>
          <w:color w:val="auto"/>
        </w:rPr>
      </w:pPr>
    </w:p>
    <w:p>
      <w:pPr>
        <w:ind w:left="4" w:right="20" w:firstLine="436"/>
        <w:spacing w:after="0" w:line="296" w:lineRule="auto"/>
        <w:tabs>
          <w:tab w:leader="none" w:pos="689"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the Company or any of its Subsidiaries make a payment in respect of a tender or exchange offer for the Class A Common Stock that is subject to the then applicable tender offer rules under the Exchange Act (other than any odd-lot tender offer), to the extent that the cash and value of any other consideration included in the payment per share of the Class A Common Stock exceeds the average of the Last Reported Sale Prices of the Class A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4"/>
          </w:cols>
          <w:pgMar w:left="436" w:top="274" w:right="459" w:bottom="1440" w:gutter="0" w:footer="0" w:header="0"/>
        </w:sectPr>
      </w:pPr>
    </w:p>
    <w:bookmarkStart w:id="90" w:name="page91"/>
    <w:bookmarkEnd w:id="90"/>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2848610</wp:posOffset>
            </wp:positionH>
            <wp:positionV relativeFrom="page">
              <wp:posOffset>182880</wp:posOffset>
            </wp:positionV>
            <wp:extent cx="1859915" cy="4889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859915" cy="488950"/>
                    </a:xfrm>
                    <a:prstGeom prst="rect">
                      <a:avLst/>
                    </a:prstGeom>
                    <a:noFill/>
                  </pic:spPr>
                </pic:pic>
              </a:graphicData>
            </a:graphic>
          </wp:anchor>
        </w:drawing>
        <w:t>where,</w:t>
      </w:r>
    </w:p>
    <w:p>
      <w:pPr>
        <w:sectPr>
          <w:pgSz w:w="11900" w:h="16838" w:orient="portrait"/>
          <w:cols w:equalWidth="0" w:num="1">
            <w:col w:w="11000"/>
          </w:cols>
          <w:pgMar w:left="440" w:top="1043" w:right="45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240" w:hanging="2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Conversion Rate in effect immediately prior to the close of business on the 10th Trading Day immediately following, and including, the Trading Day next succeeding the date such tender or exchange offer expires;</w:t>
      </w:r>
    </w:p>
    <w:p>
      <w:pPr>
        <w:spacing w:after="0" w:line="62" w:lineRule="exact"/>
        <w:rPr>
          <w:sz w:val="20"/>
          <w:szCs w:val="20"/>
          <w:color w:val="auto"/>
        </w:rPr>
      </w:pPr>
    </w:p>
    <w:p>
      <w:pPr>
        <w:sectPr>
          <w:pgSz w:w="11900" w:h="16838" w:orient="portrait"/>
          <w:cols w:equalWidth="0" w:num="2">
            <w:col w:w="320" w:space="680"/>
            <w:col w:w="10000"/>
          </w:cols>
          <w:pgMar w:left="440" w:top="1043" w:right="459" w:bottom="1440" w:gutter="0" w:footer="0" w:header="0"/>
          <w:type w:val="continuous"/>
        </w:sectPr>
      </w:pPr>
    </w:p>
    <w:p>
      <w:pPr>
        <w:spacing w:after="0"/>
        <w:rPr>
          <w:sz w:val="20"/>
          <w:szCs w:val="20"/>
          <w:color w:val="auto"/>
        </w:rPr>
      </w:pPr>
      <w:r>
        <w:rPr>
          <w:rFonts w:ascii="Arial" w:cs="Arial" w:eastAsia="Arial" w:hAnsi="Arial"/>
          <w:sz w:val="18"/>
          <w:szCs w:val="18"/>
          <w:color w:val="auto"/>
        </w:rPr>
        <w:t>CR’</w:t>
      </w:r>
    </w:p>
    <w:p>
      <w:pPr>
        <w:spacing w:after="0" w:line="20" w:lineRule="exact"/>
        <w:rPr>
          <w:sz w:val="20"/>
          <w:szCs w:val="20"/>
          <w:color w:val="auto"/>
        </w:rPr>
      </w:pPr>
      <w:r>
        <w:rPr>
          <w:sz w:val="20"/>
          <w:szCs w:val="20"/>
          <w:color w:val="auto"/>
        </w:rPr>
        <w:br w:type="column"/>
      </w:r>
    </w:p>
    <w:p>
      <w:pPr>
        <w:ind w:right="180" w:hanging="2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Conversion Rate in effect immediately after the close of business on the 10th Trading Day immediately following, and including, the Trading Day next succeeding the date such tender or exchange offer expires;</w:t>
      </w:r>
    </w:p>
    <w:p>
      <w:pPr>
        <w:spacing w:after="0" w:line="62" w:lineRule="exact"/>
        <w:rPr>
          <w:sz w:val="20"/>
          <w:szCs w:val="20"/>
          <w:color w:val="auto"/>
        </w:rPr>
      </w:pPr>
    </w:p>
    <w:p>
      <w:pPr>
        <w:sectPr>
          <w:pgSz w:w="11900" w:h="16838" w:orient="portrait"/>
          <w:cols w:equalWidth="0" w:num="2">
            <w:col w:w="300" w:space="700"/>
            <w:col w:w="10000"/>
          </w:cols>
          <w:pgMar w:left="440" w:top="1043" w:right="459" w:bottom="1440" w:gutter="0" w:footer="0" w:header="0"/>
          <w:type w:val="continuous"/>
        </w:sectPr>
      </w:pPr>
    </w:p>
    <w:p>
      <w:pPr>
        <w:spacing w:after="0"/>
        <w:rPr>
          <w:sz w:val="20"/>
          <w:szCs w:val="20"/>
          <w:color w:val="auto"/>
        </w:rPr>
      </w:pPr>
      <w:r>
        <w:rPr>
          <w:rFonts w:ascii="Arial" w:cs="Arial" w:eastAsia="Arial" w:hAnsi="Arial"/>
          <w:sz w:val="17"/>
          <w:szCs w:val="17"/>
          <w:color w:val="auto"/>
        </w:rPr>
        <w:t>AC</w:t>
      </w:r>
    </w:p>
    <w:p>
      <w:pPr>
        <w:spacing w:after="0" w:line="20" w:lineRule="exact"/>
        <w:rPr>
          <w:sz w:val="20"/>
          <w:szCs w:val="20"/>
          <w:color w:val="auto"/>
        </w:rPr>
      </w:pPr>
      <w:r>
        <w:rPr>
          <w:sz w:val="20"/>
          <w:szCs w:val="20"/>
          <w:color w:val="auto"/>
        </w:rPr>
        <w:br w:type="column"/>
      </w:r>
    </w:p>
    <w:p>
      <w:pPr>
        <w:ind w:right="320" w:hanging="2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aggregate value of all cash and any other consideration (as determined by the Company in good faith) paid or payable for shares of Class A Common Stock purchased in such tender or exchange offer;</w:t>
      </w:r>
    </w:p>
    <w:p>
      <w:pPr>
        <w:spacing w:after="0" w:line="62" w:lineRule="exact"/>
        <w:rPr>
          <w:sz w:val="20"/>
          <w:szCs w:val="20"/>
          <w:color w:val="auto"/>
        </w:rPr>
      </w:pPr>
    </w:p>
    <w:p>
      <w:pPr>
        <w:sectPr>
          <w:pgSz w:w="11900" w:h="16838" w:orient="portrait"/>
          <w:cols w:equalWidth="0" w:num="2">
            <w:col w:w="280" w:space="720"/>
            <w:col w:w="10000"/>
          </w:cols>
          <w:pgMar w:left="440" w:top="1043" w:right="459" w:bottom="1440" w:gutter="0" w:footer="0" w:header="0"/>
          <w:type w:val="continuous"/>
        </w:sectPr>
      </w:pPr>
    </w:p>
    <w:p>
      <w:pPr>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60" w:hanging="219"/>
        <w:spacing w:after="0" w:line="342"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the number of shares of Class A Common Stock outstanding immediately prior to the date such tender or exchange offer expires (prior to giving effect to the purchase of all shares of Class A Common Stock accepted for purchase or exchange in such tender or exchange offer);</w:t>
      </w:r>
    </w:p>
    <w:p>
      <w:pPr>
        <w:spacing w:after="0" w:line="16" w:lineRule="exact"/>
        <w:rPr>
          <w:sz w:val="20"/>
          <w:szCs w:val="20"/>
          <w:color w:val="auto"/>
        </w:rPr>
      </w:pPr>
    </w:p>
    <w:p>
      <w:pPr>
        <w:sectPr>
          <w:pgSz w:w="11900" w:h="16838" w:orient="portrait"/>
          <w:cols w:equalWidth="0" w:num="2">
            <w:col w:w="300" w:space="700"/>
            <w:col w:w="10000"/>
          </w:cols>
          <w:pgMar w:left="440" w:top="1043" w:right="459" w:bottom="1440" w:gutter="0" w:footer="0" w:header="0"/>
          <w:type w:val="continuous"/>
        </w:sectPr>
      </w:pPr>
    </w:p>
    <w:p>
      <w:pPr>
        <w:spacing w:after="0"/>
        <w:rPr>
          <w:sz w:val="20"/>
          <w:szCs w:val="20"/>
          <w:color w:val="auto"/>
        </w:rPr>
      </w:pPr>
      <w:r>
        <w:rPr>
          <w:rFonts w:ascii="Arial" w:cs="Arial" w:eastAsia="Arial" w:hAnsi="Arial"/>
          <w:sz w:val="16"/>
          <w:szCs w:val="16"/>
          <w:color w:val="auto"/>
        </w:rPr>
        <w:t>OS’</w:t>
      </w:r>
    </w:p>
    <w:p>
      <w:pPr>
        <w:spacing w:after="0" w:line="20" w:lineRule="exact"/>
        <w:rPr>
          <w:sz w:val="20"/>
          <w:szCs w:val="20"/>
          <w:color w:val="auto"/>
        </w:rPr>
      </w:pPr>
      <w:r>
        <w:rPr>
          <w:sz w:val="20"/>
          <w:szCs w:val="20"/>
          <w:color w:val="auto"/>
        </w:rPr>
        <w:br w:type="column"/>
      </w:r>
    </w:p>
    <w:p>
      <w:pPr>
        <w:jc w:val="center"/>
        <w:ind w:right="40"/>
        <w:spacing w:after="0" w:line="342" w:lineRule="auto"/>
        <w:tabs>
          <w:tab w:leader="none" w:pos="100" w:val="left"/>
        </w:tabs>
        <w:rPr>
          <w:sz w:val="20"/>
          <w:szCs w:val="20"/>
          <w:color w:val="auto"/>
        </w:rPr>
      </w:pPr>
      <w:r>
        <w:rPr>
          <w:rFonts w:ascii="Arial" w:cs="Arial" w:eastAsia="Arial" w:hAnsi="Arial"/>
          <w:sz w:val="16"/>
          <w:szCs w:val="16"/>
          <w:color w:val="auto"/>
        </w:rPr>
        <w:t>=</w:t>
        <w:tab/>
        <w:t>the number of shares of Class A Common Stock outstanding immediately after the date such tender or exchange offer expires (after giving effect to the purchase of all shares of Class A Common Stock accepted for purchase or exchange in such tender or exchange offer); and</w:t>
      </w:r>
    </w:p>
    <w:p>
      <w:pPr>
        <w:spacing w:after="0" w:line="16" w:lineRule="exact"/>
        <w:rPr>
          <w:sz w:val="20"/>
          <w:szCs w:val="20"/>
          <w:color w:val="auto"/>
        </w:rPr>
      </w:pPr>
    </w:p>
    <w:p>
      <w:pPr>
        <w:sectPr>
          <w:pgSz w:w="11900" w:h="16838" w:orient="portrait"/>
          <w:cols w:equalWidth="0" w:num="2">
            <w:col w:w="280" w:space="720"/>
            <w:col w:w="10000"/>
          </w:cols>
          <w:pgMar w:left="440" w:top="1043" w:right="459" w:bottom="1440" w:gutter="0" w:footer="0" w:header="0"/>
          <w:type w:val="continuous"/>
        </w:sectPr>
      </w:pPr>
    </w:p>
    <w:p>
      <w:pPr>
        <w:spacing w:after="0"/>
        <w:rPr>
          <w:sz w:val="20"/>
          <w:szCs w:val="20"/>
          <w:color w:val="auto"/>
        </w:rPr>
      </w:pPr>
      <w:r>
        <w:rPr>
          <w:rFonts w:ascii="Arial" w:cs="Arial" w:eastAsia="Arial" w:hAnsi="Arial"/>
          <w:sz w:val="16"/>
          <w:szCs w:val="16"/>
          <w:color w:val="auto"/>
        </w:rPr>
        <w:t>SP’</w:t>
      </w:r>
    </w:p>
    <w:p>
      <w:pPr>
        <w:spacing w:after="0" w:line="20" w:lineRule="exact"/>
        <w:rPr>
          <w:sz w:val="20"/>
          <w:szCs w:val="20"/>
          <w:color w:val="auto"/>
        </w:rPr>
      </w:pPr>
      <w:r>
        <w:rPr>
          <w:sz w:val="20"/>
          <w:szCs w:val="20"/>
          <w:color w:val="auto"/>
        </w:rPr>
        <w:br w:type="column"/>
      </w:r>
    </w:p>
    <w:p>
      <w:pPr>
        <w:ind w:right="140" w:hanging="2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Class A Common Stock over the 10 consecutive Trading Day period commencing on, and including, the Trading Day next succeeding the date such tender or exchange offer expires.</w:t>
      </w:r>
    </w:p>
    <w:p>
      <w:pPr>
        <w:spacing w:after="0" w:line="170" w:lineRule="exact"/>
        <w:rPr>
          <w:sz w:val="20"/>
          <w:szCs w:val="20"/>
          <w:color w:val="auto"/>
        </w:rPr>
      </w:pPr>
    </w:p>
    <w:p>
      <w:pPr>
        <w:sectPr>
          <w:pgSz w:w="11900" w:h="16838" w:orient="portrait"/>
          <w:cols w:equalWidth="0" w:num="2">
            <w:col w:w="280" w:space="720"/>
            <w:col w:w="10000"/>
          </w:cols>
          <w:pgMar w:left="440" w:top="1043" w:right="459" w:bottom="1440" w:gutter="0" w:footer="0" w:header="0"/>
          <w:type w:val="continuous"/>
        </w:sectPr>
      </w:pPr>
    </w:p>
    <w:p>
      <w:pPr>
        <w:ind w:firstLine="440"/>
        <w:spacing w:after="0" w:line="270" w:lineRule="auto"/>
        <w:rPr>
          <w:sz w:val="20"/>
          <w:szCs w:val="20"/>
          <w:color w:val="auto"/>
        </w:rPr>
      </w:pPr>
      <w:r>
        <w:rPr>
          <w:rFonts w:ascii="Arial" w:cs="Arial" w:eastAsia="Arial" w:hAnsi="Arial"/>
          <w:sz w:val="17"/>
          <w:szCs w:val="17"/>
          <w:color w:val="auto"/>
        </w:rPr>
        <w:t xml:space="preserve">The increase to the Conversion Rate under this Section 14.04(e) shall occur at the close of business on the 10th Trading Day immediately following, and including, the Trading Day next succeeding the date such tender or exchange offer expires;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any tender or exchange offer, references to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1043" w:right="459" w:bottom="1440" w:gutter="0" w:footer="0" w:header="0"/>
          <w:type w:val="continuous"/>
        </w:sectPr>
      </w:pPr>
    </w:p>
    <w:bookmarkStart w:id="91" w:name="page92"/>
    <w:bookmarkEnd w:id="91"/>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 or “10th” in the preceding paragraph shall be deemed replaced with such lesser number of Trading Days as have elapsed from, and including, the Trading Day next succeeding the expiration date of such tender or exchange offer to, and including, such Trading Day in determining the Conversion Rate as of such Trading Day of such Observation Period.</w:t>
      </w:r>
    </w:p>
    <w:p>
      <w:pPr>
        <w:spacing w:after="0" w:line="76"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If the Company or one of its Subsidiaries is obligated to purchase shares of Class A Common Stock pursuant to any such tender or exchange offer described in this Section 14.04(e)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w:t>
      </w:r>
    </w:p>
    <w:p>
      <w:pPr>
        <w:spacing w:after="0" w:line="63" w:lineRule="exact"/>
        <w:rPr>
          <w:sz w:val="20"/>
          <w:szCs w:val="20"/>
          <w:color w:val="auto"/>
        </w:rPr>
      </w:pPr>
    </w:p>
    <w:p>
      <w:pPr>
        <w:ind w:firstLine="436"/>
        <w:spacing w:after="0" w:line="254" w:lineRule="auto"/>
        <w:tabs>
          <w:tab w:leader="none" w:pos="6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Notwithstanding this Section 14.04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Class A Common Stock as of the related Conversion Date as described under Section 14.02(i) based on an adjusted Conversion Rate for such Ex-Dividend Date, then, notwithstanding the Conversion Rate adjustment provisions in this Section 14.04, the Conversion Rate adjustment relating to such Ex- Dividend Date shall not be made for such converting Holder. Instead, such Holder shall be treated as if such Holder were the record owner of the shares of Class A Common Stock on an unadjusted basis and participate in the related dividend, distribution or other event giving rise to such adjustment.</w:t>
      </w:r>
    </w:p>
    <w:p>
      <w:pPr>
        <w:spacing w:after="0" w:line="86" w:lineRule="exact"/>
        <w:rPr>
          <w:rFonts w:ascii="Arial" w:cs="Arial" w:eastAsia="Arial" w:hAnsi="Arial"/>
          <w:sz w:val="18"/>
          <w:szCs w:val="18"/>
          <w:color w:val="auto"/>
        </w:rPr>
      </w:pPr>
    </w:p>
    <w:p>
      <w:pPr>
        <w:jc w:val="both"/>
        <w:ind w:right="320" w:firstLine="436"/>
        <w:spacing w:after="0" w:line="263"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Except as stated herein, the Company shall not adjust the Conversion Rate for the issuance of shares of the Class A Common Stock or any securities convertible into or exchangeable for shares of the Class A Common Stock or the right to purchase shares of the Class A Common Stock or such convertible or exchangeable securities.</w:t>
      </w:r>
    </w:p>
    <w:p>
      <w:pPr>
        <w:spacing w:after="0" w:line="75" w:lineRule="exact"/>
        <w:rPr>
          <w:rFonts w:ascii="Arial" w:cs="Arial" w:eastAsia="Arial" w:hAnsi="Arial"/>
          <w:sz w:val="18"/>
          <w:szCs w:val="18"/>
          <w:color w:val="auto"/>
        </w:rPr>
      </w:pPr>
    </w:p>
    <w:p>
      <w:pPr>
        <w:ind w:firstLine="436"/>
        <w:spacing w:after="0" w:line="255"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addition to those adjustments required by clauses (a), (b), (c), (d) and (e) of this Section 14.04, and subject to applicable exchange listing rules, the Company from time to time may increase the Conversion Rate by any amount for a period of at least 20 Business Days if the Company determines that such increase would be in the Company’s best interest. In addition, subject to applicable exchange listing rules, the Company may (but is not required to) increase the Conversion Rate to avoid or diminish any income tax to holders of Class A Common Stock or rights to purchase shares of Class A Common Stock in connection with a dividend or distribution of shares of Class A Common Stock (or rights to acquire shares of Class A Common Stock) or similar event.</w:t>
      </w:r>
    </w:p>
    <w:p>
      <w:pPr>
        <w:spacing w:after="0" w:line="84" w:lineRule="exact"/>
        <w:rPr>
          <w:rFonts w:ascii="Arial" w:cs="Arial" w:eastAsia="Arial" w:hAnsi="Arial"/>
          <w:sz w:val="18"/>
          <w:szCs w:val="18"/>
          <w:color w:val="auto"/>
        </w:rPr>
      </w:pPr>
    </w:p>
    <w:p>
      <w:pPr>
        <w:ind w:left="660" w:hanging="224"/>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Article 14, the Conversion Rate shall not be adjusted:</w:t>
      </w:r>
    </w:p>
    <w:p>
      <w:pPr>
        <w:spacing w:after="0" w:line="117" w:lineRule="exact"/>
        <w:rPr>
          <w:rFonts w:ascii="Arial" w:cs="Arial" w:eastAsia="Arial" w:hAnsi="Arial"/>
          <w:sz w:val="18"/>
          <w:szCs w:val="18"/>
          <w:color w:val="auto"/>
        </w:rPr>
      </w:pPr>
    </w:p>
    <w:p>
      <w:pPr>
        <w:ind w:left="440" w:right="520" w:firstLine="419"/>
        <w:spacing w:after="0" w:line="277" w:lineRule="auto"/>
        <w:tabs>
          <w:tab w:leader="none" w:pos="1078" w:val="left"/>
        </w:tabs>
        <w:numPr>
          <w:ilvl w:val="1"/>
          <w:numId w:val="88"/>
        </w:numPr>
        <w:rPr>
          <w:rFonts w:ascii="Arial" w:cs="Arial" w:eastAsia="Arial" w:hAnsi="Arial"/>
          <w:sz w:val="18"/>
          <w:szCs w:val="18"/>
          <w:color w:val="auto"/>
        </w:rPr>
      </w:pPr>
      <w:r>
        <w:rPr>
          <w:rFonts w:ascii="Arial" w:cs="Arial" w:eastAsia="Arial" w:hAnsi="Arial"/>
          <w:sz w:val="18"/>
          <w:szCs w:val="18"/>
          <w:color w:val="auto"/>
        </w:rPr>
        <w:t>upon the issuance of any shares of Class A Common Stock at a price below the Conversion Price or otherwise, other than any such issuance described in clause (a), (b) or (c) of this Section 14.04;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4" w:right="459" w:bottom="1440" w:gutter="0" w:footer="0" w:header="0"/>
        </w:sectPr>
      </w:pPr>
    </w:p>
    <w:bookmarkStart w:id="92" w:name="page93"/>
    <w:bookmarkEnd w:id="92"/>
    <w:p>
      <w:pPr>
        <w:ind w:left="440" w:right="120" w:firstLine="419"/>
        <w:spacing w:after="0" w:line="263" w:lineRule="auto"/>
        <w:tabs>
          <w:tab w:leader="none" w:pos="1128" w:val="left"/>
        </w:tabs>
        <w:numPr>
          <w:ilvl w:val="1"/>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issuance of any shares of Class A Common Stock pursuant to any present or future plan providing for the reinvestment of dividends or interest payable on the Company’s securities and the investment of additional optional amounts in shares of Class A Common Stock under any plan;</w:t>
      </w:r>
    </w:p>
    <w:p>
      <w:pPr>
        <w:spacing w:after="0" w:line="75" w:lineRule="exact"/>
        <w:rPr>
          <w:rFonts w:ascii="Arial" w:cs="Arial" w:eastAsia="Arial" w:hAnsi="Arial"/>
          <w:sz w:val="18"/>
          <w:szCs w:val="18"/>
          <w:color w:val="auto"/>
        </w:rPr>
      </w:pPr>
    </w:p>
    <w:p>
      <w:pPr>
        <w:jc w:val="both"/>
        <w:ind w:left="440" w:firstLine="419"/>
        <w:spacing w:after="0" w:line="263" w:lineRule="auto"/>
        <w:tabs>
          <w:tab w:leader="none" w:pos="1178" w:val="left"/>
        </w:tabs>
        <w:numPr>
          <w:ilvl w:val="1"/>
          <w:numId w:val="89"/>
        </w:numPr>
        <w:rPr>
          <w:rFonts w:ascii="Arial" w:cs="Arial" w:eastAsia="Arial" w:hAnsi="Arial"/>
          <w:sz w:val="18"/>
          <w:szCs w:val="18"/>
          <w:color w:val="auto"/>
        </w:rPr>
      </w:pPr>
      <w:r>
        <w:rPr>
          <w:rFonts w:ascii="Arial" w:cs="Arial" w:eastAsia="Arial" w:hAnsi="Arial"/>
          <w:sz w:val="18"/>
          <w:szCs w:val="18"/>
          <w:color w:val="auto"/>
        </w:rPr>
        <w:t>upon the issuance of any shares of Class A Common Stock or options or rights to purchase those shares pursuant to any present or future employee, director or consultant benefit or incentive plan or program (including pursuant to any evergreen plan) of or assumed by the Company or any of the Company’s Subsidiaries;</w:t>
      </w:r>
    </w:p>
    <w:p>
      <w:pPr>
        <w:spacing w:after="0" w:line="75" w:lineRule="exact"/>
        <w:rPr>
          <w:rFonts w:ascii="Arial" w:cs="Arial" w:eastAsia="Arial" w:hAnsi="Arial"/>
          <w:sz w:val="18"/>
          <w:szCs w:val="18"/>
          <w:color w:val="auto"/>
        </w:rPr>
      </w:pPr>
    </w:p>
    <w:p>
      <w:pPr>
        <w:ind w:left="440" w:right="300" w:firstLine="419"/>
        <w:spacing w:after="0" w:line="342" w:lineRule="auto"/>
        <w:tabs>
          <w:tab w:leader="none" w:pos="1168" w:val="left"/>
        </w:tabs>
        <w:numPr>
          <w:ilvl w:val="1"/>
          <w:numId w:val="89"/>
        </w:numPr>
        <w:rPr>
          <w:rFonts w:ascii="Arial" w:cs="Arial" w:eastAsia="Arial" w:hAnsi="Arial"/>
          <w:sz w:val="16"/>
          <w:szCs w:val="16"/>
          <w:color w:val="auto"/>
        </w:rPr>
      </w:pPr>
      <w:r>
        <w:rPr>
          <w:rFonts w:ascii="Arial" w:cs="Arial" w:eastAsia="Arial" w:hAnsi="Arial"/>
          <w:sz w:val="16"/>
          <w:szCs w:val="16"/>
          <w:color w:val="auto"/>
        </w:rPr>
        <w:t>upon the issuance of any shares of the Class A Common Stock pursuant to any option, warrant, right or exercisable, exchangeable or convertible security not described in clause (iii) of this subsection and outstanding as of the date the Notes were first issued;</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for a third-party tender offer by any party other than a tender offer by one or more of the Company’s Subsidiaries as described in clause</w:t>
      </w:r>
    </w:p>
    <w:p>
      <w:pPr>
        <w:spacing w:after="0" w:line="46" w:lineRule="exact"/>
        <w:rPr>
          <w:rFonts w:ascii="Arial" w:cs="Arial" w:eastAsia="Arial" w:hAnsi="Arial"/>
          <w:sz w:val="16"/>
          <w:szCs w:val="16"/>
          <w:color w:val="auto"/>
        </w:rPr>
      </w:pPr>
    </w:p>
    <w:p>
      <w:pPr>
        <w:ind w:left="680" w:hanging="244"/>
        <w:spacing w:after="0"/>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of this Section 14.04;</w:t>
      </w:r>
    </w:p>
    <w:p>
      <w:pPr>
        <w:spacing w:after="0" w:line="102" w:lineRule="exact"/>
        <w:rPr>
          <w:rFonts w:ascii="Arial" w:cs="Arial" w:eastAsia="Arial" w:hAnsi="Arial"/>
          <w:sz w:val="18"/>
          <w:szCs w:val="18"/>
          <w:color w:val="auto"/>
        </w:rPr>
      </w:pPr>
    </w:p>
    <w:p>
      <w:pPr>
        <w:jc w:val="both"/>
        <w:ind w:left="440" w:right="340" w:firstLine="419"/>
        <w:spacing w:after="0" w:line="311" w:lineRule="auto"/>
        <w:tabs>
          <w:tab w:leader="none" w:pos="1168" w:val="left"/>
        </w:tabs>
        <w:numPr>
          <w:ilvl w:val="1"/>
          <w:numId w:val="90"/>
        </w:numPr>
        <w:rPr>
          <w:rFonts w:ascii="Arial" w:cs="Arial" w:eastAsia="Arial" w:hAnsi="Arial"/>
          <w:sz w:val="16"/>
          <w:szCs w:val="16"/>
          <w:color w:val="auto"/>
        </w:rPr>
      </w:pPr>
      <w:r>
        <w:rPr>
          <w:rFonts w:ascii="Arial" w:cs="Arial" w:eastAsia="Arial" w:hAnsi="Arial"/>
          <w:sz w:val="16"/>
          <w:szCs w:val="16"/>
          <w:color w:val="auto"/>
        </w:rPr>
        <w:t>upon the repurchase of any shares of Class A Common Stock pursuant to an open market share purchase program or other buy-back transaction, including structured or derivative transactions such as accelerated share repurchase transactions or similar forward derivatives, or other buy-back transaction, that is not a tender offer or exchange offer of the kind described under clause (e) of this Section 14.04;</w:t>
      </w:r>
    </w:p>
    <w:p>
      <w:pPr>
        <w:spacing w:after="0" w:line="40" w:lineRule="exact"/>
        <w:rPr>
          <w:rFonts w:ascii="Arial" w:cs="Arial" w:eastAsia="Arial" w:hAnsi="Arial"/>
          <w:sz w:val="16"/>
          <w:szCs w:val="16"/>
          <w:color w:val="auto"/>
        </w:rPr>
      </w:pPr>
    </w:p>
    <w:p>
      <w:pPr>
        <w:ind w:left="1220" w:hanging="361"/>
        <w:spacing w:after="0"/>
        <w:tabs>
          <w:tab w:leader="none" w:pos="12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solely for a change in the par value (or lack of par value) of the Class A Common Stock; or</w:t>
      </w:r>
    </w:p>
    <w:p>
      <w:pPr>
        <w:spacing w:after="0" w:line="117" w:lineRule="exact"/>
        <w:rPr>
          <w:rFonts w:ascii="Arial" w:cs="Arial" w:eastAsia="Arial" w:hAnsi="Arial"/>
          <w:sz w:val="18"/>
          <w:szCs w:val="18"/>
          <w:color w:val="auto"/>
        </w:rPr>
      </w:pPr>
    </w:p>
    <w:p>
      <w:pPr>
        <w:ind w:left="1260" w:hanging="401"/>
        <w:spacing w:after="0"/>
        <w:tabs>
          <w:tab w:leader="none" w:pos="12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for accrued and unpaid interest, if any.</w:t>
      </w:r>
    </w:p>
    <w:p>
      <w:pPr>
        <w:spacing w:after="0" w:line="117" w:lineRule="exact"/>
        <w:rPr>
          <w:sz w:val="20"/>
          <w:szCs w:val="20"/>
          <w:color w:val="auto"/>
        </w:rPr>
      </w:pPr>
    </w:p>
    <w:p>
      <w:pPr>
        <w:ind w:right="660" w:firstLine="436"/>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calculations and other determinations under this Article 14 shall be made by the Company and shall be made to the nearest one-ten thousandth (1/10,000th) of a share.</w:t>
      </w:r>
    </w:p>
    <w:p>
      <w:pPr>
        <w:spacing w:after="0" w:line="62" w:lineRule="exact"/>
        <w:rPr>
          <w:rFonts w:ascii="Arial" w:cs="Arial" w:eastAsia="Arial" w:hAnsi="Arial"/>
          <w:sz w:val="18"/>
          <w:szCs w:val="18"/>
          <w:color w:val="auto"/>
        </w:rPr>
      </w:pPr>
    </w:p>
    <w:p>
      <w:pPr>
        <w:ind w:right="180" w:firstLine="436"/>
        <w:spacing w:after="0" w:line="291"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an adjustment to the Conversion Rate otherwise required by this Section 14.04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on the Conversion Date for any Notes (in the case of Physical Settlement), (iii) on each Trading Day of any Observation Period related to any conversion of Notes (in the case of Cash Settlement or Combination Settlement), (iv) November 1, 2026, (v) on any date on which the Company delivers a Notice of Redemption and (vi) on the effective date of any Fundamental Change and/or Make-Whole Fundamental Change, in each case, unless the adjustment has already been made.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93" w:name="page94"/>
    <w:bookmarkEnd w:id="93"/>
    <w:p>
      <w:pPr>
        <w:ind w:firstLine="436"/>
        <w:spacing w:after="0" w:line="291" w:lineRule="auto"/>
        <w:tabs>
          <w:tab w:leader="none" w:pos="655" w:val="left"/>
        </w:tabs>
        <w:numPr>
          <w:ilvl w:val="0"/>
          <w:numId w:val="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58" w:lineRule="exact"/>
        <w:rPr>
          <w:rFonts w:ascii="Arial" w:cs="Arial" w:eastAsia="Arial" w:hAnsi="Arial"/>
          <w:sz w:val="16"/>
          <w:szCs w:val="16"/>
          <w:color w:val="auto"/>
        </w:rPr>
      </w:pPr>
    </w:p>
    <w:p>
      <w:pPr>
        <w:ind w:left="740" w:hanging="304"/>
        <w:spacing w:after="0"/>
        <w:tabs>
          <w:tab w:leader="none" w:pos="7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For purposes of this Section 14.04, the number of shares of Class A Common Stock at any time outstanding shall not include shares of</w:t>
      </w:r>
    </w:p>
    <w:p>
      <w:pPr>
        <w:spacing w:after="0" w:line="3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Class A Common Stock held in the treasury of the Company so long as the Company does not pay any dividend or make any distribution on shares of Class A Common Stock held in the treasury of the Company, but shall include shares of Class A Common Stock issuable in respect of scrip certificates issued in lieu of fractions of shares of Class A Common Stock.</w:t>
      </w:r>
    </w:p>
    <w:p>
      <w:pPr>
        <w:spacing w:after="0" w:line="190"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Section 14.05</w:t>
      </w:r>
      <w:r>
        <w:rPr>
          <w:rFonts w:ascii="Arial" w:cs="Arial" w:eastAsia="Arial" w:hAnsi="Arial"/>
          <w:sz w:val="16"/>
          <w:szCs w:val="16"/>
          <w:i w:val="1"/>
          <w:iCs w:val="1"/>
          <w:color w:val="auto"/>
        </w:rPr>
        <w:t>. Adjustments of Prices.</w:t>
      </w:r>
      <w:r>
        <w:rPr>
          <w:rFonts w:ascii="Arial" w:cs="Arial" w:eastAsia="Arial" w:hAnsi="Arial"/>
          <w:sz w:val="16"/>
          <w:szCs w:val="16"/>
          <w:color w:val="auto"/>
        </w:rPr>
        <w:t xml:space="preserve"> Whenever any provision of this Indenture requires the Company to calculate the Last Reported Sale Prices, the Daily VWAPs, the Daily Conversion Values or the Daily Settlement Amounts over a span of multiple days (including, without limitation, an Observation Period and the period, if any, for determining the Stock Price for purposes of a Make-Whole Fundamental Change or a Notice of Redemption), the Company shall, in good faith, make appropriate adjustments (without duplication in respect of any adjustment made pursuant to Section 14.04)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or the Daily Settlement Amounts are to be calculated.</w:t>
      </w:r>
    </w:p>
    <w:p>
      <w:pPr>
        <w:spacing w:after="0" w:line="166"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Section 14.06</w:t>
      </w:r>
      <w:r>
        <w:rPr>
          <w:rFonts w:ascii="Arial" w:cs="Arial" w:eastAsia="Arial" w:hAnsi="Arial"/>
          <w:sz w:val="17"/>
          <w:szCs w:val="17"/>
          <w:i w:val="1"/>
          <w:iCs w:val="1"/>
          <w:color w:val="auto"/>
        </w:rPr>
        <w:t>. Shares to Be Fully Paid.</w:t>
      </w:r>
      <w:r>
        <w:rPr>
          <w:rFonts w:ascii="Arial" w:cs="Arial" w:eastAsia="Arial" w:hAnsi="Arial"/>
          <w:sz w:val="17"/>
          <w:szCs w:val="17"/>
          <w:color w:val="auto"/>
        </w:rPr>
        <w:t xml:space="preserve"> The Company shall at all times reserve, free from preemptive rights, out of its authorized but unissued shares or shares held in treasury, a number of shares of Class A Common Stock equal to the product of (a) the number of outstanding Notes and (b) the Conversion Rate (assuming the Conversion Rate has been increased by the maximum number of Additional Shares pursuant to Section 14.03), to provide for conversion of the Notes from time to time as such Notes are presented for conversion.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14.07</w:t>
      </w:r>
      <w:r>
        <w:rPr>
          <w:rFonts w:ascii="Arial" w:cs="Arial" w:eastAsia="Arial" w:hAnsi="Arial"/>
          <w:sz w:val="18"/>
          <w:szCs w:val="18"/>
          <w:i w:val="1"/>
          <w:iCs w:val="1"/>
          <w:color w:val="auto"/>
        </w:rPr>
        <w:t>. Effect of Recapitalizations, Reclassifications and Changes of the Class A Common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In the case of:</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40"/>
          </w:cols>
          <w:pgMar w:left="440" w:top="274" w:right="519" w:bottom="1440" w:gutter="0" w:footer="0" w:header="0"/>
        </w:sectPr>
      </w:pPr>
    </w:p>
    <w:bookmarkStart w:id="94" w:name="page95"/>
    <w:bookmarkEnd w:id="94"/>
    <w:p>
      <w:pPr>
        <w:ind w:left="444" w:right="200" w:firstLine="419"/>
        <w:spacing w:after="0" w:line="277" w:lineRule="auto"/>
        <w:tabs>
          <w:tab w:leader="none" w:pos="1082"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recapitalization, reclassification or change of the Class A Common Stock (other than a change to par value, or from par value to no par value, or changes resulting from a subdivision or combination),</w:t>
      </w:r>
    </w:p>
    <w:p>
      <w:pPr>
        <w:spacing w:after="0" w:line="62" w:lineRule="exact"/>
        <w:rPr>
          <w:rFonts w:ascii="Arial" w:cs="Arial" w:eastAsia="Arial" w:hAnsi="Arial"/>
          <w:sz w:val="18"/>
          <w:szCs w:val="18"/>
          <w:color w:val="auto"/>
        </w:rPr>
      </w:pPr>
    </w:p>
    <w:p>
      <w:pPr>
        <w:ind w:left="1124" w:hanging="261"/>
        <w:spacing w:after="0"/>
        <w:tabs>
          <w:tab w:leader="none" w:pos="112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consolidation, merger, combination or similar transaction involving the Company,</w:t>
      </w:r>
    </w:p>
    <w:p>
      <w:pPr>
        <w:spacing w:after="0" w:line="117" w:lineRule="exact"/>
        <w:rPr>
          <w:rFonts w:ascii="Arial" w:cs="Arial" w:eastAsia="Arial" w:hAnsi="Arial"/>
          <w:sz w:val="18"/>
          <w:szCs w:val="18"/>
          <w:color w:val="auto"/>
        </w:rPr>
      </w:pPr>
    </w:p>
    <w:p>
      <w:pPr>
        <w:ind w:left="444" w:right="80" w:firstLine="419"/>
        <w:spacing w:after="0" w:line="277" w:lineRule="auto"/>
        <w:tabs>
          <w:tab w:leader="none" w:pos="1182"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sale, lease or other transfer to a third party of the consolidated assets of the Company and the Company’s Subsidiaries substantially as an entirety or</w:t>
      </w:r>
    </w:p>
    <w:p>
      <w:pPr>
        <w:spacing w:after="0" w:line="62" w:lineRule="exact"/>
        <w:rPr>
          <w:rFonts w:ascii="Arial" w:cs="Arial" w:eastAsia="Arial" w:hAnsi="Arial"/>
          <w:sz w:val="18"/>
          <w:szCs w:val="18"/>
          <w:color w:val="auto"/>
        </w:rPr>
      </w:pPr>
    </w:p>
    <w:p>
      <w:pPr>
        <w:ind w:left="1164" w:hanging="301"/>
        <w:spacing w:after="0"/>
        <w:tabs>
          <w:tab w:leader="none" w:pos="11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225" w:lineRule="exact"/>
        <w:rPr>
          <w:sz w:val="20"/>
          <w:szCs w:val="20"/>
          <w:color w:val="auto"/>
        </w:rPr>
      </w:pPr>
    </w:p>
    <w:p>
      <w:pPr>
        <w:ind w:left="4"/>
        <w:spacing w:after="0" w:line="283" w:lineRule="auto"/>
        <w:rPr>
          <w:sz w:val="20"/>
          <w:szCs w:val="20"/>
          <w:color w:val="auto"/>
        </w:rPr>
      </w:pPr>
      <w:r>
        <w:rPr>
          <w:rFonts w:ascii="Arial" w:cs="Arial" w:eastAsia="Arial" w:hAnsi="Arial"/>
          <w:sz w:val="16"/>
          <w:szCs w:val="16"/>
          <w:color w:val="auto"/>
        </w:rPr>
        <w:t>in each case, as a result of which the Class A Common Stock would be converted into, or exchanged for, stock, other securities, other property or assets (including cash or any combination thereof) (any such event, a “</w:t>
      </w:r>
      <w:r>
        <w:rPr>
          <w:rFonts w:ascii="Arial" w:cs="Arial" w:eastAsia="Arial" w:hAnsi="Arial"/>
          <w:sz w:val="16"/>
          <w:szCs w:val="16"/>
          <w:b w:val="1"/>
          <w:bCs w:val="1"/>
          <w:color w:val="auto"/>
        </w:rPr>
        <w:t>Share Exchange Event</w:t>
      </w:r>
      <w:r>
        <w:rPr>
          <w:rFonts w:ascii="Arial" w:cs="Arial" w:eastAsia="Arial" w:hAnsi="Arial"/>
          <w:sz w:val="16"/>
          <w:szCs w:val="16"/>
          <w:color w:val="auto"/>
        </w:rPr>
        <w:t>”), then,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Class A Common Stock equal to the Conversion Rate immediately prior to such Share Exchange Event would have owned or been entitled to receive (the “</w:t>
      </w:r>
      <w:r>
        <w:rPr>
          <w:rFonts w:ascii="Arial" w:cs="Arial" w:eastAsia="Arial" w:hAnsi="Arial"/>
          <w:sz w:val="16"/>
          <w:szCs w:val="16"/>
          <w:b w:val="1"/>
          <w:bCs w:val="1"/>
          <w:color w:val="auto"/>
        </w:rPr>
        <w:t>Reference Property</w:t>
      </w:r>
      <w:r>
        <w:rPr>
          <w:rFonts w:ascii="Arial" w:cs="Arial" w:eastAsia="Arial" w:hAnsi="Arial"/>
          <w:sz w:val="16"/>
          <w:szCs w:val="16"/>
          <w:color w:val="auto"/>
        </w:rPr>
        <w:t>,” with each “</w:t>
      </w:r>
      <w:r>
        <w:rPr>
          <w:rFonts w:ascii="Arial" w:cs="Arial" w:eastAsia="Arial" w:hAnsi="Arial"/>
          <w:sz w:val="16"/>
          <w:szCs w:val="16"/>
          <w:b w:val="1"/>
          <w:bCs w:val="1"/>
          <w:color w:val="auto"/>
        </w:rPr>
        <w:t>unit of Reference Property</w:t>
      </w:r>
      <w:r>
        <w:rPr>
          <w:rFonts w:ascii="Arial" w:cs="Arial" w:eastAsia="Arial" w:hAnsi="Arial"/>
          <w:sz w:val="16"/>
          <w:szCs w:val="16"/>
          <w:color w:val="auto"/>
        </w:rPr>
        <w:t xml:space="preserve">” meaning the kind and amount of Reference Property that a holder of one share of Class A Common Stock is entitled to receive) upon such Share Exchange Event and, prior to or at the effective time of such Share Exchange Event, the Company or the successor or acquiring Person, as the case may be, shall execute with the Trustee a supplemental indenture permitted under Section 10.01(g) providing for such change in the right to convert each $1,000 principal amount of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and after the effective time of the Share Exchange Event (A) the Company or the successor or acquiring Person, as the case may be, shall continue to have the right to determine the form of consideration to be paid or delivered, as the case may be, upon conversion of Notes in accordance with Section 14.02 and</w:t>
      </w:r>
    </w:p>
    <w:p>
      <w:pPr>
        <w:spacing w:after="0" w:line="4" w:lineRule="exact"/>
        <w:rPr>
          <w:sz w:val="20"/>
          <w:szCs w:val="20"/>
          <w:color w:val="auto"/>
        </w:rPr>
      </w:pPr>
    </w:p>
    <w:p>
      <w:pPr>
        <w:ind w:left="4" w:right="80" w:hanging="4"/>
        <w:spacing w:after="0" w:line="271" w:lineRule="auto"/>
        <w:tabs>
          <w:tab w:leader="none" w:pos="289" w:val="left"/>
        </w:tabs>
        <w:numPr>
          <w:ilvl w:val="0"/>
          <w:numId w:val="94"/>
        </w:numPr>
        <w:rPr>
          <w:rFonts w:ascii="Arial" w:cs="Arial" w:eastAsia="Arial" w:hAnsi="Arial"/>
          <w:sz w:val="17"/>
          <w:szCs w:val="17"/>
          <w:color w:val="auto"/>
        </w:rPr>
      </w:pPr>
      <w:r>
        <w:rPr>
          <w:rFonts w:ascii="Arial" w:cs="Arial" w:eastAsia="Arial" w:hAnsi="Arial"/>
          <w:sz w:val="17"/>
          <w:szCs w:val="17"/>
          <w:color w:val="auto"/>
        </w:rPr>
        <w:t>(I) any amount payable in cash upon conversion of the Notes in accordance with Section 14.02 shall continue to be payable in cash, (II) any shares of Class A Common Stock that the Company would have been required to deliver upon conversion of the Notes in accordance with Section 14.02 shall instead be deliverable in the amount and type of Reference Property that a holder of that number of shares of Class A Common Stock would have received in such Share Exchange Event and (III) the Daily VWAP shall be calculated based on the value of a unit of Reference Property that a holder of one share of Class A Common Stock would have received in such Share Exchange Event.</w:t>
      </w:r>
    </w:p>
    <w:p>
      <w:pPr>
        <w:spacing w:after="0" w:line="178"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If the Share Exchange Event causes the Class A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Class A Common Stock, and (ii) the unit of Reference Property for purposes of the immediately preceding paragraph shall refer to the</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4"/>
          </w:cols>
          <w:pgMar w:left="436" w:top="274" w:right="459" w:bottom="1440" w:gutter="0" w:footer="0" w:header="0"/>
        </w:sectPr>
      </w:pPr>
    </w:p>
    <w:bookmarkStart w:id="95" w:name="page96"/>
    <w:bookmarkEnd w:id="9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consideration referred to in clause (i) attributable to one share of Class A Common Stock. If the holders of the Class A Common Stock receive only cash in such Share Exchange Event, then for all conversions for which the relevant Conversion Date occurs after the effective date of such Share Exchange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price paid per share of Class A Common Stock in such Share Exchange Event and (B) the Company shall satisfy the Conversion Obligation by paying cash to converting Holders on the fifth Business Day immediately following the relevant Conversion Date. The Company shall notify Holders, the Trustee and the Conversion Agent (if other than the Trustee) in writing of such weighted average as soon as practicable after such determination is made.</w:t>
      </w:r>
    </w:p>
    <w:p>
      <w:pPr>
        <w:spacing w:after="0" w:line="16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If the Reference Property in respect of any such Share Exchange Event includes, in whole or in part, shares of Common Equity (or other interests) in respect thereof, such supplemental indenture described in the second immediately preceding paragraph shall provide for anti- dilution and other adjustments that shall be as nearly equivalent as is possible to the adjustments provided for in this Article 14 with respect to the portion of the Reference Property consisting of such Common Equity (or other interests) in respect thereof. If, in the case of any Share Exchange Event, the Reference Property includes shares of stock, securities or other property or assets (including any combination thereof), other than cash and/or cash equivalents, of a Person other than the Company or the successor or acquiring Person, as the case may be, in such Share Exchange Event, then such supplemental indenture shall also be executed by such other Person, if such Person is an Affiliate of the Company or the successor or acquiring Person, and shall contain such additional provisions to protect the interests of the Holders as the Company shall in good faith reasonably consider necessary by reason of the foregoing, including the provisions providing for the purchase rights set forth in Article 15.</w:t>
      </w:r>
    </w:p>
    <w:p>
      <w:pPr>
        <w:spacing w:after="0" w:line="73" w:lineRule="exact"/>
        <w:rPr>
          <w:sz w:val="20"/>
          <w:szCs w:val="20"/>
          <w:color w:val="auto"/>
        </w:rPr>
      </w:pPr>
    </w:p>
    <w:p>
      <w:pPr>
        <w:ind w:right="100" w:firstLine="436"/>
        <w:spacing w:after="0" w:line="273" w:lineRule="auto"/>
        <w:tabs>
          <w:tab w:leader="none" w:pos="695" w:val="left"/>
        </w:tabs>
        <w:numPr>
          <w:ilvl w:val="0"/>
          <w:numId w:val="95"/>
        </w:numPr>
        <w:rPr>
          <w:rFonts w:ascii="Arial" w:cs="Arial" w:eastAsia="Arial" w:hAnsi="Arial"/>
          <w:sz w:val="17"/>
          <w:szCs w:val="17"/>
          <w:color w:val="auto"/>
        </w:rPr>
      </w:pPr>
      <w:r>
        <w:rPr>
          <w:rFonts w:ascii="Arial" w:cs="Arial" w:eastAsia="Arial" w:hAnsi="Arial"/>
          <w:sz w:val="17"/>
          <w:szCs w:val="17"/>
          <w:color w:val="auto"/>
        </w:rPr>
        <w:t>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Share Exchange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spacing w:after="0" w:line="69" w:lineRule="exact"/>
        <w:rPr>
          <w:rFonts w:ascii="Arial" w:cs="Arial" w:eastAsia="Arial" w:hAnsi="Arial"/>
          <w:sz w:val="17"/>
          <w:szCs w:val="17"/>
          <w:color w:val="auto"/>
        </w:rPr>
      </w:pPr>
    </w:p>
    <w:p>
      <w:pPr>
        <w:ind w:right="20" w:firstLine="436"/>
        <w:spacing w:after="0" w:line="259" w:lineRule="auto"/>
        <w:tabs>
          <w:tab w:leader="none" w:pos="68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shall not become a party to any Share Exchange Event unless its terms are consistent with this Section 14.07. None of the foregoing provisions shall affect the right of a Holder of Notes to convert its Notes into cash, shares of Class A Common Stock or a combination of cash and shares of Class A Common Stock, as applicable, as set forth in Section 14.01 and Section 14.02 prior to the effective date of such Share Exchange Event.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0"/>
          </w:cols>
          <w:pgMar w:left="440" w:top="274" w:right="479" w:bottom="1440" w:gutter="0" w:footer="0" w:header="0"/>
        </w:sectPr>
      </w:pPr>
    </w:p>
    <w:bookmarkStart w:id="96" w:name="page97"/>
    <w:bookmarkEnd w:id="9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The above provisions of this Section shall similarly apply to successive Share Exchange Events.</w:t>
      </w:r>
    </w:p>
    <w:p>
      <w:pPr>
        <w:spacing w:after="0" w:line="225"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Section 14.08</w:t>
      </w:r>
      <w:r>
        <w:rPr>
          <w:rFonts w:ascii="Arial" w:cs="Arial" w:eastAsia="Arial" w:hAnsi="Arial"/>
          <w:sz w:val="17"/>
          <w:szCs w:val="17"/>
          <w:i w:val="1"/>
          <w:iCs w:val="1"/>
          <w:color w:val="auto"/>
        </w:rPr>
        <w:t>. Certain Covenants.</w:t>
      </w:r>
      <w:r>
        <w:rPr>
          <w:rFonts w:ascii="Arial" w:cs="Arial" w:eastAsia="Arial" w:hAnsi="Arial"/>
          <w:sz w:val="17"/>
          <w:szCs w:val="17"/>
          <w:color w:val="auto"/>
        </w:rPr>
        <w:t xml:space="preserve"> (a) The Company covenants that all shares of Class A Common Stock issued upon conversion of Notes will be fully paid and non-assessable by the Company and free from all taxes, liens and charges with respect to the issue thereof.</w:t>
      </w:r>
    </w:p>
    <w:p>
      <w:pPr>
        <w:spacing w:after="0" w:line="38" w:lineRule="exact"/>
        <w:rPr>
          <w:sz w:val="20"/>
          <w:szCs w:val="20"/>
          <w:color w:val="auto"/>
        </w:rPr>
      </w:pPr>
    </w:p>
    <w:p>
      <w:pPr>
        <w:ind w:firstLine="436"/>
        <w:spacing w:after="0" w:line="259"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covenants that, if any shares of Class A Common Stock to be provided for the purpose of conversion of Notes hereunder require registration with or approval of any governmental authority under any federal or state law before such shares of Class A Common Stock may be validly issued upon conversion, the Company will, to the extent then permitted by the rules and interpretations of the Commission, secure such registration or approval, as the case may be.</w:t>
      </w:r>
    </w:p>
    <w:p>
      <w:pPr>
        <w:spacing w:after="0" w:line="78" w:lineRule="exact"/>
        <w:rPr>
          <w:rFonts w:ascii="Arial" w:cs="Arial" w:eastAsia="Arial" w:hAnsi="Arial"/>
          <w:sz w:val="18"/>
          <w:szCs w:val="18"/>
          <w:color w:val="auto"/>
        </w:rPr>
      </w:pPr>
    </w:p>
    <w:p>
      <w:pPr>
        <w:ind w:firstLine="436"/>
        <w:spacing w:after="0" w:line="263" w:lineRule="auto"/>
        <w:tabs>
          <w:tab w:leader="none" w:pos="68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further covenants that if at any time the Class A Common Stock shall be listed on any national securities exchange or automated quotation system the Company will list and keep listed, so long as the Class A Common Stock shall be so listed on such exchange or automated quotation system, any Class A Common Stock issuable upon conversion of the Notes.</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Section 14.09</w:t>
      </w:r>
      <w:r>
        <w:rPr>
          <w:rFonts w:ascii="Arial" w:cs="Arial" w:eastAsia="Arial" w:hAnsi="Arial"/>
          <w:sz w:val="16"/>
          <w:szCs w:val="16"/>
          <w:i w:val="1"/>
          <w:iCs w:val="1"/>
          <w:color w:val="auto"/>
        </w:rPr>
        <w:t>. Responsibility of Trustee.</w:t>
      </w:r>
      <w:r>
        <w:rPr>
          <w:rFonts w:ascii="Arial" w:cs="Arial" w:eastAsia="Arial" w:hAnsi="Arial"/>
          <w:sz w:val="16"/>
          <w:szCs w:val="16"/>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Class A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Class A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0"/>
          </w:cols>
          <w:pgMar w:left="440" w:top="274" w:right="479" w:bottom="1440" w:gutter="0" w:footer="0" w:header="0"/>
        </w:sectPr>
      </w:pPr>
    </w:p>
    <w:bookmarkStart w:id="97" w:name="page98"/>
    <w:bookmarkEnd w:id="9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14.10</w:t>
      </w:r>
      <w:r>
        <w:rPr>
          <w:rFonts w:ascii="Arial" w:cs="Arial" w:eastAsia="Arial" w:hAnsi="Arial"/>
          <w:sz w:val="18"/>
          <w:szCs w:val="18"/>
          <w:i w:val="1"/>
          <w:iCs w:val="1"/>
          <w:color w:val="auto"/>
        </w:rPr>
        <w:t>. Notice to Holders Prior to Certain Actions.</w:t>
      </w:r>
      <w:r>
        <w:rPr>
          <w:rFonts w:ascii="Arial" w:cs="Arial" w:eastAsia="Arial" w:hAnsi="Arial"/>
          <w:sz w:val="18"/>
          <w:szCs w:val="18"/>
          <w:color w:val="auto"/>
        </w:rPr>
        <w:t xml:space="preserve"> In case of any:</w:t>
      </w:r>
    </w:p>
    <w:p>
      <w:pPr>
        <w:spacing w:after="0" w:line="117" w:lineRule="exact"/>
        <w:rPr>
          <w:sz w:val="20"/>
          <w:szCs w:val="20"/>
          <w:color w:val="auto"/>
        </w:rPr>
      </w:pPr>
    </w:p>
    <w:p>
      <w:pPr>
        <w:ind w:right="600" w:firstLine="436"/>
        <w:spacing w:after="0" w:line="277" w:lineRule="auto"/>
        <w:tabs>
          <w:tab w:leader="none" w:pos="68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action by the Company or one of its Subsidiaries that would require an adjustment in the Conversion Rate pursuant to Section 14.04 or Section 14.11; or</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voluntary or involuntary dissolution, liquidation or winding-up of the Company;</w:t>
      </w:r>
    </w:p>
    <w:p>
      <w:pPr>
        <w:spacing w:after="0" w:line="117" w:lineRule="exact"/>
        <w:rPr>
          <w:sz w:val="20"/>
          <w:szCs w:val="20"/>
          <w:color w:val="auto"/>
        </w:rPr>
      </w:pPr>
    </w:p>
    <w:p>
      <w:pPr>
        <w:ind w:right="160" w:firstLine="440"/>
        <w:spacing w:after="0" w:line="270" w:lineRule="auto"/>
        <w:rPr>
          <w:sz w:val="20"/>
          <w:szCs w:val="20"/>
          <w:color w:val="auto"/>
        </w:rPr>
      </w:pPr>
      <w:r>
        <w:rPr>
          <w:rFonts w:ascii="Arial" w:cs="Arial" w:eastAsia="Arial" w:hAnsi="Arial"/>
          <w:sz w:val="17"/>
          <w:szCs w:val="17"/>
          <w:color w:val="auto"/>
        </w:rPr>
        <w:t>then, in each case (unless notice of such event is otherwise required pursuant to another provision of this Indenture), the Company shall cause to be filed with the Trustee and the Conversion Agent (if other than the Trustee) and to be delivered to each Holder, as promptly as possible but in any event at least 10 days prior to the applicable date hereinafter specified, a notice stating (i) the date on which a record is to be taken for the purpose of such action by the Company or one of its Subsidiaries or, if a record is not to be taken, the date as of which the holders of Class A Common Stock of record are to be determined for the purposes of such action by the Company or one of its Subsidiaries, or (ii) the date on which such dissolution, liquidation or winding-up is expected to become effective or occur, and the date as of which it is expected that holders of Class A Common Stock of record shall be entitled to exchange their Class A Common Stock for securities or other property deliverable upon such dissolution, liquidation or winding-up. Failure to give such notice, or any defect therein, shall not affect the legality or validity of such action by the Company or one of its Subsidiaries, dissolution, liquidation or winding-up.</w:t>
      </w:r>
    </w:p>
    <w:p>
      <w:pPr>
        <w:spacing w:after="0" w:line="73" w:lineRule="exact"/>
        <w:rPr>
          <w:sz w:val="20"/>
          <w:szCs w:val="20"/>
          <w:color w:val="auto"/>
        </w:rPr>
      </w:pPr>
    </w:p>
    <w:p>
      <w:pPr>
        <w:ind w:right="220" w:firstLine="440"/>
        <w:spacing w:after="0" w:line="291" w:lineRule="auto"/>
        <w:rPr>
          <w:sz w:val="20"/>
          <w:szCs w:val="20"/>
          <w:color w:val="auto"/>
        </w:rPr>
      </w:pPr>
      <w:r>
        <w:rPr>
          <w:rFonts w:ascii="Arial" w:cs="Arial" w:eastAsia="Arial" w:hAnsi="Arial"/>
          <w:sz w:val="16"/>
          <w:szCs w:val="16"/>
          <w:color w:val="auto"/>
        </w:rPr>
        <w:t>Section 14.11</w:t>
      </w:r>
      <w:r>
        <w:rPr>
          <w:rFonts w:ascii="Arial" w:cs="Arial" w:eastAsia="Arial" w:hAnsi="Arial"/>
          <w:sz w:val="16"/>
          <w:szCs w:val="16"/>
          <w:i w:val="1"/>
          <w:iCs w:val="1"/>
          <w:color w:val="auto"/>
        </w:rPr>
        <w:t>. Stockholder Rights Plans.</w:t>
      </w:r>
      <w:r>
        <w:rPr>
          <w:rFonts w:ascii="Arial" w:cs="Arial" w:eastAsia="Arial" w:hAnsi="Arial"/>
          <w:sz w:val="16"/>
          <w:szCs w:val="16"/>
          <w:color w:val="auto"/>
        </w:rPr>
        <w:t xml:space="preserve"> If the Company has a stockholder rights plan in effect upon conversion of the Notes, each share of Class A Common Stock, if any, issued upon such conversion shall be entitled to receive the appropriate number of rights, if any, and the certificates representing the Class A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Class A Common Stock in accordance with the provisions of the applicable stockholder rights plan, the Conversion Rate shall be adjusted at the time of separation as if the Company distributed to all or substantially all holders of the Class A Common Stock, Distributed Property as provided in Section 14.04(c), subject to readjustment in the event of the expiration, termination or redemption of such rights.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80"/>
          </w:cols>
          <w:pgMar w:left="440" w:top="274" w:right="479" w:bottom="1440" w:gutter="0" w:footer="0" w:header="0"/>
        </w:sectPr>
      </w:pPr>
    </w:p>
    <w:bookmarkStart w:id="98" w:name="page99"/>
    <w:bookmarkEnd w:id="98"/>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14.12</w:t>
      </w:r>
      <w:r>
        <w:rPr>
          <w:rFonts w:ascii="Arial" w:cs="Arial" w:eastAsia="Arial" w:hAnsi="Arial"/>
          <w:sz w:val="18"/>
          <w:szCs w:val="18"/>
          <w:i w:val="1"/>
          <w:iCs w:val="1"/>
          <w:color w:val="auto"/>
        </w:rPr>
        <w:t>. Exchange in Lieu of Conversion.</w:t>
      </w:r>
    </w:p>
    <w:p>
      <w:pPr>
        <w:spacing w:after="0" w:line="113" w:lineRule="exact"/>
        <w:rPr>
          <w:sz w:val="20"/>
          <w:szCs w:val="20"/>
          <w:color w:val="auto"/>
        </w:rPr>
      </w:pPr>
    </w:p>
    <w:p>
      <w:pPr>
        <w:ind w:left="-20" w:firstLine="436"/>
        <w:spacing w:after="0" w:line="289" w:lineRule="auto"/>
        <w:tabs>
          <w:tab w:leader="none" w:pos="665" w:val="left"/>
        </w:tabs>
        <w:numPr>
          <w:ilvl w:val="0"/>
          <w:numId w:val="98"/>
        </w:numPr>
        <w:rPr>
          <w:rFonts w:ascii="Arial" w:cs="Arial" w:eastAsia="Arial" w:hAnsi="Arial"/>
          <w:sz w:val="16"/>
          <w:szCs w:val="16"/>
          <w:color w:val="auto"/>
        </w:rPr>
      </w:pPr>
      <w:r>
        <w:rPr>
          <w:rFonts w:ascii="Arial" w:cs="Arial" w:eastAsia="Arial" w:hAnsi="Arial"/>
          <w:sz w:val="16"/>
          <w:szCs w:val="16"/>
          <w:color w:val="auto"/>
        </w:rPr>
        <w:t>When a Holder surrenders its Notes for conversion, the Company may, at its election (an “</w:t>
      </w:r>
      <w:r>
        <w:rPr>
          <w:rFonts w:ascii="Arial" w:cs="Arial" w:eastAsia="Arial" w:hAnsi="Arial"/>
          <w:sz w:val="16"/>
          <w:szCs w:val="16"/>
          <w:b w:val="1"/>
          <w:bCs w:val="1"/>
          <w:color w:val="auto"/>
        </w:rPr>
        <w:t>Exchange Election</w:t>
      </w:r>
      <w:r>
        <w:rPr>
          <w:rFonts w:ascii="Arial" w:cs="Arial" w:eastAsia="Arial" w:hAnsi="Arial"/>
          <w:sz w:val="16"/>
          <w:szCs w:val="16"/>
          <w:color w:val="auto"/>
        </w:rPr>
        <w:t>”), direct the Conversion Agent to deliver, on or prior to the Trading Day immediately following the Conversion Date, such Notes to one or more financial institutions designated by the Company (each, a “</w:t>
      </w:r>
      <w:r>
        <w:rPr>
          <w:rFonts w:ascii="Arial" w:cs="Arial" w:eastAsia="Arial" w:hAnsi="Arial"/>
          <w:sz w:val="16"/>
          <w:szCs w:val="16"/>
          <w:b w:val="1"/>
          <w:bCs w:val="1"/>
          <w:color w:val="auto"/>
        </w:rPr>
        <w:t>Designated Financial Institution</w:t>
      </w:r>
      <w:r>
        <w:rPr>
          <w:rFonts w:ascii="Arial" w:cs="Arial" w:eastAsia="Arial" w:hAnsi="Arial"/>
          <w:sz w:val="16"/>
          <w:szCs w:val="16"/>
          <w:color w:val="auto"/>
        </w:rPr>
        <w:t>”) for exchange in lieu of conversion. In order to accept any Notes surrendered for conversion, the Designated Financial Institution(s) must agree to timely pay and/or deliver, as the case may be, in exchange for such Notes, the cash, shares of Class A Common Stock or combination thereof that would otherwise be due upon conversion pursuant to Section 14.02 or such other amount agreed to by the Holder and the Designated Financial Institution(s) (the “</w:t>
      </w:r>
      <w:r>
        <w:rPr>
          <w:rFonts w:ascii="Arial" w:cs="Arial" w:eastAsia="Arial" w:hAnsi="Arial"/>
          <w:sz w:val="16"/>
          <w:szCs w:val="16"/>
          <w:b w:val="1"/>
          <w:bCs w:val="1"/>
          <w:color w:val="auto"/>
        </w:rPr>
        <w:t>Conversion Consideration</w:t>
      </w:r>
      <w:r>
        <w:rPr>
          <w:rFonts w:ascii="Arial" w:cs="Arial" w:eastAsia="Arial" w:hAnsi="Arial"/>
          <w:sz w:val="16"/>
          <w:szCs w:val="16"/>
          <w:color w:val="auto"/>
        </w:rPr>
        <w:t>”). If the Company makes an Exchange Election, the Company shall, by the close of business on the Trading Day following the relevant Conversion Date, notify in writing the Trustee, the Conversion Agent (if other than the Trustee) and the Holder surrendering Notes for conversion that the Company has made the Exchange Election, and the Company shall promptly notify the Designated Financial Institution(s) of the relevant deadline for delivery of the Conversion Consideration and the type of consideration constituting the Conversion Obligation under this Indenture to be paid and/or delivered, as the case may be.</w:t>
      </w:r>
    </w:p>
    <w:p>
      <w:pPr>
        <w:spacing w:after="0" w:line="56" w:lineRule="exact"/>
        <w:rPr>
          <w:rFonts w:ascii="Arial" w:cs="Arial" w:eastAsia="Arial" w:hAnsi="Arial"/>
          <w:sz w:val="16"/>
          <w:szCs w:val="16"/>
          <w:color w:val="auto"/>
        </w:rPr>
      </w:pPr>
    </w:p>
    <w:p>
      <w:pPr>
        <w:ind w:left="-20" w:firstLine="436"/>
        <w:spacing w:after="0" w:line="257" w:lineRule="auto"/>
        <w:tabs>
          <w:tab w:leader="none" w:pos="67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Notes delivered to the Designated Financial Institution(s) shall remain outstanding, subject to the applicable procedures of the Depositary. If the Designated Financial Institution(s) agree(s) to accept any Notes for exchange but do(es) not timely pay and/or deliver, as the case may be, the related Conversion Consideration, or if such Designated Financial Institution(s) do(es) not accept the Notes for exchange, the Company shall pay and/or deliver, as the case may be, the relevant consideration due upon conversion of such Notes, as, and at the time, required pursuant to this Indenture as if the Company had not made the Exchange Election.</w:t>
      </w:r>
    </w:p>
    <w:p>
      <w:pPr>
        <w:spacing w:after="0" w:line="79" w:lineRule="exact"/>
        <w:rPr>
          <w:rFonts w:ascii="Arial" w:cs="Arial" w:eastAsia="Arial" w:hAnsi="Arial"/>
          <w:sz w:val="18"/>
          <w:szCs w:val="18"/>
          <w:color w:val="auto"/>
        </w:rPr>
      </w:pPr>
    </w:p>
    <w:p>
      <w:pPr>
        <w:ind w:left="-20" w:right="320" w:firstLine="436"/>
        <w:spacing w:after="0" w:line="277" w:lineRule="auto"/>
        <w:tabs>
          <w:tab w:leader="none" w:pos="66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Company’s designation of any Designated Financial Institution(s) to which the Notes may be submitted for exchange does not require such Designated Financial Institution(s) to accept any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EPURCHASE</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N</w:t>
      </w:r>
      <w:r>
        <w:rPr>
          <w:rFonts w:ascii="Arial" w:cs="Arial" w:eastAsia="Arial" w:hAnsi="Arial"/>
          <w:sz w:val="14"/>
          <w:szCs w:val="14"/>
          <w:color w:val="auto"/>
        </w:rPr>
        <w:t>OTES</w:t>
      </w:r>
      <w:r>
        <w:rPr>
          <w:rFonts w:ascii="Arial" w:cs="Arial" w:eastAsia="Arial" w:hAnsi="Arial"/>
          <w:sz w:val="18"/>
          <w:szCs w:val="18"/>
          <w:color w:val="auto"/>
        </w:rPr>
        <w:t xml:space="preserve"> A</w:t>
      </w:r>
      <w:r>
        <w:rPr>
          <w:rFonts w:ascii="Arial" w:cs="Arial" w:eastAsia="Arial" w:hAnsi="Arial"/>
          <w:sz w:val="14"/>
          <w:szCs w:val="14"/>
          <w:color w:val="auto"/>
        </w:rPr>
        <w:t>T</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H</w:t>
      </w:r>
      <w:r>
        <w:rPr>
          <w:rFonts w:ascii="Arial" w:cs="Arial" w:eastAsia="Arial" w:hAnsi="Arial"/>
          <w:sz w:val="14"/>
          <w:szCs w:val="14"/>
          <w:color w:val="auto"/>
        </w:rPr>
        <w:t>OLDERS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Section 15.01</w:t>
      </w:r>
      <w:r>
        <w:rPr>
          <w:rFonts w:ascii="Arial" w:cs="Arial" w:eastAsia="Arial" w:hAnsi="Arial"/>
          <w:sz w:val="18"/>
          <w:szCs w:val="18"/>
          <w:i w:val="1"/>
          <w:iCs w:val="1"/>
          <w:color w:val="auto"/>
        </w:rPr>
        <w:t>. [Intentionally Omitted].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Section 15.02</w:t>
      </w:r>
      <w:r>
        <w:rPr>
          <w:rFonts w:ascii="Arial" w:cs="Arial" w:eastAsia="Arial" w:hAnsi="Arial"/>
          <w:sz w:val="18"/>
          <w:szCs w:val="18"/>
          <w:i w:val="1"/>
          <w:iCs w:val="1"/>
          <w:color w:val="auto"/>
        </w:rPr>
        <w:t>. Repurchase at Option of Holders Upon a Fundamental Change.</w:t>
      </w:r>
    </w:p>
    <w:p>
      <w:pPr>
        <w:spacing w:after="0" w:line="117" w:lineRule="exact"/>
        <w:rPr>
          <w:sz w:val="20"/>
          <w:szCs w:val="20"/>
          <w:color w:val="auto"/>
        </w:rPr>
      </w:pPr>
    </w:p>
    <w:p>
      <w:pPr>
        <w:ind w:left="-20" w:right="120" w:firstLine="436"/>
        <w:spacing w:after="0" w:line="257" w:lineRule="auto"/>
        <w:tabs>
          <w:tab w:leader="none" w:pos="665"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Subject to Section 15.02(f), if a Fundamental Change occurs at any time, each Holder shall have the right, at such Holder’s option, to require the Company to repurchase for cash all of such Holder’s Notes, or any portion of the principal amount thereof properly surrendered and not validly withdrawn pursuant to Section 15.03 that is equal to $1,000 or an integral multiple of $1,000, on the date (the “</w:t>
      </w:r>
      <w:r>
        <w:rPr>
          <w:rFonts w:ascii="Arial" w:cs="Arial" w:eastAsia="Arial" w:hAnsi="Arial"/>
          <w:sz w:val="18"/>
          <w:szCs w:val="18"/>
          <w:b w:val="1"/>
          <w:bCs w:val="1"/>
          <w:color w:val="auto"/>
        </w:rPr>
        <w:t>Fundamental Change Repurchase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specified by the Company that is not less than 20 Business Days or more than 35 Business Days following the date of the Fundamental 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Notice at a repurchase price equal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60"/>
          </w:cols>
          <w:pgMar w:left="460" w:top="274" w:right="47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100% of the principal amount thereof,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thereon to, but excluding, the Fundamental Change Repurchase Date (the</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the close of business on such Regular Record Date on, or at the Company’s election, before such Interest Payment Date, and the Fundamental Change Repurchase Price shall be equal to 100% of the principal amount of Notes to be repurchased pursuant to this Article 15).</w:t>
      </w:r>
    </w:p>
    <w:p>
      <w:pPr>
        <w:spacing w:after="0" w:line="83" w:lineRule="exact"/>
        <w:rPr>
          <w:sz w:val="20"/>
          <w:szCs w:val="20"/>
          <w:color w:val="auto"/>
        </w:rPr>
      </w:pPr>
    </w:p>
    <w:p>
      <w:pPr>
        <w:ind w:left="700" w:hanging="264"/>
        <w:spacing w:after="0"/>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Repurchases of Notes under this Section 15.02 shall be made, at the option of the Holder thereof, upon:</w:t>
      </w:r>
    </w:p>
    <w:p>
      <w:pPr>
        <w:spacing w:after="0" w:line="113" w:lineRule="exact"/>
        <w:rPr>
          <w:rFonts w:ascii="Arial" w:cs="Arial" w:eastAsia="Arial" w:hAnsi="Arial"/>
          <w:sz w:val="18"/>
          <w:szCs w:val="18"/>
          <w:color w:val="auto"/>
        </w:rPr>
      </w:pPr>
    </w:p>
    <w:p>
      <w:pPr>
        <w:ind w:left="440" w:right="20" w:firstLine="419"/>
        <w:spacing w:after="0" w:line="281" w:lineRule="auto"/>
        <w:tabs>
          <w:tab w:leader="none" w:pos="1078"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delivery to the Paying Agent by a Holder of a duly completed notice (the “</w:t>
      </w:r>
      <w:r>
        <w:rPr>
          <w:rFonts w:ascii="Arial" w:cs="Arial" w:eastAsia="Arial" w:hAnsi="Arial"/>
          <w:sz w:val="17"/>
          <w:szCs w:val="17"/>
          <w:b w:val="1"/>
          <w:bCs w:val="1"/>
          <w:color w:val="auto"/>
        </w:rPr>
        <w:t>Fundamental Change Repurchase Notice</w:t>
      </w:r>
      <w:r>
        <w:rPr>
          <w:rFonts w:ascii="Arial" w:cs="Arial" w:eastAsia="Arial" w:hAnsi="Arial"/>
          <w:sz w:val="17"/>
          <w:szCs w:val="17"/>
          <w:color w:val="auto"/>
        </w:rPr>
        <w:t>”) in the form set forth in Attachment 2 to the Form of Note attached hereto as Exhibit A, if the Notes are Physical Notes, or in compliance with the Depositary’s applicable procedures for surrendering interests in Global Notes, if the Notes are Global Notes, in each case, on or before the close of business on the Business Day immediately preceding the Fundamental Change Repurchase Date; and</w:t>
      </w:r>
    </w:p>
    <w:p>
      <w:pPr>
        <w:spacing w:after="0" w:line="60" w:lineRule="exact"/>
        <w:rPr>
          <w:rFonts w:ascii="Arial" w:cs="Arial" w:eastAsia="Arial" w:hAnsi="Arial"/>
          <w:sz w:val="17"/>
          <w:szCs w:val="17"/>
          <w:color w:val="auto"/>
        </w:rPr>
      </w:pPr>
    </w:p>
    <w:p>
      <w:pPr>
        <w:ind w:left="440" w:firstLine="419"/>
        <w:spacing w:after="0" w:line="279" w:lineRule="auto"/>
        <w:tabs>
          <w:tab w:leader="none" w:pos="1128"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applicable procedures of the Depositary, in each case, such delivery or transfer being a condition to receipt by the Holder of the Fundamental Change Repurchase Price therefor.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Fundamental Change Repurchase Notice in respect of any Physical Notes to be repurchased shall state:</w:t>
      </w:r>
    </w:p>
    <w:p>
      <w:pPr>
        <w:spacing w:after="0" w:line="117" w:lineRule="exact"/>
        <w:rPr>
          <w:sz w:val="20"/>
          <w:szCs w:val="20"/>
          <w:color w:val="auto"/>
        </w:rPr>
      </w:pPr>
    </w:p>
    <w:p>
      <w:pPr>
        <w:ind w:left="1080" w:hanging="221"/>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certificate numbers of the Notes to be delivered for repurchase;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portion of the principal amount of Notes to be repurchased, which must be $1,000 or an integral multiple thereof; and</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that the Notes are to be repurchased by the Company pursuant to the applicable provisions of the Notes and this Indenture.</w:t>
      </w:r>
    </w:p>
    <w:p>
      <w:pPr>
        <w:spacing w:after="0" w:line="1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Notes are Global Notes, to exercise the Fundamental Change repurchase right, Holders must surrender their Notes in accordance with applicable Depositary procedures.</w:t>
      </w:r>
    </w:p>
    <w:p>
      <w:pPr>
        <w:spacing w:after="0" w:line="62"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40"/>
          </w:cols>
          <w:pgMar w:left="440" w:top="274" w:right="519" w:bottom="1440" w:gutter="0" w:footer="0" w:header="0"/>
        </w:sectPr>
      </w:pPr>
    </w:p>
    <w:bookmarkStart w:id="100" w:name="page101"/>
    <w:bookmarkEnd w:id="100"/>
    <w:p>
      <w:pPr>
        <w:ind w:right="4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Paying Agent shall promptly notify the Company of the receipt by it of any Fundamental Change Repurchase Notice or written notice of withdrawal thereof.</w:t>
      </w:r>
    </w:p>
    <w:p>
      <w:pPr>
        <w:spacing w:after="0" w:line="62" w:lineRule="exact"/>
        <w:rPr>
          <w:sz w:val="20"/>
          <w:szCs w:val="20"/>
          <w:color w:val="auto"/>
        </w:rPr>
      </w:pPr>
    </w:p>
    <w:p>
      <w:pPr>
        <w:ind w:firstLine="436"/>
        <w:spacing w:after="0" w:line="254" w:lineRule="auto"/>
        <w:tabs>
          <w:tab w:leader="none" w:pos="68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On or before the 20th Business Day after the occurrence of the effective date of a Fundamental Change, the Company shall provide to all Holders and the Trustee and the Paying Agent (in the case of a Paying Agent other than the Trustee) a notice (the “</w:t>
      </w:r>
      <w:r>
        <w:rPr>
          <w:rFonts w:ascii="Arial" w:cs="Arial" w:eastAsia="Arial" w:hAnsi="Arial"/>
          <w:sz w:val="18"/>
          <w:szCs w:val="18"/>
          <w:b w:val="1"/>
          <w:bCs w:val="1"/>
          <w:color w:val="auto"/>
        </w:rPr>
        <w:t>Fundamental Change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of the occurrence of the effective date of the Fundamental Change and of the resulting repurchase right at the option of the Holders arising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thereof. In the case of Physical Notes, such notice shall be by first class mail or, in the case of Global Notes, such notice shall be delivered in accordance with the applicable procedures of the Depositary. Simultaneously with providing such notice, the Company shall publish such information on the Company’s website or through such other public medium as the Company may use at that time. Each Fundamental Change Company Notice shall specify:</w:t>
      </w:r>
    </w:p>
    <w:p>
      <w:pPr>
        <w:spacing w:after="0" w:line="87" w:lineRule="exact"/>
        <w:rPr>
          <w:sz w:val="20"/>
          <w:szCs w:val="20"/>
          <w:color w:val="auto"/>
        </w:rPr>
      </w:pPr>
    </w:p>
    <w:p>
      <w:pPr>
        <w:ind w:left="1600" w:hanging="212"/>
        <w:spacing w:after="0"/>
        <w:tabs>
          <w:tab w:leader="none" w:pos="16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events causing the Fundamental Change; (ii) the effective date of the Fundamental Change;</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last date on which a Holder may exercise the repurchase right pursuant to this Article 15;</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Fundamental Change Repurchase Price; (v) the Fundamental Change Repurchase Date;</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 if applicable;</w:t>
      </w:r>
    </w:p>
    <w:p>
      <w:pPr>
        <w:spacing w:after="0" w:line="117" w:lineRule="exact"/>
        <w:rPr>
          <w:sz w:val="20"/>
          <w:szCs w:val="20"/>
          <w:color w:val="auto"/>
        </w:rPr>
      </w:pPr>
    </w:p>
    <w:p>
      <w:pPr>
        <w:ind w:left="980" w:firstLine="408"/>
        <w:spacing w:after="0" w:line="277" w:lineRule="auto"/>
        <w:tabs>
          <w:tab w:leader="none" w:pos="173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applicable, the Conversion Rate and any adjustments to the Conversion Rate as a result of the Fundamental Change (or related Make-Whole Fundamental Change);</w:t>
      </w:r>
    </w:p>
    <w:p>
      <w:pPr>
        <w:spacing w:after="0" w:line="62" w:lineRule="exact"/>
        <w:rPr>
          <w:rFonts w:ascii="Arial" w:cs="Arial" w:eastAsia="Arial" w:hAnsi="Arial"/>
          <w:sz w:val="18"/>
          <w:szCs w:val="18"/>
          <w:color w:val="auto"/>
        </w:rPr>
      </w:pPr>
    </w:p>
    <w:p>
      <w:pPr>
        <w:ind w:left="980" w:right="220" w:firstLine="408"/>
        <w:spacing w:after="0" w:line="342" w:lineRule="auto"/>
        <w:tabs>
          <w:tab w:leader="none" w:pos="178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that the Notes with respect to which a Fundamental Change Repurchase Notice has been delivered by a Holder may be converted only if the Holder withdraws the Fundamental Change Repurchase Notice in accordance with the terms of this Indenture; and</w:t>
      </w:r>
    </w:p>
    <w:p>
      <w:pPr>
        <w:spacing w:after="0" w:line="15" w:lineRule="exact"/>
        <w:rPr>
          <w:rFonts w:ascii="Arial" w:cs="Arial" w:eastAsia="Arial" w:hAnsi="Arial"/>
          <w:sz w:val="16"/>
          <w:szCs w:val="16"/>
          <w:color w:val="auto"/>
        </w:rPr>
      </w:pPr>
    </w:p>
    <w:p>
      <w:pPr>
        <w:ind w:left="1700" w:hanging="312"/>
        <w:spacing w:after="0"/>
        <w:tabs>
          <w:tab w:leader="none" w:pos="1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procedures that Holders must follow to require the Company to repurchase their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101" w:name="page102"/>
    <w:bookmarkEnd w:id="10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failure of the Company to give the foregoing notices and no defect therein shall limit the Holders’ repurchase rights or affect the validity of the proceedings for the repurchase of the Notes pursuant to this Section 15.02.</w:t>
      </w:r>
    </w:p>
    <w:p>
      <w:pPr>
        <w:spacing w:after="0" w:line="62"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 xml:space="preserve">At the Company’s written request given at least two (2) Business Days before such notice is to be sent (or such shorter period as shall be acceptable to the Trustee), the Trustee shall give such notice in the Company’s name and at the Company’s expense;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all cases, the text of such Fundamental Change Company Notice shall be prepared by the Company.</w:t>
      </w:r>
    </w:p>
    <w:p>
      <w:pPr>
        <w:spacing w:after="0" w:line="76" w:lineRule="exact"/>
        <w:rPr>
          <w:sz w:val="20"/>
          <w:szCs w:val="20"/>
          <w:color w:val="auto"/>
        </w:rPr>
      </w:pPr>
    </w:p>
    <w:p>
      <w:pPr>
        <w:ind w:right="260" w:firstLine="436"/>
        <w:spacing w:after="0" w:line="257"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15 and such third party purchases all Notes properly surrendered and not validly withdrawn under its offer in the same manner, at the same time and otherwise in compliance with the requirements for an offer made by the Company as set forth above.</w:t>
      </w:r>
    </w:p>
    <w:p>
      <w:pPr>
        <w:spacing w:after="0" w:line="79" w:lineRule="exact"/>
        <w:rPr>
          <w:rFonts w:ascii="Arial" w:cs="Arial" w:eastAsia="Arial" w:hAnsi="Arial"/>
          <w:sz w:val="18"/>
          <w:szCs w:val="18"/>
          <w:color w:val="auto"/>
        </w:rPr>
      </w:pPr>
    </w:p>
    <w:p>
      <w:pPr>
        <w:ind w:right="180" w:firstLine="436"/>
        <w:spacing w:after="0" w:line="271" w:lineRule="auto"/>
        <w:tabs>
          <w:tab w:leader="none" w:pos="68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w:t>
      </w:r>
    </w:p>
    <w:p>
      <w:pPr>
        <w:spacing w:after="0" w:line="70" w:lineRule="exact"/>
        <w:rPr>
          <w:rFonts w:ascii="Arial" w:cs="Arial" w:eastAsia="Arial" w:hAnsi="Arial"/>
          <w:sz w:val="17"/>
          <w:szCs w:val="17"/>
          <w:color w:val="auto"/>
        </w:rPr>
      </w:pPr>
    </w:p>
    <w:p>
      <w:pPr>
        <w:ind w:right="220" w:firstLine="436"/>
        <w:spacing w:after="0" w:line="270" w:lineRule="auto"/>
        <w:tabs>
          <w:tab w:leader="none" w:pos="66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Notwithstanding anything to the contrary in this Section 15.02, the Company shall not be required to send a Fundamental Change Company Notice, or offer to repurchase or repurchase any Notes, as set forth in this Article 15, in connection with a Fundamental Change occurring pursuant to clause (b)(A) or (B) of the definition thereof, if: (i) such Fundamental Change constitutes a Share Exchange Event whose Reference Property consists entirely of cash in U.S. dollars; (ii) immediately after such Fundamental Change, the Notes become convertible (pursuant to Section 14.07 and, if applicable, Section 14.03) into consideration that consists solely of U.S. dollars in an amount per $1,000 principal amount of Notes that equals or exceeds the Fundamental Change Repurchase Price per $1,000 principal amount of Notes (calculated assuming that the same includes the maximum amount of accrued but unpaid interest payable as part of the Fundamental Change Repurchase Price for such Fundamental Change); and (iii) the Company timely sends the notice relating to such Fundamental Change required pursuant to Section 14.01(b)(iii). Any Fundamental Change with respect to which, in accordance with the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102" w:name="page103"/>
    <w:bookmarkEnd w:id="102"/>
    <w:p>
      <w:pPr>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provisions described in this Section 15.02(f), the Company does not offer to repurchase any Notes is referred to as herein as an “</w:t>
      </w:r>
      <w:r>
        <w:rPr>
          <w:rFonts w:ascii="Arial" w:cs="Arial" w:eastAsia="Arial" w:hAnsi="Arial"/>
          <w:sz w:val="17"/>
          <w:szCs w:val="17"/>
          <w:b w:val="1"/>
          <w:bCs w:val="1"/>
          <w:color w:val="auto"/>
        </w:rPr>
        <w:t>Exempted</w:t>
      </w:r>
      <w:r>
        <w:rPr>
          <w:rFonts w:ascii="Arial" w:cs="Arial" w:eastAsia="Arial" w:hAnsi="Arial"/>
          <w:sz w:val="17"/>
          <w:szCs w:val="17"/>
          <w:color w:val="auto"/>
        </w:rPr>
        <w:t xml:space="preserve"> </w:t>
      </w:r>
      <w:r>
        <w:rPr>
          <w:rFonts w:ascii="Arial" w:cs="Arial" w:eastAsia="Arial" w:hAnsi="Arial"/>
          <w:sz w:val="17"/>
          <w:szCs w:val="17"/>
          <w:b w:val="1"/>
          <w:bCs w:val="1"/>
          <w:color w:val="auto"/>
        </w:rPr>
        <w:t>Fundamental Change</w:t>
      </w:r>
      <w:r>
        <w:rPr>
          <w:rFonts w:ascii="Arial" w:cs="Arial" w:eastAsia="Arial" w:hAnsi="Arial"/>
          <w:sz w:val="17"/>
          <w:szCs w:val="17"/>
          <w:color w:val="auto"/>
        </w:rPr>
        <w:t>.” For the avoidance of doubt, the maximum amount of accrued interest referred to in clause (ii) above will be determined (A) by</w:t>
      </w:r>
      <w:r>
        <w:rPr>
          <w:rFonts w:ascii="Arial" w:cs="Arial" w:eastAsia="Arial" w:hAnsi="Arial"/>
          <w:sz w:val="17"/>
          <w:szCs w:val="17"/>
          <w:b w:val="1"/>
          <w:bCs w:val="1"/>
          <w:color w:val="auto"/>
        </w:rPr>
        <w:t xml:space="preserve"> </w:t>
      </w:r>
      <w:r>
        <w:rPr>
          <w:rFonts w:ascii="Arial" w:cs="Arial" w:eastAsia="Arial" w:hAnsi="Arial"/>
          <w:sz w:val="17"/>
          <w:szCs w:val="17"/>
          <w:color w:val="auto"/>
        </w:rPr>
        <w:t>assuming that the Fundamental Change Repurchase Date occurs on the latest possible date permitted for the applicable Fundamental Change pursuant to the provisions of this Section 15.02; and (ii) without regard to the parenthetical in Section 15.02(a) relating to a Fundamental Change Repurchase Date that falls after a Regular Record Date and prior to the corresponding Interest Payment Date.</w:t>
      </w:r>
    </w:p>
    <w:p>
      <w:pPr>
        <w:spacing w:after="0" w:line="172"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Section 15.03</w:t>
      </w:r>
      <w:r>
        <w:rPr>
          <w:rFonts w:ascii="Arial" w:cs="Arial" w:eastAsia="Arial" w:hAnsi="Arial"/>
          <w:sz w:val="18"/>
          <w:szCs w:val="18"/>
          <w:i w:val="1"/>
          <w:iCs w:val="1"/>
          <w:color w:val="auto"/>
        </w:rPr>
        <w:t>. Withdrawal of Fundamental Change Repurchase Notice.</w:t>
      </w:r>
      <w:r>
        <w:rPr>
          <w:rFonts w:ascii="Arial" w:cs="Arial" w:eastAsia="Arial" w:hAnsi="Arial"/>
          <w:sz w:val="18"/>
          <w:szCs w:val="18"/>
          <w:color w:val="auto"/>
        </w:rPr>
        <w:t xml:space="preserve"> (a) A Fundamental Change Repurchase Notice may be withdrawn (in whole or in part) in respect of Physical Notes by means of a written notice of withdrawal delivered to the Corporate Trust Office of the Paying Agent in accordance with this Section 15.03 at any time prior to the close of business on the Business Day immediately preceding the Fundamental Change Repurchase Date, specifying:</w:t>
      </w:r>
    </w:p>
    <w:p>
      <w:pPr>
        <w:spacing w:after="0" w:line="79" w:lineRule="exact"/>
        <w:rPr>
          <w:sz w:val="20"/>
          <w:szCs w:val="20"/>
          <w:color w:val="auto"/>
        </w:rPr>
      </w:pPr>
    </w:p>
    <w:p>
      <w:pPr>
        <w:ind w:left="440" w:right="540" w:firstLine="419"/>
        <w:spacing w:after="0" w:line="277" w:lineRule="auto"/>
        <w:tabs>
          <w:tab w:leader="none" w:pos="107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principal amount of the Notes with respect to which such notice of withdrawal is being submitted, which must be $1,000 or an integral multiple thereof,</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certificate number of the Note in respect of which such notice of withdrawal is being submitted, and</w:t>
      </w:r>
    </w:p>
    <w:p>
      <w:pPr>
        <w:spacing w:after="0" w:line="117" w:lineRule="exact"/>
        <w:rPr>
          <w:rFonts w:ascii="Arial" w:cs="Arial" w:eastAsia="Arial" w:hAnsi="Arial"/>
          <w:sz w:val="18"/>
          <w:szCs w:val="18"/>
          <w:color w:val="auto"/>
        </w:rPr>
      </w:pPr>
    </w:p>
    <w:p>
      <w:pPr>
        <w:ind w:left="440" w:right="200" w:firstLine="419"/>
        <w:spacing w:after="0" w:line="277" w:lineRule="auto"/>
        <w:tabs>
          <w:tab w:leader="none" w:pos="117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principal amount, if any, of such Note that remains subject to the original Fundamental Change Repurchase Notice, which portion must be in principal amounts of $1,000 or an integral multiple of $1,000;</w:t>
      </w:r>
    </w:p>
    <w:p>
      <w:pPr>
        <w:spacing w:after="0" w:line="17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If the Notes are Global Notes, Holders must withdraw their Notes subject to repurchase at any time prior to the close of business on the Business Day immediately preceding the Fundamental Change Repurchase Date in accordance with applicable procedures of the Depositary.</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Section 15.04</w:t>
      </w:r>
      <w:r>
        <w:rPr>
          <w:rFonts w:ascii="Arial" w:cs="Arial" w:eastAsia="Arial" w:hAnsi="Arial"/>
          <w:sz w:val="17"/>
          <w:szCs w:val="17"/>
          <w:i w:val="1"/>
          <w:iCs w:val="1"/>
          <w:color w:val="auto"/>
        </w:rPr>
        <w:t>. Deposit of Fundamental Change Repurchase Price.</w:t>
      </w:r>
      <w:r>
        <w:rPr>
          <w:rFonts w:ascii="Arial" w:cs="Arial" w:eastAsia="Arial" w:hAnsi="Arial"/>
          <w:sz w:val="17"/>
          <w:szCs w:val="17"/>
          <w:color w:val="auto"/>
        </w:rPr>
        <w:t xml:space="preserve"> (a) The Company will deposit with the Trustee (or other Paying Agent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appointed by the Company, or if the Company is acting as its own Paying Agent, set aside, segregate and hold in trust as provided in Section 4.04) 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to 11:00 a.m., New York City time, on the Fundamental Change Repurchase Date an amount of money sufficient to repurchase all of the Notes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repurchased at the appropriate Fundamental Change Repurchase Price. Subject to receipt of funds and/or Notes by the Trustee (or other Paying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appointed by the Company), payment for Notes surrendered for repurchase (and not validly withdrawn prior to the close of business on the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 immediately preceding the Fundamental Change Repurchase Date) will be made on the later of (i) the Fundamental Change Repurchase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Holder has satisfied the conditions in Section 15.02) and (ii) the time of book-entry transfer or the delivery of such Note to the Trustee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Paying Agent appointed by the Company) by the Holder thereof in the manner required by Section 15.02 by mailing checks for the amount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payable to the Holders of such Notes entitled thereto as they shall appear in the Note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payments to the Depositary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made by wire transfer of immediately available funds to the account of the Depositary or its nominee. The Trustee shall, promptly after such payment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upon written demand by the Company, return to the Company any funds in excess of the Fundamental Change Repurchase Price.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40" w:top="270" w:right="479" w:bottom="1440" w:gutter="0" w:footer="0" w:header="0"/>
        </w:sectPr>
      </w:pPr>
    </w:p>
    <w:bookmarkStart w:id="103" w:name="page104"/>
    <w:bookmarkEnd w:id="103"/>
    <w:p>
      <w:pPr>
        <w:ind w:right="60" w:firstLine="436"/>
        <w:spacing w:after="0" w:line="254"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by 11:00 a.m. New York City time, on the Fundamental Change Repurchase Date, the Trustee (or other Paying Agent appointed by the Company) holds money sufficient to pay the Fundamental Change Repurchase Price (and, to the extent not included in the Fundamental Change Repurchase Price, accrued and unpaid interest, if applicable) of the Notes to be repurchased on such Fundamental Change Repurchase Date, then, with respect to the Notes that have been properly surrendered for repurchase and have not been validly withdrawn, (i) such Notes will cease to be outstanding, (ii) interest will cease to accrue on such Notes (whether or not book-entry transfer of the Notes has been made or whether or not the Notes have been delivered to the Trustee or Paying Agent) and (iii) all other rights of the Holders of such Notes will terminate (other than the right to receive the Fundamental Change Repurchase Price and, to the extent not included in the Fundamental Change Repurchase Price, accrued and unpaid interest, if applicable).</w:t>
      </w:r>
    </w:p>
    <w:p>
      <w:pPr>
        <w:spacing w:after="0" w:line="83" w:lineRule="exact"/>
        <w:rPr>
          <w:rFonts w:ascii="Arial" w:cs="Arial" w:eastAsia="Arial" w:hAnsi="Arial"/>
          <w:sz w:val="18"/>
          <w:szCs w:val="18"/>
          <w:color w:val="auto"/>
        </w:rPr>
      </w:pPr>
    </w:p>
    <w:p>
      <w:pPr>
        <w:ind w:right="300" w:firstLine="436"/>
        <w:spacing w:after="0" w:line="263" w:lineRule="auto"/>
        <w:tabs>
          <w:tab w:leader="none" w:pos="68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15.05. </w:t>
      </w:r>
      <w:r>
        <w:rPr>
          <w:rFonts w:ascii="Arial" w:cs="Arial" w:eastAsia="Arial" w:hAnsi="Arial"/>
          <w:sz w:val="17"/>
          <w:szCs w:val="17"/>
          <w:i w:val="1"/>
          <w:iCs w:val="1"/>
          <w:color w:val="auto"/>
        </w:rPr>
        <w:t>Covenant to Comply with Applicable Laws Upon Repurchase of Notes</w:t>
      </w:r>
      <w:r>
        <w:rPr>
          <w:rFonts w:ascii="Arial" w:cs="Arial" w:eastAsia="Arial" w:hAnsi="Arial"/>
          <w:sz w:val="17"/>
          <w:szCs w:val="17"/>
          <w:color w:val="auto"/>
        </w:rPr>
        <w:t>. In connection with any repurchase offer upon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Fundamental Change pursuant to this Article 15, the Company will, if required:</w:t>
      </w:r>
    </w:p>
    <w:p>
      <w:pPr>
        <w:spacing w:after="0" w:line="103" w:lineRule="exact"/>
        <w:rPr>
          <w:sz w:val="20"/>
          <w:szCs w:val="20"/>
          <w:color w:val="auto"/>
        </w:rPr>
      </w:pPr>
    </w:p>
    <w:p>
      <w:pPr>
        <w:ind w:left="680" w:hanging="244"/>
        <w:spacing w:after="0"/>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comply with the tender offer rules under the Exchange Act that may then be applicable;</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file a Schedule TO or any other required schedule under the Exchange Act; and</w:t>
      </w:r>
    </w:p>
    <w:p>
      <w:pPr>
        <w:spacing w:after="0" w:line="117" w:lineRule="exact"/>
        <w:rPr>
          <w:rFonts w:ascii="Arial" w:cs="Arial" w:eastAsia="Arial" w:hAnsi="Arial"/>
          <w:sz w:val="18"/>
          <w:szCs w:val="18"/>
          <w:color w:val="auto"/>
        </w:rPr>
      </w:pPr>
    </w:p>
    <w:p>
      <w:pPr>
        <w:ind w:right="80" w:firstLine="436"/>
        <w:spacing w:after="0" w:line="277" w:lineRule="auto"/>
        <w:tabs>
          <w:tab w:leader="none" w:pos="68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otherwise comply in all material respects with all federal and state securities laws in connection with any offer by the Company to repurchase the Notes;</w:t>
      </w:r>
    </w:p>
    <w:p>
      <w:pPr>
        <w:spacing w:after="0" w:line="170"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in each case, so as to permit the rights and obligations under this Article 15 to be exercised in the time and in the manner specified in this Article 15.</w:t>
      </w:r>
    </w:p>
    <w:p>
      <w:pPr>
        <w:spacing w:after="0" w:line="24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To the extent that the provisions of any securities laws or regulations enacted or adopted after the date of this Indenture conflict with the provisions of this Indenture relating to the Company’s obligations to repurchase the Notes upon a Fundamental Change, the Company shall comply with such securities laws and regulations and shall not be deemed to have breached its obligations under such provisions of this Indenture by virtue of such conflict.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60"/>
          </w:cols>
          <w:pgMar w:left="440" w:top="274" w:right="49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PTIONAL</w:t>
      </w:r>
      <w:r>
        <w:rPr>
          <w:rFonts w:ascii="Arial" w:cs="Arial" w:eastAsia="Arial" w:hAnsi="Arial"/>
          <w:sz w:val="18"/>
          <w:szCs w:val="18"/>
          <w:color w:val="auto"/>
        </w:rPr>
        <w:t xml:space="preserve"> R</w:t>
      </w:r>
      <w:r>
        <w:rPr>
          <w:rFonts w:ascii="Arial" w:cs="Arial" w:eastAsia="Arial" w:hAnsi="Arial"/>
          <w:sz w:val="14"/>
          <w:szCs w:val="14"/>
          <w:color w:val="auto"/>
        </w:rPr>
        <w:t>EDEMPTION</w:t>
      </w:r>
    </w:p>
    <w:p>
      <w:pPr>
        <w:spacing w:after="0" w:line="21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16.01. </w:t>
      </w:r>
      <w:r>
        <w:rPr>
          <w:rFonts w:ascii="Arial" w:cs="Arial" w:eastAsia="Arial" w:hAnsi="Arial"/>
          <w:sz w:val="18"/>
          <w:szCs w:val="18"/>
          <w:i w:val="1"/>
          <w:iCs w:val="1"/>
          <w:color w:val="auto"/>
        </w:rPr>
        <w:t>Optional Redemption</w:t>
      </w:r>
      <w:r>
        <w:rPr>
          <w:rFonts w:ascii="Arial" w:cs="Arial" w:eastAsia="Arial" w:hAnsi="Arial"/>
          <w:sz w:val="18"/>
          <w:szCs w:val="18"/>
          <w:color w:val="auto"/>
        </w:rPr>
        <w:t>. The Notes shall not be redeemable by the Company prior to February 5, 2025. On or after February 5, 2025, the Company may redeem (an “</w:t>
      </w:r>
      <w:r>
        <w:rPr>
          <w:rFonts w:ascii="Arial" w:cs="Arial" w:eastAsia="Arial" w:hAnsi="Arial"/>
          <w:sz w:val="18"/>
          <w:szCs w:val="18"/>
          <w:b w:val="1"/>
          <w:bCs w:val="1"/>
          <w:color w:val="auto"/>
        </w:rPr>
        <w:t>Optional Redemption</w:t>
      </w:r>
      <w:r>
        <w:rPr>
          <w:rFonts w:ascii="Arial" w:cs="Arial" w:eastAsia="Arial" w:hAnsi="Arial"/>
          <w:sz w:val="18"/>
          <w:szCs w:val="18"/>
          <w:color w:val="auto"/>
        </w:rPr>
        <w:t>”) for cash all or any portion of the Notes (subject to the Partial Redemption Limitation), at the Redemption Price, if the Last Reported Sale Price of the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the Notice of Redemption in accordance with Section 16.02.</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16.02. </w:t>
      </w:r>
      <w:r>
        <w:rPr>
          <w:rFonts w:ascii="Arial" w:cs="Arial" w:eastAsia="Arial" w:hAnsi="Arial"/>
          <w:sz w:val="18"/>
          <w:szCs w:val="18"/>
          <w:i w:val="1"/>
          <w:iCs w:val="1"/>
          <w:color w:val="auto"/>
        </w:rPr>
        <w:t>Notice of Optional Redemption; Selection of Notes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In case the Company exercises its Optional Redemption right to redeem all or, as the case may be, any part of the Notes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16.01, it shall fix a date for redemption (each, a “</w:t>
      </w:r>
      <w:r>
        <w:rPr>
          <w:rFonts w:ascii="Arial" w:cs="Arial" w:eastAsia="Arial" w:hAnsi="Arial"/>
          <w:sz w:val="16"/>
          <w:szCs w:val="16"/>
          <w:b w:val="1"/>
          <w:bCs w:val="1"/>
          <w:color w:val="auto"/>
        </w:rPr>
        <w:t>Redemption Date</w:t>
      </w:r>
      <w:r>
        <w:rPr>
          <w:rFonts w:ascii="Arial" w:cs="Arial" w:eastAsia="Arial" w:hAnsi="Arial"/>
          <w:sz w:val="16"/>
          <w:szCs w:val="16"/>
          <w:color w:val="auto"/>
        </w:rPr>
        <w:t>”) and it or, at its written request received by the Trustee not less than five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Days prior to the date such Notice of Redemption is to be sent (or such shorter period of time as may be acceptable to the Trustee), the Trustee,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name of and at the expense of the Company, shall deliver or cause to be delivered a notice of such Optional Redemption (a “</w:t>
      </w:r>
      <w:r>
        <w:rPr>
          <w:rFonts w:ascii="Arial" w:cs="Arial" w:eastAsia="Arial" w:hAnsi="Arial"/>
          <w:sz w:val="17"/>
          <w:szCs w:val="17"/>
          <w:b w:val="1"/>
          <w:bCs w:val="1"/>
          <w:color w:val="auto"/>
        </w:rPr>
        <w:t>Notice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w:t>
      </w:r>
      <w:r>
        <w:rPr>
          <w:rFonts w:ascii="Arial" w:cs="Arial" w:eastAsia="Arial" w:hAnsi="Arial"/>
          <w:sz w:val="16"/>
          <w:szCs w:val="16"/>
          <w:color w:val="auto"/>
        </w:rPr>
        <w:t>”) not less than 45 nor more than 65 Scheduled Trading Days prior to the Redemption Date to each Holder;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shall give such notice, it shall also give written notice of the Redemption Date to the Trustee, the Paying Agent (if other than the Trustee)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Conversion Agent (if other than the Trustee);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in accordance with the provisions of Section 14.02(a)(iii), the Company elects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through delivery of a Settlement Notice to settle all conversions of Called Notes with a Conversion Date that occurs during the related Redemption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 by Physical Settlement, then the Company may instead elect to choose a Redemption Date that is a Business Day not less than 15 nor more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 calendar days after the date the Company sends such Notice of Redemption to each Holder. For the avoidance of doubt, if the Company so elects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settle all conversions during a Redemption Period by Physical Settlement in accordance with the provisions of Section 14.02(a)(iii), the Company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still choose a Redemption Date that is a Business Day not less than 45 nor more than 65 Scheduled Trading Days after the date the Company delivers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Notice of Redemption. In the case of any Optional Redemption, the Redemption Date must be a Business Day, and the Company may not specify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Redemption Date that falls on or after the 41st Scheduled Trading Day immediately preceding the Maturity Date.</w:t>
      </w:r>
    </w:p>
    <w:p>
      <w:pPr>
        <w:spacing w:after="0" w:line="103" w:lineRule="exact"/>
        <w:rPr>
          <w:sz w:val="20"/>
          <w:szCs w:val="20"/>
          <w:color w:val="auto"/>
        </w:rPr>
      </w:pPr>
    </w:p>
    <w:p>
      <w:pPr>
        <w:ind w:firstLine="436"/>
        <w:spacing w:after="0" w:line="311" w:lineRule="auto"/>
        <w:tabs>
          <w:tab w:leader="none" w:pos="69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Notice of Redemption, if delivered in the manner herein provided, shall be conclusively presumed to have been duly given, whether or not the Holder receives such notice. In any case, failure to give such Notice of Redemption or any defect in the Notice of Redemption to the Holder of any Note designated for redemption as a whole or in part shall not affect the validity of the proceedings for the redemption of any other Note.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80"/>
          </w:cols>
          <w:pgMar w:left="440" w:top="274" w:right="479" w:bottom="1440" w:gutter="0" w:footer="0" w:header="0"/>
        </w:sectPr>
      </w:pPr>
    </w:p>
    <w:bookmarkStart w:id="105" w:name="page106"/>
    <w:bookmarkEnd w:id="105"/>
    <w:p>
      <w:pPr>
        <w:ind w:left="680" w:hanging="244"/>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Notice of Redemption shall specify: (i) the Redemption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440" w:right="380" w:firstLine="419"/>
        <w:spacing w:after="0" w:line="308" w:lineRule="auto"/>
        <w:tabs>
          <w:tab w:leader="none" w:pos="1178"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that on the Redemption Date, the Redemption Price will become due and payable upon each Note to be redeemed, and that interest thereon, if any, shall cease to accrue on and after payment of the Redemption Price in full on the Redemption Date;</w:t>
      </w:r>
    </w:p>
    <w:p>
      <w:pPr>
        <w:spacing w:after="0" w:line="38" w:lineRule="exact"/>
        <w:rPr>
          <w:rFonts w:ascii="Arial" w:cs="Arial" w:eastAsia="Arial" w:hAnsi="Arial"/>
          <w:sz w:val="17"/>
          <w:szCs w:val="17"/>
          <w:color w:val="auto"/>
        </w:rPr>
      </w:pPr>
    </w:p>
    <w:p>
      <w:pPr>
        <w:ind w:left="1160" w:hanging="301"/>
        <w:spacing w:after="0"/>
        <w:tabs>
          <w:tab w:leader="none" w:pos="11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place or places where such Notes are to be surrendered for payment of the Redemption Price;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that Holders of Called Notes may surrender such Notes for conversion at any time during the related Redemption Period;</w:t>
      </w:r>
    </w:p>
    <w:p>
      <w:pPr>
        <w:spacing w:after="0" w:line="117" w:lineRule="exact"/>
        <w:rPr>
          <w:rFonts w:ascii="Arial" w:cs="Arial" w:eastAsia="Arial" w:hAnsi="Arial"/>
          <w:sz w:val="18"/>
          <w:szCs w:val="18"/>
          <w:color w:val="auto"/>
        </w:rPr>
      </w:pPr>
    </w:p>
    <w:p>
      <w:pPr>
        <w:ind w:left="440" w:right="60" w:firstLine="419"/>
        <w:spacing w:after="0" w:line="277" w:lineRule="auto"/>
        <w:tabs>
          <w:tab w:leader="none" w:pos="116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procedures a converting Holder must follow to convert its Called Notes and the Settlement Method and Specified Dollar Amount, if applicable;</w:t>
      </w:r>
    </w:p>
    <w:p>
      <w:pPr>
        <w:spacing w:after="0" w:line="62" w:lineRule="exact"/>
        <w:rPr>
          <w:rFonts w:ascii="Arial" w:cs="Arial" w:eastAsia="Arial" w:hAnsi="Arial"/>
          <w:sz w:val="18"/>
          <w:szCs w:val="18"/>
          <w:color w:val="auto"/>
        </w:rPr>
      </w:pPr>
    </w:p>
    <w:p>
      <w:pPr>
        <w:ind w:left="1220" w:hanging="361"/>
        <w:spacing w:after="0"/>
        <w:tabs>
          <w:tab w:leader="none" w:pos="12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Conversion Rate and, if applicable, the number of Additional Shares added to the Conversion Rate in accordance with</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14.03;</w:t>
      </w:r>
    </w:p>
    <w:p>
      <w:pPr>
        <w:spacing w:after="0" w:line="103" w:lineRule="exact"/>
        <w:rPr>
          <w:sz w:val="20"/>
          <w:szCs w:val="20"/>
          <w:color w:val="auto"/>
        </w:rPr>
      </w:pPr>
    </w:p>
    <w:p>
      <w:pPr>
        <w:ind w:left="1260" w:hanging="401"/>
        <w:spacing w:after="0"/>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CUSIP, ISIN or other similar numbers, if any, assigned to such Notes; and</w:t>
      </w:r>
    </w:p>
    <w:p>
      <w:pPr>
        <w:spacing w:after="0" w:line="117" w:lineRule="exact"/>
        <w:rPr>
          <w:rFonts w:ascii="Arial" w:cs="Arial" w:eastAsia="Arial" w:hAnsi="Arial"/>
          <w:sz w:val="18"/>
          <w:szCs w:val="18"/>
          <w:color w:val="auto"/>
        </w:rPr>
      </w:pPr>
    </w:p>
    <w:p>
      <w:pPr>
        <w:jc w:val="both"/>
        <w:ind w:left="440" w:right="680" w:firstLine="419"/>
        <w:spacing w:after="0" w:line="342" w:lineRule="auto"/>
        <w:tabs>
          <w:tab w:leader="none" w:pos="116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Notice of Redemption shall be irrevocable.</w:t>
      </w:r>
    </w:p>
    <w:p>
      <w:pPr>
        <w:spacing w:after="0" w:line="117" w:lineRule="exact"/>
        <w:rPr>
          <w:sz w:val="20"/>
          <w:szCs w:val="20"/>
          <w:color w:val="auto"/>
        </w:rPr>
      </w:pPr>
    </w:p>
    <w:p>
      <w:pPr>
        <w:ind w:firstLine="436"/>
        <w:spacing w:after="0" w:line="289" w:lineRule="auto"/>
        <w:tabs>
          <w:tab w:leader="none" w:pos="69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the Company elects to redeem fewer than all of the outstanding Notes, at least $100,000,000 aggregate principal amount of Notes must be outstanding and not subject to Optional Redemption as of the date of the relevant Notice of Redemption and after giving pro forma effect to the related Optional Redemption as of the date of such Notice of Redemption (such requirement, the “</w:t>
      </w:r>
      <w:r>
        <w:rPr>
          <w:rFonts w:ascii="Arial" w:cs="Arial" w:eastAsia="Arial" w:hAnsi="Arial"/>
          <w:sz w:val="16"/>
          <w:szCs w:val="16"/>
          <w:b w:val="1"/>
          <w:bCs w:val="1"/>
          <w:color w:val="auto"/>
        </w:rPr>
        <w:t>Partial Redemption Limitation</w:t>
      </w:r>
      <w:r>
        <w:rPr>
          <w:rFonts w:ascii="Arial" w:cs="Arial" w:eastAsia="Arial" w:hAnsi="Arial"/>
          <w:sz w:val="16"/>
          <w:szCs w:val="16"/>
          <w:color w:val="auto"/>
        </w:rPr>
        <w:t xml:space="preserve">”). If fewer than all of the outstanding Notes are to be redeemed and the Notes to be redeemed are Global Notes, the Notes to be redeemed shall be selected by the Depositary in accordance with the applicable procedures of the Depositary. If fewer than all of the outstanding Notes are to be redeemed and the Notes to be redeemed are not Global Notes, the Trustee shall select the Notes or portions thereof to be redeemed (in principal amounts of $1,000 or multiples thereof) by lot,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by another method the Trustee considers to be fair and appropriate. If any Note selected for partial redemption is submitted for conversion in part after such selection, the portion of the Note submitted for conversion shall be deemed (so far as may be possible) to be the portion selected for redemption, subject, in the case of Notes represented by a Global Note, to the Depositary’s applicable procedures.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80"/>
          </w:cols>
          <w:pgMar w:left="440" w:top="274" w:right="479" w:bottom="1440" w:gutter="0" w:footer="0" w:header="0"/>
        </w:sectPr>
      </w:pPr>
    </w:p>
    <w:bookmarkStart w:id="106" w:name="page107"/>
    <w:bookmarkEnd w:id="10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16.03. </w:t>
      </w:r>
      <w:r>
        <w:rPr>
          <w:rFonts w:ascii="Arial" w:cs="Arial" w:eastAsia="Arial" w:hAnsi="Arial"/>
          <w:sz w:val="18"/>
          <w:szCs w:val="18"/>
          <w:i w:val="1"/>
          <w:iCs w:val="1"/>
          <w:color w:val="auto"/>
        </w:rPr>
        <w:t>Payment of Notes Called for Redemption</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3" w:lineRule="auto"/>
        <w:tabs>
          <w:tab w:leader="none" w:pos="68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If any Notice of Redemption has been given in respect of all or any part of the Notes in accordance with Section 16.02, the Notes so subject to redemption shall become due and payable on the Redemption Date at the place or places stated in the Notice of Redemption and at the applicable Redemption Price. On presentation and surrender of the Notes to be redeemed at the place or places stated in the Notice of Redemption, such Notes shall be paid and redeemed by the Company at the applicable Redemption Price. Upon surrender of a Note that is to be redeemed in part pursuant to Section 16.01, the Company shall execute and the Trustee shall authenticate and deliver to the Holder a new Note in an authorized denomination equal in principal amount to the unredeemed portion of the Note surrendered.</w:t>
      </w:r>
    </w:p>
    <w:p>
      <w:pPr>
        <w:spacing w:after="0" w:line="69" w:lineRule="exact"/>
        <w:rPr>
          <w:rFonts w:ascii="Arial" w:cs="Arial" w:eastAsia="Arial" w:hAnsi="Arial"/>
          <w:sz w:val="17"/>
          <w:szCs w:val="17"/>
          <w:color w:val="auto"/>
        </w:rPr>
      </w:pPr>
    </w:p>
    <w:p>
      <w:pPr>
        <w:ind w:firstLine="436"/>
        <w:spacing w:after="0" w:line="255" w:lineRule="auto"/>
        <w:tabs>
          <w:tab w:leader="none" w:pos="6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Prior to 11:00 a.m. New York City time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192"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 xml:space="preserve">Section 16.04. </w:t>
      </w:r>
      <w:r>
        <w:rPr>
          <w:rFonts w:ascii="Arial" w:cs="Arial" w:eastAsia="Arial" w:hAnsi="Arial"/>
          <w:sz w:val="16"/>
          <w:szCs w:val="16"/>
          <w:i w:val="1"/>
          <w:iCs w:val="1"/>
          <w:color w:val="auto"/>
        </w:rPr>
        <w:t>Restrictions on Redemption</w:t>
      </w:r>
      <w:r>
        <w:rPr>
          <w:rFonts w:ascii="Arial" w:cs="Arial" w:eastAsia="Arial" w:hAnsi="Arial"/>
          <w:sz w:val="16"/>
          <w:szCs w:val="16"/>
          <w:color w:val="auto"/>
        </w:rPr>
        <w:t>.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r>
        <w:rPr>
          <w:rFonts w:ascii="Arial" w:cs="Arial" w:eastAsia="Arial" w:hAnsi="Arial"/>
          <w:sz w:val="18"/>
          <w:szCs w:val="18"/>
          <w:color w:val="auto"/>
        </w:rPr>
        <w:t xml:space="preserve"> P</w:t>
      </w:r>
      <w:r>
        <w:rPr>
          <w:rFonts w:ascii="Arial" w:cs="Arial" w:eastAsia="Arial" w:hAnsi="Arial"/>
          <w:sz w:val="14"/>
          <w:szCs w:val="14"/>
          <w:color w:val="auto"/>
        </w:rPr>
        <w:t>ROVISIONS</w:t>
      </w:r>
    </w:p>
    <w:p>
      <w:pPr>
        <w:spacing w:after="0" w:line="21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Section 17.01</w:t>
      </w:r>
      <w:r>
        <w:rPr>
          <w:rFonts w:ascii="Arial" w:cs="Arial" w:eastAsia="Arial" w:hAnsi="Arial"/>
          <w:sz w:val="18"/>
          <w:szCs w:val="18"/>
          <w:i w:val="1"/>
          <w:iCs w:val="1"/>
          <w:color w:val="auto"/>
        </w:rPr>
        <w:t>. Provisions Binding on Company’s Successors.</w:t>
      </w:r>
      <w:r>
        <w:rPr>
          <w:rFonts w:ascii="Arial" w:cs="Arial" w:eastAsia="Arial" w:hAnsi="Arial"/>
          <w:sz w:val="18"/>
          <w:szCs w:val="18"/>
          <w:color w:val="auto"/>
        </w:rPr>
        <w:t xml:space="preserve"> All the covenants, stipulations, promises and agreements of the Company contained in this Indenture shall bind its successors and assigns whether so expressed or not.</w:t>
      </w:r>
    </w:p>
    <w:p>
      <w:pPr>
        <w:spacing w:after="0" w:line="170"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Section 17.02</w:t>
      </w:r>
      <w:r>
        <w:rPr>
          <w:rFonts w:ascii="Arial" w:cs="Arial" w:eastAsia="Arial" w:hAnsi="Arial"/>
          <w:sz w:val="17"/>
          <w:szCs w:val="17"/>
          <w:i w:val="1"/>
          <w:iCs w:val="1"/>
          <w:color w:val="auto"/>
        </w:rPr>
        <w:t>. Official Acts by Successor Corporation.</w:t>
      </w:r>
      <w:r>
        <w:rPr>
          <w:rFonts w:ascii="Arial" w:cs="Arial" w:eastAsia="Arial" w:hAnsi="Arial"/>
          <w:sz w:val="17"/>
          <w:szCs w:val="17"/>
          <w:color w:val="auto"/>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4" w:right="459" w:bottom="1440" w:gutter="0" w:footer="0" w:header="0"/>
        </w:sectPr>
      </w:pPr>
    </w:p>
    <w:bookmarkStart w:id="107" w:name="page108"/>
    <w:bookmarkEnd w:id="107"/>
    <w:p>
      <w:pPr>
        <w:ind w:right="6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17.03</w:t>
      </w:r>
      <w:r>
        <w:rPr>
          <w:rFonts w:ascii="Arial" w:cs="Arial" w:eastAsia="Arial" w:hAnsi="Arial"/>
          <w:sz w:val="17"/>
          <w:szCs w:val="17"/>
          <w:i w:val="1"/>
          <w:iCs w:val="1"/>
          <w:color w:val="auto"/>
        </w:rPr>
        <w:t>. Addresses for Notices, Etc.</w:t>
      </w:r>
      <w:r>
        <w:rPr>
          <w:rFonts w:ascii="Arial" w:cs="Arial" w:eastAsia="Arial" w:hAnsi="Arial"/>
          <w:sz w:val="17"/>
          <w:szCs w:val="17"/>
          <w:color w:val="auto"/>
        </w:rPr>
        <w:t xml:space="preserve"> Any notice or demand that by any provision of this Indenture is required or permitted to be given or served by the Trustee or by the Holders on the Company shall be deemed to have been sufficiently given or made, for all purposes if given or served by overnight courier or by being deposited postage prepaid by registered or certified mail in a post office letter box addressed (until another address is filed by the Company with the Trustee) to Xometry, Inc., 7529 Standish Place, Suite 200, Derwood, MD 20855, Attention: General Counsel.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to an email address specified by the Trustee.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 by notice to the Company, may designate additional or different addresses for subsequent notices or communications.</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spacing w:after="0" w:line="17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84"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24"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Section 17.04</w:t>
      </w:r>
      <w:r>
        <w:rPr>
          <w:rFonts w:ascii="Arial" w:cs="Arial" w:eastAsia="Arial" w:hAnsi="Arial"/>
          <w:sz w:val="18"/>
          <w:szCs w:val="18"/>
          <w:i w:val="1"/>
          <w:iCs w:val="1"/>
          <w:color w:val="auto"/>
        </w:rPr>
        <w:t>. Governing Law; Jurisdiction.</w:t>
      </w:r>
      <w:r>
        <w:rPr>
          <w:rFonts w:ascii="Arial" w:cs="Arial" w:eastAsia="Arial" w:hAnsi="Arial"/>
          <w:sz w:val="18"/>
          <w:szCs w:val="18"/>
          <w:color w:val="auto"/>
        </w:rPr>
        <w:t xml:space="preserve"> THIS INDENTURE AND EACH NOTE, AND ANY CLAIM, CONTROVERSY OR DISPUTE ARISING UNDER OR RELATED TO THIS INDENTURE AND EACH NOTE, SHALL BE GOVERNED BY, AND CONSTRUED IN ACCORDANCE WITH, THE LAWS OF THE STATE OF NEW YORK.</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4" w:right="459" w:bottom="1440" w:gutter="0" w:footer="0" w:header="0"/>
        </w:sectPr>
      </w:pPr>
    </w:p>
    <w:bookmarkStart w:id="108" w:name="page109"/>
    <w:bookmarkEnd w:id="108"/>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Arial" w:cs="Arial" w:eastAsia="Arial" w:hAnsi="Arial"/>
          <w:sz w:val="18"/>
          <w:szCs w:val="18"/>
          <w:i w:val="1"/>
          <w:iCs w:val="1"/>
          <w:color w:val="auto"/>
        </w:rPr>
        <w:t>in personam</w:t>
      </w:r>
      <w:r>
        <w:rPr>
          <w:rFonts w:ascii="Arial" w:cs="Arial" w:eastAsia="Arial" w:hAnsi="Arial"/>
          <w:sz w:val="18"/>
          <w:szCs w:val="18"/>
          <w:color w:val="auto"/>
        </w:rPr>
        <w:t>, generally and unconditionally with respect to any action, suit or proceeding for itself in respect of its properties, assets and revenues.</w:t>
      </w:r>
    </w:p>
    <w:p>
      <w:pPr>
        <w:spacing w:after="0" w:line="192"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88"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Section 17.05</w:t>
      </w:r>
      <w:r>
        <w:rPr>
          <w:rFonts w:ascii="Arial" w:cs="Arial" w:eastAsia="Arial" w:hAnsi="Arial"/>
          <w:sz w:val="17"/>
          <w:szCs w:val="17"/>
          <w:i w:val="1"/>
          <w:iCs w:val="1"/>
          <w:color w:val="auto"/>
        </w:rPr>
        <w:t>. Evidence of Compliance with Conditions Precedent; Certificates and Opinions of Counsel to Trustee.</w:t>
      </w:r>
      <w:r>
        <w:rPr>
          <w:rFonts w:ascii="Arial" w:cs="Arial" w:eastAsia="Arial" w:hAnsi="Arial"/>
          <w:sz w:val="17"/>
          <w:szCs w:val="17"/>
          <w:color w:val="auto"/>
        </w:rPr>
        <w:t xml:space="preserve"> Upon any application or demand by the Company to the Trustee to take any action under any of the provisions of this Indenture, the Company shall, if requested by the Trustee, furnish to the Trustee an Officer’s Certificate stating that such action is permitted by the terms of this Indenture.</w:t>
      </w:r>
    </w:p>
    <w:p>
      <w:pPr>
        <w:spacing w:after="0" w:line="16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Each Officer’s Certificate and Opinion of Counsel provided for, by or on behalf of the Company in this Indenture and delivered to the Trustee with respect to compliance with this Indenture (other than the Officer’s Certificates provided for in Section 4.08, Section 7.02(h) and Section 8.04)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Opinion of Counsel shall be required to be delivered in connection with (1) the original issuance of Notes on the date hereof under this Indenture, (2) the mandatory exchange of the restricted CUSIP of the Restricted Securities to an unrestricted CUSIP pursuant to the applicable procedures of the Depositary upon the Notes becoming freely tradable by non-Affiliates of the Company under Rule 144, or (3)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109" w:name="page110"/>
    <w:bookmarkEnd w:id="109"/>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Section 17.06</w:t>
      </w:r>
      <w:r>
        <w:rPr>
          <w:rFonts w:ascii="Arial" w:cs="Arial" w:eastAsia="Arial" w:hAnsi="Arial"/>
          <w:sz w:val="18"/>
          <w:szCs w:val="18"/>
          <w:i w:val="1"/>
          <w:iCs w:val="1"/>
          <w:color w:val="auto"/>
        </w:rPr>
        <w:t>. Legal Holidays.</w:t>
      </w:r>
      <w:r>
        <w:rPr>
          <w:rFonts w:ascii="Arial" w:cs="Arial" w:eastAsia="Arial" w:hAnsi="Arial"/>
          <w:sz w:val="18"/>
          <w:szCs w:val="18"/>
          <w:color w:val="auto"/>
        </w:rPr>
        <w:t xml:space="preserve"> In any case where any Interest Payment Date, any Fundamental Change Repurchase Date or the Maturity Date is not a Business Day or is a day on which financial institutions located in the state in which the Corporate Trust Office is located are authorized or required by law or executive order to close or be closed, then any action to be taken on such date need not be taken on such date, but may be taken on the next succeeding Business Day that is not a day on which financial institutions located in the state in which the Corporate Trust Office is located are authorized or required by law or executive order to close or be closed with the same force and effect as if taken on such date, and no interest shall accrue in respect of the delay.</w:t>
      </w:r>
    </w:p>
    <w:p>
      <w:pPr>
        <w:spacing w:after="0" w:line="192"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Section 17.07</w:t>
      </w:r>
      <w:r>
        <w:rPr>
          <w:rFonts w:ascii="Arial" w:cs="Arial" w:eastAsia="Arial" w:hAnsi="Arial"/>
          <w:sz w:val="16"/>
          <w:szCs w:val="16"/>
          <w:i w:val="1"/>
          <w:iCs w:val="1"/>
          <w:color w:val="auto"/>
        </w:rPr>
        <w:t>. No Security Interest Created.</w:t>
      </w:r>
      <w:r>
        <w:rPr>
          <w:rFonts w:ascii="Arial" w:cs="Arial" w:eastAsia="Arial" w:hAnsi="Arial"/>
          <w:sz w:val="16"/>
          <w:szCs w:val="16"/>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12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Section 17.08</w:t>
      </w:r>
      <w:r>
        <w:rPr>
          <w:rFonts w:ascii="Arial" w:cs="Arial" w:eastAsia="Arial" w:hAnsi="Arial"/>
          <w:sz w:val="18"/>
          <w:szCs w:val="18"/>
          <w:i w:val="1"/>
          <w:iCs w:val="1"/>
          <w:color w:val="auto"/>
        </w:rPr>
        <w:t>. Benefits of Indenture.</w:t>
      </w:r>
      <w:r>
        <w:rPr>
          <w:rFonts w:ascii="Arial" w:cs="Arial" w:eastAsia="Arial" w:hAnsi="Arial"/>
          <w:sz w:val="18"/>
          <w:szCs w:val="18"/>
          <w:color w:val="auto"/>
        </w:rPr>
        <w:t xml:space="preserve">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spacing w:after="0" w:line="184"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Section 17.09</w:t>
      </w:r>
      <w:r>
        <w:rPr>
          <w:rFonts w:ascii="Arial" w:cs="Arial" w:eastAsia="Arial" w:hAnsi="Arial"/>
          <w:sz w:val="18"/>
          <w:szCs w:val="18"/>
          <w:i w:val="1"/>
          <w:iCs w:val="1"/>
          <w:color w:val="auto"/>
        </w:rPr>
        <w:t>. Table of Contents, Headings, Etc.</w:t>
      </w:r>
      <w:r>
        <w:rPr>
          <w:rFonts w:ascii="Arial" w:cs="Arial" w:eastAsia="Arial" w:hAnsi="Arial"/>
          <w:sz w:val="18"/>
          <w:szCs w:val="18"/>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8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Section 17.10</w:t>
      </w:r>
      <w:r>
        <w:rPr>
          <w:rFonts w:ascii="Arial" w:cs="Arial" w:eastAsia="Arial" w:hAnsi="Arial"/>
          <w:sz w:val="18"/>
          <w:szCs w:val="18"/>
          <w:i w:val="1"/>
          <w:iCs w:val="1"/>
          <w:color w:val="auto"/>
        </w:rPr>
        <w:t>. Authenticating Agent.</w:t>
      </w:r>
      <w:r>
        <w:rPr>
          <w:rFonts w:ascii="Arial" w:cs="Arial" w:eastAsia="Arial" w:hAnsi="Arial"/>
          <w:sz w:val="18"/>
          <w:szCs w:val="18"/>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110" w:name="page111"/>
    <w:bookmarkEnd w:id="110"/>
    <w:p>
      <w:pPr>
        <w:ind w:right="2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of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spacing w:after="0" w:line="161"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176"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provisions of Section 7.02, Section 7.03, Section 7.04, Section 8.03 and this Section 17.10 shall be applicable to any authenticating agent.</w:t>
      </w:r>
    </w:p>
    <w:p>
      <w:pPr>
        <w:spacing w:after="0" w:line="24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If an authenticating agent is appointed pursuant to this Section 17.10, the Notes may have endorsed thereon, in addition to the Trustee’s certificate of authentication, an alternative certificate of authentication in the following form:</w:t>
      </w:r>
    </w:p>
    <w:p>
      <w:pPr>
        <w:spacing w:after="0" w:line="17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-10160</wp:posOffset>
            </wp:positionV>
            <wp:extent cx="15424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Authenticating Agent, certifies that this is one of the Notes described in the within-named Indenture.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-10160</wp:posOffset>
            </wp:positionV>
            <wp:extent cx="15138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13840"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Authorized Officer</w:t>
      </w:r>
    </w:p>
    <w:p>
      <w:pPr>
        <w:spacing w:after="0" w:line="211"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Section 17.11</w:t>
      </w:r>
      <w:r>
        <w:rPr>
          <w:rFonts w:ascii="Arial" w:cs="Arial" w:eastAsia="Arial" w:hAnsi="Arial"/>
          <w:sz w:val="18"/>
          <w:szCs w:val="18"/>
          <w:i w:val="1"/>
          <w:iCs w:val="1"/>
          <w:color w:val="auto"/>
        </w:rPr>
        <w:t>. Execution in 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shall be deemed to be their original signatures for all purposes.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40"/>
          </w:cols>
          <w:pgMar w:left="440" w:top="274" w:right="519" w:bottom="1440" w:gutter="0" w:footer="0" w:header="0"/>
        </w:sectPr>
      </w:pPr>
    </w:p>
    <w:bookmarkStart w:id="111" w:name="page112"/>
    <w:bookmarkEnd w:id="111"/>
    <w:p>
      <w:pPr>
        <w:ind w:right="48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17.12</w:t>
      </w:r>
      <w:r>
        <w:rPr>
          <w:rFonts w:ascii="Arial" w:cs="Arial" w:eastAsia="Arial" w:hAnsi="Arial"/>
          <w:sz w:val="17"/>
          <w:szCs w:val="17"/>
          <w:i w:val="1"/>
          <w:iCs w:val="1"/>
          <w:color w:val="auto"/>
        </w:rPr>
        <w:t>. Severability.</w:t>
      </w:r>
      <w:r>
        <w:rPr>
          <w:rFonts w:ascii="Arial" w:cs="Arial" w:eastAsia="Arial" w:hAnsi="Arial"/>
          <w:sz w:val="17"/>
          <w:szCs w:val="17"/>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46" w:lineRule="exact"/>
        <w:rPr>
          <w:sz w:val="20"/>
          <w:szCs w:val="20"/>
          <w:color w:val="auto"/>
        </w:rPr>
      </w:pPr>
    </w:p>
    <w:p>
      <w:pPr>
        <w:ind w:right="560" w:firstLine="440"/>
        <w:spacing w:after="0" w:line="286" w:lineRule="auto"/>
        <w:rPr>
          <w:sz w:val="20"/>
          <w:szCs w:val="20"/>
          <w:color w:val="auto"/>
        </w:rPr>
      </w:pPr>
      <w:r>
        <w:rPr>
          <w:rFonts w:ascii="Arial" w:cs="Arial" w:eastAsia="Arial" w:hAnsi="Arial"/>
          <w:sz w:val="17"/>
          <w:szCs w:val="17"/>
          <w:color w:val="auto"/>
        </w:rPr>
        <w:t>Section 17.13</w:t>
      </w:r>
      <w:r>
        <w:rPr>
          <w:rFonts w:ascii="Arial" w:cs="Arial" w:eastAsia="Arial" w:hAnsi="Arial"/>
          <w:sz w:val="17"/>
          <w:szCs w:val="17"/>
          <w:i w:val="1"/>
          <w:iCs w:val="1"/>
          <w:color w:val="auto"/>
        </w:rPr>
        <w:t>. Waiver of Jury Trial.</w:t>
      </w:r>
      <w:r>
        <w:rPr>
          <w:rFonts w:ascii="Arial" w:cs="Arial" w:eastAsia="Arial" w:hAnsi="Arial"/>
          <w:sz w:val="17"/>
          <w:szCs w:val="17"/>
          <w:color w:val="auto"/>
        </w:rPr>
        <w:t xml:space="preserve"> EACH OF THE COMPANY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6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Section 17.14</w:t>
      </w:r>
      <w:r>
        <w:rPr>
          <w:rFonts w:ascii="Arial" w:cs="Arial" w:eastAsia="Arial" w:hAnsi="Arial"/>
          <w:sz w:val="18"/>
          <w:szCs w:val="18"/>
          <w:i w:val="1"/>
          <w:iCs w:val="1"/>
          <w:color w:val="auto"/>
        </w:rPr>
        <w:t>. Force Majeure.</w:t>
      </w:r>
      <w:r>
        <w:rPr>
          <w:rFonts w:ascii="Arial" w:cs="Arial" w:eastAsia="Arial" w:hAnsi="Arial"/>
          <w:sz w:val="18"/>
          <w:szCs w:val="18"/>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quarantine restrictions, recognized public emergencies,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92"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Section 17.15</w:t>
      </w:r>
      <w:r>
        <w:rPr>
          <w:rFonts w:ascii="Arial" w:cs="Arial" w:eastAsia="Arial" w:hAnsi="Arial"/>
          <w:sz w:val="17"/>
          <w:szCs w:val="17"/>
          <w:i w:val="1"/>
          <w:iCs w:val="1"/>
          <w:color w:val="auto"/>
        </w:rPr>
        <w:t>. Calculations</w:t>
      </w:r>
      <w:r>
        <w:rPr>
          <w:rFonts w:ascii="Arial" w:cs="Arial" w:eastAsia="Arial" w:hAnsi="Arial"/>
          <w:sz w:val="17"/>
          <w:szCs w:val="17"/>
          <w:color w:val="auto"/>
        </w:rPr>
        <w:t>. Except as otherwise provided herein, the Company shall be responsible for making all calculations called for under this Indenture and the Notes. These calculations include, but are not limited to, determinations of the Last Reported Sale Prices of the Class A Common Stock, the trading price of the Notes (for purposes of determining whether the Notes are convertible as described herein), the Daily VWAPs, the Daily Conversion Values, the Daily Settlement Amounts, accrued interest payable on the Notes and the Conversion Rate of the Notes. The Company shall make all these calculations in good faith and, absent manifest error, the Company’s calculations shall be final and binding on Holders of Notes. The Company shall provide a schedule of its calculations to each of the Trustee, the Paying Agent (if other than the Trustee) and the Conversion Agent (if other than the Trustee), and each of the Trustee, the Paying Agent and the Conversion Agent is entitled to rely conclusively upon the accuracy of the Company’s calculations without independent verification. The Trustee will forward the Company’s calculations to any Holder of Notes upon the request of that Holder at the sole cost and expense of the Company.</w:t>
      </w:r>
    </w:p>
    <w:p>
      <w:pPr>
        <w:spacing w:after="0" w:line="18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17.16. </w:t>
      </w:r>
      <w:r>
        <w:rPr>
          <w:rFonts w:ascii="Arial" w:cs="Arial" w:eastAsia="Arial" w:hAnsi="Arial"/>
          <w:sz w:val="18"/>
          <w:szCs w:val="18"/>
          <w:i w:val="1"/>
          <w:iCs w:val="1"/>
          <w:color w:val="auto"/>
        </w:rPr>
        <w:t>USA PATRIOT Act.</w:t>
      </w:r>
      <w:r>
        <w:rPr>
          <w:rFonts w:ascii="Arial" w:cs="Arial" w:eastAsia="Arial" w:hAnsi="Arial"/>
          <w:sz w:val="18"/>
          <w:szCs w:val="18"/>
          <w:color w:val="auto"/>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4" w:right="459" w:bottom="1440" w:gutter="0" w:footer="0" w:header="0"/>
        </w:sectPr>
      </w:pPr>
    </w:p>
    <w:bookmarkStart w:id="112" w:name="page113"/>
    <w:bookmarkEnd w:id="112"/>
    <w:p>
      <w:pPr>
        <w:ind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17.17. </w:t>
      </w:r>
      <w:r>
        <w:rPr>
          <w:rFonts w:ascii="Arial" w:cs="Arial" w:eastAsia="Arial" w:hAnsi="Arial"/>
          <w:sz w:val="16"/>
          <w:szCs w:val="16"/>
          <w:i w:val="1"/>
          <w:iCs w:val="1"/>
          <w:color w:val="auto"/>
        </w:rPr>
        <w:t>Electronic Signatures</w:t>
      </w:r>
      <w:r>
        <w:rPr>
          <w:rFonts w:ascii="Arial" w:cs="Arial" w:eastAsia="Arial" w:hAnsi="Arial"/>
          <w:sz w:val="16"/>
          <w:szCs w:val="16"/>
          <w:color w:val="auto"/>
        </w:rPr>
        <w:t>. All notices, approvals, consents, requests and any communications hereunder must be in writing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communication sent to the Trustee hereunder must be in the form of a document that is signed manually or by way of a digital signature provided by DocuSign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820"/>
          </w:cols>
          <w:pgMar w:left="440" w:top="274" w:right="6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XOMETRY,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James Rallo</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[Signature Page to Indenture]</w:t>
      </w:r>
    </w:p>
    <w:p>
      <w:pPr>
        <w:sectPr>
          <w:pgSz w:w="11900" w:h="16838" w:orient="portrait"/>
          <w:cols w:equalWidth="0" w:num="1">
            <w:col w:w="9579"/>
          </w:cols>
          <w:pgMar w:left="880" w:top="274" w:right="1440" w:bottom="1440" w:gutter="0" w:footer="0" w:header="0"/>
        </w:sectPr>
      </w:pPr>
    </w:p>
    <w:bookmarkStart w:id="114" w:name="page115"/>
    <w:bookmarkEnd w:id="11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TRUST COMPANY, NATIONAL</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ASSOCIATION, as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Bradley E. Scarbrough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Indenture]</w:t>
      </w:r>
    </w:p>
    <w:p>
      <w:pPr>
        <w:sectPr>
          <w:pgSz w:w="11900" w:h="16838" w:orient="portrait"/>
          <w:cols w:equalWidth="0" w:num="1">
            <w:col w:w="9019"/>
          </w:cols>
          <w:pgMar w:left="1440" w:top="274" w:right="1440"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 FOLLOWING LEGEND IF A GLOBAL NOTE]</w:t>
      </w:r>
    </w:p>
    <w:p>
      <w:pPr>
        <w:spacing w:after="0" w:line="22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[INCLUDE FOLLOWING LEGEND IF A RESTRICTED SECURITY]</w:t>
      </w:r>
    </w:p>
    <w:p>
      <w:pPr>
        <w:spacing w:after="0" w:line="22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[THIS SECURITY AND THE CLASS A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9" w:lineRule="exact"/>
        <w:rPr>
          <w:sz w:val="20"/>
          <w:szCs w:val="20"/>
          <w:color w:val="auto"/>
        </w:rPr>
      </w:pPr>
    </w:p>
    <w:p>
      <w:pPr>
        <w:ind w:left="440" w:right="480" w:firstLine="419"/>
        <w:spacing w:after="0" w:line="263" w:lineRule="auto"/>
        <w:tabs>
          <w:tab w:leader="none" w:pos="111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75" w:lineRule="exact"/>
        <w:rPr>
          <w:rFonts w:ascii="Arial" w:cs="Arial" w:eastAsia="Arial" w:hAnsi="Arial"/>
          <w:sz w:val="18"/>
          <w:szCs w:val="18"/>
          <w:color w:val="auto"/>
        </w:rPr>
      </w:pPr>
    </w:p>
    <w:p>
      <w:pPr>
        <w:ind w:left="440" w:right="60" w:firstLine="419"/>
        <w:spacing w:after="0" w:line="274" w:lineRule="auto"/>
        <w:tabs>
          <w:tab w:leader="none" w:pos="1118" w:val="left"/>
        </w:tabs>
        <w:numPr>
          <w:ilvl w:val="1"/>
          <w:numId w:val="116"/>
        </w:numPr>
        <w:rPr>
          <w:rFonts w:ascii="Arial" w:cs="Arial" w:eastAsia="Arial" w:hAnsi="Arial"/>
          <w:sz w:val="17"/>
          <w:szCs w:val="17"/>
          <w:color w:val="auto"/>
        </w:rPr>
      </w:pPr>
      <w:r>
        <w:rPr>
          <w:rFonts w:ascii="Arial" w:cs="Arial" w:eastAsia="Arial" w:hAnsi="Arial"/>
          <w:sz w:val="17"/>
          <w:szCs w:val="17"/>
          <w:color w:val="auto"/>
        </w:rPr>
        <w:t>AGREES FOR THE BENEFIT OF XOMETRY, INC. (THE “COMPANY”) THAT IT WILL NOT OFFER, SELL, PLEDGE OR OTHERWISE TRANSFER THIS SECURITY OR ANY BENEFICIAL INTEREST HEREIN PRIOR TO THE DATE THAT IS THE LATER OF</w:t>
      </w:r>
    </w:p>
    <w:p>
      <w:pPr>
        <w:ind w:left="440" w:right="260" w:hanging="4"/>
        <w:spacing w:after="0" w:line="255" w:lineRule="auto"/>
        <w:tabs>
          <w:tab w:leader="none" w:pos="73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ONE YEAR AFTER THE LAST ORIGINAL ISSUE DATE HEREOF OR SUCH SHORTER PERIOD OF TIME AS PERMITTED BY RULE 144 UNDER THE SECURITIES ACT OR ANY SUCCESSOR PROVISION THERETO AND (Y) SUCH LATER DATE, IF ANY, AS MAY BE REQUIRED BY APPLICABLE LAW, EXCEPT:</w:t>
      </w:r>
    </w:p>
    <w:p>
      <w:pPr>
        <w:spacing w:after="0" w:line="81" w:lineRule="exact"/>
        <w:rPr>
          <w:rFonts w:ascii="Arial" w:cs="Arial" w:eastAsia="Arial" w:hAnsi="Arial"/>
          <w:sz w:val="18"/>
          <w:szCs w:val="18"/>
          <w:color w:val="auto"/>
        </w:rPr>
      </w:pPr>
    </w:p>
    <w:p>
      <w:pPr>
        <w:ind w:left="1680" w:hanging="292"/>
        <w:spacing w:after="0"/>
        <w:tabs>
          <w:tab w:leader="none" w:pos="168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TO THE COMPANY OR ANY SUBSIDIARY THEREOF, OR</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2"/>
          <w:numId w:val="117"/>
        </w:numPr>
        <w:rPr>
          <w:rFonts w:ascii="Arial" w:cs="Arial" w:eastAsia="Arial" w:hAnsi="Arial"/>
          <w:sz w:val="17"/>
          <w:szCs w:val="17"/>
          <w:color w:val="auto"/>
        </w:rPr>
      </w:pPr>
      <w:r>
        <w:rPr>
          <w:rFonts w:ascii="Arial" w:cs="Arial" w:eastAsia="Arial" w:hAnsi="Arial"/>
          <w:sz w:val="17"/>
          <w:szCs w:val="17"/>
          <w:color w:val="auto"/>
        </w:rPr>
        <w:t>PURSUANT TO A REGISTRATION STATEMENT THAT HAS BECOME EFFECTIVE UNDER THE SECURITIES ACT,</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116" w:name="page117"/>
    <w:bookmarkEnd w:id="116"/>
    <w:p>
      <w:pPr>
        <w:ind w:left="980" w:firstLine="408"/>
        <w:spacing w:after="0" w:line="277" w:lineRule="auto"/>
        <w:tabs>
          <w:tab w:leader="none" w:pos="1666"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 PERSON IT REASONABLY BELIEVES TO BE A QUALIFIED INSTITUTIONAL BUYER IN COMPLIANCE WITH RULE 144A UNDER THE SECURITIES ACT, OR</w:t>
      </w:r>
    </w:p>
    <w:p>
      <w:pPr>
        <w:spacing w:after="0" w:line="62" w:lineRule="exact"/>
        <w:rPr>
          <w:rFonts w:ascii="Arial" w:cs="Arial" w:eastAsia="Arial" w:hAnsi="Arial"/>
          <w:sz w:val="18"/>
          <w:szCs w:val="18"/>
          <w:color w:val="auto"/>
        </w:rPr>
      </w:pPr>
    </w:p>
    <w:p>
      <w:pPr>
        <w:ind w:left="980" w:right="140" w:firstLine="408"/>
        <w:spacing w:after="0" w:line="263" w:lineRule="auto"/>
        <w:tabs>
          <w:tab w:leader="none" w:pos="167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(IF AVAILABLE) OR ANY OTHER AVAILABLE EXEMPTION FROM THE REGISTRATION REQUIREMENTS OF THE SECURITIES ACT.</w:t>
      </w:r>
    </w:p>
    <w:p>
      <w:pPr>
        <w:spacing w:after="0" w:line="184" w:lineRule="exact"/>
        <w:rPr>
          <w:sz w:val="20"/>
          <w:szCs w:val="20"/>
          <w:color w:val="auto"/>
        </w:rPr>
      </w:pPr>
    </w:p>
    <w:p>
      <w:pPr>
        <w:jc w:val="both"/>
        <w:ind w:right="140" w:firstLine="440"/>
        <w:spacing w:after="0" w:line="275" w:lineRule="auto"/>
        <w:rPr>
          <w:sz w:val="20"/>
          <w:szCs w:val="20"/>
          <w:color w:val="auto"/>
        </w:rPr>
      </w:pPr>
      <w:r>
        <w:rPr>
          <w:rFonts w:ascii="Arial" w:cs="Arial" w:eastAsia="Arial" w:hAnsi="Arial"/>
          <w:sz w:val="17"/>
          <w:szCs w:val="17"/>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40"/>
          </w:cols>
          <w:pgMar w:left="440" w:top="274" w:right="519" w:bottom="1440" w:gutter="0" w:footer="0" w:header="0"/>
        </w:sectPr>
      </w:pPr>
    </w:p>
    <w:bookmarkStart w:id="117" w:name="page118"/>
    <w:bookmarkEnd w:id="117"/>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Xometry,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1.00% Convertible Senior Note due 2027</w:t>
      </w:r>
    </w:p>
    <w:p>
      <w:pPr>
        <w:spacing w:after="0" w:line="252" w:lineRule="exact"/>
        <w:rPr>
          <w:sz w:val="20"/>
          <w:szCs w:val="20"/>
          <w:color w:val="auto"/>
        </w:rPr>
      </w:pPr>
    </w:p>
    <w:p>
      <w:pPr>
        <w:ind w:left="4"/>
        <w:spacing w:after="0"/>
        <w:tabs>
          <w:tab w:leader="none" w:pos="764" w:val="left"/>
          <w:tab w:leader="none" w:pos="5344" w:val="left"/>
          <w:tab w:leader="none" w:pos="7424"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[Initially]</w:t>
      </w:r>
      <w:r>
        <w:rPr>
          <w:rFonts w:ascii="Arial" w:cs="Arial" w:eastAsia="Arial" w:hAnsi="Arial"/>
          <w:sz w:val="15"/>
          <w:szCs w:val="15"/>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-10160</wp:posOffset>
            </wp:positionV>
            <wp:extent cx="2571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-10160</wp:posOffset>
            </wp:positionV>
            <wp:extent cx="7143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CUSIP No. 98423F AA7 </w:t>
      </w:r>
      <w:r>
        <w:rPr>
          <w:rFonts w:ascii="Arial" w:cs="Arial" w:eastAsia="Arial" w:hAnsi="Arial"/>
          <w:sz w:val="15"/>
          <w:szCs w:val="15"/>
          <w:color w:val="auto"/>
        </w:rPr>
        <w:t>2</w:t>
      </w:r>
    </w:p>
    <w:p>
      <w:pPr>
        <w:spacing w:after="0" w:line="221" w:lineRule="exact"/>
        <w:rPr>
          <w:sz w:val="20"/>
          <w:szCs w:val="20"/>
          <w:color w:val="auto"/>
        </w:rPr>
      </w:pPr>
    </w:p>
    <w:p>
      <w:pPr>
        <w:ind w:left="4" w:right="140" w:firstLine="440"/>
        <w:spacing w:after="0" w:line="292" w:lineRule="auto"/>
        <w:rPr>
          <w:sz w:val="20"/>
          <w:szCs w:val="20"/>
          <w:color w:val="auto"/>
        </w:rPr>
      </w:pPr>
      <w:r>
        <w:rPr>
          <w:rFonts w:ascii="Arial" w:cs="Arial" w:eastAsia="Arial" w:hAnsi="Arial"/>
          <w:sz w:val="16"/>
          <w:szCs w:val="16"/>
          <w:color w:val="auto"/>
        </w:rPr>
        <w:t>Xometry, Inc., a corporation duly organized and validly existing under the laws of the State of Delaware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corporation or other entity under the Indenture referred to on the reverse hereof), for value received hereby promises to pay to [CEDE &amp;</w:t>
      </w:r>
    </w:p>
    <w:p>
      <w:pPr>
        <w:spacing w:after="0" w:line="1" w:lineRule="exact"/>
        <w:rPr>
          <w:sz w:val="20"/>
          <w:szCs w:val="20"/>
          <w:color w:val="auto"/>
        </w:rPr>
      </w:pPr>
    </w:p>
    <w:p>
      <w:pPr>
        <w:ind w:left="4"/>
        <w:spacing w:after="0"/>
        <w:tabs>
          <w:tab w:leader="none" w:pos="1104" w:val="left"/>
          <w:tab w:leader="none" w:pos="10324" w:val="left"/>
        </w:tabs>
        <w:rPr>
          <w:sz w:val="20"/>
          <w:szCs w:val="20"/>
          <w:color w:val="auto"/>
        </w:rPr>
      </w:pPr>
      <w:r>
        <w:rPr>
          <w:rFonts w:ascii="Arial" w:cs="Arial" w:eastAsia="Arial" w:hAnsi="Arial"/>
          <w:sz w:val="18"/>
          <w:szCs w:val="18"/>
          <w:color w:val="auto"/>
        </w:rPr>
        <w:t>CO.]</w:t>
      </w:r>
      <w:r>
        <w:rPr>
          <w:rFonts w:ascii="Arial" w:cs="Arial" w:eastAsia="Arial" w:hAnsi="Arial"/>
          <w:sz w:val="15"/>
          <w:szCs w:val="15"/>
          <w:color w:val="auto"/>
        </w:rPr>
        <w:t>3</w:t>
      </w: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4</w:t>
      </w:r>
      <w:r>
        <w:rPr>
          <w:rFonts w:ascii="Arial" w:cs="Arial" w:eastAsia="Arial" w:hAnsi="Arial"/>
          <w:sz w:val="17"/>
          <w:szCs w:val="17"/>
          <w:color w:val="auto"/>
        </w:rPr>
        <w:t>, or registered assigns, the principal sum [as set forth in the “Schedule of Exchanges of Notes” attached hereto]</w:t>
      </w:r>
      <w:r>
        <w:rPr>
          <w:rFonts w:ascii="Arial" w:cs="Arial" w:eastAsia="Arial" w:hAnsi="Arial"/>
          <w:sz w:val="14"/>
          <w:szCs w:val="14"/>
          <w:color w:val="auto"/>
        </w:rPr>
        <w:t>5</w:t>
      </w:r>
      <w:r>
        <w:rPr>
          <w:rFonts w:ascii="Arial" w:cs="Arial" w:eastAsia="Arial" w:hAnsi="Arial"/>
          <w:sz w:val="17"/>
          <w:szCs w:val="17"/>
          <w:color w:val="auto"/>
        </w:rPr>
        <w:t xml:space="preserve"> [of $[</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-18415</wp:posOffset>
            </wp:positionV>
            <wp:extent cx="3714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71475" cy="8255"/>
                    </a:xfrm>
                    <a:prstGeom prst="rect">
                      <a:avLst/>
                    </a:prstGeom>
                    <a:noFill/>
                  </pic:spPr>
                </pic:pic>
              </a:graphicData>
            </a:graphic>
          </wp:anchor>
        </w:drawing>
        <w:drawing>
          <wp:anchor simplePos="0" relativeHeight="251657728" behindDoc="1" locked="0" layoutInCell="0" allowOverlap="1">
            <wp:simplePos x="0" y="0"/>
            <wp:positionH relativeFrom="column">
              <wp:posOffset>6202045</wp:posOffset>
            </wp:positionH>
            <wp:positionV relativeFrom="paragraph">
              <wp:posOffset>-18415</wp:posOffset>
            </wp:positionV>
            <wp:extent cx="3714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ind w:left="4"/>
        <w:spacing w:after="0"/>
        <w:rPr>
          <w:sz w:val="20"/>
          <w:szCs w:val="20"/>
          <w:color w:val="auto"/>
        </w:rPr>
      </w:pPr>
      <w:r>
        <w:rPr>
          <w:rFonts w:ascii="Arial" w:cs="Arial" w:eastAsia="Arial" w:hAnsi="Arial"/>
          <w:sz w:val="17"/>
          <w:szCs w:val="17"/>
          <w:color w:val="auto"/>
        </w:rPr>
        <w:t>which amount, taken together with the principal amounts of all other outstanding Notes, shall not, unless permitted by the Indenture, exceed</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$250,000,000 in aggregate at any time (or $287,500,000 if the Initial Purchasers exercise their option to purchase additional Notes in full as set forth 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Purchase Agreement), in accordance with the rules and applicable procedures of the Depositary, on February 1, 2027, and interest thereon as set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forth below.</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This Note shall bear interest at the rate of 1.00% per year from February 4, 2022, or from the most recent date to which interest has been paid or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provided for to, but excluding, the next scheduled Interest Payment Date until February 1, 2027. Interest is payable semi-annually in arrears on each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February 1 and August 1, commencing on August 1, 2022, to Holders of record at the close of business on the preceding January 15 and July 15</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(whether or not such day is a Business Day), respectively. Additional Interest will be payable as set forth in Section 4.06(d), Section 4.06(e) and</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6.03 of the within-mentioned Indenture, and any reference to interest on, or in respect of, any Note therein shall be deemed to include Additional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Interest if, in such context, Additional Interest is, was or would be payable pursuant to any of such Section 4.06(d), Section 4.06(e) or Section 6.03,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any express mention of the payment of Additional Interest in any provision therein shall not be construed as excluding Additional Interest in those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provisions thereof where such express mention is not made.</w:t>
      </w:r>
    </w:p>
    <w:p>
      <w:pPr>
        <w:spacing w:after="0" w:line="211"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7715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8" w:lineRule="exact"/>
        <w:rPr>
          <w:sz w:val="20"/>
          <w:szCs w:val="20"/>
          <w:color w:val="auto"/>
        </w:rPr>
      </w:pPr>
    </w:p>
    <w:p>
      <w:pPr>
        <w:ind w:left="424" w:hanging="424"/>
        <w:spacing w:after="0"/>
        <w:tabs>
          <w:tab w:leader="none" w:pos="424" w:val="left"/>
        </w:tabs>
        <w:numPr>
          <w:ilvl w:val="0"/>
          <w:numId w:val="119"/>
        </w:numPr>
        <w:rPr>
          <w:rFonts w:ascii="Arial" w:cs="Arial" w:eastAsia="Arial" w:hAnsi="Arial"/>
          <w:sz w:val="15"/>
          <w:szCs w:val="15"/>
          <w:color w:val="auto"/>
        </w:rPr>
      </w:pPr>
      <w:r>
        <w:rPr>
          <w:rFonts w:ascii="Arial" w:cs="Arial" w:eastAsia="Arial" w:hAnsi="Arial"/>
          <w:sz w:val="18"/>
          <w:szCs w:val="18"/>
          <w:color w:val="auto"/>
        </w:rPr>
        <w:t>Include if a global note.</w:t>
      </w:r>
    </w:p>
    <w:p>
      <w:pPr>
        <w:spacing w:after="0" w:line="22" w:lineRule="exact"/>
        <w:rPr>
          <w:sz w:val="20"/>
          <w:szCs w:val="20"/>
          <w:color w:val="auto"/>
        </w:rPr>
      </w:pPr>
    </w:p>
    <w:p>
      <w:pPr>
        <w:ind w:left="424" w:right="120" w:hanging="424"/>
        <w:spacing w:after="0" w:line="282" w:lineRule="auto"/>
        <w:tabs>
          <w:tab w:leader="none" w:pos="424" w:val="left"/>
        </w:tabs>
        <w:numPr>
          <w:ilvl w:val="0"/>
          <w:numId w:val="120"/>
        </w:numPr>
        <w:rPr>
          <w:rFonts w:ascii="Arial" w:cs="Arial" w:eastAsia="Arial" w:hAnsi="Arial"/>
          <w:sz w:val="13"/>
          <w:szCs w:val="13"/>
          <w:color w:val="auto"/>
        </w:rPr>
      </w:pPr>
      <w:r>
        <w:rPr>
          <w:rFonts w:ascii="Arial" w:cs="Arial" w:eastAsia="Arial" w:hAnsi="Arial"/>
          <w:sz w:val="16"/>
          <w:szCs w:val="16"/>
          <w:color w:val="auto"/>
        </w:rPr>
        <w:t>This Note will be deemed to be identified by CUSIP No. 98423F AB5 from and after such time when (i) the Company delivers, pursuant to Section 2.05(c) of the within-mentioned Indenture, written notice to the Trustee of the occurrence of the Resale Restriction Termination Date and</w:t>
      </w:r>
    </w:p>
    <w:p>
      <w:pPr>
        <w:spacing w:after="0" w:line="1" w:lineRule="exact"/>
        <w:rPr>
          <w:sz w:val="20"/>
          <w:szCs w:val="20"/>
          <w:color w:val="auto"/>
        </w:rPr>
      </w:pPr>
    </w:p>
    <w:p>
      <w:pPr>
        <w:ind w:left="424" w:right="160"/>
        <w:spacing w:after="0" w:line="249" w:lineRule="auto"/>
        <w:rPr>
          <w:sz w:val="20"/>
          <w:szCs w:val="20"/>
          <w:color w:val="auto"/>
        </w:rPr>
      </w:pPr>
      <w:r>
        <w:rPr>
          <w:rFonts w:ascii="Arial" w:cs="Arial" w:eastAsia="Arial" w:hAnsi="Arial"/>
          <w:sz w:val="18"/>
          <w:szCs w:val="18"/>
          <w:color w:val="auto"/>
        </w:rPr>
        <w:t>the removal of the restrictive legend affixed to this Note and (ii) this Note is identified by such CUSIP number in accordance with the applicable procedures of the Depositary.</w:t>
      </w:r>
    </w:p>
    <w:p>
      <w:pPr>
        <w:spacing w:after="0" w:line="1" w:lineRule="exact"/>
        <w:rPr>
          <w:sz w:val="20"/>
          <w:szCs w:val="20"/>
          <w:color w:val="auto"/>
        </w:rPr>
      </w:pPr>
    </w:p>
    <w:p>
      <w:pPr>
        <w:ind w:left="424" w:hanging="424"/>
        <w:spacing w:after="0"/>
        <w:tabs>
          <w:tab w:leader="none" w:pos="424" w:val="left"/>
        </w:tabs>
        <w:numPr>
          <w:ilvl w:val="0"/>
          <w:numId w:val="121"/>
        </w:numPr>
        <w:rPr>
          <w:rFonts w:ascii="Arial" w:cs="Arial" w:eastAsia="Arial" w:hAnsi="Arial"/>
          <w:sz w:val="15"/>
          <w:szCs w:val="15"/>
          <w:color w:val="auto"/>
        </w:rPr>
      </w:pPr>
      <w:r>
        <w:rPr>
          <w:rFonts w:ascii="Arial" w:cs="Arial" w:eastAsia="Arial" w:hAnsi="Arial"/>
          <w:sz w:val="18"/>
          <w:szCs w:val="18"/>
          <w:color w:val="auto"/>
        </w:rPr>
        <w:t>Include if a global note.</w:t>
      </w:r>
    </w:p>
    <w:p>
      <w:pPr>
        <w:spacing w:after="0" w:line="9" w:lineRule="exact"/>
        <w:rPr>
          <w:sz w:val="20"/>
          <w:szCs w:val="20"/>
          <w:color w:val="auto"/>
        </w:rPr>
      </w:pPr>
    </w:p>
    <w:p>
      <w:pPr>
        <w:ind w:left="424" w:hanging="424"/>
        <w:spacing w:after="0"/>
        <w:tabs>
          <w:tab w:leader="none" w:pos="424" w:val="left"/>
        </w:tabs>
        <w:numPr>
          <w:ilvl w:val="0"/>
          <w:numId w:val="122"/>
        </w:numPr>
        <w:rPr>
          <w:rFonts w:ascii="Arial" w:cs="Arial" w:eastAsia="Arial" w:hAnsi="Arial"/>
          <w:sz w:val="15"/>
          <w:szCs w:val="15"/>
          <w:color w:val="auto"/>
        </w:rPr>
      </w:pPr>
      <w:r>
        <w:rPr>
          <w:rFonts w:ascii="Arial" w:cs="Arial" w:eastAsia="Arial" w:hAnsi="Arial"/>
          <w:sz w:val="18"/>
          <w:szCs w:val="18"/>
          <w:color w:val="auto"/>
        </w:rPr>
        <w:t>Include if a physical note.</w:t>
      </w:r>
    </w:p>
    <w:p>
      <w:pPr>
        <w:spacing w:after="0" w:line="9" w:lineRule="exact"/>
        <w:rPr>
          <w:sz w:val="20"/>
          <w:szCs w:val="20"/>
          <w:color w:val="auto"/>
        </w:rPr>
      </w:pPr>
    </w:p>
    <w:p>
      <w:pPr>
        <w:ind w:left="424" w:hanging="424"/>
        <w:spacing w:after="0"/>
        <w:tabs>
          <w:tab w:leader="none" w:pos="424" w:val="left"/>
        </w:tabs>
        <w:numPr>
          <w:ilvl w:val="0"/>
          <w:numId w:val="123"/>
        </w:numPr>
        <w:rPr>
          <w:rFonts w:ascii="Arial" w:cs="Arial" w:eastAsia="Arial" w:hAnsi="Arial"/>
          <w:sz w:val="15"/>
          <w:szCs w:val="15"/>
          <w:color w:val="auto"/>
        </w:rPr>
      </w:pPr>
      <w:r>
        <w:rPr>
          <w:rFonts w:ascii="Arial" w:cs="Arial" w:eastAsia="Arial" w:hAnsi="Arial"/>
          <w:sz w:val="18"/>
          <w:szCs w:val="18"/>
          <w:color w:val="auto"/>
        </w:rPr>
        <w:t>Include if a global note.</w:t>
      </w:r>
    </w:p>
    <w:p>
      <w:pPr>
        <w:spacing w:after="0" w:line="9" w:lineRule="exact"/>
        <w:rPr>
          <w:sz w:val="20"/>
          <w:szCs w:val="20"/>
          <w:color w:val="auto"/>
        </w:rPr>
      </w:pPr>
    </w:p>
    <w:p>
      <w:pPr>
        <w:ind w:left="424" w:hanging="424"/>
        <w:spacing w:after="0"/>
        <w:tabs>
          <w:tab w:leader="none" w:pos="424" w:val="left"/>
        </w:tabs>
        <w:numPr>
          <w:ilvl w:val="0"/>
          <w:numId w:val="124"/>
        </w:numPr>
        <w:rPr>
          <w:rFonts w:ascii="Arial" w:cs="Arial" w:eastAsia="Arial" w:hAnsi="Arial"/>
          <w:sz w:val="15"/>
          <w:szCs w:val="15"/>
          <w:color w:val="auto"/>
        </w:rPr>
      </w:pPr>
      <w:r>
        <w:rPr>
          <w:rFonts w:ascii="Arial" w:cs="Arial" w:eastAsia="Arial" w:hAnsi="Arial"/>
          <w:sz w:val="18"/>
          <w:szCs w:val="18"/>
          <w:color w:val="auto"/>
        </w:rPr>
        <w:t>Include if a physical note.</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4"/>
          </w:cols>
          <w:pgMar w:left="436" w:top="274" w:right="459" w:bottom="1440" w:gutter="0" w:footer="0" w:header="0"/>
        </w:sectPr>
      </w:pPr>
    </w:p>
    <w:bookmarkStart w:id="118" w:name="page119"/>
    <w:bookmarkEnd w:id="118"/>
    <w:p>
      <w:pPr>
        <w:ind w:right="6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as a place in the continental United States of America where Notes may be presented for payment or for registration of transfer and exchange.</w:t>
      </w:r>
    </w:p>
    <w:p>
      <w:pPr>
        <w:spacing w:after="0" w:line="16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Reference is made to the further provisions of this Note set forth on the reverse hereof, including, without limitation, provisions giving the Holder of this Note the right to convert this Note into cash, shares of Class A Common Stock or a combination of cash and shares of Class A Common Stock, as applicable, on the terms and subject to the limitations set forth in the Indenture. Such further provisions shall for all purposes have the same effect as though fully set forth at this place.</w:t>
      </w:r>
    </w:p>
    <w:p>
      <w:pPr>
        <w:spacing w:after="0" w:line="18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This Note, and any claim, controversy or dispute arising under or related to this Note, shall be construed in accordance with and governed by the laws of the State of New York.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case of any conflict between this Note and the Indenture, the provisions of the Indenture shall control and govern.</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119" w:name="page120"/>
    <w:bookmarkEnd w:id="1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Note to be duly executed.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XOMETRY, INC.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TRUST COMPANY, NATIONAL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ASSOCIATION as Trustee, certifies that this is one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described in the within-named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019"/>
          </w:cols>
          <w:pgMar w:left="440" w:top="274" w:right="1440"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Xometry,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 Convertible Senior Note due 2027</w:t>
      </w:r>
    </w:p>
    <w:p>
      <w:pPr>
        <w:spacing w:after="0" w:line="207"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This Note is one of a duly authorized issue of Notes of the Company, designated as its 1.00% Convertible Senior Notes due 2027 (the “</w:t>
      </w:r>
      <w:r>
        <w:rPr>
          <w:rFonts w:ascii="Arial" w:cs="Arial" w:eastAsia="Arial" w:hAnsi="Arial"/>
          <w:sz w:val="16"/>
          <w:szCs w:val="16"/>
          <w:b w:val="1"/>
          <w:bCs w:val="1"/>
          <w:color w:val="auto"/>
        </w:rPr>
        <w:t>Notes</w:t>
      </w:r>
      <w:r>
        <w:rPr>
          <w:rFonts w:ascii="Arial" w:cs="Arial" w:eastAsia="Arial" w:hAnsi="Arial"/>
          <w:sz w:val="16"/>
          <w:szCs w:val="16"/>
          <w:color w:val="auto"/>
        </w:rPr>
        <w:t>”), limited to the aggregate principal amount of $250,000,000 (as increased by an amount equal to the aggregate principal amount of any additional Notes purchased by the Initial Purchasers pursuant to the exercise of their option to purchase additional Notes as set forth in the Purchase Agreement), all issued or to be issued under and pursuant to an Indenture dated as of February 4, 2022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U.S. Bank Trust Company, National Association (the “</w:t>
      </w:r>
      <w:r>
        <w:rPr>
          <w:rFonts w:ascii="Arial" w:cs="Arial" w:eastAsia="Arial" w:hAnsi="Arial"/>
          <w:sz w:val="16"/>
          <w:szCs w:val="16"/>
          <w:b w:val="1"/>
          <w:bCs w:val="1"/>
          <w:color w:val="auto"/>
        </w:rPr>
        <w:t>Trustee</w:t>
      </w:r>
      <w:r>
        <w:rPr>
          <w:rFonts w:ascii="Arial" w:cs="Arial" w:eastAsia="Arial" w:hAnsi="Arial"/>
          <w:sz w:val="16"/>
          <w:szCs w:val="16"/>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63"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84"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Subject to the terms and conditions of the Indenture, the Company will make all payments and deliveries in respect of the Fundamental Change Repurchase Price on the Fundamental Change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57"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60"/>
          </w:cols>
          <w:pgMar w:left="440" w:top="274" w:right="499" w:bottom="1440" w:gutter="0" w:footer="0" w:header="0"/>
        </w:sectPr>
      </w:pPr>
    </w:p>
    <w:bookmarkStart w:id="121" w:name="page122"/>
    <w:bookmarkEnd w:id="121"/>
    <w:p>
      <w:pPr>
        <w:ind w:right="1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this Note at the place, at the respective times, at the rate and in the lawful money or shares of Class A Common Stock, as the case may be, herein prescribed.</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92"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Notes shall be redeemable at the Company’s option on or after February 5, 2025 in accordance with the terms and subject to the conditions specified in the Indenture. No sinking fund is provided for the Notes.</w:t>
      </w:r>
    </w:p>
    <w:p>
      <w:pPr>
        <w:spacing w:after="0" w:line="170"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Upon the occurrence of a Fundamental Change (other than an Exempted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6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shares of Class A Common Stock or a combination of cash and shares of Class A Common Stock, as applicable, at the Conversion Rate specified in the Indenture, as adjusted from time to time as provided in the Indenture.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60"/>
          </w:cols>
          <w:pgMar w:left="440" w:top="274" w:right="499" w:bottom="1440" w:gutter="0" w:footer="0" w:header="0"/>
        </w:sectPr>
      </w:pPr>
    </w:p>
    <w:bookmarkStart w:id="122" w:name="page123"/>
    <w:bookmarkEnd w:id="122"/>
    <w:p>
      <w:pPr>
        <w:jc w:val="center"/>
        <w:ind w:right="-5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ABBREVIATIONS</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following abbreviations, when used in the inscription of the face of this Note, shall be construed as though they were written out in full according to applicable laws or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 ENT = as tenants by the entireties</w:t>
      </w:r>
    </w:p>
    <w:p>
      <w:pPr>
        <w:spacing w:after="0" w:line="225" w:lineRule="exact"/>
        <w:rPr>
          <w:sz w:val="20"/>
          <w:szCs w:val="20"/>
          <w:color w:val="auto"/>
        </w:rPr>
      </w:pPr>
    </w:p>
    <w:p>
      <w:pPr>
        <w:ind w:left="440" w:right="4760" w:hanging="439"/>
        <w:spacing w:after="0" w:line="519" w:lineRule="auto"/>
        <w:rPr>
          <w:sz w:val="20"/>
          <w:szCs w:val="20"/>
          <w:color w:val="auto"/>
        </w:rPr>
      </w:pPr>
      <w:r>
        <w:rPr>
          <w:rFonts w:ascii="Arial" w:cs="Arial" w:eastAsia="Arial" w:hAnsi="Arial"/>
          <w:sz w:val="16"/>
          <w:szCs w:val="16"/>
          <w:color w:val="auto"/>
        </w:rPr>
        <w:t>JT TEN = joint tenants with right of survivorship and not as tenants in common Additional abbreviations may also be used though not in the above list.</w:t>
      </w:r>
    </w:p>
    <w:p>
      <w:pPr>
        <w:spacing w:after="0" w:line="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480"/>
          </w:cols>
          <w:pgMar w:left="440" w:top="274" w:right="97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r>
        <w:rPr>
          <w:rFonts w:ascii="Arial" w:cs="Arial" w:eastAsia="Arial" w:hAnsi="Arial"/>
          <w:sz w:val="15"/>
          <w:szCs w:val="15"/>
          <w:b w:val="1"/>
          <w:bCs w:val="1"/>
          <w:color w:val="auto"/>
        </w:rPr>
        <w:t>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EXCHANGES OF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Xometry,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Convertible Senior Notes due 2027</w:t>
      </w:r>
    </w:p>
    <w:p>
      <w:pPr>
        <w:spacing w:after="0" w:line="211" w:lineRule="exact"/>
        <w:rPr>
          <w:sz w:val="20"/>
          <w:szCs w:val="20"/>
          <w:color w:val="auto"/>
        </w:rPr>
      </w:pPr>
    </w:p>
    <w:p>
      <w:pPr>
        <w:ind w:left="440"/>
        <w:spacing w:after="0"/>
        <w:tabs>
          <w:tab w:leader="none" w:pos="4660" w:val="left"/>
          <w:tab w:leader="none" w:pos="6680" w:val="left"/>
        </w:tabs>
        <w:rPr>
          <w:sz w:val="20"/>
          <w:szCs w:val="20"/>
          <w:color w:val="auto"/>
        </w:rPr>
      </w:pPr>
      <w:r>
        <w:rPr>
          <w:rFonts w:ascii="Arial" w:cs="Arial" w:eastAsia="Arial" w:hAnsi="Arial"/>
          <w:sz w:val="18"/>
          <w:szCs w:val="18"/>
          <w:color w:val="auto"/>
        </w:rPr>
        <w:t>The initial principal amount of this Global Note is</w:t>
      </w:r>
      <w:r>
        <w:rPr>
          <w:sz w:val="20"/>
          <w:szCs w:val="20"/>
          <w:color w:val="auto"/>
        </w:rPr>
        <w:tab/>
      </w:r>
      <w:r>
        <w:rPr>
          <w:rFonts w:ascii="Arial" w:cs="Arial" w:eastAsia="Arial" w:hAnsi="Arial"/>
          <w:sz w:val="18"/>
          <w:szCs w:val="18"/>
          <w:color w:val="auto"/>
        </w:rPr>
        <w:t>DOLLARS ($[</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2596515</wp:posOffset>
            </wp:positionH>
            <wp:positionV relativeFrom="paragraph">
              <wp:posOffset>-10160</wp:posOffset>
            </wp:positionV>
            <wp:extent cx="3429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Principal amount of</w:t>
            </w:r>
          </w:p>
        </w:tc>
        <w:tc>
          <w:tcPr>
            <w:tcW w:w="1980" w:type="dxa"/>
            <w:vAlign w:val="bottom"/>
          </w:tcPr>
          <w:p>
            <w:pPr>
              <w:jc w:val="center"/>
              <w:spacing w:after="0"/>
              <w:rPr>
                <w:sz w:val="20"/>
                <w:szCs w:val="20"/>
                <w:color w:val="auto"/>
              </w:rPr>
            </w:pPr>
            <w:r>
              <w:rPr>
                <w:rFonts w:ascii="Arial" w:cs="Arial" w:eastAsia="Arial" w:hAnsi="Arial"/>
                <w:sz w:val="14"/>
                <w:szCs w:val="14"/>
                <w:color w:val="auto"/>
                <w:w w:val="92"/>
              </w:rPr>
              <w:t>Signature of</w:t>
            </w:r>
          </w:p>
        </w:tc>
      </w:tr>
      <w:tr>
        <w:trPr>
          <w:trHeight w:val="148"/>
        </w:trPr>
        <w:tc>
          <w:tcPr>
            <w:tcW w:w="1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Amount of</w:t>
            </w: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Amount of</w:t>
            </w: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this Global Note</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4"/>
              </w:rPr>
              <w:t>authorized</w:t>
            </w:r>
          </w:p>
        </w:tc>
      </w:tr>
      <w:tr>
        <w:trPr>
          <w:trHeight w:val="148"/>
        </w:trPr>
        <w:tc>
          <w:tcPr>
            <w:tcW w:w="1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decrease in</w:t>
            </w: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increase in</w:t>
            </w: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following such</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6"/>
              </w:rPr>
              <w:t>signatory of</w:t>
            </w:r>
          </w:p>
        </w:tc>
      </w:tr>
      <w:tr>
        <w:trPr>
          <w:trHeight w:val="148"/>
        </w:trPr>
        <w:tc>
          <w:tcPr>
            <w:tcW w:w="1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principal amount</w:t>
            </w: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principal amount</w:t>
            </w: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decrease or</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0"/>
              </w:rPr>
              <w:t>Trustee or</w:t>
            </w:r>
          </w:p>
        </w:tc>
      </w:tr>
      <w:tr>
        <w:trPr>
          <w:trHeight w:val="174"/>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Date of exchange</w:t>
            </w:r>
          </w:p>
        </w:tc>
        <w:tc>
          <w:tcPr>
            <w:tcW w:w="144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of this Global Note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of this Global Note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increase</w:t>
            </w:r>
          </w:p>
        </w:tc>
        <w:tc>
          <w:tcPr>
            <w:tcW w:w="10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240030</wp:posOffset>
            </wp:positionV>
            <wp:extent cx="7715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98"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7</w:t>
      </w:r>
      <w:r>
        <w:rPr>
          <w:sz w:val="20"/>
          <w:szCs w:val="20"/>
          <w:color w:val="auto"/>
        </w:rPr>
        <w:tab/>
      </w:r>
      <w:r>
        <w:rPr>
          <w:rFonts w:ascii="Arial" w:cs="Arial" w:eastAsia="Arial" w:hAnsi="Arial"/>
          <w:sz w:val="18"/>
          <w:szCs w:val="18"/>
          <w:color w:val="auto"/>
        </w:rPr>
        <w:t>Include if a global note.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20"/>
          </w:cols>
          <w:pgMar w:left="440" w:top="270" w:right="4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NOTICE OF CONVERSION]</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U.S. Bank Trust Company, National Association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633 West Fifth Street, 24th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Bradley Scarbrough (Xometry, Inc.)</w:t>
      </w:r>
    </w:p>
    <w:p>
      <w:pPr>
        <w:spacing w:after="0" w:line="211"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The undersigned registered owner of this Note hereby exercises the option to convert this Note, or the portion hereof (that is $1,000 principal amount or an integral multiple thereof) below designated, into cash, shares of Class A Common Stock or a combination of cash and shares of Class A Common Stock, as applicable, in accordance with the terms of the Indenture referred to in this Note, and directs that any cash payable and any shares of Class A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Class A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177800</wp:posOffset>
            </wp:positionV>
            <wp:extent cx="3703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27946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Signature(s) must be guaranteed by an eligible Guarantor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Institution (banks, stock brokers, savings and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associations and credit unions) with membership in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approved signature guarantee medallion program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Rule 17Ad-15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of Class A Common Stock are to be issued,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are to be delivered, other than to and in the name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registered 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Fill in for registration of shares if to be issued, and Notes if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tobe delivered, other than to and in the name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27946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27946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amount to be converted (if less than all):</w:t>
      </w:r>
    </w:p>
    <w:p>
      <w:pPr>
        <w:spacing w:after="0" w:line="23" w:lineRule="exact"/>
        <w:rPr>
          <w:sz w:val="20"/>
          <w:szCs w:val="20"/>
          <w:color w:val="auto"/>
        </w:rPr>
      </w:pPr>
    </w:p>
    <w:p>
      <w:pPr>
        <w:ind w:left="6620"/>
        <w:spacing w:after="0"/>
        <w:tabs>
          <w:tab w:leader="none" w:pos="7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-19050</wp:posOffset>
            </wp:positionV>
            <wp:extent cx="3429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9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NOTICE: The above signature(s) of the Holder(s) hereof</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must correspond with the name as written upon the face of</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151765</wp:posOffset>
            </wp:positionV>
            <wp:extent cx="27946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5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Social Security or Other Taxpayer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Identification Number</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440" w:top="274" w:right="6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2</w:t>
      </w:r>
    </w:p>
    <w:p>
      <w:pPr>
        <w:spacing w:after="0" w:line="22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[FORM OF FUNDAMENTAL CHANGE REPURCHASE NOTICE]</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U.S. Bank Trust Company, National Association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633 West Fifth Street, 24th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Bradley Scarbrough (Xometry, Inc.)</w:t>
      </w:r>
    </w:p>
    <w:p>
      <w:pPr>
        <w:spacing w:after="0" w:line="207"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The undersigned registered owner of this Note hereby acknowledges receipt of a notice from Xometry, Inc. (the “</w:t>
      </w:r>
      <w:r>
        <w:rPr>
          <w:rFonts w:ascii="Arial" w:cs="Arial" w:eastAsia="Arial" w:hAnsi="Arial"/>
          <w:sz w:val="17"/>
          <w:szCs w:val="17"/>
          <w:b w:val="1"/>
          <w:bCs w:val="1"/>
          <w:color w:val="auto"/>
        </w:rPr>
        <w:t>Company</w:t>
      </w:r>
      <w:r>
        <w:rPr>
          <w:rFonts w:ascii="Arial" w:cs="Arial" w:eastAsia="Arial" w:hAnsi="Arial"/>
          <w:sz w:val="17"/>
          <w:szCs w:val="17"/>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case of Physical Notes, the certificate numbers of the Notes to be repurchased are as set forth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194945</wp:posOffset>
            </wp:positionV>
            <wp:extent cx="27946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168910</wp:posOffset>
            </wp:positionV>
            <wp:extent cx="27946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8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Social Security or Other Taxpayer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Identification Number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amount to be repaid (if less than all):</w:t>
      </w:r>
    </w:p>
    <w:p>
      <w:pPr>
        <w:spacing w:after="0" w:line="23"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-19050</wp:posOffset>
            </wp:positionV>
            <wp:extent cx="3714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line="19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NOTICE: The above signature(s) of the Holder(s) hereof</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must correspond with the name as written upon the face of</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enlargement or any change whatever.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3</w:t>
      </w:r>
    </w:p>
    <w:p>
      <w:pPr>
        <w:spacing w:after="0" w:line="200" w:lineRule="exact"/>
        <w:rPr>
          <w:sz w:val="20"/>
          <w:szCs w:val="20"/>
          <w:color w:val="auto"/>
        </w:rPr>
      </w:pPr>
    </w:p>
    <w:p>
      <w:pPr>
        <w:spacing w:after="0" w:line="245"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[FORM OF ASSIGNMENT AND TRANSFER]</w:t>
      </w:r>
    </w:p>
    <w:p>
      <w:pPr>
        <w:sectPr>
          <w:pgSz w:w="11900" w:h="16838" w:orient="portrait"/>
          <w:cols w:equalWidth="0" w:num="1">
            <w:col w:w="11024"/>
          </w:cols>
          <w:pgMar w:left="436" w:top="270" w:right="439" w:bottom="1440" w:gutter="0" w:footer="0" w:header="0"/>
        </w:sectPr>
      </w:pPr>
    </w:p>
    <w:p>
      <w:pPr>
        <w:spacing w:after="0" w:line="237" w:lineRule="exact"/>
        <w:rPr>
          <w:sz w:val="20"/>
          <w:szCs w:val="20"/>
          <w:color w:val="auto"/>
        </w:rPr>
      </w:pPr>
    </w:p>
    <w:p>
      <w:pPr>
        <w:ind w:left="4"/>
        <w:spacing w:after="0"/>
        <w:tabs>
          <w:tab w:leader="none" w:pos="3024"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6"/>
          <w:szCs w:val="16"/>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-10160</wp:posOffset>
            </wp:positionV>
            <wp:extent cx="10280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065"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-10160</wp:posOffset>
            </wp:positionV>
            <wp:extent cx="6858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 w:lineRule="exact"/>
        <w:rPr>
          <w:sz w:val="20"/>
          <w:szCs w:val="20"/>
          <w:color w:val="auto"/>
        </w:rPr>
      </w:pPr>
    </w:p>
    <w:p>
      <w:pPr>
        <w:ind w:left="4" w:right="620"/>
        <w:spacing w:after="0" w:line="260" w:lineRule="auto"/>
        <w:rPr>
          <w:sz w:val="20"/>
          <w:szCs w:val="20"/>
          <w:color w:val="auto"/>
        </w:rPr>
      </w:pPr>
      <w:r>
        <w:rPr>
          <w:rFonts w:ascii="Arial" w:cs="Arial" w:eastAsia="Arial" w:hAnsi="Arial"/>
          <w:sz w:val="18"/>
          <w:szCs w:val="18"/>
          <w:color w:val="auto"/>
        </w:rPr>
        <w:t>Identification Number of assignee) the within Note, and hereby irrevocably constitutes and appoints on the books of the Company, with full power of substitution in the premises.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120" w:hanging="1173"/>
        <w:spacing w:after="0" w:line="342" w:lineRule="auto"/>
        <w:rPr>
          <w:sz w:val="20"/>
          <w:szCs w:val="20"/>
          <w:color w:val="auto"/>
        </w:rPr>
      </w:pPr>
      <w:r>
        <w:rPr>
          <w:rFonts w:ascii="Arial" w:cs="Arial" w:eastAsia="Arial" w:hAnsi="Arial"/>
          <w:sz w:val="16"/>
          <w:szCs w:val="16"/>
          <w:color w:val="auto"/>
        </w:rPr>
        <w:t>(Please insert social security or Taxpayer attorney to transfer the said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-74930</wp:posOffset>
            </wp:positionV>
            <wp:extent cx="8001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7824" w:space="720"/>
            <w:col w:w="2480"/>
          </w:cols>
          <w:pgMar w:left="436" w:top="270"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In connection with any transfer of the within Note occurring prior to the Resale Restriction Termination Date, as defined in the Indenture governing such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 the undersigned confirms that such Note is being transferred:</w:t>
      </w:r>
    </w:p>
    <w:p>
      <w:pPr>
        <w:spacing w:after="0" w:line="211" w:lineRule="exact"/>
        <w:rPr>
          <w:sz w:val="20"/>
          <w:szCs w:val="20"/>
          <w:color w:val="auto"/>
        </w:rPr>
      </w:pPr>
    </w:p>
    <w:p>
      <w:pPr>
        <w:ind w:left="204" w:hanging="204"/>
        <w:spacing w:after="0"/>
        <w:tabs>
          <w:tab w:leader="none" w:pos="204" w:val="left"/>
        </w:tabs>
        <w:numPr>
          <w:ilvl w:val="0"/>
          <w:numId w:val="125"/>
        </w:numPr>
        <w:rPr>
          <w:rFonts w:ascii="MS PGothic" w:cs="MS PGothic" w:eastAsia="MS PGothic" w:hAnsi="MS PGothic"/>
          <w:sz w:val="18"/>
          <w:szCs w:val="18"/>
          <w:color w:val="auto"/>
        </w:rPr>
      </w:pPr>
      <w:r>
        <w:rPr>
          <w:rFonts w:ascii="Arial" w:cs="Arial" w:eastAsia="Arial" w:hAnsi="Arial"/>
          <w:sz w:val="18"/>
          <w:szCs w:val="18"/>
          <w:color w:val="auto"/>
        </w:rPr>
        <w:t>To Xometry, Inc. or a subsidiary thereof; or</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25"/>
        </w:numPr>
        <w:rPr>
          <w:rFonts w:ascii="MS PGothic" w:cs="MS PGothic" w:eastAsia="MS PGothic" w:hAnsi="MS PGothic"/>
          <w:sz w:val="18"/>
          <w:szCs w:val="18"/>
          <w:color w:val="auto"/>
        </w:rPr>
      </w:pPr>
      <w:r>
        <w:rPr>
          <w:rFonts w:ascii="Arial" w:cs="Arial" w:eastAsia="Arial" w:hAnsi="Arial"/>
          <w:sz w:val="18"/>
          <w:szCs w:val="18"/>
          <w:color w:val="auto"/>
        </w:rPr>
        <w:t>Pursuant to a registration statement that has become effective under the Securities Act of 1933, as amended; or</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25"/>
        </w:numPr>
        <w:rPr>
          <w:rFonts w:ascii="MS PGothic" w:cs="MS PGothic" w:eastAsia="MS PGothic" w:hAnsi="MS PGothic"/>
          <w:sz w:val="16"/>
          <w:szCs w:val="16"/>
          <w:color w:val="auto"/>
        </w:rPr>
      </w:pPr>
      <w:r>
        <w:rPr>
          <w:rFonts w:ascii="Arial" w:cs="Arial" w:eastAsia="Arial" w:hAnsi="Arial"/>
          <w:sz w:val="16"/>
          <w:szCs w:val="16"/>
          <w:color w:val="auto"/>
        </w:rPr>
        <w:t>To a person reasonably believed to be a qualified institutional buyer in compliance with Rule 144A under the Securities Act of 1933, as amended; or</w:t>
      </w:r>
    </w:p>
    <w:p>
      <w:pPr>
        <w:spacing w:after="0" w:line="248" w:lineRule="exact"/>
        <w:rPr>
          <w:rFonts w:ascii="MS PGothic" w:cs="MS PGothic" w:eastAsia="MS PGothic" w:hAnsi="MS PGothic"/>
          <w:sz w:val="16"/>
          <w:szCs w:val="16"/>
          <w:color w:val="auto"/>
        </w:rPr>
      </w:pPr>
    </w:p>
    <w:p>
      <w:pPr>
        <w:ind w:left="4" w:right="180" w:hanging="4"/>
        <w:spacing w:after="0" w:line="277" w:lineRule="auto"/>
        <w:tabs>
          <w:tab w:leader="none" w:pos="211" w:val="left"/>
        </w:tabs>
        <w:numPr>
          <w:ilvl w:val="0"/>
          <w:numId w:val="125"/>
        </w:numPr>
        <w:rPr>
          <w:rFonts w:ascii="MS PGothic" w:cs="MS PGothic" w:eastAsia="MS PGothic" w:hAnsi="MS PGothic"/>
          <w:sz w:val="18"/>
          <w:szCs w:val="18"/>
          <w:color w:val="auto"/>
        </w:rPr>
      </w:pPr>
      <w:r>
        <w:rPr>
          <w:rFonts w:ascii="Arial" w:cs="Arial" w:eastAsia="Arial" w:hAnsi="Arial"/>
          <w:sz w:val="18"/>
          <w:szCs w:val="18"/>
          <w:color w:val="auto"/>
        </w:rPr>
        <w:t>Pursuant to and in compliance with Rule 144 under the Securities Act of 1933, as amended (if available), or any other available exemption from the registration requirements of the Securities Act of 1933, as amended.</w:t>
      </w:r>
    </w:p>
    <w:p>
      <w:pPr>
        <w:spacing w:after="0" w:line="103"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70" w:right="4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452120</wp:posOffset>
            </wp:positionV>
            <wp:extent cx="27946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-10160</wp:posOffset>
            </wp:positionV>
            <wp:extent cx="15138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27946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Signature(s) must be guaranteed by an eligible Guarantor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Institution (banks, stock brokers, savings and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associations and credit unions) with membership in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approvedsignature guarantee medallion program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Rule 17Ad-15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are to be delivered, other than to and in the name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registered holder.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NOTICE: The signature on the assignment must correspond with the name as written upon the face of the Note in every particular without alteration or enlargement or any change whatever.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440" w:top="274" w:right="57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Xometry Announces Pricing of $250 Million Offering of Convertible Senior Notes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ROCKVILLE, Md., February 2, 2022 (GLOBE NEWSWIRE) – Xometry, Inc. (“Xometry”) (XMTR), a leading digital marketplace for on-demand manufacturing, today announced the pricing of $250 million aggregate principal amount of 1.00% Convertible Senior Notes due 2027 (the “Notes”) in a private placement (the “Offering”) to persons reasonably believed to be qualified institutional buyers pursuant to Rule 144A under the Securities Act of 1933, as amended (the “Securities Act”).</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Xometry has also granted the initial purchasers of the Notes an option to purchase, within a 13-day period beginning on, and including, the date on which the Notes are first issued, up to an additional $37.5 million aggregate principal amount of Notes. The sale of the Notes to the initial purchasers is expected to close on February 4, 2022, subject to customary closing conditions.</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Notes will be general unsecured obligations of Xometry and will accrue interest payable semiannually in arrears on February 1 and August 1 of each year, beginning on August 1, 2022, at a rate of 1.00% per year. The Notes will mature on February 1, 2027, unless earlier converted, redeemed or repurchased.</w:t>
      </w:r>
    </w:p>
    <w:p>
      <w:pPr>
        <w:spacing w:after="0" w:line="18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Xometry estimates that the net proceeds from the Offering will be approximately $241.9 million (or approximately $278.3 million if the initial purchasers exercise their option to purchase additional Notes in full) to Xometry after deducting the initial purchasers’ discounts and commissions and estimated Offering expenses payable by Xometry. Xometry expects to use the net proceeds from the Offering for working capital and general corporate purposes and for acquisitions of, or strategic investments in, complementary businesses, products, services or technologies.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Prior to November 1, 2026, the Notes will be convertible at the option of the noteholders only if specific conditions are met. On or after November 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2026 until the close of business on the second scheduled trading day immediately preceding the maturity date, the Notes will be convertible at the option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noteholders at any time regardless of these conditions. Upon conversion, Xometry will pay or deliver, as the case may be, cash, shares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Xometry’s Class A common stock or a combination of cash and shares of Xometry’s Class A common stock, at its election. The initial conversion rate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17.8213 shares of Xometry’s Class A common stock per $1,000 principal amount of Notes (equivalent to an initial conversion price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$56.11 per share of Xometry’s Class A common stock, which represents a conversion premium of approximately 27.5% to the last reported sale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Xometry’s Class A common stock on the Nasdaq Global Select Market on February 1, 2022), and will be subject to customary anti-dilution adjustments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increases in connection with certain corporate events or redemptions as described below.</w:t>
      </w:r>
    </w:p>
    <w:p>
      <w:pPr>
        <w:sectPr>
          <w:pgSz w:w="11900" w:h="16838" w:orient="portrait"/>
          <w:cols w:equalWidth="0" w:num="1">
            <w:col w:w="11020"/>
          </w:cols>
          <w:pgMar w:left="440" w:top="121" w:right="439" w:bottom="1440" w:gutter="0" w:footer="0" w:header="0"/>
        </w:sectPr>
      </w:pPr>
    </w:p>
    <w:bookmarkStart w:id="130" w:name="page131"/>
    <w:bookmarkEnd w:id="130"/>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Xometry may not redeem the Notes prior to February 5, 2025. Xometry may redeem for cash all or any portion of the Notes (subject to certain limitations), at its option, on or after February 5, 2025 and prior to the 41st scheduled trading day immediately preceding the maturity date of the Notes if the last reported sale price of Xometry’s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Xometry provides notice of redemption at a redemption price equal to 100% of the principal amount of the Notes to be redeemed, plus accrued and unpaid interest to, but excluding, the redemption date. If Xometry redeems less than all of the outstanding Notes, at least $100 million aggregate principal amount of Notes must be outstanding and not subject to redemption as of, and after giving effect to, delivery of the relevant redemption notice.</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If Xometry undergoes a “fundamental change,” then, subject to certain conditions and limited exceptions, noteholders may require Xometry to repurchase for cash all or any portion of their Notes in principal amounts of $1,000 or an integral multiple thereof at a repurchase price equal to 100% of the principal amount of the Notes to be repurchased, plus accrued and unpaid interest to, but excluding, the fundamental change repurchase date. In addition, following certain corporate events that occur prior to the maturity date of the Notes or if Xometry delivers a notice of redemption, Xometry will, in certain circumstances, increase the conversion rate of the Notes for a noteholder who elects to convert its Notes in connection with such a corporate event or convert its Notes called (or deemed called) for redemption during the related redemption period, as the case may be.</w:t>
      </w:r>
    </w:p>
    <w:p>
      <w:pPr>
        <w:spacing w:after="0" w:line="1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Notes were only offered to qualified institutional buyers pursuant to Rule 144A promulgated under the Securities Act by means of a private offering memorandum. The Notes and shares of Xometry’s Class A common stock issuable upon conversion of the Notes, if any,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This press release contains “forward-looking” statements that involve risks and uncertainties, including statements concerning the completion and timing of the proposed Offering of the Notes, and the anticipated use of the net proceeds from the Offering.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w:t>
      </w:r>
    </w:p>
    <w:p>
      <w:pPr>
        <w:sectPr>
          <w:pgSz w:w="11900" w:h="16838" w:orient="portrait"/>
          <w:cols w:equalWidth="0" w:num="1">
            <w:col w:w="11000"/>
          </w:cols>
          <w:pgMar w:left="440" w:top="274" w:right="459" w:bottom="1440" w:gutter="0" w:footer="0" w:header="0"/>
        </w:sectPr>
      </w:pPr>
    </w:p>
    <w:bookmarkStart w:id="131" w:name="page132"/>
    <w:bookmarkEnd w:id="131"/>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expressions that concern our expectations, strategy, plans or intentions. Such forward-looking statements involve known and unknown risks, uncertainties and other factors that may cause actual events to differ materially from Xometry’s plans, including those more fully described in our filings with the Securities and Exchange Commission (“SEC”) from time to time, including our Quarterly Reports on Form 10-Q for the periods ended June 30, 2021 and September 30, 2021. All forward-looking statements in this press release are based on information available to Xometry and assumptions and beliefs as of the date hereof, and Xometry disclaims any obligation to update any forward-looking statements, except as required by law.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Xometry</w:t>
      </w:r>
    </w:p>
    <w:p>
      <w:pPr>
        <w:spacing w:after="0" w:line="121"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Xometry (XMTR) powers the industries of today and tomorrow by connecting the people with big ideas to the manufacturers who can bring them to life. Xometry’s digital marketplace gives manufacturers the critical resources they need to grow their business while also making it easy for buyers at Fortune 1000 companies to tap into global manufacturing capacity.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Shawn Milne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240-335-8132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Shawn.Milne@Xometry.com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Matthew Hutchison for Xometry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415-583-2119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Matthew.Hutchison@Xometry.com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1)"/>
      <w:numFmt w:val="lowerLetter"/>
      <w:start w:val="1"/>
    </w:lvl>
  </w:abstractNum>
  <w:abstractNum w:abstractNumId="3">
    <w:nsid w:val="5FF87E05"/>
    <w:multiLevelType w:val="hybridMultilevel"/>
    <w:lvl w:ilvl="0">
      <w:lvlJc w:val="left"/>
      <w:lvlText w:val="(%1)"/>
      <w:numFmt w:val="lowerLetter"/>
      <w:start w:val="1"/>
    </w:lvl>
  </w:abstractNum>
  <w:abstractNum w:abstractNumId="4">
    <w:nsid w:val="2F305DEF"/>
    <w:multiLevelType w:val="hybridMultilevel"/>
    <w:lvl w:ilvl="0">
      <w:lvlJc w:val="left"/>
      <w:lvlText w:val="(%1)"/>
      <w:numFmt w:val="lowerLetter"/>
      <w:start w:val="1"/>
    </w:lvl>
  </w:abstractNum>
  <w:abstractNum w:abstractNumId="5">
    <w:nsid w:val="25A70BF7"/>
    <w:multiLevelType w:val="hybridMultilevel"/>
    <w:lvl w:ilvl="0">
      <w:lvlJc w:val="left"/>
      <w:lvlText w:val="(%1)"/>
      <w:numFmt w:val="lowerLetter"/>
      <w:start w:val="2"/>
    </w:lvl>
  </w:abstractNum>
  <w:abstractNum w:abstractNumId="6">
    <w:nsid w:val="1DBABF00"/>
    <w:multiLevelType w:val="hybridMultilevel"/>
    <w:lvl w:ilvl="0">
      <w:lvlJc w:val="left"/>
      <w:lvlText w:val="(%1)"/>
      <w:numFmt w:val="lowerLetter"/>
      <w:start w:val="4"/>
    </w:lvl>
  </w:abstractNum>
  <w:abstractNum w:abstractNumId="7">
    <w:nsid w:val="4AD084E9"/>
    <w:multiLevelType w:val="hybridMultilevel"/>
    <w:lvl w:ilvl="0">
      <w:lvlJc w:val="left"/>
      <w:lvlText w:val="(%1)"/>
      <w:numFmt w:val="lowerRoman"/>
      <w:start w:val="10"/>
    </w:lvl>
  </w:abstractNum>
  <w:abstractNum w:abstractNumId="8">
    <w:nsid w:val="1F48EAA1"/>
    <w:multiLevelType w:val="hybridMultilevel"/>
    <w:lvl w:ilvl="0">
      <w:lvlJc w:val="left"/>
      <w:lvlText w:val="(%1)"/>
      <w:numFmt w:val="lowerLetter"/>
      <w:start w:val="1"/>
    </w:lvl>
  </w:abstractNum>
  <w:abstractNum w:abstractNumId="9">
    <w:nsid w:val="1381823A"/>
    <w:multiLevelType w:val="hybridMultilevel"/>
    <w:lvl w:ilvl="0">
      <w:lvlJc w:val="left"/>
      <w:lvlText w:val="(%1)"/>
      <w:numFmt w:val="lowerLetter"/>
      <w:start w:val="35"/>
    </w:lvl>
  </w:abstractNum>
  <w:abstractNum w:abstractNumId="10">
    <w:nsid w:val="5DB70AE5"/>
    <w:multiLevelType w:val="hybridMultilevel"/>
    <w:lvl w:ilvl="0">
      <w:lvlJc w:val="left"/>
      <w:lvlText w:val="(%1)"/>
      <w:numFmt w:val="lowerLetter"/>
      <w:start w:val="6"/>
    </w:lvl>
  </w:abstractNum>
  <w:abstractNum w:abstractNumId="11">
    <w:nsid w:val="100F8FCA"/>
    <w:multiLevelType w:val="hybridMultilevel"/>
    <w:lvl w:ilvl="0">
      <w:lvlJc w:val="left"/>
      <w:lvlText w:val="(%1)"/>
      <w:numFmt w:val="lowerRoman"/>
      <w:start w:val="2"/>
    </w:lvl>
  </w:abstractNum>
  <w:abstractNum w:abstractNumId="12">
    <w:nsid w:val="6590700B"/>
    <w:multiLevelType w:val="hybridMultilevel"/>
    <w:lvl w:ilvl="0">
      <w:lvlJc w:val="left"/>
      <w:lvlText w:val="%1"/>
      <w:numFmt w:val="lowerLetter"/>
      <w:start w:val="1"/>
    </w:lvl>
    <w:lvl w:ilvl="1">
      <w:lvlJc w:val="left"/>
      <w:lvlText w:val="(%2)"/>
      <w:numFmt w:val="lowerLetter"/>
      <w:start w:val="2"/>
    </w:lvl>
  </w:abstractNum>
  <w:abstractNum w:abstractNumId="13">
    <w:nsid w:val="15014ACB"/>
    <w:multiLevelType w:val="hybridMultilevel"/>
    <w:lvl w:ilvl="0">
      <w:lvlJc w:val="left"/>
      <w:lvlText w:val="(%1)"/>
      <w:numFmt w:val="lowerLetter"/>
      <w:start w:val="35"/>
    </w:lvl>
    <w:lvl w:ilvl="1">
      <w:lvlJc w:val="left"/>
      <w:lvlText w:val="%2"/>
      <w:numFmt w:val="lowerLetter"/>
      <w:start w:val="1"/>
    </w:lvl>
  </w:abstractNum>
  <w:abstractNum w:abstractNumId="14">
    <w:nsid w:val="5F5E7FD0"/>
    <w:multiLevelType w:val="hybridMultilevel"/>
    <w:lvl w:ilvl="0">
      <w:lvlJc w:val="left"/>
      <w:lvlText w:val="(%1)"/>
      <w:numFmt w:val="lowerLetter"/>
      <w:start w:val="3"/>
    </w:lvl>
    <w:lvl w:ilvl="1">
      <w:lvlJc w:val="left"/>
      <w:lvlText w:val="(%2)"/>
      <w:numFmt w:val="lowerRoman"/>
      <w:start w:val="1"/>
    </w:lvl>
  </w:abstractNum>
  <w:abstractNum w:abstractNumId="15">
    <w:nsid w:val="98A3148"/>
    <w:multiLevelType w:val="hybridMultilevel"/>
    <w:lvl w:ilvl="0">
      <w:lvlJc w:val="left"/>
      <w:lvlText w:val="(%1)"/>
      <w:numFmt w:val="lowerLetter"/>
      <w:start w:val="1"/>
    </w:lvl>
  </w:abstractNum>
  <w:abstractNum w:abstractNumId="16">
    <w:nsid w:val="799D0247"/>
    <w:multiLevelType w:val="hybridMultilevel"/>
    <w:lvl w:ilvl="0">
      <w:lvlJc w:val="left"/>
      <w:lvlText w:val="(%1)"/>
      <w:numFmt w:val="lowerRoman"/>
      <w:start w:val="2"/>
    </w:lvl>
  </w:abstractNum>
  <w:abstractNum w:abstractNumId="17">
    <w:nsid w:val="6B94764"/>
    <w:multiLevelType w:val="hybridMultilevel"/>
    <w:lvl w:ilvl="0">
      <w:lvlJc w:val="left"/>
      <w:lvlText w:val="(%1)"/>
      <w:numFmt w:val="lowerLetter"/>
      <w:start w:val="2"/>
    </w:lvl>
  </w:abstractNum>
  <w:abstractNum w:abstractNumId="18">
    <w:nsid w:val="42C296BD"/>
    <w:multiLevelType w:val="hybridMultilevel"/>
    <w:lvl w:ilvl="0">
      <w:lvlJc w:val="left"/>
      <w:lvlText w:val="(%1)"/>
      <w:numFmt w:val="lowerLetter"/>
      <w:start w:val="3"/>
    </w:lvl>
  </w:abstractNum>
  <w:abstractNum w:abstractNumId="19">
    <w:nsid w:val="168E121F"/>
    <w:multiLevelType w:val="hybridMultilevel"/>
    <w:lvl w:ilvl="0">
      <w:lvlJc w:val="left"/>
      <w:lvlText w:val="%1"/>
      <w:numFmt w:val="upperLetter"/>
      <w:start w:val="1"/>
    </w:lvl>
    <w:lvl w:ilvl="1">
      <w:lvlJc w:val="left"/>
      <w:lvlText w:val="(%2)"/>
      <w:numFmt w:val="decimal"/>
      <w:start w:val="1"/>
    </w:lvl>
  </w:abstractNum>
  <w:abstractNum w:abstractNumId="20">
    <w:nsid w:val="1EBA5D23"/>
    <w:multiLevelType w:val="hybridMultilevel"/>
    <w:lvl w:ilvl="0">
      <w:lvlJc w:val="left"/>
      <w:lvlText w:val="(%1)"/>
      <w:numFmt w:val="upperLetter"/>
      <w:start w:val="24"/>
    </w:lvl>
    <w:lvl w:ilvl="1">
      <w:lvlJc w:val="left"/>
      <w:lvlText w:val="%2"/>
      <w:numFmt w:val="decimal"/>
      <w:start w:val="1"/>
    </w:lvl>
  </w:abstractNum>
  <w:abstractNum w:abstractNumId="21">
    <w:nsid w:val="661E3F1E"/>
    <w:multiLevelType w:val="hybridMultilevel"/>
    <w:lvl w:ilvl="0">
      <w:lvlJc w:val="left"/>
      <w:lvlText w:val="(%1)"/>
      <w:numFmt w:val="upperLetter"/>
      <w:start w:val="1"/>
    </w:lvl>
  </w:abstractNum>
  <w:abstractNum w:abstractNumId="22">
    <w:nsid w:val="5DC79EA8"/>
    <w:multiLevelType w:val="hybridMultilevel"/>
    <w:lvl w:ilvl="0">
      <w:lvlJc w:val="left"/>
      <w:lvlText w:val="(%1)"/>
      <w:numFmt w:val="upperLetter"/>
      <w:start w:val="3"/>
    </w:lvl>
  </w:abstractNum>
  <w:abstractNum w:abstractNumId="23">
    <w:nsid w:val="540A471C"/>
    <w:multiLevelType w:val="hybridMultilevel"/>
    <w:lvl w:ilvl="0">
      <w:lvlJc w:val="left"/>
      <w:lvlText w:val="(%1)"/>
      <w:numFmt w:val="lowerRoman"/>
      <w:start w:val="3"/>
    </w:lvl>
  </w:abstractNum>
  <w:abstractNum w:abstractNumId="24">
    <w:nsid w:val="7BD3EE7B"/>
    <w:multiLevelType w:val="hybridMultilevel"/>
    <w:lvl w:ilvl="0">
      <w:lvlJc w:val="left"/>
      <w:lvlText w:val="(%1)"/>
      <w:numFmt w:val="lowerLetter"/>
      <w:start w:val="4"/>
    </w:lvl>
  </w:abstractNum>
  <w:abstractNum w:abstractNumId="25">
    <w:nsid w:val="51D9C564"/>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26">
    <w:nsid w:val="613EFDC5"/>
    <w:multiLevelType w:val="hybridMultilevel"/>
    <w:lvl w:ilvl="0">
      <w:lvlJc w:val="left"/>
      <w:lvlText w:val="(%1)"/>
      <w:numFmt w:val="upperLetter"/>
      <w:start w:val="24"/>
    </w:lvl>
    <w:lvl w:ilvl="1">
      <w:lvlJc w:val="left"/>
      <w:lvlText w:val="%2"/>
      <w:numFmt w:val="decimal"/>
      <w:start w:val="1"/>
    </w:lvl>
    <w:lvl w:ilvl="2">
      <w:lvlJc w:val="left"/>
      <w:lvlText w:val="(%3)"/>
      <w:numFmt w:val="upperLetter"/>
      <w:start w:val="1"/>
    </w:lvl>
  </w:abstractNum>
  <w:abstractNum w:abstractNumId="27">
    <w:nsid w:val="BF72B14"/>
    <w:multiLevelType w:val="hybridMultilevel"/>
    <w:lvl w:ilvl="0">
      <w:lvlJc w:val="left"/>
      <w:lvlText w:val="(%1)"/>
      <w:numFmt w:val="upperLetter"/>
      <w:start w:val="3"/>
    </w:lvl>
  </w:abstractNum>
  <w:abstractNum w:abstractNumId="28">
    <w:nsid w:val="11447B73"/>
    <w:multiLevelType w:val="hybridMultilevel"/>
    <w:lvl w:ilvl="0">
      <w:lvlJc w:val="left"/>
      <w:lvlText w:val="(%1)"/>
      <w:numFmt w:val="lowerLetter"/>
      <w:start w:val="5"/>
    </w:lvl>
  </w:abstractNum>
  <w:abstractNum w:abstractNumId="29">
    <w:nsid w:val="42963E5A"/>
    <w:multiLevelType w:val="hybridMultilevel"/>
    <w:lvl w:ilvl="0">
      <w:lvlJc w:val="left"/>
      <w:lvlText w:val="(%1)"/>
      <w:numFmt w:val="lowerRoman"/>
      <w:start w:val="2"/>
    </w:lvl>
  </w:abstractNum>
  <w:abstractNum w:abstractNumId="30">
    <w:nsid w:val="A0382C5"/>
    <w:multiLevelType w:val="hybridMultilevel"/>
    <w:lvl w:ilvl="0">
      <w:lvlJc w:val="left"/>
      <w:lvlText w:val="(%1)"/>
      <w:numFmt w:val="lowerRoman"/>
      <w:start w:val="1"/>
    </w:lvl>
  </w:abstractNum>
  <w:abstractNum w:abstractNumId="31">
    <w:nsid w:val="8F2B15E"/>
    <w:multiLevelType w:val="hybridMultilevel"/>
    <w:lvl w:ilvl="0">
      <w:lvlJc w:val="left"/>
      <w:lvlText w:val="(%1)"/>
      <w:numFmt w:val="lowerRoman"/>
      <w:start w:val="2"/>
    </w:lvl>
  </w:abstractNum>
  <w:abstractNum w:abstractNumId="32">
    <w:nsid w:val="1A32234B"/>
    <w:multiLevelType w:val="hybridMultilevel"/>
    <w:lvl w:ilvl="0">
      <w:lvlJc w:val="left"/>
      <w:lvlText w:val="(%1)"/>
      <w:numFmt w:val="lowerLetter"/>
      <w:start w:val="2"/>
    </w:lvl>
  </w:abstractNum>
  <w:abstractNum w:abstractNumId="33">
    <w:nsid w:val="3B0FD379"/>
    <w:multiLevelType w:val="hybridMultilevel"/>
    <w:lvl w:ilvl="0">
      <w:lvlJc w:val="left"/>
      <w:lvlText w:val="(%1)"/>
      <w:numFmt w:val="lowerLetter"/>
      <w:start w:val="2"/>
    </w:lvl>
  </w:abstractNum>
  <w:abstractNum w:abstractNumId="34">
    <w:nsid w:val="68EB2F63"/>
    <w:multiLevelType w:val="hybridMultilevel"/>
    <w:lvl w:ilvl="0">
      <w:lvlJc w:val="left"/>
      <w:lvlText w:val="(%1)"/>
      <w:numFmt w:val="lowerLetter"/>
      <w:start w:val="5"/>
    </w:lvl>
  </w:abstractNum>
  <w:abstractNum w:abstractNumId="35">
    <w:nsid w:val="4962813B"/>
    <w:multiLevelType w:val="hybridMultilevel"/>
    <w:lvl w:ilvl="0">
      <w:lvlJc w:val="left"/>
      <w:lvlText w:val="(%1)"/>
      <w:numFmt w:val="lowerLetter"/>
      <w:start w:val="8"/>
    </w:lvl>
  </w:abstractNum>
  <w:abstractNum w:abstractNumId="36">
    <w:nsid w:val="60B6DF70"/>
    <w:multiLevelType w:val="hybridMultilevel"/>
    <w:lvl w:ilvl="0">
      <w:lvlJc w:val="left"/>
      <w:lvlText w:val="(%1)"/>
      <w:numFmt w:val="lowerLetter"/>
      <w:start w:val="1"/>
    </w:lvl>
  </w:abstractNum>
  <w:abstractNum w:abstractNumId="37">
    <w:nsid w:val="6A5EE64"/>
    <w:multiLevelType w:val="hybridMultilevel"/>
    <w:lvl w:ilvl="0">
      <w:lvlJc w:val="left"/>
      <w:lvlText w:val="(%1)"/>
      <w:numFmt w:val="lowerLetter"/>
      <w:start w:val="6"/>
    </w:lvl>
  </w:abstractNum>
  <w:abstractNum w:abstractNumId="38">
    <w:nsid w:val="14330624"/>
    <w:multiLevelType w:val="hybridMultilevel"/>
    <w:lvl w:ilvl="0">
      <w:lvlJc w:val="left"/>
      <w:lvlText w:val="(%1)"/>
      <w:numFmt w:val="lowerRoman"/>
      <w:start w:val="10"/>
    </w:lvl>
  </w:abstractNum>
  <w:abstractNum w:abstractNumId="39">
    <w:nsid w:val="7FFFCA11"/>
    <w:multiLevelType w:val="hybridMultilevel"/>
    <w:lvl w:ilvl="0">
      <w:lvlJc w:val="left"/>
      <w:lvlText w:val="(%1)"/>
      <w:numFmt w:val="lowerLetter"/>
      <w:start w:val="1"/>
    </w:lvl>
  </w:abstractNum>
  <w:abstractNum w:abstractNumId="40">
    <w:nsid w:val="1A27709E"/>
    <w:multiLevelType w:val="hybridMultilevel"/>
    <w:lvl w:ilvl="0">
      <w:lvlJc w:val="left"/>
      <w:lvlText w:val="(%1)"/>
      <w:numFmt w:val="lowerLetter"/>
      <w:start w:val="25"/>
    </w:lvl>
  </w:abstractNum>
  <w:abstractNum w:abstractNumId="41">
    <w:nsid w:val="71EA1109"/>
    <w:multiLevelType w:val="hybridMultilevel"/>
    <w:lvl w:ilvl="0">
      <w:lvlJc w:val="left"/>
      <w:lvlText w:val="(%1)"/>
      <w:numFmt w:val="lowerLetter"/>
      <w:start w:val="1"/>
    </w:lvl>
    <w:lvl w:ilvl="1">
      <w:lvlJc w:val="left"/>
      <w:lvlText w:val="(%2)"/>
      <w:numFmt w:val="lowerRoman"/>
      <w:start w:val="1"/>
    </w:lvl>
  </w:abstractNum>
  <w:abstractNum w:abstractNumId="42">
    <w:nsid w:val="100F59DC"/>
    <w:multiLevelType w:val="hybridMultilevel"/>
    <w:lvl w:ilvl="0">
      <w:lvlJc w:val="left"/>
      <w:lvlText w:val="(%1)"/>
      <w:numFmt w:val="lowerLetter"/>
      <w:start w:val="3"/>
    </w:lvl>
  </w:abstractNum>
  <w:abstractNum w:abstractNumId="43">
    <w:nsid w:val="7FB7E0AA"/>
    <w:multiLevelType w:val="hybridMultilevel"/>
    <w:lvl w:ilvl="0">
      <w:lvlJc w:val="left"/>
      <w:lvlText w:val="(%1)"/>
      <w:numFmt w:val="lowerLetter"/>
      <w:start w:val="1"/>
    </w:lvl>
  </w:abstractNum>
  <w:abstractNum w:abstractNumId="44">
    <w:nsid w:val="6EB5BD4"/>
    <w:multiLevelType w:val="hybridMultilevel"/>
    <w:lvl w:ilvl="0">
      <w:lvlJc w:val="left"/>
      <w:lvlText w:val="(%1)"/>
      <w:numFmt w:val="lowerRoman"/>
      <w:start w:val="1"/>
    </w:lvl>
  </w:abstractNum>
  <w:abstractNum w:abstractNumId="45">
    <w:nsid w:val="6F6DD9AC"/>
    <w:multiLevelType w:val="hybridMultilevel"/>
    <w:lvl w:ilvl="0">
      <w:lvlJc w:val="left"/>
      <w:lvlText w:val="(%1)"/>
      <w:numFmt w:val="lowerLetter"/>
      <w:start w:val="1"/>
    </w:lvl>
    <w:lvl w:ilvl="1">
      <w:lvlJc w:val="left"/>
      <w:lvlText w:val="(%2)"/>
      <w:numFmt w:val="lowerRoman"/>
      <w:start w:val="1"/>
    </w:lvl>
  </w:abstractNum>
  <w:abstractNum w:abstractNumId="46">
    <w:nsid w:val="94211F2"/>
    <w:multiLevelType w:val="hybridMultilevel"/>
    <w:lvl w:ilvl="0">
      <w:lvlJc w:val="left"/>
      <w:lvlText w:val="(%1)"/>
      <w:numFmt w:val="lowerLetter"/>
      <w:start w:val="3"/>
    </w:lvl>
  </w:abstractNum>
  <w:abstractNum w:abstractNumId="47">
    <w:nsid w:val="885E1B"/>
    <w:multiLevelType w:val="hybridMultilevel"/>
    <w:lvl w:ilvl="0">
      <w:lvlJc w:val="left"/>
      <w:lvlText w:val="(%1)"/>
      <w:numFmt w:val="lowerLetter"/>
      <w:start w:val="1"/>
    </w:lvl>
  </w:abstractNum>
  <w:abstractNum w:abstractNumId="48">
    <w:nsid w:val="76272110"/>
    <w:multiLevelType w:val="hybridMultilevel"/>
    <w:lvl w:ilvl="0">
      <w:lvlJc w:val="left"/>
      <w:lvlText w:val="(%1)"/>
      <w:numFmt w:val="lowerLetter"/>
      <w:start w:val="25"/>
    </w:lvl>
  </w:abstractNum>
  <w:abstractNum w:abstractNumId="49">
    <w:nsid w:val="4C04A8AF"/>
    <w:multiLevelType w:val="hybridMultilevel"/>
    <w:lvl w:ilvl="0">
      <w:lvlJc w:val="left"/>
      <w:lvlText w:val="(%1)"/>
      <w:numFmt w:val="lowerLetter"/>
      <w:start w:val="1"/>
    </w:lvl>
  </w:abstractNum>
  <w:abstractNum w:abstractNumId="50">
    <w:nsid w:val="1716703B"/>
    <w:multiLevelType w:val="hybridMultilevel"/>
    <w:lvl w:ilvl="0">
      <w:lvlJc w:val="left"/>
      <w:lvlText w:val="(%1)"/>
      <w:numFmt w:val="lowerLetter"/>
      <w:start w:val="1"/>
    </w:lvl>
  </w:abstractNum>
  <w:abstractNum w:abstractNumId="51">
    <w:nsid w:val="14E17E33"/>
    <w:multiLevelType w:val="hybridMultilevel"/>
    <w:lvl w:ilvl="0">
      <w:lvlJc w:val="left"/>
      <w:lvlText w:val="(%1)"/>
      <w:numFmt w:val="lowerLetter"/>
      <w:start w:val="5"/>
    </w:lvl>
  </w:abstractNum>
  <w:abstractNum w:abstractNumId="52">
    <w:nsid w:val="3222E7CD"/>
    <w:multiLevelType w:val="hybridMultilevel"/>
    <w:lvl w:ilvl="0">
      <w:lvlJc w:val="left"/>
      <w:lvlText w:val="(%1)"/>
      <w:numFmt w:val="lowerLetter"/>
      <w:start w:val="12"/>
    </w:lvl>
  </w:abstractNum>
  <w:abstractNum w:abstractNumId="53">
    <w:nsid w:val="74DE0EE3"/>
    <w:multiLevelType w:val="hybridMultilevel"/>
    <w:lvl w:ilvl="0">
      <w:lvlJc w:val="left"/>
      <w:lvlText w:val="(%1)"/>
      <w:numFmt w:val="lowerLetter"/>
      <w:start w:val="1"/>
    </w:lvl>
  </w:abstractNum>
  <w:abstractNum w:abstractNumId="54">
    <w:nsid w:val="68EBC550"/>
    <w:multiLevelType w:val="hybridMultilevel"/>
    <w:lvl w:ilvl="0">
      <w:lvlJc w:val="left"/>
      <w:lvlText w:val="(%1)"/>
      <w:numFmt w:val="lowerLetter"/>
      <w:start w:val="4"/>
    </w:lvl>
  </w:abstractNum>
  <w:abstractNum w:abstractNumId="55">
    <w:nsid w:val="2DF6D648"/>
    <w:multiLevelType w:val="hybridMultilevel"/>
    <w:lvl w:ilvl="0">
      <w:lvlJc w:val="left"/>
      <w:lvlText w:val="(%1)"/>
      <w:numFmt w:val="lowerLetter"/>
      <w:start w:val="5"/>
    </w:lvl>
  </w:abstractNum>
  <w:abstractNum w:abstractNumId="56">
    <w:nsid w:val="46B7D447"/>
    <w:multiLevelType w:val="hybridMultilevel"/>
    <w:lvl w:ilvl="0">
      <w:lvlJc w:val="left"/>
      <w:lvlText w:val="(%1)"/>
      <w:numFmt w:val="lowerLetter"/>
      <w:start w:val="1"/>
    </w:lvl>
  </w:abstractNum>
  <w:abstractNum w:abstractNumId="57">
    <w:nsid w:val="4A2AC315"/>
    <w:multiLevelType w:val="hybridMultilevel"/>
    <w:lvl w:ilvl="0">
      <w:lvlJc w:val="left"/>
      <w:lvlText w:val="(%1)"/>
      <w:numFmt w:val="lowerLetter"/>
      <w:start w:val="1"/>
    </w:lvl>
  </w:abstractNum>
  <w:abstractNum w:abstractNumId="58">
    <w:nsid w:val="39EE015C"/>
    <w:multiLevelType w:val="hybridMultilevel"/>
    <w:lvl w:ilvl="0">
      <w:lvlJc w:val="left"/>
      <w:lvlText w:val="(%1)"/>
      <w:numFmt w:val="lowerRoman"/>
      <w:start w:val="1"/>
    </w:lvl>
  </w:abstractNum>
  <w:abstractNum w:abstractNumId="59">
    <w:nsid w:val="57FC4FBB"/>
    <w:multiLevelType w:val="hybridMultilevel"/>
    <w:lvl w:ilvl="0">
      <w:lvlJc w:val="left"/>
      <w:lvlText w:val="(%1)"/>
      <w:numFmt w:val="lowerRoman"/>
      <w:start w:val="2"/>
    </w:lvl>
    <w:lvl w:ilvl="1">
      <w:lvlJc w:val="left"/>
      <w:lvlText w:val="(%2)"/>
      <w:numFmt w:val="upperLetter"/>
      <w:start w:val="1"/>
    </w:lvl>
  </w:abstractNum>
  <w:abstractNum w:abstractNumId="60">
    <w:nsid w:val="CC1016F"/>
    <w:multiLevelType w:val="hybridMultilevel"/>
    <w:lvl w:ilvl="0">
      <w:lvlJc w:val="left"/>
      <w:lvlText w:val="(%1)"/>
      <w:numFmt w:val="upperLetter"/>
      <w:start w:val="2"/>
    </w:lvl>
  </w:abstractNum>
  <w:abstractNum w:abstractNumId="61">
    <w:nsid w:val="43F18422"/>
    <w:multiLevelType w:val="hybridMultilevel"/>
    <w:lvl w:ilvl="0">
      <w:lvlJc w:val="left"/>
      <w:lvlText w:val="(%1)"/>
      <w:numFmt w:val="lowerRoman"/>
      <w:start w:val="3"/>
    </w:lvl>
  </w:abstractNum>
  <w:abstractNum w:abstractNumId="62">
    <w:nsid w:val="60EF0119"/>
    <w:multiLevelType w:val="hybridMultilevel"/>
    <w:lvl w:ilvl="0">
      <w:lvlJc w:val="left"/>
      <w:lvlText w:val="(%1)"/>
      <w:numFmt w:val="lowerRoman"/>
      <w:start w:val="4"/>
    </w:lvl>
  </w:abstractNum>
  <w:abstractNum w:abstractNumId="63">
    <w:nsid w:val="26F324B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4">
    <w:nsid w:val="7F01579B"/>
    <w:multiLevelType w:val="hybridMultilevel"/>
    <w:lvl w:ilvl="0">
      <w:lvlJc w:val="left"/>
      <w:lvlText w:val="(%1)"/>
      <w:numFmt w:val="lowerLetter"/>
      <w:start w:val="10"/>
    </w:lvl>
    <w:lvl w:ilvl="1">
      <w:lvlJc w:val="left"/>
      <w:lvlText w:val="%2"/>
      <w:numFmt w:val="lowerLetter"/>
      <w:start w:val="1"/>
    </w:lvl>
    <w:lvl w:ilvl="2">
      <w:lvlJc w:val="left"/>
      <w:lvlText w:val="(%3)"/>
      <w:numFmt w:val="lowerRoman"/>
      <w:start w:val="1"/>
    </w:lvl>
  </w:abstractNum>
  <w:abstractNum w:abstractNumId="65">
    <w:nsid w:val="49DA307D"/>
    <w:multiLevelType w:val="hybridMultilevel"/>
    <w:lvl w:ilvl="0">
      <w:lvlJc w:val="left"/>
      <w:lvlText w:val="(%1)"/>
      <w:numFmt w:val="lowerRoman"/>
      <w:start w:val="3"/>
    </w:lvl>
  </w:abstractNum>
  <w:abstractNum w:abstractNumId="66">
    <w:nsid w:val="7055A5F5"/>
    <w:multiLevelType w:val="hybridMultilevel"/>
    <w:lvl w:ilvl="0">
      <w:lvlJc w:val="left"/>
      <w:lvlText w:val="(%1)"/>
      <w:numFmt w:val="lowerRoman"/>
      <w:start w:val="4"/>
    </w:lvl>
    <w:lvl w:ilvl="1">
      <w:lvlJc w:val="left"/>
      <w:lvlText w:val="(%2)"/>
      <w:numFmt w:val="upperLetter"/>
      <w:start w:val="1"/>
    </w:lvl>
  </w:abstractNum>
  <w:abstractNum w:abstractNumId="67">
    <w:nsid w:val="5FB8370B"/>
    <w:multiLevelType w:val="hybridMultilevel"/>
    <w:lvl w:ilvl="0">
      <w:lvlJc w:val="left"/>
      <w:lvlText w:val="%1"/>
      <w:numFmt w:val="lowerLetter"/>
      <w:start w:val="1"/>
    </w:lvl>
    <w:lvl w:ilvl="1">
      <w:lvlJc w:val="left"/>
      <w:lvlText w:val="(%2)"/>
      <w:numFmt w:val="lowerLetter"/>
      <w:start w:val="22"/>
    </w:lvl>
  </w:abstractNum>
  <w:abstractNum w:abstractNumId="68">
    <w:nsid w:val="50801EE1"/>
    <w:multiLevelType w:val="hybridMultilevel"/>
    <w:lvl w:ilvl="0">
      <w:lvlJc w:val="left"/>
      <w:lvlText w:val="(%1)"/>
      <w:numFmt w:val="lowerLetter"/>
      <w:start w:val="2"/>
    </w:lvl>
    <w:lvl w:ilvl="1">
      <w:lvlJc w:val="left"/>
      <w:lvlText w:val="%2"/>
      <w:numFmt w:val="lowerLetter"/>
      <w:start w:val="1"/>
    </w:lvl>
  </w:abstractNum>
  <w:abstractNum w:abstractNumId="69">
    <w:nsid w:val="488AC1A"/>
    <w:multiLevelType w:val="hybridMultilevel"/>
    <w:lvl w:ilvl="0">
      <w:lvlJc w:val="left"/>
      <w:lvlText w:val="(%1)"/>
      <w:numFmt w:val="lowerLetter"/>
      <w:start w:val="3"/>
    </w:lvl>
  </w:abstractNum>
  <w:abstractNum w:abstractNumId="70">
    <w:nsid w:val="5FB8011C"/>
    <w:multiLevelType w:val="hybridMultilevel"/>
    <w:lvl w:ilvl="0">
      <w:lvlJc w:val="left"/>
      <w:lvlText w:val="(%1)"/>
      <w:numFmt w:val="lowerLetter"/>
      <w:start w:val="4"/>
    </w:lvl>
  </w:abstractNum>
  <w:abstractNum w:abstractNumId="71">
    <w:nsid w:val="6AA78F7F"/>
    <w:multiLevelType w:val="hybridMultilevel"/>
    <w:lvl w:ilvl="0">
      <w:lvlJc w:val="left"/>
      <w:lvlText w:val="(%1)"/>
      <w:numFmt w:val="lowerLetter"/>
      <w:start w:val="9"/>
    </w:lvl>
  </w:abstractNum>
  <w:abstractNum w:abstractNumId="72">
    <w:nsid w:val="7672BD23"/>
    <w:multiLevelType w:val="hybridMultilevel"/>
    <w:lvl w:ilvl="0">
      <w:lvlJc w:val="left"/>
      <w:lvlText w:val="%1"/>
      <w:numFmt w:val="lowerLetter"/>
      <w:start w:val="1"/>
    </w:lvl>
    <w:lvl w:ilvl="1">
      <w:lvlJc w:val="left"/>
      <w:lvlText w:val="(%2)"/>
      <w:numFmt w:val="lowerLetter"/>
      <w:start w:val="1"/>
    </w:lvl>
  </w:abstractNum>
  <w:abstractNum w:abstractNumId="73">
    <w:nsid w:val="6FC75AF8"/>
    <w:multiLevelType w:val="hybridMultilevel"/>
    <w:lvl w:ilvl="0">
      <w:lvlJc w:val="left"/>
      <w:lvlText w:val="(%1)"/>
      <w:numFmt w:val="lowerLetter"/>
      <w:start w:val="2"/>
    </w:lvl>
    <w:lvl w:ilvl="1">
      <w:lvlJc w:val="left"/>
      <w:lvlText w:val="(%2)"/>
      <w:numFmt w:val="lowerLetter"/>
      <w:start w:val="2"/>
    </w:lvl>
  </w:abstractNum>
  <w:abstractNum w:abstractNumId="74">
    <w:nsid w:val="6A5F7029"/>
    <w:multiLevelType w:val="hybridMultilevel"/>
    <w:lvl w:ilvl="0">
      <w:lvlJc w:val="left"/>
      <w:lvlText w:val="(%1)"/>
      <w:numFmt w:val="lowerLetter"/>
      <w:start w:val="3"/>
    </w:lvl>
  </w:abstractNum>
  <w:abstractNum w:abstractNumId="75">
    <w:nsid w:val="7D5E18F8"/>
    <w:multiLevelType w:val="hybridMultilevel"/>
    <w:lvl w:ilvl="0">
      <w:lvlJc w:val="left"/>
      <w:lvlText w:val="(%1)"/>
      <w:numFmt w:val="lowerRoman"/>
      <w:start w:val="1"/>
    </w:lvl>
  </w:abstractNum>
  <w:abstractNum w:abstractNumId="76">
    <w:nsid w:val="5F3534A4"/>
    <w:multiLevelType w:val="hybridMultilevel"/>
    <w:lvl w:ilvl="0">
      <w:lvlJc w:val="left"/>
      <w:lvlText w:val="(%1)"/>
      <w:numFmt w:val="lowerRoman"/>
      <w:start w:val="2"/>
    </w:lvl>
  </w:abstractNum>
  <w:abstractNum w:abstractNumId="77">
    <w:nsid w:val="73A1821B"/>
    <w:multiLevelType w:val="hybridMultilevel"/>
    <w:lvl w:ilvl="0">
      <w:lvlJc w:val="left"/>
      <w:lvlText w:val="(%1)"/>
      <w:numFmt w:val="lowerLetter"/>
      <w:start w:val="6"/>
    </w:lvl>
  </w:abstractNum>
  <w:abstractNum w:abstractNumId="78">
    <w:nsid w:val="7DE67713"/>
    <w:multiLevelType w:val="hybridMultilevel"/>
    <w:lvl w:ilvl="0">
      <w:lvlJc w:val="left"/>
      <w:lvlText w:val="(%1)"/>
      <w:numFmt w:val="lowerLetter"/>
      <w:start w:val="1"/>
    </w:lvl>
  </w:abstractNum>
  <w:abstractNum w:abstractNumId="79">
    <w:nsid w:val="555C55B5"/>
    <w:multiLevelType w:val="hybridMultilevel"/>
    <w:lvl w:ilvl="0">
      <w:lvlJc w:val="left"/>
      <w:lvlText w:val="(%1)"/>
      <w:numFmt w:val="lowerLetter"/>
      <w:start w:val="2"/>
    </w:lvl>
  </w:abstractNum>
  <w:abstractNum w:abstractNumId="80">
    <w:nsid w:val="3FA62ACA"/>
    <w:multiLevelType w:val="hybridMultilevel"/>
    <w:lvl w:ilvl="0">
      <w:lvlJc w:val="left"/>
      <w:lvlText w:val="X"/>
      <w:numFmt w:val="bullet"/>
      <w:start w:val="1"/>
    </w:lvl>
  </w:abstractNum>
  <w:abstractNum w:abstractNumId="81">
    <w:nsid w:val="14FCE74E"/>
    <w:multiLevelType w:val="hybridMultilevel"/>
    <w:lvl w:ilvl="0">
      <w:lvlJc w:val="left"/>
      <w:lvlText w:val="Y"/>
      <w:numFmt w:val="bullet"/>
      <w:start w:val="1"/>
    </w:lvl>
  </w:abstractNum>
  <w:abstractNum w:abstractNumId="82">
    <w:nsid w:val="6A3DD3E8"/>
    <w:multiLevelType w:val="hybridMultilevel"/>
    <w:lvl w:ilvl="0">
      <w:lvlJc w:val="left"/>
      <w:lvlText w:val="(%1)"/>
      <w:numFmt w:val="lowerLetter"/>
      <w:start w:val="3"/>
    </w:lvl>
  </w:abstractNum>
  <w:abstractNum w:abstractNumId="83">
    <w:nsid w:val="71C91298"/>
    <w:multiLevelType w:val="hybridMultilevel"/>
    <w:lvl w:ilvl="0">
      <w:lvlJc w:val="left"/>
      <w:lvlText w:val="(%1)"/>
      <w:numFmt w:val="upperLetter"/>
      <w:start w:val="1"/>
    </w:lvl>
  </w:abstractNum>
  <w:abstractNum w:abstractNumId="84">
    <w:nsid w:val="9DAF632"/>
    <w:multiLevelType w:val="hybridMultilevel"/>
    <w:lvl w:ilvl="0">
      <w:lvlJc w:val="left"/>
      <w:lvlText w:val="(%1)"/>
      <w:numFmt w:val="lowerLetter"/>
      <w:start w:val="4"/>
    </w:lvl>
  </w:abstractNum>
  <w:abstractNum w:abstractNumId="85">
    <w:nsid w:val="53299938"/>
    <w:multiLevelType w:val="hybridMultilevel"/>
    <w:lvl w:ilvl="0">
      <w:lvlJc w:val="left"/>
      <w:lvlText w:val="C"/>
      <w:numFmt w:val="bullet"/>
      <w:start w:val="1"/>
    </w:lvl>
  </w:abstractNum>
  <w:abstractNum w:abstractNumId="86">
    <w:nsid w:val="1FBFE8E0"/>
    <w:multiLevelType w:val="hybridMultilevel"/>
    <w:lvl w:ilvl="0">
      <w:lvlJc w:val="left"/>
      <w:lvlText w:val="(%1)"/>
      <w:numFmt w:val="lowerLetter"/>
      <w:start w:val="5"/>
    </w:lvl>
  </w:abstractNum>
  <w:abstractNum w:abstractNumId="87">
    <w:nsid w:val="5092CA79"/>
    <w:multiLevelType w:val="hybridMultilevel"/>
    <w:lvl w:ilvl="0">
      <w:lvlJc w:val="left"/>
      <w:lvlText w:val="(%1)"/>
      <w:numFmt w:val="lowerLetter"/>
      <w:start w:val="6"/>
    </w:lvl>
    <w:lvl w:ilvl="1">
      <w:lvlJc w:val="left"/>
      <w:lvlText w:val="(%2)"/>
      <w:numFmt w:val="lowerLetter"/>
      <w:start w:val="9"/>
    </w:lvl>
  </w:abstractNum>
  <w:abstractNum w:abstractNumId="88">
    <w:nsid w:val="1D545C4D"/>
    <w:multiLevelType w:val="hybridMultilevel"/>
    <w:lvl w:ilvl="0">
      <w:lvlJc w:val="left"/>
      <w:lvlText w:val="%1"/>
      <w:numFmt w:val="lowerLetter"/>
      <w:start w:val="1"/>
    </w:lvl>
    <w:lvl w:ilvl="1">
      <w:lvlJc w:val="left"/>
      <w:lvlText w:val="(%2)"/>
      <w:numFmt w:val="lowerRoman"/>
      <w:start w:val="2"/>
    </w:lvl>
  </w:abstractNum>
  <w:abstractNum w:abstractNumId="89">
    <w:nsid w:val="59ADEA3D"/>
    <w:multiLevelType w:val="hybridMultilevel"/>
    <w:lvl w:ilvl="0">
      <w:lvlJc w:val="left"/>
      <w:lvlText w:val="(%1)"/>
      <w:numFmt w:val="lowerLetter"/>
      <w:start w:val="5"/>
    </w:lvl>
    <w:lvl w:ilvl="1">
      <w:lvlJc w:val="left"/>
      <w:lvlText w:val="(%2)"/>
      <w:numFmt w:val="lowerRoman"/>
      <w:start w:val="6"/>
    </w:lvl>
  </w:abstractNum>
  <w:abstractNum w:abstractNumId="90">
    <w:nsid w:val="288F1A34"/>
    <w:multiLevelType w:val="hybridMultilevel"/>
    <w:lvl w:ilvl="0">
      <w:lvlJc w:val="left"/>
      <w:lvlText w:val="(%1)"/>
      <w:numFmt w:val="lowerLetter"/>
      <w:start w:val="10"/>
    </w:lvl>
  </w:abstractNum>
  <w:abstractNum w:abstractNumId="91">
    <w:nsid w:val="2A155DBC"/>
    <w:multiLevelType w:val="hybridMultilevel"/>
    <w:lvl w:ilvl="0">
      <w:lvlJc w:val="left"/>
      <w:lvlText w:val="(%1)"/>
      <w:numFmt w:val="lowerLetter"/>
      <w:start w:val="12"/>
    </w:lvl>
  </w:abstractNum>
  <w:abstractNum w:abstractNumId="92">
    <w:nsid w:val="1D9F6E5F"/>
    <w:multiLevelType w:val="hybridMultilevel"/>
    <w:lvl w:ilvl="0">
      <w:lvlJc w:val="left"/>
      <w:lvlText w:val="(%1)"/>
      <w:numFmt w:val="lowerRoman"/>
      <w:start w:val="1"/>
    </w:lvl>
  </w:abstractNum>
  <w:abstractNum w:abstractNumId="93">
    <w:nsid w:val="97E1B4E"/>
    <w:multiLevelType w:val="hybridMultilevel"/>
    <w:lvl w:ilvl="0">
      <w:lvlJc w:val="left"/>
      <w:lvlText w:val="(%1)"/>
      <w:numFmt w:val="upperLetter"/>
      <w:start w:val="2"/>
    </w:lvl>
  </w:abstractNum>
  <w:abstractNum w:abstractNumId="94">
    <w:nsid w:val="51088277"/>
    <w:multiLevelType w:val="hybridMultilevel"/>
    <w:lvl w:ilvl="0">
      <w:lvlJc w:val="left"/>
      <w:lvlText w:val="(%1)"/>
      <w:numFmt w:val="lowerLetter"/>
      <w:start w:val="2"/>
    </w:lvl>
  </w:abstractNum>
  <w:abstractNum w:abstractNumId="95">
    <w:nsid w:val="1CA0C5FA"/>
    <w:multiLevelType w:val="hybridMultilevel"/>
    <w:lvl w:ilvl="0">
      <w:lvlJc w:val="left"/>
      <w:lvlText w:val="(%1)"/>
      <w:numFmt w:val="lowerLetter"/>
      <w:start w:val="2"/>
    </w:lvl>
  </w:abstractNum>
  <w:abstractNum w:abstractNumId="96">
    <w:nsid w:val="53584BCB"/>
    <w:multiLevelType w:val="hybridMultilevel"/>
    <w:lvl w:ilvl="0">
      <w:lvlJc w:val="left"/>
      <w:lvlText w:val="(%1)"/>
      <w:numFmt w:val="lowerLetter"/>
      <w:start w:val="1"/>
    </w:lvl>
  </w:abstractNum>
  <w:abstractNum w:abstractNumId="97">
    <w:nsid w:val="415E286C"/>
    <w:multiLevelType w:val="hybridMultilevel"/>
    <w:lvl w:ilvl="0">
      <w:lvlJc w:val="left"/>
      <w:lvlText w:val="(%1)"/>
      <w:numFmt w:val="lowerLetter"/>
      <w:start w:val="1"/>
    </w:lvl>
  </w:abstractNum>
  <w:abstractNum w:abstractNumId="98">
    <w:nsid w:val="7C58FD05"/>
    <w:multiLevelType w:val="hybridMultilevel"/>
    <w:lvl w:ilvl="0">
      <w:lvlJc w:val="left"/>
      <w:lvlText w:val="(%1)"/>
      <w:numFmt w:val="lowerLetter"/>
      <w:start w:val="1"/>
    </w:lvl>
  </w:abstractNum>
  <w:abstractNum w:abstractNumId="99">
    <w:nsid w:val="23D86AAC"/>
    <w:multiLevelType w:val="hybridMultilevel"/>
    <w:lvl w:ilvl="0">
      <w:lvlJc w:val="left"/>
      <w:lvlText w:val="(%1)"/>
      <w:numFmt w:val="lowerLetter"/>
      <w:start w:val="2"/>
    </w:lvl>
    <w:lvl w:ilvl="1">
      <w:lvlJc w:val="left"/>
      <w:lvlText w:val="(%2)"/>
      <w:numFmt w:val="lowerRoman"/>
      <w:start w:val="1"/>
    </w:lvl>
  </w:abstractNum>
  <w:abstractNum w:abstractNumId="100">
    <w:nsid w:val="45E6D486"/>
    <w:multiLevelType w:val="hybridMultilevel"/>
    <w:lvl w:ilvl="0">
      <w:lvlJc w:val="left"/>
      <w:lvlText w:val="(%1)"/>
      <w:numFmt w:val="lowerRoman"/>
      <w:start w:val="1"/>
    </w:lvl>
  </w:abstractNum>
  <w:abstractNum w:abstractNumId="101">
    <w:nsid w:val="5C10FE21"/>
    <w:multiLevelType w:val="hybridMultilevel"/>
    <w:lvl w:ilvl="0">
      <w:lvlJc w:val="left"/>
      <w:lvlText w:val="(%1)"/>
      <w:numFmt w:val="lowerLetter"/>
      <w:start w:val="3"/>
    </w:lvl>
  </w:abstractNum>
  <w:abstractNum w:abstractNumId="102">
    <w:nsid w:val="E7FFA2B"/>
    <w:multiLevelType w:val="hybridMultilevel"/>
    <w:lvl w:ilvl="0">
      <w:lvlJc w:val="left"/>
      <w:lvlText w:val="(%1)"/>
      <w:numFmt w:val="lowerRoman"/>
      <w:start w:val="1"/>
    </w:lvl>
  </w:abstractNum>
  <w:abstractNum w:abstractNumId="103">
    <w:nsid w:val="3C5991AA"/>
    <w:multiLevelType w:val="hybridMultilevel"/>
    <w:lvl w:ilvl="0">
      <w:lvlJc w:val="left"/>
      <w:lvlText w:val="(%1)"/>
      <w:numFmt w:val="lowerRoman"/>
      <w:start w:val="3"/>
    </w:lvl>
  </w:abstractNum>
  <w:abstractNum w:abstractNumId="104">
    <w:nsid w:val="4BD8591A"/>
    <w:multiLevelType w:val="hybridMultilevel"/>
    <w:lvl w:ilvl="0">
      <w:lvlJc w:val="left"/>
      <w:lvlText w:val="(%1)"/>
      <w:numFmt w:val="lowerRoman"/>
      <w:start w:val="6"/>
    </w:lvl>
  </w:abstractNum>
  <w:abstractNum w:abstractNumId="105">
    <w:nsid w:val="78DF6A55"/>
    <w:multiLevelType w:val="hybridMultilevel"/>
    <w:lvl w:ilvl="0">
      <w:lvlJc w:val="left"/>
      <w:lvlText w:val="(%1)"/>
      <w:numFmt w:val="lowerRoman"/>
      <w:start w:val="7"/>
    </w:lvl>
  </w:abstractNum>
  <w:abstractNum w:abstractNumId="106">
    <w:nsid w:val="39B7AAA2"/>
    <w:multiLevelType w:val="hybridMultilevel"/>
    <w:lvl w:ilvl="0">
      <w:lvlJc w:val="left"/>
      <w:lvlText w:val="(%1)"/>
      <w:numFmt w:val="lowerLetter"/>
      <w:start w:val="4"/>
    </w:lvl>
  </w:abstractNum>
  <w:abstractNum w:abstractNumId="107">
    <w:nsid w:val="2B0D8DBE"/>
    <w:multiLevelType w:val="hybridMultilevel"/>
    <w:lvl w:ilvl="0">
      <w:lvlJc w:val="left"/>
      <w:lvlText w:val="(%1)"/>
      <w:numFmt w:val="lowerRoman"/>
      <w:start w:val="1"/>
    </w:lvl>
  </w:abstractNum>
  <w:abstractNum w:abstractNumId="108">
    <w:nsid w:val="6C80EC70"/>
    <w:multiLevelType w:val="hybridMultilevel"/>
    <w:lvl w:ilvl="0">
      <w:lvlJc w:val="left"/>
      <w:lvlText w:val="(%1)"/>
      <w:numFmt w:val="lowerLetter"/>
      <w:start w:val="2"/>
    </w:lvl>
  </w:abstractNum>
  <w:abstractNum w:abstractNumId="109">
    <w:nsid w:val="379E21B5"/>
    <w:multiLevelType w:val="hybridMultilevel"/>
    <w:lvl w:ilvl="0">
      <w:lvlJc w:val="left"/>
      <w:lvlText w:val="(%1)"/>
      <w:numFmt w:val="lowerLetter"/>
      <w:start w:val="1"/>
    </w:lvl>
  </w:abstractNum>
  <w:abstractNum w:abstractNumId="110">
    <w:nsid w:val="69E373"/>
    <w:multiLevelType w:val="hybridMultilevel"/>
    <w:lvl w:ilvl="0">
      <w:lvlJc w:val="left"/>
      <w:lvlText w:val="(%1)"/>
      <w:numFmt w:val="lowerLetter"/>
      <w:start w:val="2"/>
    </w:lvl>
  </w:abstractNum>
  <w:abstractNum w:abstractNumId="111">
    <w:nsid w:val="2C27173B"/>
    <w:multiLevelType w:val="hybridMultilevel"/>
    <w:lvl w:ilvl="0">
      <w:lvlJc w:val="left"/>
      <w:lvlText w:val="(%1)"/>
      <w:numFmt w:val="lowerLetter"/>
      <w:start w:val="3"/>
    </w:lvl>
    <w:lvl w:ilvl="1">
      <w:lvlJc w:val="left"/>
      <w:lvlText w:val="(%2)"/>
      <w:numFmt w:val="lowerRoman"/>
      <w:start w:val="2"/>
    </w:lvl>
  </w:abstractNum>
  <w:abstractNum w:abstractNumId="112">
    <w:nsid w:val="4C9B0904"/>
    <w:multiLevelType w:val="hybridMultilevel"/>
    <w:lvl w:ilvl="0">
      <w:lvlJc w:val="left"/>
      <w:lvlText w:val="(%1)"/>
      <w:numFmt w:val="lowerRoman"/>
      <w:start w:val="8"/>
    </w:lvl>
  </w:abstractNum>
  <w:abstractNum w:abstractNumId="113">
    <w:nsid w:val="6AA7B75C"/>
    <w:multiLevelType w:val="hybridMultilevel"/>
    <w:lvl w:ilvl="0">
      <w:lvlJc w:val="left"/>
      <w:lvlText w:val="(%1)"/>
      <w:numFmt w:val="lowerLetter"/>
      <w:start w:val="4"/>
    </w:lvl>
  </w:abstractNum>
  <w:abstractNum w:abstractNumId="114">
    <w:nsid w:val="1DF029D3"/>
    <w:multiLevelType w:val="hybridMultilevel"/>
    <w:lvl w:ilvl="0">
      <w:lvlJc w:val="left"/>
      <w:lvlText w:val="(%1)"/>
      <w:numFmt w:val="lowerLetter"/>
      <w:start w:val="1"/>
    </w:lvl>
  </w:abstractNum>
  <w:abstractNum w:abstractNumId="115">
    <w:nsid w:val="5675FF36"/>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116">
    <w:nsid w:val="3DD15094"/>
    <w:multiLevelType w:val="hybridMultilevel"/>
    <w:lvl w:ilvl="0">
      <w:lvlJc w:val="left"/>
      <w:lvlText w:val="(%1)"/>
      <w:numFmt w:val="upperLetter"/>
      <w:start w:val="24"/>
    </w:lvl>
    <w:lvl w:ilvl="1">
      <w:lvlJc w:val="left"/>
      <w:lvlText w:val="%2"/>
      <w:numFmt w:val="decimal"/>
      <w:start w:val="1"/>
    </w:lvl>
    <w:lvl w:ilvl="2">
      <w:lvlJc w:val="left"/>
      <w:lvlText w:val="(%3)"/>
      <w:numFmt w:val="upperLetter"/>
      <w:start w:val="1"/>
    </w:lvl>
  </w:abstractNum>
  <w:abstractNum w:abstractNumId="117">
    <w:nsid w:val="3DB012B3"/>
    <w:multiLevelType w:val="hybridMultilevel"/>
    <w:lvl w:ilvl="0">
      <w:lvlJc w:val="left"/>
      <w:lvlText w:val="(%1)"/>
      <w:numFmt w:val="upperLetter"/>
      <w:start w:val="3"/>
    </w:lvl>
  </w:abstractNum>
  <w:abstractNum w:abstractNumId="118">
    <w:nsid w:val="2708C9AF"/>
    <w:multiLevelType w:val="hybridMultilevel"/>
    <w:lvl w:ilvl="0">
      <w:lvlJc w:val="left"/>
      <w:lvlText w:val="1"/>
      <w:numFmt w:val="bullet"/>
      <w:start w:val="1"/>
    </w:lvl>
  </w:abstractNum>
  <w:abstractNum w:abstractNumId="119">
    <w:nsid w:val="5B25ACE2"/>
    <w:multiLevelType w:val="hybridMultilevel"/>
    <w:lvl w:ilvl="0">
      <w:lvlJc w:val="left"/>
      <w:lvlText w:val="2"/>
      <w:numFmt w:val="bullet"/>
      <w:start w:val="1"/>
    </w:lvl>
  </w:abstractNum>
  <w:abstractNum w:abstractNumId="120">
    <w:nsid w:val="175DFCF0"/>
    <w:multiLevelType w:val="hybridMultilevel"/>
    <w:lvl w:ilvl="0">
      <w:lvlJc w:val="left"/>
      <w:lvlText w:val="3"/>
      <w:numFmt w:val="bullet"/>
      <w:start w:val="1"/>
    </w:lvl>
  </w:abstractNum>
  <w:abstractNum w:abstractNumId="121">
    <w:nsid w:val="4F97E3E4"/>
    <w:multiLevelType w:val="hybridMultilevel"/>
    <w:lvl w:ilvl="0">
      <w:lvlJc w:val="left"/>
      <w:lvlText w:val="4"/>
      <w:numFmt w:val="bullet"/>
      <w:start w:val="1"/>
    </w:lvl>
  </w:abstractNum>
  <w:abstractNum w:abstractNumId="122">
    <w:nsid w:val="53B0A9E"/>
    <w:multiLevelType w:val="hybridMultilevel"/>
    <w:lvl w:ilvl="0">
      <w:lvlJc w:val="left"/>
      <w:lvlText w:val="5"/>
      <w:numFmt w:val="bullet"/>
      <w:start w:val="1"/>
    </w:lvl>
  </w:abstractNum>
  <w:abstractNum w:abstractNumId="123">
    <w:nsid w:val="34FD6B4F"/>
    <w:multiLevelType w:val="hybridMultilevel"/>
    <w:lvl w:ilvl="0">
      <w:lvlJc w:val="left"/>
      <w:lvlText w:val="6"/>
      <w:numFmt w:val="bullet"/>
      <w:start w:val="1"/>
    </w:lvl>
  </w:abstractNum>
  <w:abstractNum w:abstractNumId="124">
    <w:nsid w:val="5915FF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2022-02-04T16:31:06Z</dcterms:created>
  <dcterms:modified xsi:type="dcterms:W3CDTF">2022-02-04T16:31:06Z</dcterms:modified>
</cp:coreProperties>
</file>