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CRONIN BILL</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XOMETRY,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7529 STANDISH PLACE,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Xometry,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XMTR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01/10/2022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85"/>
        <w:spacing w:after="0"/>
        <w:rPr>
          <w:sz w:val="20"/>
          <w:szCs w:val="20"/>
          <w:color w:val="auto"/>
        </w:rPr>
      </w:pPr>
      <w:r>
        <w:rPr>
          <w:rFonts w:ascii="Arial" w:cs="Arial" w:eastAsia="Arial" w:hAnsi="Arial"/>
          <w:sz w:val="17"/>
          <w:szCs w:val="17"/>
          <w:color w:val="0000FF"/>
        </w:rPr>
        <w:t>Chief Revenue Officer</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80" w:type="dxa"/>
            <w:vAlign w:val="bottom"/>
            <w:gridSpan w:val="7"/>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gridSpan w:val="4"/>
          </w:tcPr>
          <w:p>
            <w:pPr>
              <w:ind w:left="44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DERWOOD</w:t>
            </w:r>
          </w:p>
        </w:tc>
        <w:tc>
          <w:tcPr>
            <w:tcW w:w="1120" w:type="dxa"/>
            <w:vAlign w:val="bottom"/>
            <w:gridSpan w:val="2"/>
            <w:vMerge w:val="restart"/>
          </w:tcPr>
          <w:p>
            <w:pPr>
              <w:ind w:left="40"/>
              <w:spacing w:after="0"/>
              <w:rPr>
                <w:sz w:val="20"/>
                <w:szCs w:val="20"/>
                <w:color w:val="auto"/>
              </w:rPr>
            </w:pPr>
            <w:r>
              <w:rPr>
                <w:rFonts w:ascii="Arial" w:cs="Arial" w:eastAsia="Arial" w:hAnsi="Arial"/>
                <w:sz w:val="17"/>
                <w:szCs w:val="17"/>
                <w:color w:val="0000FF"/>
              </w:rPr>
              <w:t>MD</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20855</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2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vMerge w:val="restart"/>
          </w:tcPr>
          <w:p>
            <w:pPr>
              <w:spacing w:after="0"/>
              <w:rPr>
                <w:sz w:val="5"/>
                <w:szCs w:val="5"/>
                <w:color w:val="auto"/>
              </w:rPr>
            </w:pPr>
          </w:p>
        </w:tc>
        <w:tc>
          <w:tcPr>
            <w:tcW w:w="1180" w:type="dxa"/>
            <w:vAlign w:val="bottom"/>
            <w:gridSpan w:val="3"/>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gridSpan w:val="3"/>
          </w:tcPr>
          <w:p>
            <w:pPr>
              <w:spacing w:after="0"/>
              <w:rPr>
                <w:sz w:val="11"/>
                <w:szCs w:val="11"/>
                <w:color w:val="auto"/>
              </w:rPr>
            </w:pPr>
          </w:p>
        </w:tc>
        <w:tc>
          <w:tcPr>
            <w:tcW w:w="2700" w:type="dxa"/>
            <w:vAlign w:val="bottom"/>
            <w:tcBorders>
              <w:bottom w:val="single" w:sz="8" w:color="2C2C2C"/>
            </w:tcBorders>
            <w:gridSpan w:val="6"/>
          </w:tcPr>
          <w:p>
            <w:pPr>
              <w:spacing w:after="0"/>
              <w:rPr>
                <w:sz w:val="11"/>
                <w:szCs w:val="11"/>
                <w:color w:val="auto"/>
              </w:rPr>
            </w:pPr>
          </w:p>
        </w:tc>
        <w:tc>
          <w:tcPr>
            <w:tcW w:w="300" w:type="dxa"/>
            <w:vAlign w:val="bottom"/>
            <w:tcBorders>
              <w:bottom w:val="single" w:sz="8" w:color="2C2C2C"/>
            </w:tcBorders>
            <w:gridSpan w:val="2"/>
          </w:tcPr>
          <w:p>
            <w:pPr>
              <w:spacing w:after="0"/>
              <w:rPr>
                <w:sz w:val="11"/>
                <w:szCs w:val="11"/>
                <w:color w:val="auto"/>
              </w:rPr>
            </w:pPr>
          </w:p>
        </w:tc>
        <w:tc>
          <w:tcPr>
            <w:tcW w:w="118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7800" w:type="dxa"/>
            <w:vAlign w:val="bottom"/>
            <w:tcBorders>
              <w:top w:val="single" w:sz="8" w:color="2C2C2C"/>
            </w:tcBorders>
            <w:gridSpan w:val="17"/>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6"/>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2180" w:type="dxa"/>
            <w:vAlign w:val="bottom"/>
            <w:tcBorders>
              <w:bottom w:val="single" w:sz="8" w:color="2C2C2C"/>
            </w:tcBorders>
            <w:gridSpan w:val="4"/>
          </w:tcPr>
          <w:p>
            <w:pPr>
              <w:ind w:left="680"/>
              <w:spacing w:after="0"/>
              <w:rPr>
                <w:sz w:val="20"/>
                <w:szCs w:val="20"/>
                <w:color w:val="auto"/>
              </w:rPr>
            </w:pPr>
            <w:r>
              <w:rPr>
                <w:rFonts w:ascii="Arial" w:cs="Arial" w:eastAsia="Arial" w:hAnsi="Arial"/>
                <w:sz w:val="17"/>
                <w:szCs w:val="17"/>
                <w:color w:val="0000FF"/>
              </w:rPr>
              <w:t>01/10/2022</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jc w:val="right"/>
              <w:ind w:right="171"/>
              <w:spacing w:after="0"/>
              <w:rPr>
                <w:sz w:val="20"/>
                <w:szCs w:val="20"/>
                <w:color w:val="auto"/>
              </w:rPr>
            </w:pPr>
            <w:r>
              <w:rPr>
                <w:rFonts w:ascii="Arial" w:cs="Arial" w:eastAsia="Arial" w:hAnsi="Arial"/>
                <w:sz w:val="17"/>
                <w:szCs w:val="17"/>
                <w:color w:val="0000FF"/>
              </w:rPr>
              <w:t>4,230</w:t>
            </w:r>
          </w:p>
        </w:tc>
        <w:tc>
          <w:tcPr>
            <w:tcW w:w="500" w:type="dxa"/>
            <w:vAlign w:val="bottom"/>
            <w:tcBorders>
              <w:bottom w:val="single" w:sz="8" w:color="2C2C2C"/>
            </w:tcBorders>
          </w:tcPr>
          <w:p>
            <w:pPr>
              <w:jc w:val="center"/>
              <w:ind w:right="56"/>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58.1718</w:t>
            </w:r>
            <w:r>
              <w:rPr>
                <w:rFonts w:ascii="Arial" w:cs="Arial" w:eastAsia="Arial" w:hAnsi="Arial"/>
                <w:sz w:val="22"/>
                <w:szCs w:val="22"/>
                <w:color w:val="008000"/>
                <w:w w:val="94"/>
                <w:vertAlign w:val="superscript"/>
              </w:rPr>
              <w:t>(2)</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Arial" w:cs="Arial" w:eastAsia="Arial" w:hAnsi="Arial"/>
                <w:sz w:val="17"/>
                <w:szCs w:val="17"/>
                <w:color w:val="0000FF"/>
                <w:w w:val="91"/>
              </w:rPr>
              <w:t>144,799</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2180" w:type="dxa"/>
            <w:vAlign w:val="bottom"/>
            <w:tcBorders>
              <w:bottom w:val="single" w:sz="8" w:color="2C2C2C"/>
            </w:tcBorders>
            <w:gridSpan w:val="4"/>
          </w:tcPr>
          <w:p>
            <w:pPr>
              <w:ind w:left="680"/>
              <w:spacing w:after="0"/>
              <w:rPr>
                <w:sz w:val="20"/>
                <w:szCs w:val="20"/>
                <w:color w:val="auto"/>
              </w:rPr>
            </w:pPr>
            <w:r>
              <w:rPr>
                <w:rFonts w:ascii="Arial" w:cs="Arial" w:eastAsia="Arial" w:hAnsi="Arial"/>
                <w:sz w:val="17"/>
                <w:szCs w:val="17"/>
                <w:color w:val="0000FF"/>
              </w:rPr>
              <w:t>01/11/2022</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jc w:val="right"/>
              <w:ind w:right="131"/>
              <w:spacing w:after="0"/>
              <w:rPr>
                <w:sz w:val="20"/>
                <w:szCs w:val="20"/>
                <w:color w:val="auto"/>
              </w:rPr>
            </w:pPr>
            <w:r>
              <w:rPr>
                <w:rFonts w:ascii="Arial" w:cs="Arial" w:eastAsia="Arial" w:hAnsi="Arial"/>
                <w:sz w:val="17"/>
                <w:szCs w:val="17"/>
                <w:color w:val="0000FF"/>
              </w:rPr>
              <w:t>20,770</w:t>
            </w:r>
          </w:p>
        </w:tc>
        <w:tc>
          <w:tcPr>
            <w:tcW w:w="500" w:type="dxa"/>
            <w:vAlign w:val="bottom"/>
            <w:tcBorders>
              <w:bottom w:val="single" w:sz="8" w:color="2C2C2C"/>
            </w:tcBorders>
          </w:tcPr>
          <w:p>
            <w:pPr>
              <w:jc w:val="center"/>
              <w:ind w:right="56"/>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58.4297</w:t>
            </w:r>
            <w:r>
              <w:rPr>
                <w:rFonts w:ascii="Arial" w:cs="Arial" w:eastAsia="Arial" w:hAnsi="Arial"/>
                <w:sz w:val="22"/>
                <w:szCs w:val="22"/>
                <w:color w:val="008000"/>
                <w:w w:val="94"/>
                <w:vertAlign w:val="superscript"/>
              </w:rPr>
              <w:t>(3)</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Arial" w:cs="Arial" w:eastAsia="Arial" w:hAnsi="Arial"/>
                <w:sz w:val="17"/>
                <w:szCs w:val="17"/>
                <w:color w:val="0000FF"/>
                <w:w w:val="91"/>
              </w:rPr>
              <w:t>124,029</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3"/>
                <w:szCs w:val="13"/>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transaction reported in this Form 4 was effected automatically pursuant to a Rule 10b5-1 trading plan adopted by the reporting person at least 14 days prior to the trading date.</w:t>
      </w:r>
    </w:p>
    <w:p>
      <w:pPr>
        <w:spacing w:after="0" w:line="50" w:lineRule="exact"/>
        <w:rPr>
          <w:rFonts w:ascii="Arial" w:cs="Arial" w:eastAsia="Arial" w:hAnsi="Arial"/>
          <w:sz w:val="13"/>
          <w:szCs w:val="13"/>
          <w:color w:val="008000"/>
        </w:rPr>
      </w:pPr>
    </w:p>
    <w:p>
      <w:pPr>
        <w:ind w:left="40" w:right="2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$58.00 to $58.25, inclusive. The reporting person undertakes to provide to Xometry, Inc., any security holder of Xometry, Inc. or the staff of the Securities and Exchange Commission, upon request, full information regarding the number of shares sold at each separate price within the ranges set forth in footnotes (2) and (3) to this Form 4.</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$58.00 to $58.89, inclusive.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5"/>
              </w:rPr>
              <w:t>/s/ Kristie Scott,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01/12/2022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59278" TargetMode="External"/><Relationship Id="rId13"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2022-01-12T15:40:47Z</dcterms:created>
  <dcterms:modified xsi:type="dcterms:W3CDTF">2022-01-12T15:40:47Z</dcterms:modified>
</cp:coreProperties>
</file>