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286385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303530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15"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SECURITIES AND EXCHANGE COMMISSION</w:t>
      </w: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47625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8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75565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43"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22" w:lineRule="exact"/>
        <w:rPr>
          <w:sz w:val="24"/>
          <w:szCs w:val="24"/>
          <w:color w:val="auto"/>
        </w:rPr>
      </w:pPr>
    </w:p>
    <w:p>
      <w:pPr>
        <w:ind w:left="4100" w:right="2840" w:hanging="4079"/>
        <w:spacing w:after="0" w:line="291" w:lineRule="auto"/>
        <w:tabs>
          <w:tab w:leader="none" w:pos="485" w:val="left"/>
        </w:tabs>
        <w:numPr>
          <w:ilvl w:val="0"/>
          <w:numId w:val="1"/>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ANNUAL REPORT PURSUANT TO SECTION 13 OR 15(d) OF THE SECURITIES EXCHANGE ACT OF 1934 For the fiscal year ended December 31, 2021</w:t>
      </w:r>
    </w:p>
    <w:p>
      <w:pPr>
        <w:ind w:left="5480"/>
        <w:spacing w:after="0"/>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OR</w:t>
      </w:r>
    </w:p>
    <w:p>
      <w:pPr>
        <w:spacing w:after="0" w:line="55" w:lineRule="exact"/>
        <w:rPr>
          <w:sz w:val="24"/>
          <w:szCs w:val="24"/>
          <w:color w:val="auto"/>
        </w:rPr>
      </w:pPr>
    </w:p>
    <w:p>
      <w:pPr>
        <w:ind w:left="480" w:hanging="459"/>
        <w:spacing w:after="0"/>
        <w:tabs>
          <w:tab w:leader="none" w:pos="480" w:val="left"/>
        </w:tabs>
        <w:numPr>
          <w:ilvl w:val="0"/>
          <w:numId w:val="2"/>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TRANSITION REPORT PURSUANT TO SECTION 13 OR 15(d) OF THE SECURITIES EXCHANGE ACT OF 1934 FOR THE TRANSITION</w:t>
      </w:r>
    </w:p>
    <w:p>
      <w:pPr>
        <w:ind w:left="480"/>
        <w:spacing w:after="0"/>
        <w:tabs>
          <w:tab w:leader="none" w:pos="2520" w:val="left"/>
        </w:tabs>
        <w:rPr>
          <w:sz w:val="20"/>
          <w:szCs w:val="20"/>
          <w:color w:val="auto"/>
        </w:rPr>
      </w:pPr>
      <w:r>
        <w:rPr>
          <w:rFonts w:ascii="Arial" w:cs="Arial" w:eastAsia="Arial" w:hAnsi="Arial"/>
          <w:sz w:val="16"/>
          <w:szCs w:val="16"/>
          <w:b w:val="1"/>
          <w:bCs w:val="1"/>
          <w:color w:val="auto"/>
        </w:rPr>
        <w:t>PERIOD FROM</w:t>
      </w:r>
      <w:r>
        <w:rPr>
          <w:sz w:val="20"/>
          <w:szCs w:val="20"/>
          <w:color w:val="auto"/>
        </w:rPr>
        <w:tab/>
      </w:r>
      <w:r>
        <w:rPr>
          <w:rFonts w:ascii="Arial" w:cs="Arial" w:eastAsia="Arial" w:hAnsi="Arial"/>
          <w:sz w:val="15"/>
          <w:szCs w:val="15"/>
          <w:b w:val="1"/>
          <w:bCs w:val="1"/>
          <w:color w:val="auto"/>
        </w:rPr>
        <w:t>TO</w:t>
      </w:r>
    </w:p>
    <w:p>
      <w:pPr>
        <w:spacing w:after="0" w:line="3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001-40546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51435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28" w:lineRule="exact"/>
        <w:rPr>
          <w:sz w:val="24"/>
          <w:szCs w:val="24"/>
          <w:color w:val="auto"/>
        </w:rPr>
      </w:pPr>
    </w:p>
    <w:p>
      <w:pPr>
        <w:jc w:val="center"/>
        <w:ind w:right="80"/>
        <w:spacing w:after="0"/>
        <w:rPr>
          <w:sz w:val="20"/>
          <w:szCs w:val="20"/>
          <w:color w:val="auto"/>
        </w:rPr>
      </w:pPr>
      <w:r>
        <w:rPr>
          <w:rFonts w:ascii="Arial" w:cs="Arial" w:eastAsia="Arial" w:hAnsi="Arial"/>
          <w:sz w:val="32"/>
          <w:szCs w:val="32"/>
          <w:b w:val="1"/>
          <w:bCs w:val="1"/>
          <w:color w:val="auto"/>
        </w:rPr>
        <w:t>Xometry, Inc.</w:t>
      </w:r>
    </w:p>
    <w:p>
      <w:pPr>
        <w:sectPr>
          <w:pgSz w:w="11900" w:h="16838" w:orient="portrait"/>
          <w:cols w:equalWidth="0" w:num="1">
            <w:col w:w="11240"/>
          </w:cols>
          <w:pgMar w:left="320" w:top="580" w:right="339" w:bottom="1440" w:gutter="0" w:footer="0" w:header="0"/>
        </w:sectPr>
      </w:pPr>
    </w:p>
    <w:p>
      <w:pPr>
        <w:spacing w:after="0" w:line="28" w:lineRule="exact"/>
        <w:rPr>
          <w:sz w:val="24"/>
          <w:szCs w:val="24"/>
          <w:color w:val="auto"/>
        </w:rPr>
      </w:pPr>
    </w:p>
    <w:p>
      <w:pPr>
        <w:jc w:val="right"/>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52070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60" w:lineRule="exact"/>
        <w:rPr>
          <w:sz w:val="24"/>
          <w:szCs w:val="24"/>
          <w:color w:val="auto"/>
        </w:rPr>
      </w:pPr>
    </w:p>
    <w:p>
      <w:pPr>
        <w:jc w:val="center"/>
        <w:ind w:right="1820"/>
        <w:spacing w:after="0"/>
        <w:rPr>
          <w:sz w:val="20"/>
          <w:szCs w:val="20"/>
          <w:color w:val="auto"/>
        </w:rPr>
      </w:pPr>
      <w:r>
        <w:rPr>
          <w:rFonts w:ascii="Arial" w:cs="Arial" w:eastAsia="Arial" w:hAnsi="Arial"/>
          <w:sz w:val="18"/>
          <w:szCs w:val="18"/>
          <w:b w:val="1"/>
          <w:bCs w:val="1"/>
          <w:color w:val="auto"/>
        </w:rPr>
        <w:t>Delaware</w:t>
      </w:r>
    </w:p>
    <w:p>
      <w:pPr>
        <w:ind w:left="2020"/>
        <w:spacing w:after="0" w:line="210" w:lineRule="auto"/>
        <w:rPr>
          <w:sz w:val="20"/>
          <w:szCs w:val="20"/>
          <w:color w:val="auto"/>
        </w:rPr>
      </w:pPr>
      <w:r>
        <w:rPr>
          <w:rFonts w:ascii="Arial" w:cs="Arial" w:eastAsia="Arial" w:hAnsi="Arial"/>
          <w:sz w:val="13"/>
          <w:szCs w:val="13"/>
          <w:b w:val="1"/>
          <w:bCs w:val="1"/>
          <w:color w:val="auto"/>
        </w:rPr>
        <w:t>(State or other jurisdiction of</w:t>
      </w:r>
    </w:p>
    <w:p>
      <w:pPr>
        <w:ind w:left="2000"/>
        <w:spacing w:after="0"/>
        <w:rPr>
          <w:sz w:val="20"/>
          <w:szCs w:val="20"/>
          <w:color w:val="auto"/>
        </w:rPr>
      </w:pPr>
      <w:r>
        <w:rPr>
          <w:rFonts w:ascii="Arial" w:cs="Arial" w:eastAsia="Arial" w:hAnsi="Arial"/>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72" w:lineRule="exact"/>
        <w:rPr>
          <w:sz w:val="24"/>
          <w:szCs w:val="24"/>
          <w:color w:val="auto"/>
        </w:rPr>
      </w:pPr>
    </w:p>
    <w:p>
      <w:pPr>
        <w:ind w:left="60"/>
        <w:spacing w:after="0"/>
        <w:rPr>
          <w:sz w:val="20"/>
          <w:szCs w:val="20"/>
          <w:color w:val="auto"/>
        </w:rPr>
      </w:pPr>
      <w:r>
        <w:rPr>
          <w:rFonts w:ascii="Arial" w:cs="Arial" w:eastAsia="Arial" w:hAnsi="Arial"/>
          <w:sz w:val="17"/>
          <w:szCs w:val="17"/>
          <w:b w:val="1"/>
          <w:bCs w:val="1"/>
          <w:color w:val="auto"/>
        </w:rPr>
        <w:t>32-0415449</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2"/>
          <w:szCs w:val="12"/>
          <w:b w:val="1"/>
          <w:bCs w:val="1"/>
          <w:color w:val="auto"/>
        </w:rPr>
        <w:t>(I.R.S. Employer</w:t>
      </w:r>
    </w:p>
    <w:p>
      <w:pPr>
        <w:spacing w:after="0"/>
        <w:rPr>
          <w:sz w:val="20"/>
          <w:szCs w:val="20"/>
          <w:color w:val="auto"/>
        </w:rPr>
      </w:pPr>
      <w:r>
        <w:rPr>
          <w:rFonts w:ascii="Arial" w:cs="Arial" w:eastAsia="Arial" w:hAnsi="Arial"/>
          <w:sz w:val="10"/>
          <w:szCs w:val="10"/>
          <w:b w:val="1"/>
          <w:bCs w:val="1"/>
          <w:color w:val="auto"/>
        </w:rPr>
        <w:t>Identification No.)</w:t>
      </w:r>
    </w:p>
    <w:p>
      <w:pPr>
        <w:spacing w:after="0" w:line="22" w:lineRule="exact"/>
        <w:rPr>
          <w:sz w:val="24"/>
          <w:szCs w:val="24"/>
          <w:color w:val="auto"/>
        </w:rPr>
      </w:pPr>
    </w:p>
    <w:p>
      <w:pPr>
        <w:sectPr>
          <w:pgSz w:w="11900" w:h="16838" w:orient="portrait"/>
          <w:cols w:equalWidth="0" w:num="2">
            <w:col w:w="7460" w:space="480"/>
            <w:col w:w="3300"/>
          </w:cols>
          <w:pgMar w:left="320" w:top="580" w:right="339" w:bottom="1440" w:gutter="0" w:footer="0" w:header="0"/>
          <w:type w:val="continuous"/>
        </w:sectPr>
      </w:pPr>
    </w:p>
    <w:tbl>
      <w:tblPr>
        <w:tblLayout w:type="fixed"/>
        <w:tblInd w:w="1780" w:type="dxa"/>
        <w:tblCellMar>
          <w:top w:w="0" w:type="dxa"/>
          <w:left w:w="0" w:type="dxa"/>
          <w:bottom w:w="0" w:type="dxa"/>
          <w:right w:w="0" w:type="dxa"/>
        </w:tblCellMar>
      </w:tblPr>
      <w:tr>
        <w:trPr>
          <w:trHeight w:val="165"/>
        </w:trPr>
        <w:tc>
          <w:tcPr>
            <w:tcW w:w="4220" w:type="dxa"/>
            <w:vAlign w:val="bottom"/>
          </w:tcPr>
          <w:p>
            <w:pPr>
              <w:jc w:val="center"/>
              <w:ind w:right="2124"/>
              <w:spacing w:after="0" w:line="165" w:lineRule="exact"/>
              <w:rPr>
                <w:sz w:val="20"/>
                <w:szCs w:val="20"/>
                <w:color w:val="auto"/>
              </w:rPr>
            </w:pPr>
            <w:r>
              <w:rPr>
                <w:rFonts w:ascii="Arial" w:cs="Arial" w:eastAsia="Arial" w:hAnsi="Arial"/>
                <w:sz w:val="16"/>
                <w:szCs w:val="16"/>
                <w:b w:val="1"/>
                <w:bCs w:val="1"/>
                <w:color w:val="auto"/>
                <w:w w:val="89"/>
              </w:rPr>
              <w:t>7529 Standish Place</w:t>
            </w:r>
          </w:p>
        </w:tc>
        <w:tc>
          <w:tcPr>
            <w:tcW w:w="2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220" w:type="dxa"/>
            <w:vAlign w:val="bottom"/>
          </w:tcPr>
          <w:p>
            <w:pPr>
              <w:jc w:val="center"/>
              <w:ind w:right="2104"/>
              <w:spacing w:after="0" w:line="162" w:lineRule="exact"/>
              <w:rPr>
                <w:sz w:val="20"/>
                <w:szCs w:val="20"/>
                <w:color w:val="auto"/>
              </w:rPr>
            </w:pPr>
            <w:r>
              <w:rPr>
                <w:rFonts w:ascii="Arial" w:cs="Arial" w:eastAsia="Arial" w:hAnsi="Arial"/>
                <w:sz w:val="16"/>
                <w:szCs w:val="16"/>
                <w:b w:val="1"/>
                <w:bCs w:val="1"/>
                <w:color w:val="auto"/>
                <w:w w:val="91"/>
              </w:rPr>
              <w:t>Suite 200</w:t>
            </w:r>
          </w:p>
        </w:tc>
        <w:tc>
          <w:tcPr>
            <w:tcW w:w="27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20855</w:t>
            </w:r>
          </w:p>
        </w:tc>
        <w:tc>
          <w:tcPr>
            <w:tcW w:w="0" w:type="dxa"/>
            <w:vAlign w:val="bottom"/>
          </w:tcPr>
          <w:p>
            <w:pPr>
              <w:spacing w:after="0"/>
              <w:rPr>
                <w:sz w:val="1"/>
                <w:szCs w:val="1"/>
                <w:color w:val="auto"/>
              </w:rPr>
            </w:pPr>
          </w:p>
        </w:tc>
      </w:tr>
      <w:tr>
        <w:trPr>
          <w:trHeight w:val="184"/>
        </w:trPr>
        <w:tc>
          <w:tcPr>
            <w:tcW w:w="4220" w:type="dxa"/>
            <w:vAlign w:val="bottom"/>
          </w:tcPr>
          <w:p>
            <w:pPr>
              <w:jc w:val="center"/>
              <w:ind w:right="2124"/>
              <w:spacing w:after="0"/>
              <w:rPr>
                <w:sz w:val="20"/>
                <w:szCs w:val="20"/>
                <w:color w:val="auto"/>
              </w:rPr>
            </w:pPr>
            <w:r>
              <w:rPr>
                <w:rFonts w:ascii="Arial" w:cs="Arial" w:eastAsia="Arial" w:hAnsi="Arial"/>
                <w:sz w:val="16"/>
                <w:szCs w:val="16"/>
                <w:b w:val="1"/>
                <w:bCs w:val="1"/>
                <w:color w:val="auto"/>
                <w:w w:val="95"/>
              </w:rPr>
              <w:t>Derwood, MD</w:t>
            </w:r>
          </w:p>
        </w:tc>
        <w:tc>
          <w:tcPr>
            <w:tcW w:w="2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4"/>
        </w:trPr>
        <w:tc>
          <w:tcPr>
            <w:tcW w:w="4220" w:type="dxa"/>
            <w:vAlign w:val="bottom"/>
          </w:tcPr>
          <w:p>
            <w:pPr>
              <w:spacing w:after="0"/>
              <w:rPr>
                <w:sz w:val="20"/>
                <w:szCs w:val="20"/>
                <w:color w:val="auto"/>
              </w:rPr>
            </w:pPr>
            <w:r>
              <w:rPr>
                <w:rFonts w:ascii="Arial" w:cs="Arial" w:eastAsia="Arial" w:hAnsi="Arial"/>
                <w:sz w:val="13"/>
                <w:szCs w:val="13"/>
                <w:b w:val="1"/>
                <w:bCs w:val="1"/>
                <w:color w:val="auto"/>
              </w:rPr>
              <w:t>(Address of principal executive offices)</w:t>
            </w:r>
          </w:p>
        </w:tc>
        <w:tc>
          <w:tcPr>
            <w:tcW w:w="2720" w:type="dxa"/>
            <w:vAlign w:val="bottom"/>
          </w:tcPr>
          <w:p>
            <w:pPr>
              <w:jc w:val="center"/>
              <w:ind w:left="2064"/>
              <w:spacing w:after="0"/>
              <w:rPr>
                <w:sz w:val="20"/>
                <w:szCs w:val="20"/>
                <w:color w:val="auto"/>
              </w:rPr>
            </w:pPr>
            <w:r>
              <w:rPr>
                <w:rFonts w:ascii="Arial" w:cs="Arial" w:eastAsia="Arial" w:hAnsi="Arial"/>
                <w:sz w:val="13"/>
                <w:szCs w:val="13"/>
                <w:b w:val="1"/>
                <w:bCs w:val="1"/>
                <w:color w:val="auto"/>
                <w:w w:val="90"/>
              </w:rPr>
              <w:t>(Zip Code)</w:t>
            </w:r>
          </w:p>
        </w:tc>
        <w:tc>
          <w:tcPr>
            <w:tcW w:w="0" w:type="dxa"/>
            <w:vAlign w:val="bottom"/>
          </w:tcPr>
          <w:p>
            <w:pPr>
              <w:spacing w:after="0"/>
              <w:rPr>
                <w:sz w:val="1"/>
                <w:szCs w:val="1"/>
                <w:color w:val="auto"/>
              </w:rPr>
            </w:pPr>
          </w:p>
        </w:tc>
      </w:tr>
    </w:tbl>
    <w:p>
      <w:pPr>
        <w:spacing w:after="0" w:line="38" w:lineRule="exact"/>
        <w:rPr>
          <w:sz w:val="24"/>
          <w:szCs w:val="24"/>
          <w:color w:val="auto"/>
        </w:rPr>
      </w:pPr>
    </w:p>
    <w:p>
      <w:pPr>
        <w:ind w:left="3240"/>
        <w:spacing w:after="0"/>
        <w:rPr>
          <w:sz w:val="20"/>
          <w:szCs w:val="20"/>
          <w:color w:val="auto"/>
        </w:rPr>
      </w:pPr>
      <w:r>
        <w:rPr>
          <w:rFonts w:ascii="Arial" w:cs="Arial" w:eastAsia="Arial" w:hAnsi="Arial"/>
          <w:sz w:val="16"/>
          <w:szCs w:val="16"/>
          <w:b w:val="1"/>
          <w:bCs w:val="1"/>
          <w:color w:val="auto"/>
        </w:rPr>
        <w:t xml:space="preserve">Registrant’s telephone number, including area code: </w:t>
      </w:r>
      <w:r>
        <w:rPr>
          <w:rFonts w:ascii="Arial" w:cs="Arial" w:eastAsia="Arial" w:hAnsi="Arial"/>
          <w:sz w:val="17"/>
          <w:szCs w:val="17"/>
          <w:b w:val="1"/>
          <w:bCs w:val="1"/>
          <w:color w:val="auto"/>
        </w:rPr>
        <w:t>(240) 335-7914</w:t>
      </w:r>
    </w:p>
    <w:p>
      <w:pPr>
        <w:spacing w:after="0" w:line="174" w:lineRule="exact"/>
        <w:rPr>
          <w:sz w:val="24"/>
          <w:szCs w:val="24"/>
          <w:color w:val="auto"/>
        </w:rPr>
      </w:pPr>
    </w:p>
    <w:p>
      <w:pPr>
        <w:spacing w:after="0"/>
        <w:rPr>
          <w:sz w:val="20"/>
          <w:szCs w:val="20"/>
          <w:color w:val="auto"/>
        </w:rPr>
      </w:pPr>
      <w:r>
        <w:rPr>
          <w:rFonts w:ascii="Arial" w:cs="Arial" w:eastAsia="Arial" w:hAnsi="Arial"/>
          <w:sz w:val="15"/>
          <w:szCs w:val="15"/>
          <w:color w:val="auto"/>
        </w:rPr>
        <w:t>Securities registered pursuant to Section 12(b) of the Act:</w:t>
      </w:r>
    </w:p>
    <w:p>
      <w:pPr>
        <w:spacing w:after="0" w:line="49"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280" w:type="dxa"/>
            <w:vAlign w:val="bottom"/>
            <w:vMerge w:val="restart"/>
          </w:tcPr>
          <w:p>
            <w:pPr>
              <w:ind w:left="1600"/>
              <w:spacing w:after="0"/>
              <w:rPr>
                <w:sz w:val="20"/>
                <w:szCs w:val="20"/>
                <w:color w:val="auto"/>
              </w:rPr>
            </w:pPr>
            <w:r>
              <w:rPr>
                <w:rFonts w:ascii="Arial" w:cs="Arial" w:eastAsia="Arial" w:hAnsi="Arial"/>
                <w:sz w:val="14"/>
                <w:szCs w:val="14"/>
                <w:b w:val="1"/>
                <w:bCs w:val="1"/>
                <w:color w:val="auto"/>
              </w:rPr>
              <w:t>Title of each class</w:t>
            </w:r>
          </w:p>
        </w:tc>
        <w:tc>
          <w:tcPr>
            <w:tcW w:w="120" w:type="dxa"/>
            <w:vAlign w:val="bottom"/>
          </w:tcPr>
          <w:p>
            <w:pPr>
              <w:spacing w:after="0"/>
              <w:rPr>
                <w:sz w:val="14"/>
                <w:szCs w:val="14"/>
                <w:color w:val="auto"/>
              </w:rPr>
            </w:pP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w w:val="97"/>
              </w:rPr>
              <w:t>Trading</w:t>
            </w:r>
          </w:p>
        </w:tc>
        <w:tc>
          <w:tcPr>
            <w:tcW w:w="120" w:type="dxa"/>
            <w:vAlign w:val="bottom"/>
          </w:tcPr>
          <w:p>
            <w:pPr>
              <w:spacing w:after="0"/>
              <w:rPr>
                <w:sz w:val="14"/>
                <w:szCs w:val="14"/>
                <w:color w:val="auto"/>
              </w:rPr>
            </w:pPr>
          </w:p>
        </w:tc>
        <w:tc>
          <w:tcPr>
            <w:tcW w:w="50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Name of each exchange on which registered</w:t>
            </w:r>
          </w:p>
        </w:tc>
        <w:tc>
          <w:tcPr>
            <w:tcW w:w="0" w:type="dxa"/>
            <w:vAlign w:val="bottom"/>
          </w:tcPr>
          <w:p>
            <w:pPr>
              <w:spacing w:after="0"/>
              <w:rPr>
                <w:sz w:val="1"/>
                <w:szCs w:val="1"/>
                <w:color w:val="auto"/>
              </w:rPr>
            </w:pPr>
          </w:p>
        </w:tc>
      </w:tr>
      <w:tr>
        <w:trPr>
          <w:trHeight w:val="185"/>
        </w:trPr>
        <w:tc>
          <w:tcPr>
            <w:tcW w:w="428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Symbol(s)</w:t>
            </w:r>
          </w:p>
        </w:tc>
        <w:tc>
          <w:tcPr>
            <w:tcW w:w="120" w:type="dxa"/>
            <w:vAlign w:val="bottom"/>
          </w:tcPr>
          <w:p>
            <w:pPr>
              <w:spacing w:after="0"/>
              <w:rPr>
                <w:sz w:val="16"/>
                <w:szCs w:val="16"/>
                <w:color w:val="auto"/>
              </w:rPr>
            </w:pPr>
          </w:p>
        </w:tc>
        <w:tc>
          <w:tcPr>
            <w:tcW w:w="5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280" w:type="dxa"/>
            <w:vAlign w:val="bottom"/>
          </w:tcPr>
          <w:p>
            <w:pPr>
              <w:ind w:left="20"/>
              <w:spacing w:after="0"/>
              <w:rPr>
                <w:sz w:val="20"/>
                <w:szCs w:val="20"/>
                <w:color w:val="auto"/>
              </w:rPr>
            </w:pPr>
            <w:r>
              <w:rPr>
                <w:rFonts w:ascii="Arial" w:cs="Arial" w:eastAsia="Arial" w:hAnsi="Arial"/>
                <w:sz w:val="16"/>
                <w:szCs w:val="16"/>
                <w:color w:val="auto"/>
              </w:rPr>
              <w:t>Class A common stock, par value $0.000001 per share</w:t>
            </w:r>
          </w:p>
        </w:tc>
        <w:tc>
          <w:tcPr>
            <w:tcW w:w="1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rPr>
              <w:t>XMTR</w:t>
            </w:r>
          </w:p>
        </w:tc>
        <w:tc>
          <w:tcPr>
            <w:tcW w:w="120" w:type="dxa"/>
            <w:vAlign w:val="bottom"/>
          </w:tcPr>
          <w:p>
            <w:pPr>
              <w:spacing w:after="0"/>
              <w:rPr>
                <w:sz w:val="19"/>
                <w:szCs w:val="19"/>
                <w:color w:val="auto"/>
              </w:rPr>
            </w:pPr>
          </w:p>
        </w:tc>
        <w:tc>
          <w:tcPr>
            <w:tcW w:w="5040" w:type="dxa"/>
            <w:vAlign w:val="bottom"/>
          </w:tcPr>
          <w:p>
            <w:pPr>
              <w:jc w:val="center"/>
              <w:spacing w:after="0"/>
              <w:rPr>
                <w:sz w:val="20"/>
                <w:szCs w:val="20"/>
                <w:color w:val="auto"/>
              </w:rPr>
            </w:pPr>
            <w:r>
              <w:rPr>
                <w:rFonts w:ascii="Arial" w:cs="Arial" w:eastAsia="Arial" w:hAnsi="Arial"/>
                <w:sz w:val="18"/>
                <w:szCs w:val="18"/>
                <w:color w:val="auto"/>
                <w:w w:val="90"/>
              </w:rPr>
              <w:t>The Nasdaq Global Select Market</w:t>
            </w:r>
          </w:p>
        </w:tc>
        <w:tc>
          <w:tcPr>
            <w:tcW w:w="0" w:type="dxa"/>
            <w:vAlign w:val="bottom"/>
          </w:tcPr>
          <w:p>
            <w:pPr>
              <w:spacing w:after="0"/>
              <w:rPr>
                <w:sz w:val="1"/>
                <w:szCs w:val="1"/>
                <w:color w:val="auto"/>
              </w:rPr>
            </w:pPr>
          </w:p>
        </w:tc>
      </w:tr>
    </w:tbl>
    <w:p>
      <w:pPr>
        <w:spacing w:after="0" w:line="3"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Securities registered pursuant to Section 12(g) of the Act: </w:t>
      </w:r>
      <w:r>
        <w:rPr>
          <w:rFonts w:ascii="Arial" w:cs="Arial" w:eastAsia="Arial" w:hAnsi="Arial"/>
          <w:sz w:val="14"/>
          <w:szCs w:val="14"/>
          <w:b w:val="1"/>
          <w:bCs w:val="1"/>
          <w:color w:val="auto"/>
        </w:rPr>
        <w:t>None</w:t>
      </w:r>
    </w:p>
    <w:p>
      <w:pPr>
        <w:spacing w:after="0" w:line="32" w:lineRule="exact"/>
        <w:rPr>
          <w:sz w:val="24"/>
          <w:szCs w:val="24"/>
          <w:color w:val="auto"/>
        </w:rPr>
      </w:pPr>
    </w:p>
    <w:p>
      <w:pPr>
        <w:ind w:right="3400"/>
        <w:spacing w:after="0" w:line="221" w:lineRule="exact"/>
        <w:rPr>
          <w:sz w:val="20"/>
          <w:szCs w:val="20"/>
          <w:color w:val="auto"/>
        </w:rPr>
      </w:pPr>
      <w:r>
        <w:rPr>
          <w:rFonts w:ascii="Arial" w:cs="Arial" w:eastAsia="Arial" w:hAnsi="Arial"/>
          <w:sz w:val="13"/>
          <w:szCs w:val="13"/>
          <w:color w:val="auto"/>
        </w:rPr>
        <w:t xml:space="preserve">Indicate by check mark if the Registrant is a well-known seasoned issuer, as defined in Rule 405 of the Securities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r>
        <w:rPr>
          <w:rFonts w:ascii="Arial" w:cs="Arial" w:eastAsia="Arial" w:hAnsi="Arial"/>
          <w:sz w:val="13"/>
          <w:szCs w:val="13"/>
          <w:color w:val="auto"/>
        </w:rPr>
        <w:t xml:space="preserve"> Indicate by check mark if the Registrant is not required to file reports pursuant to Section 13 or 15(d) of the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18" w:lineRule="exact"/>
        <w:rPr>
          <w:sz w:val="24"/>
          <w:szCs w:val="24"/>
          <w:color w:val="auto"/>
        </w:rPr>
      </w:pPr>
    </w:p>
    <w:p>
      <w:pPr>
        <w:ind w:right="120"/>
        <w:spacing w:after="0" w:line="180"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8" w:lineRule="exact"/>
        <w:rPr>
          <w:sz w:val="24"/>
          <w:szCs w:val="24"/>
          <w:color w:val="auto"/>
        </w:rPr>
      </w:pPr>
    </w:p>
    <w:p>
      <w:pPr>
        <w:ind w:right="40"/>
        <w:spacing w:after="0" w:line="180"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8" w:lineRule="exact"/>
        <w:rPr>
          <w:sz w:val="24"/>
          <w:szCs w:val="24"/>
          <w:color w:val="auto"/>
        </w:rPr>
      </w:pPr>
    </w:p>
    <w:p>
      <w:pPr>
        <w:ind w:right="540"/>
        <w:spacing w:after="0" w:line="261"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20" w:type="dxa"/>
        <w:tblCellMar>
          <w:top w:w="0" w:type="dxa"/>
          <w:left w:w="0" w:type="dxa"/>
          <w:bottom w:w="0" w:type="dxa"/>
          <w:right w:w="0" w:type="dxa"/>
        </w:tblCellMar>
      </w:tblPr>
      <w:tr>
        <w:trPr>
          <w:trHeight w:val="226"/>
        </w:trPr>
        <w:tc>
          <w:tcPr>
            <w:tcW w:w="192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600" w:type="dxa"/>
            <w:vAlign w:val="bottom"/>
          </w:tcPr>
          <w:p>
            <w:pPr>
              <w:ind w:left="340"/>
              <w:spacing w:after="0" w:line="141" w:lineRule="exact"/>
              <w:rPr>
                <w:sz w:val="20"/>
                <w:szCs w:val="20"/>
                <w:color w:val="auto"/>
              </w:rPr>
            </w:pPr>
            <w:r>
              <w:rPr>
                <w:rFonts w:ascii="MS PGothic" w:cs="MS PGothic" w:eastAsia="MS PGothic" w:hAnsi="MS PGothic"/>
                <w:sz w:val="14"/>
                <w:szCs w:val="14"/>
                <w:color w:val="auto"/>
              </w:rPr>
              <w:t>☐</w:t>
            </w:r>
          </w:p>
        </w:tc>
        <w:tc>
          <w:tcPr>
            <w:tcW w:w="5080" w:type="dxa"/>
            <w:vAlign w:val="bottom"/>
          </w:tcPr>
          <w:p>
            <w:pPr>
              <w:ind w:left="3100"/>
              <w:spacing w:after="0"/>
              <w:rPr>
                <w:sz w:val="20"/>
                <w:szCs w:val="20"/>
                <w:color w:val="auto"/>
              </w:rPr>
            </w:pPr>
            <w:r>
              <w:rPr>
                <w:rFonts w:ascii="Arial" w:cs="Arial" w:eastAsia="Arial" w:hAnsi="Arial"/>
                <w:sz w:val="14"/>
                <w:szCs w:val="14"/>
                <w:color w:val="auto"/>
              </w:rPr>
              <w:t>Accelerated filer</w:t>
            </w:r>
          </w:p>
        </w:tc>
        <w:tc>
          <w:tcPr>
            <w:tcW w:w="540" w:type="dxa"/>
            <w:vAlign w:val="bottom"/>
          </w:tcPr>
          <w:p>
            <w:pPr>
              <w:ind w:left="40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351"/>
        </w:trPr>
        <w:tc>
          <w:tcPr>
            <w:tcW w:w="1920" w:type="dxa"/>
            <w:vAlign w:val="bottom"/>
          </w:tcPr>
          <w:p>
            <w:pPr>
              <w:spacing w:after="0"/>
              <w:rPr>
                <w:sz w:val="20"/>
                <w:szCs w:val="20"/>
                <w:color w:val="auto"/>
              </w:rPr>
            </w:pPr>
            <w:r>
              <w:rPr>
                <w:rFonts w:ascii="Arial" w:cs="Arial" w:eastAsia="Arial" w:hAnsi="Arial"/>
                <w:sz w:val="14"/>
                <w:szCs w:val="14"/>
                <w:color w:val="auto"/>
              </w:rPr>
              <w:t>Non-accelerated filer</w:t>
            </w:r>
          </w:p>
        </w:tc>
        <w:tc>
          <w:tcPr>
            <w:tcW w:w="3600" w:type="dxa"/>
            <w:vAlign w:val="bottom"/>
          </w:tcPr>
          <w:p>
            <w:pPr>
              <w:ind w:left="340"/>
              <w:spacing w:after="0" w:line="141" w:lineRule="exact"/>
              <w:rPr>
                <w:sz w:val="20"/>
                <w:szCs w:val="20"/>
                <w:color w:val="auto"/>
              </w:rPr>
            </w:pPr>
            <w:r>
              <w:rPr>
                <w:rFonts w:ascii="MS PGothic" w:cs="MS PGothic" w:eastAsia="MS PGothic" w:hAnsi="MS PGothic"/>
                <w:sz w:val="14"/>
                <w:szCs w:val="14"/>
                <w:color w:val="auto"/>
              </w:rPr>
              <w:t>☑</w:t>
            </w:r>
          </w:p>
        </w:tc>
        <w:tc>
          <w:tcPr>
            <w:tcW w:w="5080" w:type="dxa"/>
            <w:vAlign w:val="bottom"/>
          </w:tcPr>
          <w:p>
            <w:pPr>
              <w:ind w:left="3100"/>
              <w:spacing w:after="0"/>
              <w:rPr>
                <w:sz w:val="20"/>
                <w:szCs w:val="20"/>
                <w:color w:val="auto"/>
              </w:rPr>
            </w:pPr>
            <w:r>
              <w:rPr>
                <w:rFonts w:ascii="Arial" w:cs="Arial" w:eastAsia="Arial" w:hAnsi="Arial"/>
                <w:sz w:val="14"/>
                <w:szCs w:val="14"/>
                <w:color w:val="auto"/>
              </w:rPr>
              <w:t>Smaller reporting company</w:t>
            </w:r>
          </w:p>
        </w:tc>
        <w:tc>
          <w:tcPr>
            <w:tcW w:w="540" w:type="dxa"/>
            <w:vAlign w:val="bottom"/>
          </w:tcPr>
          <w:p>
            <w:pPr>
              <w:ind w:left="40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351"/>
        </w:trPr>
        <w:tc>
          <w:tcPr>
            <w:tcW w:w="1920" w:type="dxa"/>
            <w:vAlign w:val="bottom"/>
          </w:tcPr>
          <w:p>
            <w:pPr>
              <w:spacing w:after="0"/>
              <w:rPr>
                <w:sz w:val="20"/>
                <w:szCs w:val="20"/>
                <w:color w:val="auto"/>
              </w:rPr>
            </w:pPr>
            <w:r>
              <w:rPr>
                <w:rFonts w:ascii="Arial" w:cs="Arial" w:eastAsia="Arial" w:hAnsi="Arial"/>
                <w:sz w:val="14"/>
                <w:szCs w:val="14"/>
                <w:color w:val="auto"/>
              </w:rPr>
              <w:t>Emerging growth company</w:t>
            </w:r>
          </w:p>
        </w:tc>
        <w:tc>
          <w:tcPr>
            <w:tcW w:w="3600" w:type="dxa"/>
            <w:vAlign w:val="bottom"/>
          </w:tcPr>
          <w:p>
            <w:pPr>
              <w:ind w:left="340"/>
              <w:spacing w:after="0" w:line="141" w:lineRule="exact"/>
              <w:rPr>
                <w:sz w:val="20"/>
                <w:szCs w:val="20"/>
                <w:color w:val="auto"/>
              </w:rPr>
            </w:pPr>
            <w:r>
              <w:rPr>
                <w:rFonts w:ascii="MS PGothic" w:cs="MS PGothic" w:eastAsia="MS PGothic" w:hAnsi="MS PGothic"/>
                <w:sz w:val="14"/>
                <w:szCs w:val="14"/>
                <w:color w:val="auto"/>
              </w:rPr>
              <w:t>☑</w:t>
            </w:r>
          </w:p>
        </w:tc>
        <w:tc>
          <w:tcPr>
            <w:tcW w:w="5080" w:type="dxa"/>
            <w:vAlign w:val="bottom"/>
          </w:tcPr>
          <w:p>
            <w:pPr>
              <w:spacing w:after="0"/>
              <w:rPr>
                <w:sz w:val="24"/>
                <w:szCs w:val="24"/>
                <w:color w:val="auto"/>
              </w:rPr>
            </w:pPr>
          </w:p>
        </w:tc>
        <w:tc>
          <w:tcPr>
            <w:tcW w:w="540" w:type="dxa"/>
            <w:vAlign w:val="bottom"/>
          </w:tcPr>
          <w:p>
            <w:pPr>
              <w:spacing w:after="0"/>
              <w:rPr>
                <w:sz w:val="24"/>
                <w:szCs w:val="24"/>
                <w:color w:val="auto"/>
              </w:rPr>
            </w:pPr>
          </w:p>
        </w:tc>
      </w:tr>
    </w:tbl>
    <w:p>
      <w:pPr>
        <w:spacing w:after="0" w:line="18" w:lineRule="exact"/>
        <w:rPr>
          <w:sz w:val="24"/>
          <w:szCs w:val="24"/>
          <w:color w:val="auto"/>
        </w:rPr>
      </w:pPr>
    </w:p>
    <w:p>
      <w:pPr>
        <w:ind w:right="560"/>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8" w:lineRule="exact"/>
        <w:rPr>
          <w:sz w:val="24"/>
          <w:szCs w:val="24"/>
          <w:color w:val="auto"/>
        </w:rPr>
      </w:pPr>
    </w:p>
    <w:p>
      <w:pPr>
        <w:ind w:right="60"/>
        <w:spacing w:after="0" w:line="180"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1" w:lineRule="exact"/>
        <w:rPr>
          <w:sz w:val="24"/>
          <w:szCs w:val="24"/>
          <w:color w:val="auto"/>
        </w:rPr>
      </w:pPr>
    </w:p>
    <w:p>
      <w:pPr>
        <w:spacing w:after="0" w:line="161" w:lineRule="exact"/>
        <w:tabs>
          <w:tab w:leader="none" w:pos="7260" w:val="left"/>
        </w:tabs>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sz w:val="20"/>
          <w:szCs w:val="20"/>
          <w:color w:val="auto"/>
        </w:rPr>
        <w:tab/>
      </w:r>
      <w:r>
        <w:rPr>
          <w:rFonts w:ascii="Arial" w:cs="Arial" w:eastAsia="Arial" w:hAnsi="Arial"/>
          <w:sz w:val="13"/>
          <w:szCs w:val="13"/>
          <w:color w:val="auto"/>
        </w:rPr>
        <w:t xml:space="preserve">NO </w:t>
      </w:r>
      <w:r>
        <w:rPr>
          <w:rFonts w:ascii="MS PGothic" w:cs="MS PGothic" w:eastAsia="MS PGothic" w:hAnsi="MS PGothic"/>
          <w:sz w:val="13"/>
          <w:szCs w:val="13"/>
          <w:color w:val="auto"/>
        </w:rPr>
        <w:t>☑</w:t>
      </w:r>
    </w:p>
    <w:p>
      <w:pPr>
        <w:spacing w:after="0" w:line="73" w:lineRule="exact"/>
        <w:rPr>
          <w:sz w:val="24"/>
          <w:szCs w:val="24"/>
          <w:color w:val="auto"/>
        </w:rPr>
      </w:pPr>
    </w:p>
    <w:p>
      <w:pPr>
        <w:ind w:right="280"/>
        <w:spacing w:after="0" w:line="273" w:lineRule="auto"/>
        <w:rPr>
          <w:sz w:val="20"/>
          <w:szCs w:val="20"/>
          <w:color w:val="auto"/>
        </w:rPr>
      </w:pPr>
      <w:r>
        <w:rPr>
          <w:rFonts w:ascii="Arial" w:cs="Arial" w:eastAsia="Arial" w:hAnsi="Arial"/>
          <w:sz w:val="14"/>
          <w:szCs w:val="14"/>
          <w:color w:val="auto"/>
        </w:rPr>
        <w:t>The aggregate market value of the voting and non-voting common equity held by non-affiliates of the Registrant, based on the closing price of the shares of common stock as reported by The Nasdaq Global Select Market on June 30, 2021 was $757,304,000.</w:t>
      </w:r>
    </w:p>
    <w:p>
      <w:pPr>
        <w:spacing w:after="0" w:line="12" w:lineRule="exact"/>
        <w:rPr>
          <w:sz w:val="24"/>
          <w:szCs w:val="24"/>
          <w:color w:val="auto"/>
        </w:rPr>
      </w:pPr>
    </w:p>
    <w:p>
      <w:pPr>
        <w:spacing w:after="0"/>
        <w:rPr>
          <w:sz w:val="20"/>
          <w:szCs w:val="20"/>
          <w:color w:val="auto"/>
        </w:rPr>
      </w:pPr>
      <w:r>
        <w:rPr>
          <w:rFonts w:ascii="Arial" w:cs="Arial" w:eastAsia="Arial" w:hAnsi="Arial"/>
          <w:sz w:val="14"/>
          <w:szCs w:val="14"/>
          <w:color w:val="auto"/>
        </w:rPr>
        <w:t>The number of shares of Registrant’s Class A common stock outstanding as of March 7, 2022 was 44,160,216.</w:t>
      </w:r>
    </w:p>
    <w:p>
      <w:pPr>
        <w:spacing w:after="0" w:line="55" w:lineRule="exact"/>
        <w:rPr>
          <w:sz w:val="24"/>
          <w:szCs w:val="24"/>
          <w:color w:val="auto"/>
        </w:rPr>
      </w:pPr>
    </w:p>
    <w:p>
      <w:pPr>
        <w:ind w:left="4060"/>
        <w:spacing w:after="0"/>
        <w:rPr>
          <w:sz w:val="20"/>
          <w:szCs w:val="20"/>
          <w:color w:val="auto"/>
        </w:rPr>
      </w:pPr>
      <w:r>
        <w:rPr>
          <w:rFonts w:ascii="Arial" w:cs="Arial" w:eastAsia="Arial" w:hAnsi="Arial"/>
          <w:sz w:val="14"/>
          <w:szCs w:val="14"/>
          <w:color w:val="auto"/>
        </w:rPr>
        <w:t>DOCUMENTS INCORPORATED BY REFERENCE</w:t>
      </w:r>
    </w:p>
    <w:p>
      <w:pPr>
        <w:spacing w:after="0" w:line="13" w:lineRule="exact"/>
        <w:rPr>
          <w:sz w:val="24"/>
          <w:szCs w:val="24"/>
          <w:color w:val="auto"/>
        </w:rPr>
      </w:pPr>
    </w:p>
    <w:p>
      <w:pPr>
        <w:ind w:right="400"/>
        <w:spacing w:after="0" w:line="255" w:lineRule="auto"/>
        <w:rPr>
          <w:sz w:val="20"/>
          <w:szCs w:val="20"/>
          <w:color w:val="auto"/>
        </w:rPr>
      </w:pPr>
      <w:r>
        <w:rPr>
          <w:rFonts w:ascii="Arial" w:cs="Arial" w:eastAsia="Arial" w:hAnsi="Arial"/>
          <w:sz w:val="14"/>
          <w:szCs w:val="14"/>
          <w:color w:val="auto"/>
        </w:rPr>
        <w:t>Portions of the Registrant’s definitive proxy statement for the Registrant’s 2022 annual meeting of stockholders, to be filed within 120 days after the close of the Registrant’s fiscal year, are incorporated by reference into Part III of this Annual Report.</w:t>
      </w:r>
    </w:p>
    <w:p>
      <w:pPr>
        <w:spacing w:after="0" w:line="132" w:lineRule="exact"/>
        <w:rPr>
          <w:sz w:val="24"/>
          <w:szCs w:val="24"/>
          <w:color w:val="auto"/>
        </w:rPr>
      </w:pPr>
    </w:p>
    <w:p>
      <w:pPr>
        <w:ind w:left="20"/>
        <w:spacing w:after="0"/>
        <w:tabs>
          <w:tab w:leader="none" w:pos="1380" w:val="left"/>
          <w:tab w:leader="none" w:pos="3260" w:val="left"/>
          <w:tab w:leader="none" w:pos="4640" w:val="left"/>
          <w:tab w:leader="none" w:pos="6880" w:val="left"/>
          <w:tab w:leader="none" w:pos="8380" w:val="left"/>
        </w:tabs>
        <w:rPr>
          <w:sz w:val="20"/>
          <w:szCs w:val="20"/>
          <w:color w:val="auto"/>
        </w:rPr>
      </w:pPr>
      <w:r>
        <w:rPr>
          <w:rFonts w:ascii="Arial" w:cs="Arial" w:eastAsia="Arial" w:hAnsi="Arial"/>
          <w:sz w:val="14"/>
          <w:szCs w:val="14"/>
          <w:color w:val="auto"/>
        </w:rPr>
        <w:t>Auditor Firm Id:</w:t>
      </w:r>
      <w:r>
        <w:rPr>
          <w:sz w:val="20"/>
          <w:szCs w:val="20"/>
          <w:color w:val="auto"/>
        </w:rPr>
        <w:tab/>
      </w:r>
      <w:r>
        <w:rPr>
          <w:rFonts w:ascii="Arial" w:cs="Arial" w:eastAsia="Arial" w:hAnsi="Arial"/>
          <w:sz w:val="14"/>
          <w:szCs w:val="14"/>
          <w:color w:val="auto"/>
        </w:rPr>
        <w:t>185</w:t>
      </w:r>
      <w:r>
        <w:rPr>
          <w:sz w:val="20"/>
          <w:szCs w:val="20"/>
          <w:color w:val="auto"/>
        </w:rPr>
        <w:tab/>
      </w:r>
      <w:r>
        <w:rPr>
          <w:rFonts w:ascii="Arial" w:cs="Arial" w:eastAsia="Arial" w:hAnsi="Arial"/>
          <w:sz w:val="14"/>
          <w:szCs w:val="14"/>
          <w:color w:val="auto"/>
        </w:rPr>
        <w:t>Auditor Name:</w:t>
      </w:r>
      <w:r>
        <w:rPr>
          <w:sz w:val="20"/>
          <w:szCs w:val="20"/>
          <w:color w:val="auto"/>
        </w:rPr>
        <w:tab/>
      </w:r>
      <w:r>
        <w:rPr>
          <w:rFonts w:ascii="Arial" w:cs="Arial" w:eastAsia="Arial" w:hAnsi="Arial"/>
          <w:sz w:val="14"/>
          <w:szCs w:val="14"/>
          <w:color w:val="auto"/>
        </w:rPr>
        <w:t>KPMG LLP</w:t>
      </w:r>
      <w:r>
        <w:rPr>
          <w:sz w:val="20"/>
          <w:szCs w:val="20"/>
          <w:color w:val="auto"/>
        </w:rPr>
        <w:tab/>
      </w:r>
      <w:r>
        <w:rPr>
          <w:rFonts w:ascii="Arial" w:cs="Arial" w:eastAsia="Arial" w:hAnsi="Arial"/>
          <w:sz w:val="14"/>
          <w:szCs w:val="14"/>
          <w:color w:val="auto"/>
        </w:rPr>
        <w:t>Auditor Location:</w:t>
      </w:r>
      <w:r>
        <w:rPr>
          <w:sz w:val="20"/>
          <w:szCs w:val="20"/>
          <w:color w:val="auto"/>
        </w:rPr>
        <w:tab/>
      </w:r>
      <w:r>
        <w:rPr>
          <w:rFonts w:ascii="Arial" w:cs="Arial" w:eastAsia="Arial" w:hAnsi="Arial"/>
          <w:sz w:val="13"/>
          <w:szCs w:val="13"/>
          <w:color w:val="auto"/>
        </w:rPr>
        <w:t>McLean, VA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89535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106680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428625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840" w:type="dxa"/>
            <w:vAlign w:val="bottom"/>
            <w:gridSpan w:val="9"/>
          </w:tcPr>
          <w:p>
            <w:pPr>
              <w:ind w:left="320"/>
              <w:spacing w:after="0"/>
              <w:rPr>
                <w:sz w:val="20"/>
                <w:szCs w:val="20"/>
                <w:color w:val="auto"/>
              </w:rPr>
            </w:pPr>
            <w:r>
              <w:rPr>
                <w:rFonts w:ascii="Arial" w:cs="Arial" w:eastAsia="Arial" w:hAnsi="Arial"/>
                <w:sz w:val="18"/>
                <w:szCs w:val="18"/>
                <w:b w:val="1"/>
                <w:bCs w:val="1"/>
                <w:color w:val="auto"/>
              </w:rPr>
              <w:t>Table of Contents</w:t>
            </w: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8"/>
        </w:trPr>
        <w:tc>
          <w:tcPr>
            <w:tcW w:w="1240" w:type="dxa"/>
            <w:vAlign w:val="bottom"/>
            <w:gridSpan w:val="6"/>
            <w:vMerge w:val="restart"/>
          </w:tcPr>
          <w:p>
            <w:pPr>
              <w:spacing w:after="0"/>
              <w:rPr>
                <w:rFonts w:ascii="Arial" w:cs="Arial" w:eastAsia="Arial" w:hAnsi="Arial"/>
                <w:sz w:val="18"/>
                <w:szCs w:val="18"/>
                <w:b w:val="1"/>
                <w:bCs w:val="1"/>
                <w:color w:val="0000FF"/>
              </w:rPr>
            </w:pPr>
            <w:hyperlink w:anchor="page5">
              <w:r>
                <w:rPr>
                  <w:rFonts w:ascii="Arial" w:cs="Arial" w:eastAsia="Arial" w:hAnsi="Arial"/>
                  <w:sz w:val="18"/>
                  <w:szCs w:val="18"/>
                  <w:b w:val="1"/>
                  <w:bCs w:val="1"/>
                  <w:color w:val="0000FF"/>
                </w:rPr>
                <w:t>PART I</w:t>
              </w:r>
            </w:hyperlink>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8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55"/>
        </w:trPr>
        <w:tc>
          <w:tcPr>
            <w:tcW w:w="1240" w:type="dxa"/>
            <w:vAlign w:val="bottom"/>
            <w:gridSpan w:val="6"/>
            <w:vMerge w:val="continue"/>
          </w:tcPr>
          <w:p>
            <w:pPr>
              <w:spacing w:after="0"/>
              <w:rPr>
                <w:sz w:val="13"/>
                <w:szCs w:val="13"/>
                <w:color w:val="auto"/>
              </w:rPr>
            </w:pPr>
          </w:p>
        </w:tc>
        <w:tc>
          <w:tcPr>
            <w:tcW w:w="9200" w:type="dxa"/>
            <w:vAlign w:val="bottom"/>
            <w:gridSpan w:val="23"/>
            <w:vMerge w:val="restart"/>
          </w:tcPr>
          <w:p>
            <w:pPr>
              <w:spacing w:after="0"/>
              <w:rPr>
                <w:rFonts w:ascii="Arial" w:cs="Arial" w:eastAsia="Arial" w:hAnsi="Arial"/>
                <w:sz w:val="18"/>
                <w:szCs w:val="18"/>
                <w:color w:val="0000FF"/>
              </w:rPr>
            </w:pPr>
            <w:hyperlink w:anchor="page5">
              <w:r>
                <w:rPr>
                  <w:rFonts w:ascii="Arial" w:cs="Arial" w:eastAsia="Arial" w:hAnsi="Arial"/>
                  <w:sz w:val="18"/>
                  <w:szCs w:val="18"/>
                  <w:color w:val="0000FF"/>
                </w:rPr>
                <w:t>Business</w:t>
              </w:r>
            </w:hyperlink>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5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200" w:type="dxa"/>
            <w:vAlign w:val="bottom"/>
            <w:gridSpan w:val="23"/>
            <w:vMerge w:val="continue"/>
          </w:tcPr>
          <w:p>
            <w:pPr>
              <w:spacing w:after="0" w:line="20" w:lineRule="exact"/>
              <w:rPr>
                <w:sz w:val="1"/>
                <w:szCs w:val="1"/>
                <w:color w:val="auto"/>
              </w:rPr>
            </w:pPr>
          </w:p>
        </w:tc>
        <w:tc>
          <w:tcPr>
            <w:tcW w:w="78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240" w:type="dxa"/>
            <w:vAlign w:val="bottom"/>
            <w:gridSpan w:val="6"/>
          </w:tcPr>
          <w:p>
            <w:pPr>
              <w:ind w:left="120"/>
              <w:spacing w:after="0" w:line="169" w:lineRule="exact"/>
              <w:rPr>
                <w:sz w:val="20"/>
                <w:szCs w:val="20"/>
                <w:color w:val="auto"/>
              </w:rPr>
            </w:pPr>
            <w:r>
              <w:rPr>
                <w:rFonts w:ascii="Arial" w:cs="Arial" w:eastAsia="Arial" w:hAnsi="Arial"/>
                <w:sz w:val="18"/>
                <w:szCs w:val="18"/>
                <w:color w:val="auto"/>
              </w:rPr>
              <w:t>Item 1.</w:t>
            </w:r>
          </w:p>
        </w:tc>
        <w:tc>
          <w:tcPr>
            <w:tcW w:w="9200" w:type="dxa"/>
            <w:vAlign w:val="bottom"/>
            <w:gridSpan w:val="23"/>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40" w:type="dxa"/>
            <w:vAlign w:val="bottom"/>
            <w:gridSpan w:val="6"/>
            <w:vMerge w:val="restart"/>
          </w:tcPr>
          <w:p>
            <w:pPr>
              <w:ind w:left="120"/>
              <w:spacing w:after="0" w:line="189" w:lineRule="exact"/>
              <w:rPr>
                <w:sz w:val="20"/>
                <w:szCs w:val="20"/>
                <w:color w:val="auto"/>
              </w:rPr>
            </w:pPr>
            <w:r>
              <w:rPr>
                <w:rFonts w:ascii="Arial" w:cs="Arial" w:eastAsia="Arial" w:hAnsi="Arial"/>
                <w:sz w:val="18"/>
                <w:szCs w:val="18"/>
                <w:color w:val="auto"/>
              </w:rPr>
              <w:t>Item 1A.</w:t>
            </w:r>
          </w:p>
        </w:tc>
        <w:tc>
          <w:tcPr>
            <w:tcW w:w="20" w:type="dxa"/>
            <w:vAlign w:val="bottom"/>
            <w:vMerge w:val="restart"/>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80" w:type="dxa"/>
            <w:vAlign w:val="bottom"/>
            <w:vMerge w:val="restart"/>
          </w:tcPr>
          <w:p>
            <w:pPr>
              <w:jc w:val="right"/>
              <w:spacing w:after="0" w:line="189" w:lineRule="exact"/>
              <w:rPr>
                <w:sz w:val="20"/>
                <w:szCs w:val="20"/>
                <w:color w:val="auto"/>
              </w:rPr>
            </w:pPr>
            <w:r>
              <w:rPr>
                <w:rFonts w:ascii="Arial" w:cs="Arial" w:eastAsia="Arial" w:hAnsi="Arial"/>
                <w:sz w:val="18"/>
                <w:szCs w:val="18"/>
                <w:color w:val="auto"/>
              </w:rPr>
              <w:t>8</w:t>
            </w:r>
          </w:p>
        </w:tc>
        <w:tc>
          <w:tcPr>
            <w:tcW w:w="0" w:type="dxa"/>
            <w:vAlign w:val="bottom"/>
          </w:tcPr>
          <w:p>
            <w:pPr>
              <w:spacing w:after="0" w:line="20" w:lineRule="exact"/>
              <w:rPr>
                <w:sz w:val="1"/>
                <w:szCs w:val="1"/>
                <w:color w:val="auto"/>
              </w:rPr>
            </w:pPr>
          </w:p>
        </w:tc>
      </w:tr>
      <w:tr>
        <w:trPr>
          <w:trHeight w:val="169"/>
        </w:trPr>
        <w:tc>
          <w:tcPr>
            <w:tcW w:w="1240" w:type="dxa"/>
            <w:vAlign w:val="bottom"/>
            <w:gridSpan w:val="6"/>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9180" w:type="dxa"/>
            <w:vAlign w:val="bottom"/>
            <w:gridSpan w:val="22"/>
          </w:tcPr>
          <w:p>
            <w:pPr>
              <w:spacing w:after="0" w:line="169" w:lineRule="exact"/>
              <w:rPr>
                <w:rFonts w:ascii="Arial" w:cs="Arial" w:eastAsia="Arial" w:hAnsi="Arial"/>
                <w:sz w:val="18"/>
                <w:szCs w:val="18"/>
                <w:color w:val="0000FF"/>
              </w:rPr>
            </w:pPr>
            <w:hyperlink w:anchor="page11">
              <w:r>
                <w:rPr>
                  <w:rFonts w:ascii="Arial" w:cs="Arial" w:eastAsia="Arial" w:hAnsi="Arial"/>
                  <w:sz w:val="18"/>
                  <w:szCs w:val="18"/>
                  <w:color w:val="0000FF"/>
                </w:rPr>
                <w:t>Risk Factors</w:t>
              </w:r>
            </w:hyperlink>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40" w:type="dxa"/>
            <w:vAlign w:val="bottom"/>
            <w:gridSpan w:val="6"/>
            <w:vMerge w:val="restart"/>
          </w:tcPr>
          <w:p>
            <w:pPr>
              <w:ind w:left="120"/>
              <w:spacing w:after="0" w:line="189" w:lineRule="exact"/>
              <w:rPr>
                <w:sz w:val="20"/>
                <w:szCs w:val="20"/>
                <w:color w:val="auto"/>
              </w:rPr>
            </w:pPr>
            <w:r>
              <w:rPr>
                <w:rFonts w:ascii="Arial" w:cs="Arial" w:eastAsia="Arial" w:hAnsi="Arial"/>
                <w:sz w:val="18"/>
                <w:szCs w:val="18"/>
                <w:color w:val="auto"/>
              </w:rPr>
              <w:t>Item 1B.</w:t>
            </w:r>
          </w:p>
        </w:tc>
        <w:tc>
          <w:tcPr>
            <w:tcW w:w="20" w:type="dxa"/>
            <w:vAlign w:val="bottom"/>
            <w:shd w:val="clear" w:color="auto" w:fill="0000EE"/>
          </w:tcPr>
          <w:p>
            <w:pPr>
              <w:spacing w:after="0" w:line="20" w:lineRule="exact"/>
              <w:rPr>
                <w:sz w:val="1"/>
                <w:szCs w:val="1"/>
                <w:color w:val="auto"/>
              </w:rPr>
            </w:pPr>
          </w:p>
        </w:tc>
        <w:tc>
          <w:tcPr>
            <w:tcW w:w="740" w:type="dxa"/>
            <w:vAlign w:val="bottom"/>
            <w:tcBorders>
              <w:right w:val="single" w:sz="8" w:color="0000FF"/>
            </w:tcBorders>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right w:val="single" w:sz="8" w:color="0000EE"/>
            </w:tcBorders>
            <w:shd w:val="clear" w:color="auto" w:fill="0000FF"/>
          </w:tcPr>
          <w:p>
            <w:pPr>
              <w:spacing w:after="0" w:line="20" w:lineRule="exact"/>
              <w:rPr>
                <w:sz w:val="1"/>
                <w:szCs w:val="1"/>
                <w:color w:val="auto"/>
              </w:rPr>
            </w:pPr>
          </w:p>
        </w:tc>
        <w:tc>
          <w:tcPr>
            <w:tcW w:w="8280" w:type="dxa"/>
            <w:vAlign w:val="bottom"/>
            <w:gridSpan w:val="17"/>
            <w:vMerge w:val="restart"/>
          </w:tcPr>
          <w:p>
            <w:pPr>
              <w:spacing w:after="0" w:line="189" w:lineRule="exact"/>
              <w:rPr>
                <w:rFonts w:ascii="Arial" w:cs="Arial" w:eastAsia="Arial" w:hAnsi="Arial"/>
                <w:sz w:val="18"/>
                <w:szCs w:val="18"/>
                <w:color w:val="0000FF"/>
              </w:rPr>
            </w:pPr>
            <w:hyperlink w:anchor="page41">
              <w:r>
                <w:rPr>
                  <w:rFonts w:ascii="Arial" w:cs="Arial" w:eastAsia="Arial" w:hAnsi="Arial"/>
                  <w:sz w:val="18"/>
                  <w:szCs w:val="18"/>
                  <w:color w:val="0000FF"/>
                </w:rPr>
                <w:t>Staff Comments</w:t>
              </w:r>
            </w:hyperlink>
          </w:p>
        </w:tc>
        <w:tc>
          <w:tcPr>
            <w:tcW w:w="780" w:type="dxa"/>
            <w:vAlign w:val="bottom"/>
            <w:vMerge w:val="restart"/>
          </w:tcPr>
          <w:p>
            <w:pPr>
              <w:jc w:val="right"/>
              <w:spacing w:after="0" w:line="189" w:lineRule="exact"/>
              <w:rPr>
                <w:sz w:val="20"/>
                <w:szCs w:val="20"/>
                <w:color w:val="auto"/>
              </w:rPr>
            </w:pPr>
            <w:r>
              <w:rPr>
                <w:rFonts w:ascii="Arial" w:cs="Arial" w:eastAsia="Arial" w:hAnsi="Arial"/>
                <w:sz w:val="18"/>
                <w:szCs w:val="18"/>
                <w:color w:val="auto"/>
              </w:rPr>
              <w:t>38</w:t>
            </w:r>
          </w:p>
        </w:tc>
        <w:tc>
          <w:tcPr>
            <w:tcW w:w="0" w:type="dxa"/>
            <w:vAlign w:val="bottom"/>
          </w:tcPr>
          <w:p>
            <w:pPr>
              <w:spacing w:after="0" w:line="20" w:lineRule="exact"/>
              <w:rPr>
                <w:sz w:val="1"/>
                <w:szCs w:val="1"/>
                <w:color w:val="auto"/>
              </w:rPr>
            </w:pPr>
          </w:p>
        </w:tc>
      </w:tr>
      <w:tr>
        <w:trPr>
          <w:trHeight w:val="169"/>
        </w:trPr>
        <w:tc>
          <w:tcPr>
            <w:tcW w:w="1240" w:type="dxa"/>
            <w:vAlign w:val="bottom"/>
            <w:gridSpan w:val="6"/>
            <w:vMerge w:val="continue"/>
          </w:tcPr>
          <w:p>
            <w:pPr>
              <w:spacing w:after="0"/>
              <w:rPr>
                <w:sz w:val="14"/>
                <w:szCs w:val="14"/>
                <w:color w:val="auto"/>
              </w:rPr>
            </w:pPr>
          </w:p>
        </w:tc>
        <w:tc>
          <w:tcPr>
            <w:tcW w:w="920" w:type="dxa"/>
            <w:vAlign w:val="bottom"/>
            <w:gridSpan w:val="6"/>
          </w:tcPr>
          <w:p>
            <w:pPr>
              <w:spacing w:after="0" w:line="169" w:lineRule="exact"/>
              <w:rPr>
                <w:rFonts w:ascii="Arial" w:cs="Arial" w:eastAsia="Arial" w:hAnsi="Arial"/>
                <w:sz w:val="18"/>
                <w:szCs w:val="18"/>
                <w:color w:val="0000FF"/>
                <w:w w:val="96"/>
              </w:rPr>
            </w:pPr>
            <w:hyperlink w:anchor="page41">
              <w:r>
                <w:rPr>
                  <w:rFonts w:ascii="Arial" w:cs="Arial" w:eastAsia="Arial" w:hAnsi="Arial"/>
                  <w:sz w:val="18"/>
                  <w:szCs w:val="18"/>
                  <w:color w:val="0000FF"/>
                  <w:w w:val="96"/>
                </w:rPr>
                <w:t>Unresolved</w:t>
              </w:r>
            </w:hyperlink>
          </w:p>
        </w:tc>
        <w:tc>
          <w:tcPr>
            <w:tcW w:w="8280" w:type="dxa"/>
            <w:vAlign w:val="bottom"/>
            <w:gridSpan w:val="17"/>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40" w:type="dxa"/>
            <w:vAlign w:val="bottom"/>
            <w:gridSpan w:val="6"/>
            <w:vMerge w:val="restart"/>
          </w:tcPr>
          <w:p>
            <w:pPr>
              <w:ind w:left="120"/>
              <w:spacing w:after="0" w:line="189" w:lineRule="exact"/>
              <w:rPr>
                <w:sz w:val="20"/>
                <w:szCs w:val="20"/>
                <w:color w:val="auto"/>
              </w:rPr>
            </w:pPr>
            <w:r>
              <w:rPr>
                <w:rFonts w:ascii="Arial" w:cs="Arial" w:eastAsia="Arial" w:hAnsi="Arial"/>
                <w:sz w:val="18"/>
                <w:szCs w:val="18"/>
                <w:color w:val="auto"/>
              </w:rPr>
              <w:t>Item 2.</w:t>
            </w:r>
          </w:p>
        </w:tc>
        <w:tc>
          <w:tcPr>
            <w:tcW w:w="20" w:type="dxa"/>
            <w:vAlign w:val="bottom"/>
            <w:shd w:val="clear" w:color="auto" w:fill="0000EE"/>
          </w:tcPr>
          <w:p>
            <w:pPr>
              <w:spacing w:after="0" w:line="20" w:lineRule="exact"/>
              <w:rPr>
                <w:sz w:val="1"/>
                <w:szCs w:val="1"/>
                <w:color w:val="auto"/>
              </w:rPr>
            </w:pPr>
          </w:p>
        </w:tc>
        <w:tc>
          <w:tcPr>
            <w:tcW w:w="740" w:type="dxa"/>
            <w:vAlign w:val="bottom"/>
            <w:tcBorders>
              <w:right w:val="single" w:sz="8" w:color="0000FF"/>
            </w:tcBorders>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20" w:type="dxa"/>
            <w:vAlign w:val="bottom"/>
            <w:tcBorders>
              <w:right w:val="single" w:sz="8" w:color="0000FF"/>
            </w:tcBorders>
            <w:gridSpan w:val="2"/>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4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60" w:type="dxa"/>
            <w:vAlign w:val="bottom"/>
            <w:vMerge w:val="restart"/>
          </w:tcPr>
          <w:p>
            <w:pPr>
              <w:spacing w:after="0" w:line="20" w:lineRule="exact"/>
              <w:rPr>
                <w:sz w:val="1"/>
                <w:szCs w:val="1"/>
                <w:color w:val="auto"/>
              </w:rPr>
            </w:pPr>
          </w:p>
        </w:tc>
        <w:tc>
          <w:tcPr>
            <w:tcW w:w="740" w:type="dxa"/>
            <w:vAlign w:val="bottom"/>
            <w:vMerge w:val="restart"/>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540" w:type="dxa"/>
            <w:vAlign w:val="bottom"/>
            <w:vMerge w:val="restart"/>
          </w:tcPr>
          <w:p>
            <w:pPr>
              <w:spacing w:after="0" w:line="20" w:lineRule="exact"/>
              <w:rPr>
                <w:sz w:val="1"/>
                <w:szCs w:val="1"/>
                <w:color w:val="auto"/>
              </w:rPr>
            </w:pPr>
          </w:p>
        </w:tc>
        <w:tc>
          <w:tcPr>
            <w:tcW w:w="560" w:type="dxa"/>
            <w:vAlign w:val="bottom"/>
            <w:vMerge w:val="restart"/>
          </w:tcPr>
          <w:p>
            <w:pPr>
              <w:spacing w:after="0" w:line="20" w:lineRule="exact"/>
              <w:rPr>
                <w:sz w:val="1"/>
                <w:szCs w:val="1"/>
                <w:color w:val="auto"/>
              </w:rPr>
            </w:pPr>
          </w:p>
        </w:tc>
        <w:tc>
          <w:tcPr>
            <w:tcW w:w="100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780" w:type="dxa"/>
            <w:vAlign w:val="bottom"/>
            <w:vMerge w:val="restart"/>
          </w:tcPr>
          <w:p>
            <w:pPr>
              <w:spacing w:after="0" w:line="20" w:lineRule="exact"/>
              <w:rPr>
                <w:sz w:val="1"/>
                <w:szCs w:val="1"/>
                <w:color w:val="auto"/>
              </w:rPr>
            </w:pPr>
          </w:p>
        </w:tc>
        <w:tc>
          <w:tcPr>
            <w:tcW w:w="780" w:type="dxa"/>
            <w:vAlign w:val="bottom"/>
            <w:vMerge w:val="restart"/>
          </w:tcPr>
          <w:p>
            <w:pPr>
              <w:spacing w:after="0" w:line="20" w:lineRule="exact"/>
              <w:rPr>
                <w:sz w:val="1"/>
                <w:szCs w:val="1"/>
                <w:color w:val="auto"/>
              </w:rPr>
            </w:pPr>
          </w:p>
        </w:tc>
        <w:tc>
          <w:tcPr>
            <w:tcW w:w="1120" w:type="dxa"/>
            <w:vAlign w:val="bottom"/>
            <w:vMerge w:val="restart"/>
          </w:tcPr>
          <w:p>
            <w:pPr>
              <w:spacing w:after="0" w:line="20" w:lineRule="exact"/>
              <w:rPr>
                <w:sz w:val="1"/>
                <w:szCs w:val="1"/>
                <w:color w:val="auto"/>
              </w:rPr>
            </w:pPr>
          </w:p>
        </w:tc>
        <w:tc>
          <w:tcPr>
            <w:tcW w:w="780" w:type="dxa"/>
            <w:vAlign w:val="bottom"/>
            <w:vMerge w:val="restart"/>
          </w:tcPr>
          <w:p>
            <w:pPr>
              <w:jc w:val="right"/>
              <w:spacing w:after="0" w:line="189" w:lineRule="exact"/>
              <w:rPr>
                <w:sz w:val="20"/>
                <w:szCs w:val="20"/>
                <w:color w:val="auto"/>
              </w:rPr>
            </w:pPr>
            <w:r>
              <w:rPr>
                <w:rFonts w:ascii="Arial" w:cs="Arial" w:eastAsia="Arial" w:hAnsi="Arial"/>
                <w:sz w:val="18"/>
                <w:szCs w:val="18"/>
                <w:color w:val="auto"/>
              </w:rPr>
              <w:t>38</w:t>
            </w:r>
          </w:p>
        </w:tc>
        <w:tc>
          <w:tcPr>
            <w:tcW w:w="0" w:type="dxa"/>
            <w:vAlign w:val="bottom"/>
          </w:tcPr>
          <w:p>
            <w:pPr>
              <w:spacing w:after="0" w:line="20" w:lineRule="exact"/>
              <w:rPr>
                <w:sz w:val="1"/>
                <w:szCs w:val="1"/>
                <w:color w:val="auto"/>
              </w:rPr>
            </w:pPr>
          </w:p>
        </w:tc>
      </w:tr>
      <w:tr>
        <w:trPr>
          <w:trHeight w:val="169"/>
        </w:trPr>
        <w:tc>
          <w:tcPr>
            <w:tcW w:w="1240" w:type="dxa"/>
            <w:vAlign w:val="bottom"/>
            <w:gridSpan w:val="6"/>
            <w:vMerge w:val="continue"/>
          </w:tcPr>
          <w:p>
            <w:pPr>
              <w:spacing w:after="0"/>
              <w:rPr>
                <w:sz w:val="14"/>
                <w:szCs w:val="14"/>
                <w:color w:val="auto"/>
              </w:rPr>
            </w:pPr>
          </w:p>
        </w:tc>
        <w:tc>
          <w:tcPr>
            <w:tcW w:w="2040" w:type="dxa"/>
            <w:vAlign w:val="bottom"/>
            <w:gridSpan w:val="11"/>
          </w:tcPr>
          <w:p>
            <w:pPr>
              <w:spacing w:after="0" w:line="169" w:lineRule="exact"/>
              <w:rPr>
                <w:rFonts w:ascii="Arial" w:cs="Arial" w:eastAsia="Arial" w:hAnsi="Arial"/>
                <w:sz w:val="18"/>
                <w:szCs w:val="18"/>
                <w:color w:val="0000FF"/>
              </w:rPr>
            </w:pPr>
            <w:hyperlink w:anchor="page41">
              <w:r>
                <w:rPr>
                  <w:rFonts w:ascii="Arial" w:cs="Arial" w:eastAsia="Arial" w:hAnsi="Arial"/>
                  <w:sz w:val="18"/>
                  <w:szCs w:val="18"/>
                  <w:color w:val="0000FF"/>
                </w:rPr>
                <w:t>Properties</w:t>
              </w:r>
            </w:hyperlink>
          </w:p>
        </w:tc>
        <w:tc>
          <w:tcPr>
            <w:tcW w:w="84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46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260" w:type="dxa"/>
            <w:vAlign w:val="bottom"/>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6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112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40" w:type="dxa"/>
            <w:vAlign w:val="bottom"/>
            <w:gridSpan w:val="6"/>
            <w:vMerge w:val="restart"/>
          </w:tcPr>
          <w:p>
            <w:pPr>
              <w:ind w:left="120"/>
              <w:spacing w:after="0" w:line="189" w:lineRule="exact"/>
              <w:rPr>
                <w:sz w:val="20"/>
                <w:szCs w:val="20"/>
                <w:color w:val="auto"/>
              </w:rPr>
            </w:pPr>
            <w:r>
              <w:rPr>
                <w:rFonts w:ascii="Arial" w:cs="Arial" w:eastAsia="Arial" w:hAnsi="Arial"/>
                <w:sz w:val="18"/>
                <w:szCs w:val="18"/>
                <w:color w:val="auto"/>
              </w:rPr>
              <w:t>Item 3.</w:t>
            </w:r>
          </w:p>
        </w:tc>
        <w:tc>
          <w:tcPr>
            <w:tcW w:w="20" w:type="dxa"/>
            <w:vAlign w:val="bottom"/>
            <w:shd w:val="clear" w:color="auto" w:fill="0000EE"/>
          </w:tcPr>
          <w:p>
            <w:pPr>
              <w:spacing w:after="0" w:line="20" w:lineRule="exact"/>
              <w:rPr>
                <w:sz w:val="1"/>
                <w:szCs w:val="1"/>
                <w:color w:val="auto"/>
              </w:rPr>
            </w:pPr>
          </w:p>
        </w:tc>
        <w:tc>
          <w:tcPr>
            <w:tcW w:w="740" w:type="dxa"/>
            <w:vAlign w:val="bottom"/>
            <w:tcBorders>
              <w:right w:val="single" w:sz="8" w:color="0000EE"/>
            </w:tcBorders>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80" w:type="dxa"/>
            <w:vAlign w:val="bottom"/>
            <w:vMerge w:val="restart"/>
          </w:tcPr>
          <w:p>
            <w:pPr>
              <w:jc w:val="right"/>
              <w:spacing w:after="0" w:line="189" w:lineRule="exact"/>
              <w:rPr>
                <w:sz w:val="20"/>
                <w:szCs w:val="20"/>
                <w:color w:val="auto"/>
              </w:rPr>
            </w:pPr>
            <w:r>
              <w:rPr>
                <w:rFonts w:ascii="Arial" w:cs="Arial" w:eastAsia="Arial" w:hAnsi="Arial"/>
                <w:sz w:val="18"/>
                <w:szCs w:val="18"/>
                <w:color w:val="auto"/>
              </w:rPr>
              <w:t>38</w:t>
            </w:r>
          </w:p>
        </w:tc>
        <w:tc>
          <w:tcPr>
            <w:tcW w:w="0" w:type="dxa"/>
            <w:vAlign w:val="bottom"/>
          </w:tcPr>
          <w:p>
            <w:pPr>
              <w:spacing w:after="0" w:line="20" w:lineRule="exact"/>
              <w:rPr>
                <w:sz w:val="1"/>
                <w:szCs w:val="1"/>
                <w:color w:val="auto"/>
              </w:rPr>
            </w:pPr>
          </w:p>
        </w:tc>
      </w:tr>
      <w:tr>
        <w:trPr>
          <w:trHeight w:val="169"/>
        </w:trPr>
        <w:tc>
          <w:tcPr>
            <w:tcW w:w="1240" w:type="dxa"/>
            <w:vAlign w:val="bottom"/>
            <w:gridSpan w:val="6"/>
            <w:vMerge w:val="continue"/>
          </w:tcPr>
          <w:p>
            <w:pPr>
              <w:spacing w:after="0"/>
              <w:rPr>
                <w:sz w:val="14"/>
                <w:szCs w:val="14"/>
                <w:color w:val="auto"/>
              </w:rPr>
            </w:pPr>
          </w:p>
        </w:tc>
        <w:tc>
          <w:tcPr>
            <w:tcW w:w="9200" w:type="dxa"/>
            <w:vAlign w:val="bottom"/>
            <w:gridSpan w:val="23"/>
          </w:tcPr>
          <w:p>
            <w:pPr>
              <w:spacing w:after="0" w:line="169" w:lineRule="exact"/>
              <w:rPr>
                <w:rFonts w:ascii="Arial" w:cs="Arial" w:eastAsia="Arial" w:hAnsi="Arial"/>
                <w:sz w:val="18"/>
                <w:szCs w:val="18"/>
                <w:color w:val="0000FF"/>
              </w:rPr>
            </w:pPr>
            <w:hyperlink w:anchor="page41">
              <w:r>
                <w:rPr>
                  <w:rFonts w:ascii="Arial" w:cs="Arial" w:eastAsia="Arial" w:hAnsi="Arial"/>
                  <w:sz w:val="18"/>
                  <w:szCs w:val="18"/>
                  <w:color w:val="0000FF"/>
                </w:rPr>
                <w:t>Legal Proceedings</w:t>
              </w:r>
            </w:hyperlink>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40" w:type="dxa"/>
            <w:vAlign w:val="bottom"/>
            <w:gridSpan w:val="6"/>
            <w:vMerge w:val="restart"/>
          </w:tcPr>
          <w:p>
            <w:pPr>
              <w:ind w:left="120"/>
              <w:spacing w:after="0" w:line="189" w:lineRule="exact"/>
              <w:rPr>
                <w:sz w:val="20"/>
                <w:szCs w:val="20"/>
                <w:color w:val="auto"/>
              </w:rPr>
            </w:pPr>
            <w:r>
              <w:rPr>
                <w:rFonts w:ascii="Arial" w:cs="Arial" w:eastAsia="Arial" w:hAnsi="Arial"/>
                <w:sz w:val="18"/>
                <w:szCs w:val="18"/>
                <w:color w:val="auto"/>
              </w:rPr>
              <w:t>Item 4.</w:t>
            </w:r>
          </w:p>
        </w:tc>
        <w:tc>
          <w:tcPr>
            <w:tcW w:w="20" w:type="dxa"/>
            <w:vAlign w:val="bottom"/>
            <w:shd w:val="clear" w:color="auto" w:fill="0000EE"/>
          </w:tcPr>
          <w:p>
            <w:pPr>
              <w:spacing w:after="0" w:line="20" w:lineRule="exact"/>
              <w:rPr>
                <w:sz w:val="1"/>
                <w:szCs w:val="1"/>
                <w:color w:val="auto"/>
              </w:rPr>
            </w:pPr>
          </w:p>
        </w:tc>
        <w:tc>
          <w:tcPr>
            <w:tcW w:w="740" w:type="dxa"/>
            <w:vAlign w:val="bottom"/>
            <w:tcBorders>
              <w:right w:val="single" w:sz="8" w:color="0000FF"/>
            </w:tcBorders>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20" w:type="dxa"/>
            <w:vAlign w:val="bottom"/>
            <w:tcBorders>
              <w:right w:val="single" w:sz="8" w:color="0000FF"/>
            </w:tcBorders>
            <w:gridSpan w:val="2"/>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80" w:type="dxa"/>
            <w:vAlign w:val="bottom"/>
            <w:vMerge w:val="restart"/>
          </w:tcPr>
          <w:p>
            <w:pPr>
              <w:jc w:val="right"/>
              <w:spacing w:after="0" w:line="189" w:lineRule="exact"/>
              <w:rPr>
                <w:sz w:val="20"/>
                <w:szCs w:val="20"/>
                <w:color w:val="auto"/>
              </w:rPr>
            </w:pPr>
            <w:r>
              <w:rPr>
                <w:rFonts w:ascii="Arial" w:cs="Arial" w:eastAsia="Arial" w:hAnsi="Arial"/>
                <w:sz w:val="18"/>
                <w:szCs w:val="18"/>
                <w:color w:val="auto"/>
              </w:rPr>
              <w:t>38</w:t>
            </w:r>
          </w:p>
        </w:tc>
        <w:tc>
          <w:tcPr>
            <w:tcW w:w="0" w:type="dxa"/>
            <w:vAlign w:val="bottom"/>
          </w:tcPr>
          <w:p>
            <w:pPr>
              <w:spacing w:after="0" w:line="20" w:lineRule="exact"/>
              <w:rPr>
                <w:sz w:val="1"/>
                <w:szCs w:val="1"/>
                <w:color w:val="auto"/>
              </w:rPr>
            </w:pPr>
          </w:p>
        </w:tc>
      </w:tr>
      <w:tr>
        <w:trPr>
          <w:trHeight w:val="169"/>
        </w:trPr>
        <w:tc>
          <w:tcPr>
            <w:tcW w:w="1240" w:type="dxa"/>
            <w:vAlign w:val="bottom"/>
            <w:gridSpan w:val="6"/>
            <w:vMerge w:val="continue"/>
          </w:tcPr>
          <w:p>
            <w:pPr>
              <w:spacing w:after="0"/>
              <w:rPr>
                <w:sz w:val="14"/>
                <w:szCs w:val="14"/>
                <w:color w:val="auto"/>
              </w:rPr>
            </w:pPr>
          </w:p>
        </w:tc>
        <w:tc>
          <w:tcPr>
            <w:tcW w:w="9200" w:type="dxa"/>
            <w:vAlign w:val="bottom"/>
            <w:gridSpan w:val="23"/>
          </w:tcPr>
          <w:p>
            <w:pPr>
              <w:spacing w:after="0" w:line="169" w:lineRule="exact"/>
              <w:rPr>
                <w:rFonts w:ascii="Arial" w:cs="Arial" w:eastAsia="Arial" w:hAnsi="Arial"/>
                <w:sz w:val="18"/>
                <w:szCs w:val="18"/>
                <w:color w:val="0000FF"/>
              </w:rPr>
            </w:pPr>
            <w:hyperlink w:anchor="page41">
              <w:r>
                <w:rPr>
                  <w:rFonts w:ascii="Arial" w:cs="Arial" w:eastAsia="Arial" w:hAnsi="Arial"/>
                  <w:sz w:val="18"/>
                  <w:szCs w:val="18"/>
                  <w:color w:val="0000FF"/>
                </w:rPr>
                <w:t>Mine Safety Disclosures</w:t>
              </w:r>
            </w:hyperlink>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40" w:type="dxa"/>
            <w:vAlign w:val="bottom"/>
            <w:gridSpan w:val="6"/>
            <w:vMerge w:val="restart"/>
          </w:tcPr>
          <w:p>
            <w:pPr>
              <w:spacing w:after="0"/>
              <w:rPr>
                <w:rFonts w:ascii="Arial" w:cs="Arial" w:eastAsia="Arial" w:hAnsi="Arial"/>
                <w:sz w:val="18"/>
                <w:szCs w:val="18"/>
                <w:b w:val="1"/>
                <w:bCs w:val="1"/>
                <w:color w:val="0000FF"/>
              </w:rPr>
            </w:pPr>
            <w:hyperlink w:anchor="page43">
              <w:r>
                <w:rPr>
                  <w:rFonts w:ascii="Arial" w:cs="Arial" w:eastAsia="Arial" w:hAnsi="Arial"/>
                  <w:sz w:val="18"/>
                  <w:szCs w:val="18"/>
                  <w:b w:val="1"/>
                  <w:bCs w:val="1"/>
                  <w:color w:val="0000FF"/>
                </w:rPr>
                <w:t>PART II</w:t>
              </w:r>
            </w:hyperlink>
          </w:p>
        </w:tc>
        <w:tc>
          <w:tcPr>
            <w:tcW w:w="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240" w:type="dxa"/>
            <w:vAlign w:val="bottom"/>
            <w:gridSpan w:val="6"/>
            <w:vMerge w:val="continue"/>
          </w:tcPr>
          <w:p>
            <w:pPr>
              <w:spacing w:after="0"/>
              <w:rPr>
                <w:sz w:val="24"/>
                <w:szCs w:val="24"/>
                <w:color w:val="auto"/>
              </w:rPr>
            </w:pPr>
          </w:p>
        </w:tc>
        <w:tc>
          <w:tcPr>
            <w:tcW w:w="9200" w:type="dxa"/>
            <w:vAlign w:val="bottom"/>
            <w:gridSpan w:val="23"/>
            <w:vMerge w:val="restart"/>
          </w:tcPr>
          <w:p>
            <w:pPr>
              <w:spacing w:after="0"/>
              <w:rPr>
                <w:rFonts w:ascii="Arial" w:cs="Arial" w:eastAsia="Arial" w:hAnsi="Arial"/>
                <w:sz w:val="18"/>
                <w:szCs w:val="18"/>
                <w:color w:val="0000FF"/>
              </w:rPr>
            </w:pPr>
            <w:hyperlink w:anchor="page43">
              <w:r>
                <w:rPr>
                  <w:rFonts w:ascii="Arial" w:cs="Arial" w:eastAsia="Arial" w:hAnsi="Arial"/>
                  <w:sz w:val="18"/>
                  <w:szCs w:val="18"/>
                  <w:color w:val="0000FF"/>
                </w:rPr>
                <w:t>Market for Registrant’s Common Equity, Related Stockholder Matters and Issuer Purchases of Equity Securities</w:t>
              </w:r>
            </w:hyperlink>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169"/>
        </w:trPr>
        <w:tc>
          <w:tcPr>
            <w:tcW w:w="660" w:type="dxa"/>
            <w:vAlign w:val="bottom"/>
            <w:tcBorders>
              <w:top w:val="single" w:sz="8" w:color="0000FF"/>
            </w:tcBorders>
            <w:gridSpan w:val="2"/>
          </w:tcPr>
          <w:p>
            <w:pPr>
              <w:ind w:left="120"/>
              <w:spacing w:after="0" w:line="169" w:lineRule="exact"/>
              <w:rPr>
                <w:sz w:val="20"/>
                <w:szCs w:val="20"/>
                <w:color w:val="auto"/>
              </w:rPr>
            </w:pPr>
            <w:r>
              <w:rPr>
                <w:rFonts w:ascii="Arial" w:cs="Arial" w:eastAsia="Arial" w:hAnsi="Arial"/>
                <w:sz w:val="18"/>
                <w:szCs w:val="18"/>
                <w:color w:val="auto"/>
                <w:w w:val="94"/>
              </w:rPr>
              <w:t>Item 5.</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200" w:type="dxa"/>
            <w:vAlign w:val="bottom"/>
            <w:gridSpan w:val="23"/>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240" w:type="dxa"/>
            <w:vAlign w:val="bottom"/>
            <w:gridSpan w:val="6"/>
          </w:tcPr>
          <w:p>
            <w:pPr>
              <w:ind w:left="120"/>
              <w:spacing w:after="0" w:line="169" w:lineRule="exact"/>
              <w:rPr>
                <w:sz w:val="20"/>
                <w:szCs w:val="20"/>
                <w:color w:val="auto"/>
              </w:rPr>
            </w:pPr>
            <w:r>
              <w:rPr>
                <w:rFonts w:ascii="Arial" w:cs="Arial" w:eastAsia="Arial" w:hAnsi="Arial"/>
                <w:sz w:val="18"/>
                <w:szCs w:val="18"/>
                <w:color w:val="auto"/>
              </w:rPr>
              <w:t>Item 6.</w:t>
            </w:r>
          </w:p>
        </w:tc>
        <w:tc>
          <w:tcPr>
            <w:tcW w:w="20" w:type="dxa"/>
            <w:vAlign w:val="bottom"/>
            <w:tcBorders>
              <w:bottom w:val="single" w:sz="8" w:color="0000EE"/>
            </w:tcBorders>
          </w:tcPr>
          <w:p>
            <w:pPr>
              <w:spacing w:after="0"/>
              <w:rPr>
                <w:sz w:val="14"/>
                <w:szCs w:val="14"/>
                <w:color w:val="auto"/>
              </w:rPr>
            </w:pPr>
          </w:p>
        </w:tc>
        <w:tc>
          <w:tcPr>
            <w:tcW w:w="780" w:type="dxa"/>
            <w:vAlign w:val="bottom"/>
            <w:tcBorders>
              <w:top w:val="single" w:sz="8" w:color="0000FF"/>
              <w:bottom w:val="single" w:sz="8" w:color="0000FF"/>
            </w:tcBorders>
            <w:gridSpan w:val="3"/>
          </w:tcPr>
          <w:p>
            <w:pPr>
              <w:spacing w:after="0" w:line="169" w:lineRule="exact"/>
              <w:rPr>
                <w:rFonts w:ascii="Arial" w:cs="Arial" w:eastAsia="Arial" w:hAnsi="Arial"/>
                <w:sz w:val="18"/>
                <w:szCs w:val="18"/>
                <w:color w:val="0000FF"/>
                <w:w w:val="87"/>
              </w:rPr>
            </w:pPr>
            <w:hyperlink w:anchor="page44">
              <w:r>
                <w:rPr>
                  <w:rFonts w:ascii="Arial" w:cs="Arial" w:eastAsia="Arial" w:hAnsi="Arial"/>
                  <w:sz w:val="18"/>
                  <w:szCs w:val="18"/>
                  <w:color w:val="0000FF"/>
                  <w:w w:val="87"/>
                </w:rPr>
                <w:t>[Reserved]</w:t>
              </w:r>
            </w:hyperlink>
          </w:p>
        </w:tc>
        <w:tc>
          <w:tcPr>
            <w:tcW w:w="20" w:type="dxa"/>
            <w:vAlign w:val="bottom"/>
            <w:tcBorders>
              <w:top w:val="single" w:sz="8" w:color="0000FF"/>
              <w:bottom w:val="single" w:sz="8" w:color="0000EE"/>
            </w:tcBorders>
          </w:tcPr>
          <w:p>
            <w:pPr>
              <w:spacing w:after="0"/>
              <w:rPr>
                <w:sz w:val="14"/>
                <w:szCs w:val="14"/>
                <w:color w:val="auto"/>
              </w:rPr>
            </w:pPr>
          </w:p>
        </w:tc>
        <w:tc>
          <w:tcPr>
            <w:tcW w:w="7260" w:type="dxa"/>
            <w:vAlign w:val="bottom"/>
            <w:tcBorders>
              <w:top w:val="single" w:sz="8" w:color="0000FF"/>
            </w:tcBorders>
            <w:gridSpan w:val="17"/>
          </w:tcPr>
          <w:p>
            <w:pPr>
              <w:spacing w:after="0"/>
              <w:rPr>
                <w:sz w:val="14"/>
                <w:szCs w:val="14"/>
                <w:color w:val="auto"/>
              </w:rPr>
            </w:pPr>
          </w:p>
        </w:tc>
        <w:tc>
          <w:tcPr>
            <w:tcW w:w="1120" w:type="dxa"/>
            <w:vAlign w:val="bottom"/>
          </w:tcPr>
          <w:p>
            <w:pPr>
              <w:spacing w:after="0"/>
              <w:rPr>
                <w:sz w:val="14"/>
                <w:szCs w:val="14"/>
                <w:color w:val="auto"/>
              </w:rPr>
            </w:pPr>
          </w:p>
        </w:tc>
        <w:tc>
          <w:tcPr>
            <w:tcW w:w="780" w:type="dxa"/>
            <w:vAlign w:val="bottom"/>
          </w:tcPr>
          <w:p>
            <w:pPr>
              <w:jc w:val="right"/>
              <w:spacing w:after="0" w:line="169" w:lineRule="exact"/>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169"/>
        </w:trPr>
        <w:tc>
          <w:tcPr>
            <w:tcW w:w="1240" w:type="dxa"/>
            <w:vAlign w:val="bottom"/>
            <w:gridSpan w:val="6"/>
          </w:tcPr>
          <w:p>
            <w:pPr>
              <w:ind w:left="120"/>
              <w:spacing w:after="0" w:line="169" w:lineRule="exact"/>
              <w:rPr>
                <w:sz w:val="20"/>
                <w:szCs w:val="20"/>
                <w:color w:val="auto"/>
              </w:rPr>
            </w:pPr>
            <w:r>
              <w:rPr>
                <w:rFonts w:ascii="Arial" w:cs="Arial" w:eastAsia="Arial" w:hAnsi="Arial"/>
                <w:sz w:val="18"/>
                <w:szCs w:val="18"/>
                <w:color w:val="auto"/>
              </w:rPr>
              <w:t>Item 7.</w:t>
            </w:r>
          </w:p>
        </w:tc>
        <w:tc>
          <w:tcPr>
            <w:tcW w:w="9200" w:type="dxa"/>
            <w:vAlign w:val="bottom"/>
            <w:gridSpan w:val="23"/>
          </w:tcPr>
          <w:p>
            <w:pPr>
              <w:spacing w:after="0" w:line="169" w:lineRule="exact"/>
              <w:rPr>
                <w:rFonts w:ascii="Arial" w:cs="Arial" w:eastAsia="Arial" w:hAnsi="Arial"/>
                <w:sz w:val="18"/>
                <w:szCs w:val="18"/>
                <w:color w:val="0000FF"/>
              </w:rPr>
            </w:pPr>
            <w:hyperlink w:anchor="page45">
              <w:r>
                <w:rPr>
                  <w:rFonts w:ascii="Arial" w:cs="Arial" w:eastAsia="Arial" w:hAnsi="Arial"/>
                  <w:sz w:val="18"/>
                  <w:szCs w:val="18"/>
                  <w:color w:val="0000FF"/>
                </w:rPr>
                <w:t>Management’s Discussion and Analysis of Financial Condition and Results of Operations</w:t>
              </w:r>
            </w:hyperlink>
          </w:p>
        </w:tc>
        <w:tc>
          <w:tcPr>
            <w:tcW w:w="780" w:type="dxa"/>
            <w:vAlign w:val="bottom"/>
          </w:tcPr>
          <w:p>
            <w:pPr>
              <w:jc w:val="right"/>
              <w:spacing w:after="0" w:line="169" w:lineRule="exact"/>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0"/>
        </w:trPr>
        <w:tc>
          <w:tcPr>
            <w:tcW w:w="1240" w:type="dxa"/>
            <w:vAlign w:val="bottom"/>
            <w:gridSpan w:val="6"/>
            <w:vMerge w:val="restart"/>
          </w:tcPr>
          <w:p>
            <w:pPr>
              <w:ind w:left="120"/>
              <w:spacing w:after="0" w:line="189" w:lineRule="exact"/>
              <w:rPr>
                <w:sz w:val="20"/>
                <w:szCs w:val="20"/>
                <w:color w:val="auto"/>
              </w:rPr>
            </w:pPr>
            <w:r>
              <w:rPr>
                <w:rFonts w:ascii="Arial" w:cs="Arial" w:eastAsia="Arial" w:hAnsi="Arial"/>
                <w:sz w:val="18"/>
                <w:szCs w:val="18"/>
                <w:color w:val="auto"/>
              </w:rPr>
              <w:t>Item 7A.</w:t>
            </w:r>
          </w:p>
        </w:tc>
        <w:tc>
          <w:tcPr>
            <w:tcW w:w="20" w:type="dxa"/>
            <w:vAlign w:val="bottom"/>
            <w:shd w:val="clear" w:color="auto" w:fill="0000EE"/>
          </w:tcPr>
          <w:p>
            <w:pPr>
              <w:spacing w:after="0" w:line="20" w:lineRule="exact"/>
              <w:rPr>
                <w:sz w:val="1"/>
                <w:szCs w:val="1"/>
                <w:color w:val="auto"/>
              </w:rPr>
            </w:pPr>
          </w:p>
        </w:tc>
        <w:tc>
          <w:tcPr>
            <w:tcW w:w="740" w:type="dxa"/>
            <w:vAlign w:val="bottom"/>
            <w:tcBorders>
              <w:right w:val="single" w:sz="8" w:color="0000FF"/>
            </w:tcBorders>
            <w:gridSpan w:val="2"/>
            <w:shd w:val="clear" w:color="auto" w:fill="0000FF"/>
          </w:tcPr>
          <w:p>
            <w:pPr>
              <w:spacing w:after="0" w:line="20" w:lineRule="exact"/>
              <w:rPr>
                <w:sz w:val="1"/>
                <w:szCs w:val="1"/>
                <w:color w:val="auto"/>
              </w:rPr>
            </w:pPr>
          </w:p>
        </w:tc>
        <w:tc>
          <w:tcPr>
            <w:tcW w:w="580" w:type="dxa"/>
            <w:vAlign w:val="bottom"/>
            <w:tcBorders>
              <w:right w:val="single" w:sz="8" w:color="0000FF"/>
            </w:tcBorders>
            <w:gridSpan w:val="4"/>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780" w:type="dxa"/>
            <w:vAlign w:val="bottom"/>
            <w:vMerge w:val="restart"/>
          </w:tcPr>
          <w:p>
            <w:pPr>
              <w:spacing w:after="0" w:line="20" w:lineRule="exact"/>
              <w:rPr>
                <w:sz w:val="1"/>
                <w:szCs w:val="1"/>
                <w:color w:val="auto"/>
              </w:rPr>
            </w:pPr>
          </w:p>
        </w:tc>
        <w:tc>
          <w:tcPr>
            <w:tcW w:w="1900" w:type="dxa"/>
            <w:vAlign w:val="bottom"/>
            <w:gridSpan w:val="2"/>
            <w:vMerge w:val="restart"/>
          </w:tcPr>
          <w:p>
            <w:pPr>
              <w:spacing w:after="0" w:line="20" w:lineRule="exact"/>
              <w:rPr>
                <w:sz w:val="1"/>
                <w:szCs w:val="1"/>
                <w:color w:val="auto"/>
              </w:rPr>
            </w:pPr>
          </w:p>
        </w:tc>
        <w:tc>
          <w:tcPr>
            <w:tcW w:w="780" w:type="dxa"/>
            <w:vAlign w:val="bottom"/>
            <w:vMerge w:val="restart"/>
          </w:tcPr>
          <w:p>
            <w:pPr>
              <w:jc w:val="right"/>
              <w:spacing w:after="0" w:line="189" w:lineRule="exact"/>
              <w:rPr>
                <w:sz w:val="20"/>
                <w:szCs w:val="20"/>
                <w:color w:val="auto"/>
              </w:rPr>
            </w:pPr>
            <w:r>
              <w:rPr>
                <w:rFonts w:ascii="Arial" w:cs="Arial" w:eastAsia="Arial" w:hAnsi="Arial"/>
                <w:sz w:val="18"/>
                <w:szCs w:val="18"/>
                <w:color w:val="auto"/>
              </w:rPr>
              <w:t>55</w:t>
            </w:r>
          </w:p>
        </w:tc>
        <w:tc>
          <w:tcPr>
            <w:tcW w:w="0" w:type="dxa"/>
            <w:vAlign w:val="bottom"/>
          </w:tcPr>
          <w:p>
            <w:pPr>
              <w:spacing w:after="0" w:line="20" w:lineRule="exact"/>
              <w:rPr>
                <w:sz w:val="1"/>
                <w:szCs w:val="1"/>
                <w:color w:val="auto"/>
              </w:rPr>
            </w:pPr>
          </w:p>
        </w:tc>
      </w:tr>
      <w:tr>
        <w:trPr>
          <w:trHeight w:val="169"/>
        </w:trPr>
        <w:tc>
          <w:tcPr>
            <w:tcW w:w="1240" w:type="dxa"/>
            <w:vAlign w:val="bottom"/>
            <w:gridSpan w:val="6"/>
            <w:vMerge w:val="continue"/>
          </w:tcPr>
          <w:p>
            <w:pPr>
              <w:spacing w:after="0"/>
              <w:rPr>
                <w:sz w:val="14"/>
                <w:szCs w:val="14"/>
                <w:color w:val="auto"/>
              </w:rPr>
            </w:pPr>
          </w:p>
        </w:tc>
        <w:tc>
          <w:tcPr>
            <w:tcW w:w="6460" w:type="dxa"/>
            <w:vAlign w:val="bottom"/>
            <w:gridSpan w:val="19"/>
          </w:tcPr>
          <w:p>
            <w:pPr>
              <w:spacing w:after="0" w:line="169" w:lineRule="exact"/>
              <w:rPr>
                <w:rFonts w:ascii="Arial" w:cs="Arial" w:eastAsia="Arial" w:hAnsi="Arial"/>
                <w:sz w:val="18"/>
                <w:szCs w:val="18"/>
                <w:color w:val="0000FF"/>
              </w:rPr>
            </w:pPr>
            <w:hyperlink w:anchor="page58">
              <w:r>
                <w:rPr>
                  <w:rFonts w:ascii="Arial" w:cs="Arial" w:eastAsia="Arial" w:hAnsi="Arial"/>
                  <w:sz w:val="18"/>
                  <w:szCs w:val="18"/>
                  <w:color w:val="0000FF"/>
                </w:rPr>
                <w:t>Quantitative and Qualitative Disclosures About Market Risk</w:t>
              </w:r>
            </w:hyperlink>
          </w:p>
        </w:tc>
        <w:tc>
          <w:tcPr>
            <w:tcW w:w="6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1900" w:type="dxa"/>
            <w:vAlign w:val="bottom"/>
            <w:gridSpan w:val="2"/>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40" w:type="dxa"/>
            <w:vAlign w:val="bottom"/>
            <w:gridSpan w:val="6"/>
            <w:vMerge w:val="restart"/>
          </w:tcPr>
          <w:p>
            <w:pPr>
              <w:ind w:left="120"/>
              <w:spacing w:after="0" w:line="189" w:lineRule="exact"/>
              <w:rPr>
                <w:sz w:val="20"/>
                <w:szCs w:val="20"/>
                <w:color w:val="auto"/>
              </w:rPr>
            </w:pPr>
            <w:r>
              <w:rPr>
                <w:rFonts w:ascii="Arial" w:cs="Arial" w:eastAsia="Arial" w:hAnsi="Arial"/>
                <w:sz w:val="18"/>
                <w:szCs w:val="18"/>
                <w:color w:val="auto"/>
              </w:rPr>
              <w:t>Item 8.</w:t>
            </w:r>
          </w:p>
        </w:tc>
        <w:tc>
          <w:tcPr>
            <w:tcW w:w="20" w:type="dxa"/>
            <w:vAlign w:val="bottom"/>
            <w:shd w:val="clear" w:color="auto" w:fill="0000EE"/>
          </w:tcPr>
          <w:p>
            <w:pPr>
              <w:spacing w:after="0" w:line="20" w:lineRule="exact"/>
              <w:rPr>
                <w:sz w:val="1"/>
                <w:szCs w:val="1"/>
                <w:color w:val="auto"/>
              </w:rPr>
            </w:pPr>
          </w:p>
        </w:tc>
        <w:tc>
          <w:tcPr>
            <w:tcW w:w="740" w:type="dxa"/>
            <w:vAlign w:val="bottom"/>
            <w:tcBorders>
              <w:right w:val="single" w:sz="8" w:color="0000FF"/>
            </w:tcBorders>
            <w:gridSpan w:val="2"/>
            <w:shd w:val="clear" w:color="auto" w:fill="0000FF"/>
          </w:tcPr>
          <w:p>
            <w:pPr>
              <w:spacing w:after="0" w:line="20" w:lineRule="exact"/>
              <w:rPr>
                <w:sz w:val="1"/>
                <w:szCs w:val="1"/>
                <w:color w:val="auto"/>
              </w:rPr>
            </w:pPr>
          </w:p>
        </w:tc>
        <w:tc>
          <w:tcPr>
            <w:tcW w:w="580" w:type="dxa"/>
            <w:vAlign w:val="bottom"/>
            <w:tcBorders>
              <w:right w:val="single" w:sz="8" w:color="0000FF"/>
            </w:tcBorders>
            <w:gridSpan w:val="4"/>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vMerge w:val="restart"/>
          </w:tcPr>
          <w:p>
            <w:pPr>
              <w:spacing w:after="0" w:line="20" w:lineRule="exact"/>
              <w:rPr>
                <w:sz w:val="1"/>
                <w:szCs w:val="1"/>
                <w:color w:val="auto"/>
              </w:rPr>
            </w:pPr>
          </w:p>
        </w:tc>
        <w:tc>
          <w:tcPr>
            <w:tcW w:w="560" w:type="dxa"/>
            <w:vAlign w:val="bottom"/>
            <w:vMerge w:val="restart"/>
          </w:tcPr>
          <w:p>
            <w:pPr>
              <w:spacing w:after="0" w:line="20" w:lineRule="exact"/>
              <w:rPr>
                <w:sz w:val="1"/>
                <w:szCs w:val="1"/>
                <w:color w:val="auto"/>
              </w:rPr>
            </w:pPr>
          </w:p>
        </w:tc>
        <w:tc>
          <w:tcPr>
            <w:tcW w:w="1060" w:type="dxa"/>
            <w:vAlign w:val="bottom"/>
            <w:gridSpan w:val="2"/>
            <w:vMerge w:val="restart"/>
          </w:tcPr>
          <w:p>
            <w:pPr>
              <w:spacing w:after="0" w:line="20" w:lineRule="exact"/>
              <w:rPr>
                <w:sz w:val="1"/>
                <w:szCs w:val="1"/>
                <w:color w:val="auto"/>
              </w:rPr>
            </w:pPr>
          </w:p>
        </w:tc>
        <w:tc>
          <w:tcPr>
            <w:tcW w:w="780" w:type="dxa"/>
            <w:vAlign w:val="bottom"/>
            <w:vMerge w:val="restart"/>
          </w:tcPr>
          <w:p>
            <w:pPr>
              <w:spacing w:after="0" w:line="20" w:lineRule="exact"/>
              <w:rPr>
                <w:sz w:val="1"/>
                <w:szCs w:val="1"/>
                <w:color w:val="auto"/>
              </w:rPr>
            </w:pPr>
          </w:p>
        </w:tc>
        <w:tc>
          <w:tcPr>
            <w:tcW w:w="1900" w:type="dxa"/>
            <w:vAlign w:val="bottom"/>
            <w:gridSpan w:val="2"/>
            <w:vMerge w:val="restart"/>
          </w:tcPr>
          <w:p>
            <w:pPr>
              <w:spacing w:after="0" w:line="20" w:lineRule="exact"/>
              <w:rPr>
                <w:sz w:val="1"/>
                <w:szCs w:val="1"/>
                <w:color w:val="auto"/>
              </w:rPr>
            </w:pPr>
          </w:p>
        </w:tc>
        <w:tc>
          <w:tcPr>
            <w:tcW w:w="780" w:type="dxa"/>
            <w:vAlign w:val="bottom"/>
            <w:vMerge w:val="restart"/>
          </w:tcPr>
          <w:p>
            <w:pPr>
              <w:jc w:val="right"/>
              <w:spacing w:after="0" w:line="189" w:lineRule="exact"/>
              <w:rPr>
                <w:sz w:val="20"/>
                <w:szCs w:val="20"/>
                <w:color w:val="auto"/>
              </w:rPr>
            </w:pPr>
            <w:r>
              <w:rPr>
                <w:rFonts w:ascii="Arial" w:cs="Arial" w:eastAsia="Arial" w:hAnsi="Arial"/>
                <w:sz w:val="18"/>
                <w:szCs w:val="18"/>
                <w:color w:val="auto"/>
              </w:rPr>
              <w:t>56</w:t>
            </w:r>
          </w:p>
        </w:tc>
        <w:tc>
          <w:tcPr>
            <w:tcW w:w="0" w:type="dxa"/>
            <w:vAlign w:val="bottom"/>
          </w:tcPr>
          <w:p>
            <w:pPr>
              <w:spacing w:after="0" w:line="20" w:lineRule="exact"/>
              <w:rPr>
                <w:sz w:val="1"/>
                <w:szCs w:val="1"/>
                <w:color w:val="auto"/>
              </w:rPr>
            </w:pPr>
          </w:p>
        </w:tc>
      </w:tr>
      <w:tr>
        <w:trPr>
          <w:trHeight w:val="169"/>
        </w:trPr>
        <w:tc>
          <w:tcPr>
            <w:tcW w:w="1240" w:type="dxa"/>
            <w:vAlign w:val="bottom"/>
            <w:gridSpan w:val="6"/>
            <w:vMerge w:val="continue"/>
          </w:tcPr>
          <w:p>
            <w:pPr>
              <w:spacing w:after="0"/>
              <w:rPr>
                <w:sz w:val="14"/>
                <w:szCs w:val="14"/>
                <w:color w:val="auto"/>
              </w:rPr>
            </w:pPr>
          </w:p>
        </w:tc>
        <w:tc>
          <w:tcPr>
            <w:tcW w:w="4360" w:type="dxa"/>
            <w:vAlign w:val="bottom"/>
            <w:gridSpan w:val="16"/>
          </w:tcPr>
          <w:p>
            <w:pPr>
              <w:spacing w:after="0" w:line="169" w:lineRule="exact"/>
              <w:rPr>
                <w:rFonts w:ascii="Arial" w:cs="Arial" w:eastAsia="Arial" w:hAnsi="Arial"/>
                <w:sz w:val="18"/>
                <w:szCs w:val="18"/>
                <w:color w:val="0000FF"/>
              </w:rPr>
            </w:pPr>
            <w:hyperlink w:anchor="page59">
              <w:r>
                <w:rPr>
                  <w:rFonts w:ascii="Arial" w:cs="Arial" w:eastAsia="Arial" w:hAnsi="Arial"/>
                  <w:sz w:val="18"/>
                  <w:szCs w:val="18"/>
                  <w:color w:val="0000FF"/>
                </w:rPr>
                <w:t>Financial Statements and Supplementary Data</w:t>
              </w:r>
            </w:hyperlink>
          </w:p>
        </w:tc>
        <w:tc>
          <w:tcPr>
            <w:tcW w:w="54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1900" w:type="dxa"/>
            <w:vAlign w:val="bottom"/>
            <w:gridSpan w:val="2"/>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40" w:type="dxa"/>
            <w:vAlign w:val="bottom"/>
            <w:gridSpan w:val="6"/>
            <w:vMerge w:val="restart"/>
          </w:tcPr>
          <w:p>
            <w:pPr>
              <w:ind w:left="120"/>
              <w:spacing w:after="0" w:line="189" w:lineRule="exact"/>
              <w:rPr>
                <w:sz w:val="20"/>
                <w:szCs w:val="20"/>
                <w:color w:val="auto"/>
              </w:rPr>
            </w:pPr>
            <w:r>
              <w:rPr>
                <w:rFonts w:ascii="Arial" w:cs="Arial" w:eastAsia="Arial" w:hAnsi="Arial"/>
                <w:sz w:val="18"/>
                <w:szCs w:val="18"/>
                <w:color w:val="auto"/>
              </w:rPr>
              <w:t>Item 9.</w:t>
            </w:r>
          </w:p>
        </w:tc>
        <w:tc>
          <w:tcPr>
            <w:tcW w:w="20" w:type="dxa"/>
            <w:vAlign w:val="bottom"/>
            <w:shd w:val="clear" w:color="auto" w:fill="0000EE"/>
          </w:tcPr>
          <w:p>
            <w:pPr>
              <w:spacing w:after="0" w:line="20" w:lineRule="exact"/>
              <w:rPr>
                <w:sz w:val="1"/>
                <w:szCs w:val="1"/>
                <w:color w:val="auto"/>
              </w:rPr>
            </w:pPr>
          </w:p>
        </w:tc>
        <w:tc>
          <w:tcPr>
            <w:tcW w:w="740" w:type="dxa"/>
            <w:vAlign w:val="bottom"/>
            <w:tcBorders>
              <w:right w:val="single" w:sz="8" w:color="0000FF"/>
            </w:tcBorders>
            <w:gridSpan w:val="2"/>
            <w:shd w:val="clear" w:color="auto" w:fill="0000FF"/>
          </w:tcPr>
          <w:p>
            <w:pPr>
              <w:spacing w:after="0" w:line="20" w:lineRule="exact"/>
              <w:rPr>
                <w:sz w:val="1"/>
                <w:szCs w:val="1"/>
                <w:color w:val="auto"/>
              </w:rPr>
            </w:pPr>
          </w:p>
        </w:tc>
        <w:tc>
          <w:tcPr>
            <w:tcW w:w="580" w:type="dxa"/>
            <w:vAlign w:val="bottom"/>
            <w:tcBorders>
              <w:right w:val="single" w:sz="8" w:color="0000FF"/>
            </w:tcBorders>
            <w:gridSpan w:val="4"/>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tcBorders>
              <w:right w:val="single" w:sz="8" w:color="0000EE"/>
            </w:tcBorders>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780" w:type="dxa"/>
            <w:vAlign w:val="bottom"/>
            <w:vMerge w:val="restart"/>
          </w:tcPr>
          <w:p>
            <w:pPr>
              <w:jc w:val="right"/>
              <w:spacing w:after="0" w:line="189" w:lineRule="exact"/>
              <w:rPr>
                <w:sz w:val="20"/>
                <w:szCs w:val="20"/>
                <w:color w:val="auto"/>
              </w:rPr>
            </w:pPr>
            <w:r>
              <w:rPr>
                <w:rFonts w:ascii="Arial" w:cs="Arial" w:eastAsia="Arial" w:hAnsi="Arial"/>
                <w:sz w:val="18"/>
                <w:szCs w:val="18"/>
                <w:color w:val="auto"/>
              </w:rPr>
              <w:t>88</w:t>
            </w:r>
          </w:p>
        </w:tc>
        <w:tc>
          <w:tcPr>
            <w:tcW w:w="0" w:type="dxa"/>
            <w:vAlign w:val="bottom"/>
          </w:tcPr>
          <w:p>
            <w:pPr>
              <w:spacing w:after="0" w:line="20" w:lineRule="exact"/>
              <w:rPr>
                <w:sz w:val="1"/>
                <w:szCs w:val="1"/>
                <w:color w:val="auto"/>
              </w:rPr>
            </w:pPr>
          </w:p>
        </w:tc>
      </w:tr>
      <w:tr>
        <w:trPr>
          <w:trHeight w:val="169"/>
        </w:trPr>
        <w:tc>
          <w:tcPr>
            <w:tcW w:w="1240" w:type="dxa"/>
            <w:vAlign w:val="bottom"/>
            <w:gridSpan w:val="6"/>
            <w:vMerge w:val="continue"/>
          </w:tcPr>
          <w:p>
            <w:pPr>
              <w:spacing w:after="0"/>
              <w:rPr>
                <w:sz w:val="14"/>
                <w:szCs w:val="14"/>
                <w:color w:val="auto"/>
              </w:rPr>
            </w:pPr>
          </w:p>
        </w:tc>
        <w:tc>
          <w:tcPr>
            <w:tcW w:w="9200" w:type="dxa"/>
            <w:vAlign w:val="bottom"/>
            <w:gridSpan w:val="23"/>
          </w:tcPr>
          <w:p>
            <w:pPr>
              <w:spacing w:after="0" w:line="169" w:lineRule="exact"/>
              <w:rPr>
                <w:rFonts w:ascii="Arial" w:cs="Arial" w:eastAsia="Arial" w:hAnsi="Arial"/>
                <w:sz w:val="18"/>
                <w:szCs w:val="18"/>
                <w:color w:val="0000FF"/>
              </w:rPr>
            </w:pPr>
            <w:hyperlink w:anchor="page91">
              <w:r>
                <w:rPr>
                  <w:rFonts w:ascii="Arial" w:cs="Arial" w:eastAsia="Arial" w:hAnsi="Arial"/>
                  <w:sz w:val="18"/>
                  <w:szCs w:val="18"/>
                  <w:color w:val="0000FF"/>
                </w:rPr>
                <w:t>Changes in and Disagreements With Accountants on Accounting and Financial Disclosure</w:t>
              </w:r>
            </w:hyperlink>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40" w:type="dxa"/>
            <w:vAlign w:val="bottom"/>
            <w:gridSpan w:val="6"/>
            <w:vMerge w:val="restart"/>
          </w:tcPr>
          <w:p>
            <w:pPr>
              <w:ind w:left="120"/>
              <w:spacing w:after="0" w:line="189" w:lineRule="exact"/>
              <w:rPr>
                <w:sz w:val="20"/>
                <w:szCs w:val="20"/>
                <w:color w:val="auto"/>
              </w:rPr>
            </w:pPr>
            <w:r>
              <w:rPr>
                <w:rFonts w:ascii="Arial" w:cs="Arial" w:eastAsia="Arial" w:hAnsi="Arial"/>
                <w:sz w:val="18"/>
                <w:szCs w:val="18"/>
                <w:color w:val="auto"/>
              </w:rPr>
              <w:t>Item 9A.</w:t>
            </w:r>
          </w:p>
        </w:tc>
        <w:tc>
          <w:tcPr>
            <w:tcW w:w="20" w:type="dxa"/>
            <w:vAlign w:val="bottom"/>
            <w:shd w:val="clear" w:color="auto" w:fill="0000EE"/>
          </w:tcPr>
          <w:p>
            <w:pPr>
              <w:spacing w:after="0" w:line="20" w:lineRule="exact"/>
              <w:rPr>
                <w:sz w:val="1"/>
                <w:szCs w:val="1"/>
                <w:color w:val="auto"/>
              </w:rPr>
            </w:pPr>
          </w:p>
        </w:tc>
        <w:tc>
          <w:tcPr>
            <w:tcW w:w="740" w:type="dxa"/>
            <w:vAlign w:val="bottom"/>
            <w:tcBorders>
              <w:right w:val="single" w:sz="8" w:color="0000FF"/>
            </w:tcBorders>
            <w:gridSpan w:val="2"/>
            <w:shd w:val="clear" w:color="auto" w:fill="0000FF"/>
          </w:tcPr>
          <w:p>
            <w:pPr>
              <w:spacing w:after="0" w:line="20" w:lineRule="exact"/>
              <w:rPr>
                <w:sz w:val="1"/>
                <w:szCs w:val="1"/>
                <w:color w:val="auto"/>
              </w:rPr>
            </w:pPr>
          </w:p>
        </w:tc>
        <w:tc>
          <w:tcPr>
            <w:tcW w:w="580" w:type="dxa"/>
            <w:vAlign w:val="bottom"/>
            <w:tcBorders>
              <w:right w:val="single" w:sz="8" w:color="0000FF"/>
            </w:tcBorders>
            <w:gridSpan w:val="4"/>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0" w:type="dxa"/>
            <w:vAlign w:val="bottom"/>
            <w:gridSpan w:val="2"/>
            <w:shd w:val="clear" w:color="auto" w:fill="0000FF"/>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780" w:type="dxa"/>
            <w:vAlign w:val="bottom"/>
            <w:vMerge w:val="restart"/>
          </w:tcPr>
          <w:p>
            <w:pPr>
              <w:spacing w:after="0" w:line="20" w:lineRule="exact"/>
              <w:rPr>
                <w:sz w:val="1"/>
                <w:szCs w:val="1"/>
                <w:color w:val="auto"/>
              </w:rPr>
            </w:pPr>
          </w:p>
        </w:tc>
        <w:tc>
          <w:tcPr>
            <w:tcW w:w="1900" w:type="dxa"/>
            <w:vAlign w:val="bottom"/>
            <w:gridSpan w:val="2"/>
            <w:vMerge w:val="restart"/>
          </w:tcPr>
          <w:p>
            <w:pPr>
              <w:spacing w:after="0" w:line="20" w:lineRule="exact"/>
              <w:rPr>
                <w:sz w:val="1"/>
                <w:szCs w:val="1"/>
                <w:color w:val="auto"/>
              </w:rPr>
            </w:pPr>
          </w:p>
        </w:tc>
        <w:tc>
          <w:tcPr>
            <w:tcW w:w="780" w:type="dxa"/>
            <w:vAlign w:val="bottom"/>
            <w:vMerge w:val="restart"/>
          </w:tcPr>
          <w:p>
            <w:pPr>
              <w:jc w:val="right"/>
              <w:spacing w:after="0" w:line="189" w:lineRule="exact"/>
              <w:rPr>
                <w:sz w:val="20"/>
                <w:szCs w:val="20"/>
                <w:color w:val="auto"/>
              </w:rPr>
            </w:pPr>
            <w:r>
              <w:rPr>
                <w:rFonts w:ascii="Arial" w:cs="Arial" w:eastAsia="Arial" w:hAnsi="Arial"/>
                <w:sz w:val="18"/>
                <w:szCs w:val="18"/>
                <w:color w:val="auto"/>
              </w:rPr>
              <w:t>88</w:t>
            </w:r>
          </w:p>
        </w:tc>
        <w:tc>
          <w:tcPr>
            <w:tcW w:w="0" w:type="dxa"/>
            <w:vAlign w:val="bottom"/>
          </w:tcPr>
          <w:p>
            <w:pPr>
              <w:spacing w:after="0" w:line="20" w:lineRule="exact"/>
              <w:rPr>
                <w:sz w:val="1"/>
                <w:szCs w:val="1"/>
                <w:color w:val="auto"/>
              </w:rPr>
            </w:pPr>
          </w:p>
        </w:tc>
      </w:tr>
      <w:tr>
        <w:trPr>
          <w:trHeight w:val="169"/>
        </w:trPr>
        <w:tc>
          <w:tcPr>
            <w:tcW w:w="1240" w:type="dxa"/>
            <w:vAlign w:val="bottom"/>
            <w:gridSpan w:val="6"/>
            <w:vMerge w:val="continue"/>
          </w:tcPr>
          <w:p>
            <w:pPr>
              <w:spacing w:after="0"/>
              <w:rPr>
                <w:sz w:val="14"/>
                <w:szCs w:val="14"/>
                <w:color w:val="auto"/>
              </w:rPr>
            </w:pPr>
          </w:p>
        </w:tc>
        <w:tc>
          <w:tcPr>
            <w:tcW w:w="6520" w:type="dxa"/>
            <w:vAlign w:val="bottom"/>
            <w:gridSpan w:val="20"/>
          </w:tcPr>
          <w:p>
            <w:pPr>
              <w:spacing w:after="0" w:line="169" w:lineRule="exact"/>
              <w:rPr>
                <w:rFonts w:ascii="Arial" w:cs="Arial" w:eastAsia="Arial" w:hAnsi="Arial"/>
                <w:sz w:val="18"/>
                <w:szCs w:val="18"/>
                <w:color w:val="0000FF"/>
              </w:rPr>
            </w:pPr>
            <w:hyperlink w:anchor="page91">
              <w:r>
                <w:rPr>
                  <w:rFonts w:ascii="Arial" w:cs="Arial" w:eastAsia="Arial" w:hAnsi="Arial"/>
                  <w:sz w:val="18"/>
                  <w:szCs w:val="18"/>
                  <w:color w:val="0000FF"/>
                </w:rPr>
                <w:t>Controls and Procedures</w:t>
              </w:r>
            </w:hyperlink>
          </w:p>
        </w:tc>
        <w:tc>
          <w:tcPr>
            <w:tcW w:w="780" w:type="dxa"/>
            <w:vAlign w:val="bottom"/>
            <w:vMerge w:val="continue"/>
          </w:tcPr>
          <w:p>
            <w:pPr>
              <w:spacing w:after="0"/>
              <w:rPr>
                <w:sz w:val="14"/>
                <w:szCs w:val="14"/>
                <w:color w:val="auto"/>
              </w:rPr>
            </w:pPr>
          </w:p>
        </w:tc>
        <w:tc>
          <w:tcPr>
            <w:tcW w:w="1900" w:type="dxa"/>
            <w:vAlign w:val="bottom"/>
            <w:gridSpan w:val="2"/>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40" w:type="dxa"/>
            <w:vAlign w:val="bottom"/>
            <w:gridSpan w:val="6"/>
            <w:vMerge w:val="restart"/>
          </w:tcPr>
          <w:p>
            <w:pPr>
              <w:ind w:left="120"/>
              <w:spacing w:after="0" w:line="189" w:lineRule="exact"/>
              <w:rPr>
                <w:sz w:val="20"/>
                <w:szCs w:val="20"/>
                <w:color w:val="auto"/>
              </w:rPr>
            </w:pPr>
            <w:r>
              <w:rPr>
                <w:rFonts w:ascii="Arial" w:cs="Arial" w:eastAsia="Arial" w:hAnsi="Arial"/>
                <w:sz w:val="18"/>
                <w:szCs w:val="18"/>
                <w:color w:val="auto"/>
              </w:rPr>
              <w:t>Item 9B.</w:t>
            </w:r>
          </w:p>
        </w:tc>
        <w:tc>
          <w:tcPr>
            <w:tcW w:w="20" w:type="dxa"/>
            <w:vAlign w:val="bottom"/>
            <w:shd w:val="clear" w:color="auto" w:fill="0000EE"/>
          </w:tcPr>
          <w:p>
            <w:pPr>
              <w:spacing w:after="0" w:line="20" w:lineRule="exact"/>
              <w:rPr>
                <w:sz w:val="1"/>
                <w:szCs w:val="1"/>
                <w:color w:val="auto"/>
              </w:rPr>
            </w:pPr>
          </w:p>
        </w:tc>
        <w:tc>
          <w:tcPr>
            <w:tcW w:w="740" w:type="dxa"/>
            <w:vAlign w:val="bottom"/>
            <w:tcBorders>
              <w:right w:val="single" w:sz="8" w:color="0000FF"/>
            </w:tcBorders>
            <w:gridSpan w:val="2"/>
            <w:shd w:val="clear" w:color="auto" w:fill="0000FF"/>
          </w:tcPr>
          <w:p>
            <w:pPr>
              <w:spacing w:after="0" w:line="20" w:lineRule="exact"/>
              <w:rPr>
                <w:sz w:val="1"/>
                <w:szCs w:val="1"/>
                <w:color w:val="auto"/>
              </w:rPr>
            </w:pPr>
          </w:p>
        </w:tc>
        <w:tc>
          <w:tcPr>
            <w:tcW w:w="580" w:type="dxa"/>
            <w:vAlign w:val="bottom"/>
            <w:tcBorders>
              <w:right w:val="single" w:sz="8" w:color="0000FF"/>
            </w:tcBorders>
            <w:gridSpan w:val="4"/>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060" w:type="dxa"/>
            <w:vAlign w:val="bottom"/>
            <w:gridSpan w:val="2"/>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200" w:type="dxa"/>
            <w:vAlign w:val="bottom"/>
            <w:gridSpan w:val="2"/>
            <w:vMerge w:val="restart"/>
          </w:tcPr>
          <w:p>
            <w:pPr>
              <w:spacing w:after="0" w:line="20" w:lineRule="exact"/>
              <w:rPr>
                <w:sz w:val="1"/>
                <w:szCs w:val="1"/>
                <w:color w:val="auto"/>
              </w:rPr>
            </w:pPr>
          </w:p>
        </w:tc>
        <w:tc>
          <w:tcPr>
            <w:tcW w:w="800" w:type="dxa"/>
            <w:vAlign w:val="bottom"/>
            <w:gridSpan w:val="2"/>
            <w:vMerge w:val="restart"/>
          </w:tcPr>
          <w:p>
            <w:pPr>
              <w:spacing w:after="0" w:line="20" w:lineRule="exact"/>
              <w:rPr>
                <w:sz w:val="1"/>
                <w:szCs w:val="1"/>
                <w:color w:val="auto"/>
              </w:rPr>
            </w:pPr>
          </w:p>
        </w:tc>
        <w:tc>
          <w:tcPr>
            <w:tcW w:w="560" w:type="dxa"/>
            <w:vAlign w:val="bottom"/>
            <w:vMerge w:val="restart"/>
          </w:tcPr>
          <w:p>
            <w:pPr>
              <w:spacing w:after="0" w:line="20" w:lineRule="exact"/>
              <w:rPr>
                <w:sz w:val="1"/>
                <w:szCs w:val="1"/>
                <w:color w:val="auto"/>
              </w:rPr>
            </w:pPr>
          </w:p>
        </w:tc>
        <w:tc>
          <w:tcPr>
            <w:tcW w:w="1840" w:type="dxa"/>
            <w:vAlign w:val="bottom"/>
            <w:gridSpan w:val="3"/>
            <w:vMerge w:val="restart"/>
          </w:tcPr>
          <w:p>
            <w:pPr>
              <w:spacing w:after="0" w:line="20" w:lineRule="exact"/>
              <w:rPr>
                <w:sz w:val="1"/>
                <w:szCs w:val="1"/>
                <w:color w:val="auto"/>
              </w:rPr>
            </w:pPr>
          </w:p>
        </w:tc>
        <w:tc>
          <w:tcPr>
            <w:tcW w:w="1900" w:type="dxa"/>
            <w:vAlign w:val="bottom"/>
            <w:gridSpan w:val="2"/>
            <w:vMerge w:val="restart"/>
          </w:tcPr>
          <w:p>
            <w:pPr>
              <w:spacing w:after="0" w:line="20" w:lineRule="exact"/>
              <w:rPr>
                <w:sz w:val="1"/>
                <w:szCs w:val="1"/>
                <w:color w:val="auto"/>
              </w:rPr>
            </w:pPr>
          </w:p>
        </w:tc>
        <w:tc>
          <w:tcPr>
            <w:tcW w:w="780" w:type="dxa"/>
            <w:vAlign w:val="bottom"/>
            <w:vMerge w:val="restart"/>
          </w:tcPr>
          <w:p>
            <w:pPr>
              <w:jc w:val="right"/>
              <w:spacing w:after="0" w:line="189" w:lineRule="exact"/>
              <w:rPr>
                <w:sz w:val="20"/>
                <w:szCs w:val="20"/>
                <w:color w:val="auto"/>
              </w:rPr>
            </w:pPr>
            <w:r>
              <w:rPr>
                <w:rFonts w:ascii="Arial" w:cs="Arial" w:eastAsia="Arial" w:hAnsi="Arial"/>
                <w:sz w:val="18"/>
                <w:szCs w:val="18"/>
                <w:color w:val="auto"/>
              </w:rPr>
              <w:t>88</w:t>
            </w:r>
          </w:p>
        </w:tc>
        <w:tc>
          <w:tcPr>
            <w:tcW w:w="0" w:type="dxa"/>
            <w:vAlign w:val="bottom"/>
          </w:tcPr>
          <w:p>
            <w:pPr>
              <w:spacing w:after="0" w:line="20" w:lineRule="exact"/>
              <w:rPr>
                <w:sz w:val="1"/>
                <w:szCs w:val="1"/>
                <w:color w:val="auto"/>
              </w:rPr>
            </w:pPr>
          </w:p>
        </w:tc>
      </w:tr>
      <w:tr>
        <w:trPr>
          <w:trHeight w:val="169"/>
        </w:trPr>
        <w:tc>
          <w:tcPr>
            <w:tcW w:w="1240" w:type="dxa"/>
            <w:vAlign w:val="bottom"/>
            <w:gridSpan w:val="6"/>
            <w:vMerge w:val="continue"/>
          </w:tcPr>
          <w:p>
            <w:pPr>
              <w:spacing w:after="0"/>
              <w:rPr>
                <w:sz w:val="14"/>
                <w:szCs w:val="14"/>
                <w:color w:val="auto"/>
              </w:rPr>
            </w:pPr>
          </w:p>
        </w:tc>
        <w:tc>
          <w:tcPr>
            <w:tcW w:w="1780" w:type="dxa"/>
            <w:vAlign w:val="bottom"/>
            <w:gridSpan w:val="9"/>
          </w:tcPr>
          <w:p>
            <w:pPr>
              <w:spacing w:after="0" w:line="169" w:lineRule="exact"/>
              <w:rPr>
                <w:rFonts w:ascii="Arial" w:cs="Arial" w:eastAsia="Arial" w:hAnsi="Arial"/>
                <w:sz w:val="18"/>
                <w:szCs w:val="18"/>
                <w:color w:val="0000FF"/>
              </w:rPr>
            </w:pPr>
            <w:hyperlink w:anchor="page91">
              <w:r>
                <w:rPr>
                  <w:rFonts w:ascii="Arial" w:cs="Arial" w:eastAsia="Arial" w:hAnsi="Arial"/>
                  <w:sz w:val="18"/>
                  <w:szCs w:val="18"/>
                  <w:color w:val="0000FF"/>
                </w:rPr>
                <w:t>Other Information</w:t>
              </w:r>
            </w:hyperlink>
          </w:p>
        </w:tc>
        <w:tc>
          <w:tcPr>
            <w:tcW w:w="40" w:type="dxa"/>
            <w:vAlign w:val="bottom"/>
            <w:vMerge w:val="continue"/>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1840" w:type="dxa"/>
            <w:vAlign w:val="bottom"/>
            <w:gridSpan w:val="3"/>
            <w:vMerge w:val="continue"/>
          </w:tcPr>
          <w:p>
            <w:pPr>
              <w:spacing w:after="0"/>
              <w:rPr>
                <w:sz w:val="14"/>
                <w:szCs w:val="14"/>
                <w:color w:val="auto"/>
              </w:rPr>
            </w:pPr>
          </w:p>
        </w:tc>
        <w:tc>
          <w:tcPr>
            <w:tcW w:w="1900" w:type="dxa"/>
            <w:vAlign w:val="bottom"/>
            <w:gridSpan w:val="2"/>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40" w:type="dxa"/>
            <w:vAlign w:val="bottom"/>
            <w:gridSpan w:val="6"/>
            <w:vMerge w:val="restart"/>
          </w:tcPr>
          <w:p>
            <w:pPr>
              <w:ind w:left="120"/>
              <w:spacing w:after="0" w:line="189" w:lineRule="exact"/>
              <w:rPr>
                <w:sz w:val="20"/>
                <w:szCs w:val="20"/>
                <w:color w:val="auto"/>
              </w:rPr>
            </w:pPr>
            <w:r>
              <w:rPr>
                <w:rFonts w:ascii="Arial" w:cs="Arial" w:eastAsia="Arial" w:hAnsi="Arial"/>
                <w:sz w:val="18"/>
                <w:szCs w:val="18"/>
                <w:color w:val="auto"/>
              </w:rPr>
              <w:t>Item 9C.</w:t>
            </w:r>
          </w:p>
        </w:tc>
        <w:tc>
          <w:tcPr>
            <w:tcW w:w="20" w:type="dxa"/>
            <w:vAlign w:val="bottom"/>
            <w:shd w:val="clear" w:color="auto" w:fill="0000EE"/>
          </w:tcPr>
          <w:p>
            <w:pPr>
              <w:spacing w:after="0" w:line="20" w:lineRule="exact"/>
              <w:rPr>
                <w:sz w:val="1"/>
                <w:szCs w:val="1"/>
                <w:color w:val="auto"/>
              </w:rPr>
            </w:pPr>
          </w:p>
        </w:tc>
        <w:tc>
          <w:tcPr>
            <w:tcW w:w="740" w:type="dxa"/>
            <w:vAlign w:val="bottom"/>
            <w:tcBorders>
              <w:right w:val="single" w:sz="8" w:color="0000FF"/>
            </w:tcBorders>
            <w:gridSpan w:val="2"/>
            <w:shd w:val="clear" w:color="auto" w:fill="0000FF"/>
          </w:tcPr>
          <w:p>
            <w:pPr>
              <w:spacing w:after="0" w:line="20" w:lineRule="exact"/>
              <w:rPr>
                <w:sz w:val="1"/>
                <w:szCs w:val="1"/>
                <w:color w:val="auto"/>
              </w:rPr>
            </w:pPr>
          </w:p>
        </w:tc>
        <w:tc>
          <w:tcPr>
            <w:tcW w:w="580" w:type="dxa"/>
            <w:vAlign w:val="bottom"/>
            <w:tcBorders>
              <w:right w:val="single" w:sz="8" w:color="0000EE"/>
            </w:tcBorders>
            <w:gridSpan w:val="4"/>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780" w:type="dxa"/>
            <w:vAlign w:val="bottom"/>
            <w:vMerge w:val="restart"/>
          </w:tcPr>
          <w:p>
            <w:pPr>
              <w:jc w:val="right"/>
              <w:spacing w:after="0" w:line="189" w:lineRule="exact"/>
              <w:rPr>
                <w:sz w:val="20"/>
                <w:szCs w:val="20"/>
                <w:color w:val="auto"/>
              </w:rPr>
            </w:pPr>
            <w:r>
              <w:rPr>
                <w:rFonts w:ascii="Arial" w:cs="Arial" w:eastAsia="Arial" w:hAnsi="Arial"/>
                <w:sz w:val="18"/>
                <w:szCs w:val="18"/>
                <w:color w:val="auto"/>
              </w:rPr>
              <w:t>88</w:t>
            </w:r>
          </w:p>
        </w:tc>
        <w:tc>
          <w:tcPr>
            <w:tcW w:w="0" w:type="dxa"/>
            <w:vAlign w:val="bottom"/>
          </w:tcPr>
          <w:p>
            <w:pPr>
              <w:spacing w:after="0" w:line="20" w:lineRule="exact"/>
              <w:rPr>
                <w:sz w:val="1"/>
                <w:szCs w:val="1"/>
                <w:color w:val="auto"/>
              </w:rPr>
            </w:pPr>
          </w:p>
        </w:tc>
      </w:tr>
      <w:tr>
        <w:trPr>
          <w:trHeight w:val="169"/>
        </w:trPr>
        <w:tc>
          <w:tcPr>
            <w:tcW w:w="1240" w:type="dxa"/>
            <w:vAlign w:val="bottom"/>
            <w:gridSpan w:val="6"/>
            <w:vMerge w:val="continue"/>
          </w:tcPr>
          <w:p>
            <w:pPr>
              <w:spacing w:after="0"/>
              <w:rPr>
                <w:sz w:val="14"/>
                <w:szCs w:val="14"/>
                <w:color w:val="auto"/>
              </w:rPr>
            </w:pPr>
          </w:p>
        </w:tc>
        <w:tc>
          <w:tcPr>
            <w:tcW w:w="9200" w:type="dxa"/>
            <w:vAlign w:val="bottom"/>
            <w:gridSpan w:val="23"/>
          </w:tcPr>
          <w:p>
            <w:pPr>
              <w:spacing w:after="0" w:line="169" w:lineRule="exact"/>
              <w:rPr>
                <w:rFonts w:ascii="Arial" w:cs="Arial" w:eastAsia="Arial" w:hAnsi="Arial"/>
                <w:sz w:val="18"/>
                <w:szCs w:val="18"/>
                <w:color w:val="0000FF"/>
              </w:rPr>
            </w:pPr>
            <w:hyperlink w:anchor="page91">
              <w:r>
                <w:rPr>
                  <w:rFonts w:ascii="Arial" w:cs="Arial" w:eastAsia="Arial" w:hAnsi="Arial"/>
                  <w:sz w:val="18"/>
                  <w:szCs w:val="18"/>
                  <w:color w:val="0000FF"/>
                </w:rPr>
                <w:t>Disclosure Regarding Foreign Jurisdictions that Prevent Inspections</w:t>
              </w:r>
            </w:hyperlink>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40" w:type="dxa"/>
            <w:vAlign w:val="bottom"/>
            <w:gridSpan w:val="6"/>
            <w:vMerge w:val="restart"/>
          </w:tcPr>
          <w:p>
            <w:pPr>
              <w:spacing w:after="0"/>
              <w:rPr>
                <w:rFonts w:ascii="Arial" w:cs="Arial" w:eastAsia="Arial" w:hAnsi="Arial"/>
                <w:sz w:val="18"/>
                <w:szCs w:val="18"/>
                <w:b w:val="1"/>
                <w:bCs w:val="1"/>
                <w:color w:val="0000FF"/>
              </w:rPr>
            </w:pPr>
            <w:hyperlink w:anchor="page92">
              <w:r>
                <w:rPr>
                  <w:rFonts w:ascii="Arial" w:cs="Arial" w:eastAsia="Arial" w:hAnsi="Arial"/>
                  <w:sz w:val="18"/>
                  <w:szCs w:val="18"/>
                  <w:b w:val="1"/>
                  <w:bCs w:val="1"/>
                  <w:color w:val="0000FF"/>
                </w:rPr>
                <w:t>PART III</w:t>
              </w:r>
            </w:hyperlink>
          </w:p>
        </w:tc>
        <w:tc>
          <w:tcPr>
            <w:tcW w:w="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240" w:type="dxa"/>
            <w:vAlign w:val="bottom"/>
            <w:gridSpan w:val="6"/>
            <w:vMerge w:val="continue"/>
          </w:tcPr>
          <w:p>
            <w:pPr>
              <w:spacing w:after="0"/>
              <w:rPr>
                <w:sz w:val="24"/>
                <w:szCs w:val="24"/>
                <w:color w:val="auto"/>
              </w:rPr>
            </w:pPr>
          </w:p>
        </w:tc>
        <w:tc>
          <w:tcPr>
            <w:tcW w:w="9200" w:type="dxa"/>
            <w:vAlign w:val="bottom"/>
            <w:gridSpan w:val="23"/>
            <w:vMerge w:val="restart"/>
          </w:tcPr>
          <w:p>
            <w:pPr>
              <w:spacing w:after="0"/>
              <w:rPr>
                <w:rFonts w:ascii="Arial" w:cs="Arial" w:eastAsia="Arial" w:hAnsi="Arial"/>
                <w:sz w:val="18"/>
                <w:szCs w:val="18"/>
                <w:color w:val="0000FF"/>
              </w:rPr>
            </w:pPr>
            <w:hyperlink w:anchor="page92">
              <w:r>
                <w:rPr>
                  <w:rFonts w:ascii="Arial" w:cs="Arial" w:eastAsia="Arial" w:hAnsi="Arial"/>
                  <w:sz w:val="18"/>
                  <w:szCs w:val="18"/>
                  <w:color w:val="0000FF"/>
                </w:rPr>
                <w:t>Directors, Executive Officers and Corporate Governance</w:t>
              </w:r>
            </w:hyperlink>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169"/>
        </w:trPr>
        <w:tc>
          <w:tcPr>
            <w:tcW w:w="760" w:type="dxa"/>
            <w:vAlign w:val="bottom"/>
            <w:tcBorders>
              <w:top w:val="single" w:sz="8" w:color="0000FF"/>
            </w:tcBorders>
            <w:gridSpan w:val="5"/>
          </w:tcPr>
          <w:p>
            <w:pPr>
              <w:ind w:left="120"/>
              <w:spacing w:after="0" w:line="169" w:lineRule="exact"/>
              <w:rPr>
                <w:sz w:val="20"/>
                <w:szCs w:val="20"/>
                <w:color w:val="auto"/>
              </w:rPr>
            </w:pPr>
            <w:r>
              <w:rPr>
                <w:rFonts w:ascii="Arial" w:cs="Arial" w:eastAsia="Arial" w:hAnsi="Arial"/>
                <w:sz w:val="18"/>
                <w:szCs w:val="18"/>
                <w:color w:val="auto"/>
                <w:w w:val="95"/>
              </w:rPr>
              <w:t>Item 10.</w:t>
            </w:r>
          </w:p>
        </w:tc>
        <w:tc>
          <w:tcPr>
            <w:tcW w:w="480" w:type="dxa"/>
            <w:vAlign w:val="bottom"/>
          </w:tcPr>
          <w:p>
            <w:pPr>
              <w:spacing w:after="0"/>
              <w:rPr>
                <w:sz w:val="14"/>
                <w:szCs w:val="14"/>
                <w:color w:val="auto"/>
              </w:rPr>
            </w:pPr>
          </w:p>
        </w:tc>
        <w:tc>
          <w:tcPr>
            <w:tcW w:w="9200" w:type="dxa"/>
            <w:vAlign w:val="bottom"/>
            <w:gridSpan w:val="23"/>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240" w:type="dxa"/>
            <w:vAlign w:val="bottom"/>
            <w:gridSpan w:val="6"/>
          </w:tcPr>
          <w:p>
            <w:pPr>
              <w:ind w:left="120"/>
              <w:spacing w:after="0" w:line="169" w:lineRule="exact"/>
              <w:rPr>
                <w:sz w:val="20"/>
                <w:szCs w:val="20"/>
                <w:color w:val="auto"/>
              </w:rPr>
            </w:pPr>
            <w:r>
              <w:rPr>
                <w:rFonts w:ascii="Arial" w:cs="Arial" w:eastAsia="Arial" w:hAnsi="Arial"/>
                <w:sz w:val="18"/>
                <w:szCs w:val="18"/>
                <w:color w:val="auto"/>
              </w:rPr>
              <w:t>Item 11.</w:t>
            </w:r>
          </w:p>
        </w:tc>
        <w:tc>
          <w:tcPr>
            <w:tcW w:w="20" w:type="dxa"/>
            <w:vAlign w:val="bottom"/>
          </w:tcPr>
          <w:p>
            <w:pPr>
              <w:spacing w:after="0"/>
              <w:rPr>
                <w:sz w:val="14"/>
                <w:szCs w:val="14"/>
                <w:color w:val="auto"/>
              </w:rPr>
            </w:pPr>
          </w:p>
        </w:tc>
        <w:tc>
          <w:tcPr>
            <w:tcW w:w="4080" w:type="dxa"/>
            <w:vAlign w:val="bottom"/>
            <w:tcBorders>
              <w:top w:val="single" w:sz="8" w:color="0000FF"/>
            </w:tcBorders>
            <w:gridSpan w:val="14"/>
          </w:tcPr>
          <w:p>
            <w:pPr>
              <w:spacing w:after="0" w:line="169" w:lineRule="exact"/>
              <w:rPr>
                <w:rFonts w:ascii="Arial" w:cs="Arial" w:eastAsia="Arial" w:hAnsi="Arial"/>
                <w:sz w:val="18"/>
                <w:szCs w:val="18"/>
                <w:color w:val="0000FF"/>
              </w:rPr>
            </w:pPr>
            <w:hyperlink w:anchor="page92">
              <w:r>
                <w:rPr>
                  <w:rFonts w:ascii="Arial" w:cs="Arial" w:eastAsia="Arial" w:hAnsi="Arial"/>
                  <w:sz w:val="18"/>
                  <w:szCs w:val="18"/>
                  <w:color w:val="0000FF"/>
                </w:rPr>
                <w:t>Executive Compensation</w:t>
              </w:r>
            </w:hyperlink>
          </w:p>
        </w:tc>
        <w:tc>
          <w:tcPr>
            <w:tcW w:w="1360" w:type="dxa"/>
            <w:vAlign w:val="bottom"/>
            <w:gridSpan w:val="3"/>
          </w:tcPr>
          <w:p>
            <w:pPr>
              <w:spacing w:after="0"/>
              <w:rPr>
                <w:sz w:val="14"/>
                <w:szCs w:val="14"/>
                <w:color w:val="auto"/>
              </w:rPr>
            </w:pPr>
          </w:p>
        </w:tc>
        <w:tc>
          <w:tcPr>
            <w:tcW w:w="1840" w:type="dxa"/>
            <w:vAlign w:val="bottom"/>
            <w:gridSpan w:val="3"/>
          </w:tcPr>
          <w:p>
            <w:pPr>
              <w:spacing w:after="0"/>
              <w:rPr>
                <w:sz w:val="14"/>
                <w:szCs w:val="14"/>
                <w:color w:val="auto"/>
              </w:rPr>
            </w:pPr>
          </w:p>
        </w:tc>
        <w:tc>
          <w:tcPr>
            <w:tcW w:w="1900" w:type="dxa"/>
            <w:vAlign w:val="bottom"/>
            <w:gridSpan w:val="2"/>
          </w:tcPr>
          <w:p>
            <w:pPr>
              <w:spacing w:after="0"/>
              <w:rPr>
                <w:sz w:val="14"/>
                <w:szCs w:val="14"/>
                <w:color w:val="auto"/>
              </w:rPr>
            </w:pPr>
          </w:p>
        </w:tc>
        <w:tc>
          <w:tcPr>
            <w:tcW w:w="780" w:type="dxa"/>
            <w:vAlign w:val="bottom"/>
          </w:tcPr>
          <w:p>
            <w:pPr>
              <w:jc w:val="right"/>
              <w:spacing w:after="0" w:line="169" w:lineRule="exact"/>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0"/>
        </w:trPr>
        <w:tc>
          <w:tcPr>
            <w:tcW w:w="1240" w:type="dxa"/>
            <w:vAlign w:val="bottom"/>
            <w:gridSpan w:val="6"/>
            <w:vMerge w:val="restart"/>
          </w:tcPr>
          <w:p>
            <w:pPr>
              <w:ind w:left="120"/>
              <w:spacing w:after="0" w:line="189" w:lineRule="exact"/>
              <w:rPr>
                <w:sz w:val="20"/>
                <w:szCs w:val="20"/>
                <w:color w:val="auto"/>
              </w:rPr>
            </w:pPr>
            <w:r>
              <w:rPr>
                <w:rFonts w:ascii="Arial" w:cs="Arial" w:eastAsia="Arial" w:hAnsi="Arial"/>
                <w:sz w:val="18"/>
                <w:szCs w:val="18"/>
                <w:color w:val="auto"/>
              </w:rPr>
              <w:t>Item 12.</w:t>
            </w:r>
          </w:p>
        </w:tc>
        <w:tc>
          <w:tcPr>
            <w:tcW w:w="20" w:type="dxa"/>
            <w:vAlign w:val="bottom"/>
            <w:shd w:val="clear" w:color="auto" w:fill="0000EE"/>
          </w:tcPr>
          <w:p>
            <w:pPr>
              <w:spacing w:after="0" w:line="20" w:lineRule="exact"/>
              <w:rPr>
                <w:sz w:val="1"/>
                <w:szCs w:val="1"/>
                <w:color w:val="auto"/>
              </w:rPr>
            </w:pPr>
          </w:p>
        </w:tc>
        <w:tc>
          <w:tcPr>
            <w:tcW w:w="740" w:type="dxa"/>
            <w:vAlign w:val="bottom"/>
            <w:tcBorders>
              <w:right w:val="single" w:sz="8" w:color="0000FF"/>
            </w:tcBorders>
            <w:gridSpan w:val="2"/>
            <w:shd w:val="clear" w:color="auto" w:fill="0000FF"/>
          </w:tcPr>
          <w:p>
            <w:pPr>
              <w:spacing w:after="0" w:line="20" w:lineRule="exact"/>
              <w:rPr>
                <w:sz w:val="1"/>
                <w:szCs w:val="1"/>
                <w:color w:val="auto"/>
              </w:rPr>
            </w:pPr>
          </w:p>
        </w:tc>
        <w:tc>
          <w:tcPr>
            <w:tcW w:w="800" w:type="dxa"/>
            <w:vAlign w:val="bottom"/>
            <w:gridSpan w:val="5"/>
            <w:shd w:val="clear" w:color="auto" w:fill="0000FF"/>
          </w:tcPr>
          <w:p>
            <w:pPr>
              <w:spacing w:after="0" w:line="20" w:lineRule="exact"/>
              <w:rPr>
                <w:sz w:val="1"/>
                <w:szCs w:val="1"/>
                <w:color w:val="auto"/>
              </w:rPr>
            </w:pPr>
          </w:p>
        </w:tc>
        <w:tc>
          <w:tcPr>
            <w:tcW w:w="260" w:type="dxa"/>
            <w:vAlign w:val="bottom"/>
            <w:tcBorders>
              <w:right w:val="single" w:sz="8" w:color="0000EE"/>
            </w:tcBorders>
            <w:gridSpan w:val="2"/>
            <w:shd w:val="clear" w:color="auto" w:fill="0000FF"/>
          </w:tcPr>
          <w:p>
            <w:pPr>
              <w:spacing w:after="0" w:line="20" w:lineRule="exact"/>
              <w:rPr>
                <w:sz w:val="1"/>
                <w:szCs w:val="1"/>
                <w:color w:val="auto"/>
              </w:rPr>
            </w:pPr>
          </w:p>
        </w:tc>
        <w:tc>
          <w:tcPr>
            <w:tcW w:w="7380" w:type="dxa"/>
            <w:vAlign w:val="bottom"/>
            <w:gridSpan w:val="13"/>
            <w:vMerge w:val="restart"/>
          </w:tcPr>
          <w:p>
            <w:pPr>
              <w:spacing w:after="0" w:line="189" w:lineRule="exact"/>
              <w:rPr>
                <w:rFonts w:ascii="Arial" w:cs="Arial" w:eastAsia="Arial" w:hAnsi="Arial"/>
                <w:sz w:val="18"/>
                <w:szCs w:val="18"/>
                <w:color w:val="0000FF"/>
              </w:rPr>
            </w:pPr>
            <w:hyperlink w:anchor="page92">
              <w:r>
                <w:rPr>
                  <w:rFonts w:ascii="Arial" w:cs="Arial" w:eastAsia="Arial" w:hAnsi="Arial"/>
                  <w:sz w:val="18"/>
                  <w:szCs w:val="18"/>
                  <w:color w:val="0000FF"/>
                </w:rPr>
                <w:t>Certain Beneficial Owners and Management and Related Stockholder Matters</w:t>
              </w:r>
            </w:hyperlink>
          </w:p>
        </w:tc>
        <w:tc>
          <w:tcPr>
            <w:tcW w:w="780" w:type="dxa"/>
            <w:vAlign w:val="bottom"/>
            <w:vMerge w:val="restart"/>
          </w:tcPr>
          <w:p>
            <w:pPr>
              <w:jc w:val="right"/>
              <w:spacing w:after="0" w:line="189" w:lineRule="exact"/>
              <w:rPr>
                <w:sz w:val="20"/>
                <w:szCs w:val="20"/>
                <w:color w:val="auto"/>
              </w:rPr>
            </w:pPr>
            <w:r>
              <w:rPr>
                <w:rFonts w:ascii="Arial" w:cs="Arial" w:eastAsia="Arial" w:hAnsi="Arial"/>
                <w:sz w:val="18"/>
                <w:szCs w:val="18"/>
                <w:color w:val="auto"/>
              </w:rPr>
              <w:t>89</w:t>
            </w:r>
          </w:p>
        </w:tc>
        <w:tc>
          <w:tcPr>
            <w:tcW w:w="0" w:type="dxa"/>
            <w:vAlign w:val="bottom"/>
          </w:tcPr>
          <w:p>
            <w:pPr>
              <w:spacing w:after="0" w:line="20" w:lineRule="exact"/>
              <w:rPr>
                <w:sz w:val="1"/>
                <w:szCs w:val="1"/>
                <w:color w:val="auto"/>
              </w:rPr>
            </w:pPr>
          </w:p>
        </w:tc>
      </w:tr>
      <w:tr>
        <w:trPr>
          <w:trHeight w:val="169"/>
        </w:trPr>
        <w:tc>
          <w:tcPr>
            <w:tcW w:w="1240" w:type="dxa"/>
            <w:vAlign w:val="bottom"/>
            <w:gridSpan w:val="6"/>
            <w:vMerge w:val="continue"/>
          </w:tcPr>
          <w:p>
            <w:pPr>
              <w:spacing w:after="0"/>
              <w:rPr>
                <w:sz w:val="14"/>
                <w:szCs w:val="14"/>
                <w:color w:val="auto"/>
              </w:rPr>
            </w:pPr>
          </w:p>
        </w:tc>
        <w:tc>
          <w:tcPr>
            <w:tcW w:w="1820" w:type="dxa"/>
            <w:vAlign w:val="bottom"/>
            <w:gridSpan w:val="10"/>
          </w:tcPr>
          <w:p>
            <w:pPr>
              <w:spacing w:after="0" w:line="169" w:lineRule="exact"/>
              <w:rPr>
                <w:rFonts w:ascii="Arial" w:cs="Arial" w:eastAsia="Arial" w:hAnsi="Arial"/>
                <w:sz w:val="18"/>
                <w:szCs w:val="18"/>
                <w:color w:val="0000FF"/>
              </w:rPr>
            </w:pPr>
            <w:hyperlink w:anchor="page92">
              <w:r>
                <w:rPr>
                  <w:rFonts w:ascii="Arial" w:cs="Arial" w:eastAsia="Arial" w:hAnsi="Arial"/>
                  <w:sz w:val="18"/>
                  <w:szCs w:val="18"/>
                  <w:color w:val="0000FF"/>
                </w:rPr>
                <w:t>Security Ownership of</w:t>
              </w:r>
            </w:hyperlink>
          </w:p>
        </w:tc>
        <w:tc>
          <w:tcPr>
            <w:tcW w:w="7380" w:type="dxa"/>
            <w:vAlign w:val="bottom"/>
            <w:gridSpan w:val="13"/>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40" w:type="dxa"/>
            <w:vAlign w:val="bottom"/>
            <w:gridSpan w:val="6"/>
            <w:vMerge w:val="restart"/>
          </w:tcPr>
          <w:p>
            <w:pPr>
              <w:ind w:left="120"/>
              <w:spacing w:after="0" w:line="189" w:lineRule="exact"/>
              <w:rPr>
                <w:sz w:val="20"/>
                <w:szCs w:val="20"/>
                <w:color w:val="auto"/>
              </w:rPr>
            </w:pPr>
            <w:r>
              <w:rPr>
                <w:rFonts w:ascii="Arial" w:cs="Arial" w:eastAsia="Arial" w:hAnsi="Arial"/>
                <w:sz w:val="18"/>
                <w:szCs w:val="18"/>
                <w:color w:val="auto"/>
              </w:rPr>
              <w:t>Item 13.</w:t>
            </w:r>
          </w:p>
        </w:tc>
        <w:tc>
          <w:tcPr>
            <w:tcW w:w="20" w:type="dxa"/>
            <w:vAlign w:val="bottom"/>
            <w:shd w:val="clear" w:color="auto" w:fill="0000EE"/>
          </w:tcPr>
          <w:p>
            <w:pPr>
              <w:spacing w:after="0" w:line="20" w:lineRule="exact"/>
              <w:rPr>
                <w:sz w:val="1"/>
                <w:szCs w:val="1"/>
                <w:color w:val="auto"/>
              </w:rPr>
            </w:pPr>
          </w:p>
        </w:tc>
        <w:tc>
          <w:tcPr>
            <w:tcW w:w="740" w:type="dxa"/>
            <w:vAlign w:val="bottom"/>
            <w:tcBorders>
              <w:right w:val="single" w:sz="8" w:color="0000FF"/>
            </w:tcBorders>
            <w:gridSpan w:val="2"/>
            <w:shd w:val="clear" w:color="auto" w:fill="0000FF"/>
          </w:tcPr>
          <w:p>
            <w:pPr>
              <w:spacing w:after="0" w:line="20" w:lineRule="exact"/>
              <w:rPr>
                <w:sz w:val="1"/>
                <w:szCs w:val="1"/>
                <w:color w:val="auto"/>
              </w:rPr>
            </w:pPr>
          </w:p>
        </w:tc>
        <w:tc>
          <w:tcPr>
            <w:tcW w:w="800" w:type="dxa"/>
            <w:vAlign w:val="bottom"/>
            <w:gridSpan w:val="5"/>
            <w:shd w:val="clear" w:color="auto" w:fill="0000FF"/>
          </w:tcPr>
          <w:p>
            <w:pPr>
              <w:spacing w:after="0" w:line="20" w:lineRule="exact"/>
              <w:rPr>
                <w:sz w:val="1"/>
                <w:szCs w:val="1"/>
                <w:color w:val="auto"/>
              </w:rPr>
            </w:pPr>
          </w:p>
        </w:tc>
        <w:tc>
          <w:tcPr>
            <w:tcW w:w="132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560" w:type="dxa"/>
            <w:vAlign w:val="bottom"/>
            <w:gridSpan w:val="5"/>
            <w:shd w:val="clear" w:color="auto" w:fill="0000FF"/>
          </w:tcPr>
          <w:p>
            <w:pPr>
              <w:spacing w:after="0" w:line="20" w:lineRule="exact"/>
              <w:rPr>
                <w:sz w:val="1"/>
                <w:szCs w:val="1"/>
                <w:color w:val="auto"/>
              </w:rPr>
            </w:pPr>
          </w:p>
        </w:tc>
        <w:tc>
          <w:tcPr>
            <w:tcW w:w="1840" w:type="dxa"/>
            <w:vAlign w:val="bottom"/>
            <w:gridSpan w:val="3"/>
            <w:shd w:val="clear" w:color="auto" w:fill="0000FF"/>
          </w:tcPr>
          <w:p>
            <w:pPr>
              <w:spacing w:after="0" w:line="20" w:lineRule="exact"/>
              <w:rPr>
                <w:sz w:val="1"/>
                <w:szCs w:val="1"/>
                <w:color w:val="auto"/>
              </w:rPr>
            </w:pPr>
          </w:p>
        </w:tc>
        <w:tc>
          <w:tcPr>
            <w:tcW w:w="1900" w:type="dxa"/>
            <w:vAlign w:val="bottom"/>
            <w:gridSpan w:val="2"/>
            <w:vMerge w:val="restart"/>
          </w:tcPr>
          <w:p>
            <w:pPr>
              <w:spacing w:after="0" w:line="20" w:lineRule="exact"/>
              <w:rPr>
                <w:sz w:val="1"/>
                <w:szCs w:val="1"/>
                <w:color w:val="auto"/>
              </w:rPr>
            </w:pPr>
          </w:p>
        </w:tc>
        <w:tc>
          <w:tcPr>
            <w:tcW w:w="780" w:type="dxa"/>
            <w:vAlign w:val="bottom"/>
            <w:vMerge w:val="restart"/>
          </w:tcPr>
          <w:p>
            <w:pPr>
              <w:jc w:val="right"/>
              <w:spacing w:after="0" w:line="189" w:lineRule="exact"/>
              <w:rPr>
                <w:sz w:val="20"/>
                <w:szCs w:val="20"/>
                <w:color w:val="auto"/>
              </w:rPr>
            </w:pPr>
            <w:r>
              <w:rPr>
                <w:rFonts w:ascii="Arial" w:cs="Arial" w:eastAsia="Arial" w:hAnsi="Arial"/>
                <w:sz w:val="18"/>
                <w:szCs w:val="18"/>
                <w:color w:val="auto"/>
              </w:rPr>
              <w:t>89</w:t>
            </w:r>
          </w:p>
        </w:tc>
        <w:tc>
          <w:tcPr>
            <w:tcW w:w="0" w:type="dxa"/>
            <w:vAlign w:val="bottom"/>
          </w:tcPr>
          <w:p>
            <w:pPr>
              <w:spacing w:after="0" w:line="20" w:lineRule="exact"/>
              <w:rPr>
                <w:sz w:val="1"/>
                <w:szCs w:val="1"/>
                <w:color w:val="auto"/>
              </w:rPr>
            </w:pPr>
          </w:p>
        </w:tc>
      </w:tr>
      <w:tr>
        <w:trPr>
          <w:trHeight w:val="169"/>
        </w:trPr>
        <w:tc>
          <w:tcPr>
            <w:tcW w:w="1240" w:type="dxa"/>
            <w:vAlign w:val="bottom"/>
            <w:gridSpan w:val="6"/>
            <w:vMerge w:val="continue"/>
          </w:tcPr>
          <w:p>
            <w:pPr>
              <w:spacing w:after="0"/>
              <w:rPr>
                <w:sz w:val="14"/>
                <w:szCs w:val="14"/>
                <w:color w:val="auto"/>
              </w:rPr>
            </w:pPr>
          </w:p>
        </w:tc>
        <w:tc>
          <w:tcPr>
            <w:tcW w:w="7300" w:type="dxa"/>
            <w:vAlign w:val="bottom"/>
            <w:gridSpan w:val="21"/>
          </w:tcPr>
          <w:p>
            <w:pPr>
              <w:spacing w:after="0" w:line="169" w:lineRule="exact"/>
              <w:rPr>
                <w:rFonts w:ascii="Arial" w:cs="Arial" w:eastAsia="Arial" w:hAnsi="Arial"/>
                <w:sz w:val="18"/>
                <w:szCs w:val="18"/>
                <w:color w:val="0000FF"/>
              </w:rPr>
            </w:pPr>
            <w:hyperlink w:anchor="page92">
              <w:r>
                <w:rPr>
                  <w:rFonts w:ascii="Arial" w:cs="Arial" w:eastAsia="Arial" w:hAnsi="Arial"/>
                  <w:sz w:val="18"/>
                  <w:szCs w:val="18"/>
                  <w:color w:val="0000FF"/>
                </w:rPr>
                <w:t>Certain Relationships and Related Transactions, and Director Independence</w:t>
              </w:r>
            </w:hyperlink>
          </w:p>
        </w:tc>
        <w:tc>
          <w:tcPr>
            <w:tcW w:w="1900" w:type="dxa"/>
            <w:vAlign w:val="bottom"/>
            <w:gridSpan w:val="2"/>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40" w:type="dxa"/>
            <w:vAlign w:val="bottom"/>
            <w:gridSpan w:val="6"/>
            <w:vMerge w:val="restart"/>
          </w:tcPr>
          <w:p>
            <w:pPr>
              <w:ind w:left="120"/>
              <w:spacing w:after="0" w:line="189" w:lineRule="exact"/>
              <w:rPr>
                <w:sz w:val="20"/>
                <w:szCs w:val="20"/>
                <w:color w:val="auto"/>
              </w:rPr>
            </w:pPr>
            <w:r>
              <w:rPr>
                <w:rFonts w:ascii="Arial" w:cs="Arial" w:eastAsia="Arial" w:hAnsi="Arial"/>
                <w:sz w:val="18"/>
                <w:szCs w:val="18"/>
                <w:color w:val="auto"/>
              </w:rPr>
              <w:t>Item 14.</w:t>
            </w:r>
          </w:p>
        </w:tc>
        <w:tc>
          <w:tcPr>
            <w:tcW w:w="20" w:type="dxa"/>
            <w:vAlign w:val="bottom"/>
            <w:shd w:val="clear" w:color="auto" w:fill="0000EE"/>
          </w:tcPr>
          <w:p>
            <w:pPr>
              <w:spacing w:after="0" w:line="20" w:lineRule="exact"/>
              <w:rPr>
                <w:sz w:val="1"/>
                <w:szCs w:val="1"/>
                <w:color w:val="auto"/>
              </w:rPr>
            </w:pPr>
          </w:p>
        </w:tc>
        <w:tc>
          <w:tcPr>
            <w:tcW w:w="740" w:type="dxa"/>
            <w:vAlign w:val="bottom"/>
            <w:tcBorders>
              <w:right w:val="single" w:sz="8" w:color="0000FF"/>
            </w:tcBorders>
            <w:gridSpan w:val="2"/>
            <w:shd w:val="clear" w:color="auto" w:fill="0000FF"/>
          </w:tcPr>
          <w:p>
            <w:pPr>
              <w:spacing w:after="0" w:line="20" w:lineRule="exact"/>
              <w:rPr>
                <w:sz w:val="1"/>
                <w:szCs w:val="1"/>
                <w:color w:val="auto"/>
              </w:rPr>
            </w:pPr>
          </w:p>
        </w:tc>
        <w:tc>
          <w:tcPr>
            <w:tcW w:w="800" w:type="dxa"/>
            <w:vAlign w:val="bottom"/>
            <w:gridSpan w:val="5"/>
            <w:shd w:val="clear" w:color="auto" w:fill="0000FF"/>
          </w:tcPr>
          <w:p>
            <w:pPr>
              <w:spacing w:after="0" w:line="20" w:lineRule="exact"/>
              <w:rPr>
                <w:sz w:val="1"/>
                <w:szCs w:val="1"/>
                <w:color w:val="auto"/>
              </w:rPr>
            </w:pPr>
          </w:p>
        </w:tc>
        <w:tc>
          <w:tcPr>
            <w:tcW w:w="132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560" w:type="dxa"/>
            <w:vAlign w:val="bottom"/>
            <w:gridSpan w:val="5"/>
            <w:shd w:val="clear" w:color="auto" w:fill="0000FF"/>
          </w:tcPr>
          <w:p>
            <w:pPr>
              <w:spacing w:after="0" w:line="20" w:lineRule="exact"/>
              <w:rPr>
                <w:sz w:val="1"/>
                <w:szCs w:val="1"/>
                <w:color w:val="auto"/>
              </w:rPr>
            </w:pPr>
          </w:p>
        </w:tc>
        <w:tc>
          <w:tcPr>
            <w:tcW w:w="3740" w:type="dxa"/>
            <w:vAlign w:val="bottom"/>
            <w:gridSpan w:val="5"/>
            <w:vMerge w:val="restart"/>
          </w:tcPr>
          <w:p>
            <w:pPr>
              <w:spacing w:after="0" w:line="20" w:lineRule="exact"/>
              <w:rPr>
                <w:sz w:val="1"/>
                <w:szCs w:val="1"/>
                <w:color w:val="auto"/>
              </w:rPr>
            </w:pPr>
          </w:p>
        </w:tc>
        <w:tc>
          <w:tcPr>
            <w:tcW w:w="780" w:type="dxa"/>
            <w:vAlign w:val="bottom"/>
            <w:vMerge w:val="restart"/>
          </w:tcPr>
          <w:p>
            <w:pPr>
              <w:jc w:val="right"/>
              <w:spacing w:after="0" w:line="189" w:lineRule="exact"/>
              <w:rPr>
                <w:sz w:val="20"/>
                <w:szCs w:val="20"/>
                <w:color w:val="auto"/>
              </w:rPr>
            </w:pPr>
            <w:r>
              <w:rPr>
                <w:rFonts w:ascii="Arial" w:cs="Arial" w:eastAsia="Arial" w:hAnsi="Arial"/>
                <w:sz w:val="18"/>
                <w:szCs w:val="18"/>
                <w:color w:val="auto"/>
              </w:rPr>
              <w:t>89</w:t>
            </w:r>
          </w:p>
        </w:tc>
        <w:tc>
          <w:tcPr>
            <w:tcW w:w="0" w:type="dxa"/>
            <w:vAlign w:val="bottom"/>
          </w:tcPr>
          <w:p>
            <w:pPr>
              <w:spacing w:after="0" w:line="20" w:lineRule="exact"/>
              <w:rPr>
                <w:sz w:val="1"/>
                <w:szCs w:val="1"/>
                <w:color w:val="auto"/>
              </w:rPr>
            </w:pPr>
          </w:p>
        </w:tc>
      </w:tr>
      <w:tr>
        <w:trPr>
          <w:trHeight w:val="169"/>
        </w:trPr>
        <w:tc>
          <w:tcPr>
            <w:tcW w:w="1240" w:type="dxa"/>
            <w:vAlign w:val="bottom"/>
            <w:gridSpan w:val="6"/>
            <w:vMerge w:val="continue"/>
          </w:tcPr>
          <w:p>
            <w:pPr>
              <w:spacing w:after="0"/>
              <w:rPr>
                <w:sz w:val="14"/>
                <w:szCs w:val="14"/>
                <w:color w:val="auto"/>
              </w:rPr>
            </w:pPr>
          </w:p>
        </w:tc>
        <w:tc>
          <w:tcPr>
            <w:tcW w:w="5460" w:type="dxa"/>
            <w:vAlign w:val="bottom"/>
            <w:gridSpan w:val="18"/>
          </w:tcPr>
          <w:p>
            <w:pPr>
              <w:spacing w:after="0" w:line="169" w:lineRule="exact"/>
              <w:rPr>
                <w:rFonts w:ascii="Arial" w:cs="Arial" w:eastAsia="Arial" w:hAnsi="Arial"/>
                <w:sz w:val="18"/>
                <w:szCs w:val="18"/>
                <w:color w:val="0000FF"/>
              </w:rPr>
            </w:pPr>
            <w:hyperlink w:anchor="page92">
              <w:r>
                <w:rPr>
                  <w:rFonts w:ascii="Arial" w:cs="Arial" w:eastAsia="Arial" w:hAnsi="Arial"/>
                  <w:sz w:val="18"/>
                  <w:szCs w:val="18"/>
                  <w:color w:val="0000FF"/>
                </w:rPr>
                <w:t>Principal Accounting Fees and Services</w:t>
              </w:r>
            </w:hyperlink>
          </w:p>
        </w:tc>
        <w:tc>
          <w:tcPr>
            <w:tcW w:w="3740" w:type="dxa"/>
            <w:vAlign w:val="bottom"/>
            <w:gridSpan w:val="5"/>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20" w:type="dxa"/>
            <w:vAlign w:val="bottom"/>
            <w:gridSpan w:val="3"/>
            <w:vMerge w:val="restart"/>
          </w:tcPr>
          <w:p>
            <w:pPr>
              <w:spacing w:after="0"/>
              <w:rPr>
                <w:rFonts w:ascii="Arial" w:cs="Arial" w:eastAsia="Arial" w:hAnsi="Arial"/>
                <w:sz w:val="18"/>
                <w:szCs w:val="18"/>
                <w:b w:val="1"/>
                <w:bCs w:val="1"/>
                <w:color w:val="0000FF"/>
                <w:w w:val="98"/>
              </w:rPr>
            </w:pPr>
            <w:hyperlink w:anchor="page93">
              <w:r>
                <w:rPr>
                  <w:rFonts w:ascii="Arial" w:cs="Arial" w:eastAsia="Arial" w:hAnsi="Arial"/>
                  <w:sz w:val="18"/>
                  <w:szCs w:val="18"/>
                  <w:b w:val="1"/>
                  <w:bCs w:val="1"/>
                  <w:color w:val="0000FF"/>
                  <w:w w:val="98"/>
                </w:rPr>
                <w:t>PART IV</w:t>
              </w:r>
            </w:hyperlink>
          </w:p>
        </w:tc>
        <w:tc>
          <w:tcPr>
            <w:tcW w:w="20" w:type="dxa"/>
            <w:vAlign w:val="bottom"/>
            <w:vMerge w:val="restart"/>
          </w:tcPr>
          <w:p>
            <w:pPr>
              <w:spacing w:after="0" w:line="20" w:lineRule="exact"/>
              <w:rPr>
                <w:sz w:val="1"/>
                <w:szCs w:val="1"/>
                <w:color w:val="auto"/>
              </w:rPr>
            </w:pPr>
          </w:p>
        </w:tc>
        <w:tc>
          <w:tcPr>
            <w:tcW w:w="500" w:type="dxa"/>
            <w:vAlign w:val="bottom"/>
            <w:gridSpan w:val="2"/>
            <w:vMerge w:val="restart"/>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3"/>
        </w:trPr>
        <w:tc>
          <w:tcPr>
            <w:tcW w:w="720" w:type="dxa"/>
            <w:vAlign w:val="bottom"/>
            <w:tcBorders>
              <w:bottom w:val="single" w:sz="8" w:color="0000FF"/>
            </w:tcBorders>
            <w:gridSpan w:val="3"/>
            <w:vMerge w:val="continue"/>
          </w:tcPr>
          <w:p>
            <w:pPr>
              <w:spacing w:after="0"/>
              <w:rPr>
                <w:sz w:val="24"/>
                <w:szCs w:val="24"/>
                <w:color w:val="auto"/>
              </w:rPr>
            </w:pPr>
          </w:p>
        </w:tc>
        <w:tc>
          <w:tcPr>
            <w:tcW w:w="20" w:type="dxa"/>
            <w:vAlign w:val="bottom"/>
            <w:tcBorders>
              <w:bottom w:val="single" w:sz="8" w:color="0000EE"/>
            </w:tcBorders>
            <w:vMerge w:val="continue"/>
          </w:tcPr>
          <w:p>
            <w:pPr>
              <w:spacing w:after="0"/>
              <w:rPr>
                <w:sz w:val="24"/>
                <w:szCs w:val="24"/>
                <w:color w:val="auto"/>
              </w:rPr>
            </w:pPr>
          </w:p>
        </w:tc>
        <w:tc>
          <w:tcPr>
            <w:tcW w:w="500" w:type="dxa"/>
            <w:vAlign w:val="bottom"/>
            <w:gridSpan w:val="2"/>
            <w:vMerge w:val="continue"/>
          </w:tcPr>
          <w:p>
            <w:pPr>
              <w:spacing w:after="0"/>
              <w:rPr>
                <w:sz w:val="24"/>
                <w:szCs w:val="24"/>
                <w:color w:val="auto"/>
              </w:rPr>
            </w:pPr>
          </w:p>
        </w:tc>
        <w:tc>
          <w:tcPr>
            <w:tcW w:w="9200" w:type="dxa"/>
            <w:vAlign w:val="bottom"/>
            <w:gridSpan w:val="23"/>
            <w:vMerge w:val="restart"/>
          </w:tcPr>
          <w:p>
            <w:pPr>
              <w:spacing w:after="0"/>
              <w:rPr>
                <w:rFonts w:ascii="Arial" w:cs="Arial" w:eastAsia="Arial" w:hAnsi="Arial"/>
                <w:sz w:val="18"/>
                <w:szCs w:val="18"/>
                <w:color w:val="0000FF"/>
              </w:rPr>
            </w:pPr>
            <w:hyperlink w:anchor="page93">
              <w:r>
                <w:rPr>
                  <w:rFonts w:ascii="Arial" w:cs="Arial" w:eastAsia="Arial" w:hAnsi="Arial"/>
                  <w:sz w:val="18"/>
                  <w:szCs w:val="18"/>
                  <w:color w:val="0000FF"/>
                </w:rPr>
                <w:t>Exhibits, Financial Statement Schedules</w:t>
              </w:r>
            </w:hyperlink>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169"/>
        </w:trPr>
        <w:tc>
          <w:tcPr>
            <w:tcW w:w="740" w:type="dxa"/>
            <w:vAlign w:val="bottom"/>
            <w:gridSpan w:val="4"/>
          </w:tcPr>
          <w:p>
            <w:pPr>
              <w:ind w:left="120"/>
              <w:spacing w:after="0" w:line="169" w:lineRule="exact"/>
              <w:rPr>
                <w:sz w:val="20"/>
                <w:szCs w:val="20"/>
                <w:color w:val="auto"/>
              </w:rPr>
            </w:pPr>
            <w:r>
              <w:rPr>
                <w:rFonts w:ascii="Arial" w:cs="Arial" w:eastAsia="Arial" w:hAnsi="Arial"/>
                <w:sz w:val="18"/>
                <w:szCs w:val="18"/>
                <w:color w:val="auto"/>
                <w:w w:val="92"/>
              </w:rPr>
              <w:t>Item 15.</w:t>
            </w:r>
          </w:p>
        </w:tc>
        <w:tc>
          <w:tcPr>
            <w:tcW w:w="500" w:type="dxa"/>
            <w:vAlign w:val="bottom"/>
            <w:gridSpan w:val="2"/>
          </w:tcPr>
          <w:p>
            <w:pPr>
              <w:spacing w:after="0"/>
              <w:rPr>
                <w:sz w:val="14"/>
                <w:szCs w:val="14"/>
                <w:color w:val="auto"/>
              </w:rPr>
            </w:pPr>
          </w:p>
        </w:tc>
        <w:tc>
          <w:tcPr>
            <w:tcW w:w="9200" w:type="dxa"/>
            <w:vAlign w:val="bottom"/>
            <w:gridSpan w:val="23"/>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240" w:type="dxa"/>
            <w:vAlign w:val="bottom"/>
            <w:gridSpan w:val="6"/>
          </w:tcPr>
          <w:p>
            <w:pPr>
              <w:ind w:left="120"/>
              <w:spacing w:after="0" w:line="169" w:lineRule="exact"/>
              <w:rPr>
                <w:sz w:val="20"/>
                <w:szCs w:val="20"/>
                <w:color w:val="auto"/>
              </w:rPr>
            </w:pPr>
            <w:r>
              <w:rPr>
                <w:rFonts w:ascii="Arial" w:cs="Arial" w:eastAsia="Arial" w:hAnsi="Arial"/>
                <w:sz w:val="18"/>
                <w:szCs w:val="18"/>
                <w:color w:val="auto"/>
              </w:rPr>
              <w:t>Item 16.</w:t>
            </w:r>
          </w:p>
        </w:tc>
        <w:tc>
          <w:tcPr>
            <w:tcW w:w="20" w:type="dxa"/>
            <w:vAlign w:val="bottom"/>
            <w:tcBorders>
              <w:bottom w:val="single" w:sz="8" w:color="0000EE"/>
            </w:tcBorders>
          </w:tcPr>
          <w:p>
            <w:pPr>
              <w:spacing w:after="0"/>
              <w:rPr>
                <w:sz w:val="14"/>
                <w:szCs w:val="14"/>
                <w:color w:val="auto"/>
              </w:rPr>
            </w:pPr>
          </w:p>
        </w:tc>
        <w:tc>
          <w:tcPr>
            <w:tcW w:w="1540" w:type="dxa"/>
            <w:vAlign w:val="bottom"/>
            <w:tcBorders>
              <w:top w:val="single" w:sz="8" w:color="0000FF"/>
              <w:bottom w:val="single" w:sz="8" w:color="0000FF"/>
            </w:tcBorders>
            <w:gridSpan w:val="7"/>
          </w:tcPr>
          <w:p>
            <w:pPr>
              <w:spacing w:after="0" w:line="169" w:lineRule="exact"/>
              <w:rPr>
                <w:rFonts w:ascii="Arial" w:cs="Arial" w:eastAsia="Arial" w:hAnsi="Arial"/>
                <w:sz w:val="18"/>
                <w:szCs w:val="18"/>
                <w:color w:val="0000FF"/>
                <w:w w:val="90"/>
              </w:rPr>
            </w:pPr>
            <w:hyperlink w:anchor="page95">
              <w:r>
                <w:rPr>
                  <w:rFonts w:ascii="Arial" w:cs="Arial" w:eastAsia="Arial" w:hAnsi="Arial"/>
                  <w:sz w:val="18"/>
                  <w:szCs w:val="18"/>
                  <w:color w:val="0000FF"/>
                  <w:w w:val="90"/>
                </w:rPr>
                <w:t>Form 10-K Summary</w:t>
              </w:r>
            </w:hyperlink>
          </w:p>
        </w:tc>
        <w:tc>
          <w:tcPr>
            <w:tcW w:w="1340" w:type="dxa"/>
            <w:vAlign w:val="bottom"/>
            <w:tcBorders>
              <w:top w:val="single" w:sz="8" w:color="0000FF"/>
            </w:tcBorders>
            <w:gridSpan w:val="5"/>
          </w:tcPr>
          <w:p>
            <w:pPr>
              <w:spacing w:after="0"/>
              <w:rPr>
                <w:sz w:val="14"/>
                <w:szCs w:val="14"/>
                <w:color w:val="auto"/>
              </w:rPr>
            </w:pPr>
          </w:p>
        </w:tc>
        <w:tc>
          <w:tcPr>
            <w:tcW w:w="6300" w:type="dxa"/>
            <w:vAlign w:val="bottom"/>
            <w:gridSpan w:val="10"/>
          </w:tcPr>
          <w:p>
            <w:pPr>
              <w:spacing w:after="0"/>
              <w:rPr>
                <w:sz w:val="14"/>
                <w:szCs w:val="14"/>
                <w:color w:val="auto"/>
              </w:rPr>
            </w:pPr>
          </w:p>
        </w:tc>
        <w:tc>
          <w:tcPr>
            <w:tcW w:w="780" w:type="dxa"/>
            <w:vAlign w:val="bottom"/>
          </w:tcPr>
          <w:p>
            <w:pPr>
              <w:jc w:val="right"/>
              <w:spacing w:after="0" w:line="169" w:lineRule="exact"/>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358"/>
        </w:trPr>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200" w:type="dxa"/>
            <w:vAlign w:val="bottom"/>
            <w:gridSpan w:val="23"/>
          </w:tcPr>
          <w:p>
            <w:pPr>
              <w:spacing w:after="0"/>
              <w:rPr>
                <w:rFonts w:ascii="Arial" w:cs="Arial" w:eastAsia="Arial" w:hAnsi="Arial"/>
                <w:sz w:val="18"/>
                <w:szCs w:val="18"/>
                <w:color w:val="0000FF"/>
              </w:rPr>
            </w:pPr>
            <w:hyperlink w:anchor="page96">
              <w:r>
                <w:rPr>
                  <w:rFonts w:ascii="Arial" w:cs="Arial" w:eastAsia="Arial" w:hAnsi="Arial"/>
                  <w:sz w:val="18"/>
                  <w:szCs w:val="18"/>
                  <w:color w:val="0000FF"/>
                </w:rPr>
                <w:t>Signatures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62230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324"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16" w:lineRule="exact"/>
        <w:rPr>
          <w:sz w:val="20"/>
          <w:szCs w:val="20"/>
          <w:color w:val="auto"/>
        </w:rPr>
      </w:pPr>
    </w:p>
    <w:p>
      <w:pPr>
        <w:ind w:right="200" w:firstLine="644"/>
        <w:spacing w:after="0" w:line="255" w:lineRule="auto"/>
        <w:rPr>
          <w:sz w:val="20"/>
          <w:szCs w:val="20"/>
          <w:color w:val="auto"/>
        </w:rPr>
      </w:pPr>
      <w:r>
        <w:rPr>
          <w:rFonts w:ascii="Arial" w:cs="Arial" w:eastAsia="Arial" w:hAnsi="Arial"/>
          <w:sz w:val="17"/>
          <w:szCs w:val="17"/>
          <w:color w:val="auto"/>
        </w:rPr>
        <w:t>This Annual Report on Form 10-K contains forward-looking statements within the meaning of Section 27A of the Securities Act of 1933, as amended (the “Securities Act”), and Section 21E of the Securities Exchange Act of 1934, as amended (the “Exchange Act”), which statements involve substantial risks and uncertainties. Forward-looking statements generally relate to future events or our future financial or operating performance. In some cases, you can identify forward-looking statements because they contain words such as “may,” “can,” “will,” “would,” “should,” “expects,” “plans,” “anticipates,” “could,” “intends,” “target,” “projects,” “contemplates,” “believes,” “estimates,” “predicts,” “forecasts,” “potential,” or “continue” or the negative of these words or other similar terms or expressions that concern our expectations, strategy, plans or intentions. Forward-looking statements contained in this Annual Report on Form 10-K include, but are not limited to, statements about:</w:t>
      </w:r>
    </w:p>
    <w:p>
      <w:pPr>
        <w:spacing w:after="0" w:line="72" w:lineRule="exact"/>
        <w:rPr>
          <w:sz w:val="20"/>
          <w:szCs w:val="20"/>
          <w:color w:val="auto"/>
        </w:rPr>
      </w:pPr>
    </w:p>
    <w:p>
      <w:pPr>
        <w:ind w:left="900" w:hanging="248"/>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our revenue, expenses and other operating results;</w:t>
      </w:r>
    </w:p>
    <w:p>
      <w:pPr>
        <w:spacing w:after="0" w:line="103" w:lineRule="exact"/>
        <w:rPr>
          <w:rFonts w:ascii="Arial" w:cs="Arial" w:eastAsia="Arial" w:hAnsi="Arial"/>
          <w:sz w:val="18"/>
          <w:szCs w:val="18"/>
          <w:color w:val="auto"/>
        </w:rPr>
      </w:pPr>
    </w:p>
    <w:p>
      <w:pPr>
        <w:ind w:left="900" w:right="280" w:hanging="248"/>
        <w:spacing w:after="0" w:line="261"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anticipated growth of our business, including the anticipated growth of revenue from seller services, our ability to effectively manage or sustain our growth and to achieve or sustain profitability;</w:t>
      </w:r>
    </w:p>
    <w:p>
      <w:pPr>
        <w:spacing w:after="0" w:line="62" w:lineRule="exact"/>
        <w:rPr>
          <w:rFonts w:ascii="Arial" w:cs="Arial" w:eastAsia="Arial" w:hAnsi="Arial"/>
          <w:sz w:val="18"/>
          <w:szCs w:val="18"/>
          <w:color w:val="auto"/>
        </w:rPr>
      </w:pPr>
    </w:p>
    <w:p>
      <w:pPr>
        <w:ind w:left="900" w:right="620" w:hanging="248"/>
        <w:spacing w:after="0" w:line="261"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ongoing effects of the COVID-19 pandemic and any other periods of global economic uncertainty, such as the geopolitical tensions associated with Russia’s recent incursion into Ukraine;</w:t>
      </w:r>
    </w:p>
    <w:p>
      <w:pPr>
        <w:spacing w:after="0" w:line="62" w:lineRule="exact"/>
        <w:rPr>
          <w:rFonts w:ascii="Arial" w:cs="Arial" w:eastAsia="Arial" w:hAnsi="Arial"/>
          <w:sz w:val="18"/>
          <w:szCs w:val="18"/>
          <w:color w:val="auto"/>
        </w:rPr>
      </w:pPr>
    </w:p>
    <w:p>
      <w:pPr>
        <w:ind w:left="900" w:hanging="248"/>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future investments in our business, our anticipated capital expenditures and our estimates regarding our capital requirements;</w:t>
      </w:r>
    </w:p>
    <w:p>
      <w:pPr>
        <w:spacing w:after="0" w:line="103" w:lineRule="exact"/>
        <w:rPr>
          <w:rFonts w:ascii="Arial" w:cs="Arial" w:eastAsia="Arial" w:hAnsi="Arial"/>
          <w:sz w:val="18"/>
          <w:szCs w:val="18"/>
          <w:color w:val="auto"/>
        </w:rPr>
      </w:pPr>
    </w:p>
    <w:p>
      <w:pPr>
        <w:ind w:left="900" w:hanging="248"/>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attract new buyers and sellers and successfully engage new and existing buyers and sellers;</w:t>
      </w:r>
    </w:p>
    <w:p>
      <w:pPr>
        <w:spacing w:after="0" w:line="103" w:lineRule="exact"/>
        <w:rPr>
          <w:rFonts w:ascii="Arial" w:cs="Arial" w:eastAsia="Arial" w:hAnsi="Arial"/>
          <w:sz w:val="18"/>
          <w:szCs w:val="18"/>
          <w:color w:val="auto"/>
        </w:rPr>
      </w:pPr>
    </w:p>
    <w:p>
      <w:pPr>
        <w:ind w:left="900" w:hanging="248"/>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costs and success of our sales and marketing efforts, and our ability to promote our brand;</w:t>
      </w:r>
    </w:p>
    <w:p>
      <w:pPr>
        <w:spacing w:after="0" w:line="103" w:lineRule="exact"/>
        <w:rPr>
          <w:rFonts w:ascii="Arial" w:cs="Arial" w:eastAsia="Arial" w:hAnsi="Arial"/>
          <w:sz w:val="18"/>
          <w:szCs w:val="18"/>
          <w:color w:val="auto"/>
        </w:rPr>
      </w:pPr>
    </w:p>
    <w:p>
      <w:pPr>
        <w:ind w:left="900" w:hanging="248"/>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reliance on key personnel and our ability to identify, recruit and retain skilled personnel;</w:t>
      </w:r>
    </w:p>
    <w:p>
      <w:pPr>
        <w:spacing w:after="0" w:line="103" w:lineRule="exact"/>
        <w:rPr>
          <w:rFonts w:ascii="Arial" w:cs="Arial" w:eastAsia="Arial" w:hAnsi="Arial"/>
          <w:sz w:val="18"/>
          <w:szCs w:val="18"/>
          <w:color w:val="auto"/>
        </w:rPr>
      </w:pPr>
    </w:p>
    <w:p>
      <w:pPr>
        <w:ind w:left="900" w:hanging="248"/>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effectively manage our growth, including any international expansion;</w:t>
      </w:r>
    </w:p>
    <w:p>
      <w:pPr>
        <w:spacing w:after="0" w:line="103" w:lineRule="exact"/>
        <w:rPr>
          <w:rFonts w:ascii="Arial" w:cs="Arial" w:eastAsia="Arial" w:hAnsi="Arial"/>
          <w:sz w:val="18"/>
          <w:szCs w:val="18"/>
          <w:color w:val="auto"/>
        </w:rPr>
      </w:pPr>
    </w:p>
    <w:p>
      <w:pPr>
        <w:ind w:left="900" w:hanging="248"/>
        <w:spacing w:after="0"/>
        <w:tabs>
          <w:tab w:leader="none" w:pos="90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obtain, maintain, protect and enforce our intellectual property or other proprietary rights and any costs associated therewith;</w:t>
      </w:r>
    </w:p>
    <w:p>
      <w:pPr>
        <w:spacing w:after="0" w:line="115" w:lineRule="exact"/>
        <w:rPr>
          <w:rFonts w:ascii="Arial" w:cs="Arial" w:eastAsia="Arial" w:hAnsi="Arial"/>
          <w:sz w:val="17"/>
          <w:szCs w:val="17"/>
          <w:color w:val="auto"/>
        </w:rPr>
      </w:pPr>
    </w:p>
    <w:p>
      <w:pPr>
        <w:ind w:left="900" w:hanging="248"/>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compete effectively with existing competitors and new market entrants;</w:t>
      </w:r>
    </w:p>
    <w:p>
      <w:pPr>
        <w:spacing w:after="0" w:line="103" w:lineRule="exact"/>
        <w:rPr>
          <w:rFonts w:ascii="Arial" w:cs="Arial" w:eastAsia="Arial" w:hAnsi="Arial"/>
          <w:sz w:val="18"/>
          <w:szCs w:val="18"/>
          <w:color w:val="auto"/>
        </w:rPr>
      </w:pPr>
    </w:p>
    <w:p>
      <w:pPr>
        <w:ind w:left="900" w:hanging="248"/>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growth rates of the markets in which we compete; and</w:t>
      </w:r>
    </w:p>
    <w:p>
      <w:pPr>
        <w:spacing w:after="0" w:line="103" w:lineRule="exact"/>
        <w:rPr>
          <w:rFonts w:ascii="Arial" w:cs="Arial" w:eastAsia="Arial" w:hAnsi="Arial"/>
          <w:sz w:val="18"/>
          <w:szCs w:val="18"/>
          <w:color w:val="auto"/>
        </w:rPr>
      </w:pPr>
    </w:p>
    <w:p>
      <w:pPr>
        <w:ind w:left="900" w:hanging="248"/>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successfully integrate acquired businesses, products and technologies into our operations.</w:t>
      </w:r>
    </w:p>
    <w:p>
      <w:pPr>
        <w:spacing w:after="0" w:line="171" w:lineRule="exact"/>
        <w:rPr>
          <w:sz w:val="20"/>
          <w:szCs w:val="20"/>
          <w:color w:val="auto"/>
        </w:rPr>
      </w:pPr>
    </w:p>
    <w:p>
      <w:pPr>
        <w:ind w:right="20" w:firstLine="644"/>
        <w:spacing w:after="0" w:line="274" w:lineRule="auto"/>
        <w:rPr>
          <w:sz w:val="20"/>
          <w:szCs w:val="20"/>
          <w:color w:val="auto"/>
        </w:rPr>
      </w:pPr>
      <w:r>
        <w:rPr>
          <w:rFonts w:ascii="Arial" w:cs="Arial" w:eastAsia="Arial" w:hAnsi="Arial"/>
          <w:sz w:val="16"/>
          <w:szCs w:val="16"/>
          <w:color w:val="auto"/>
        </w:rPr>
        <w:t>You should not rely on forward-looking statements as predictions of future events. We have based the forward-looking statements contained in this Form 10-K primarily on our current expectations and projections about future events and trends that we believe may affect our business, financial condition and operating results. The outcome of the events described in these forward-looking statements is subject to risks, uncertainties and other factors described in the section titled Risk Factors Part I, Item 1A, and elsewhere in this Form 10-K. Moreover, we operate in a very competitive and rapidly changing environment. New risks and uncertainties emerge from time to time, and it is not possible for us to predict all risks and uncertainties that could have an impact on the forward-looking statements contained in this Form 10-K. The results, events and circumstances reflected in the forward-looking statements may not be achieved or occur, and actual results, events or circumstances could differ materially from those described in the forward-looking statements.</w:t>
      </w:r>
    </w:p>
    <w:p>
      <w:pPr>
        <w:spacing w:after="0" w:line="136" w:lineRule="exact"/>
        <w:rPr>
          <w:sz w:val="20"/>
          <w:szCs w:val="20"/>
          <w:color w:val="auto"/>
        </w:rPr>
      </w:pPr>
    </w:p>
    <w:p>
      <w:pPr>
        <w:ind w:firstLine="644"/>
        <w:spacing w:after="0" w:line="284" w:lineRule="auto"/>
        <w:rPr>
          <w:sz w:val="20"/>
          <w:szCs w:val="20"/>
          <w:color w:val="auto"/>
        </w:rPr>
      </w:pPr>
      <w:r>
        <w:rPr>
          <w:rFonts w:ascii="Arial" w:cs="Arial" w:eastAsia="Arial" w:hAnsi="Arial"/>
          <w:sz w:val="16"/>
          <w:szCs w:val="16"/>
          <w:color w:val="auto"/>
        </w:rPr>
        <w:t>In addition, statements that “we believe” and similar statements reflect our beliefs and opinions on the relevant subject. These statements are based on information available to us as of the date of this Form 10-K. And while we believe that information provides a reasonable basis for these statements, that information may be limited or incomplete. Our statements should not be read to indicate that we have conducted an exhaustive inquiry into, or review of, all relevant information. These statements are inherently uncertain, and investors are cautioned not to unduly rely on these statements.</w:t>
      </w:r>
    </w:p>
    <w:p>
      <w:pPr>
        <w:spacing w:after="0" w:line="115" w:lineRule="exact"/>
        <w:rPr>
          <w:sz w:val="20"/>
          <w:szCs w:val="20"/>
          <w:color w:val="auto"/>
        </w:rPr>
      </w:pPr>
    </w:p>
    <w:p>
      <w:pPr>
        <w:ind w:right="20" w:firstLine="644"/>
        <w:spacing w:after="0" w:line="259" w:lineRule="auto"/>
        <w:rPr>
          <w:sz w:val="20"/>
          <w:szCs w:val="20"/>
          <w:color w:val="auto"/>
        </w:rPr>
      </w:pPr>
      <w:r>
        <w:rPr>
          <w:rFonts w:ascii="Arial" w:cs="Arial" w:eastAsia="Arial" w:hAnsi="Arial"/>
          <w:sz w:val="17"/>
          <w:szCs w:val="17"/>
          <w:color w:val="auto"/>
        </w:rPr>
        <w:t>The forward-looking statements made in this Form 10-K relate only to events as of the date on which the statements are made. We undertake no obligation to update any forward-looking statements made in this Form 10-K to reflect events or circumstances after the date of this Form 10-K or to reflect new information or the occurrence of unanticipated events, except as required by law. 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or investments.</w:t>
      </w: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48" w:right="339" w:bottom="1440" w:gutter="0" w:footer="0" w:header="0"/>
        </w:sectPr>
      </w:pPr>
    </w:p>
    <w:bookmarkStart w:id="3" w:name="page4"/>
    <w:bookmarkEnd w:id="3"/>
    <w:p>
      <w:pPr>
        <w:jc w:val="center"/>
        <w:ind w:right="80"/>
        <w:spacing w:after="0"/>
        <w:rPr>
          <w:sz w:val="20"/>
          <w:szCs w:val="20"/>
          <w:color w:val="auto"/>
        </w:rPr>
      </w:pPr>
      <w:r>
        <w:rPr>
          <w:rFonts w:ascii="Arial" w:cs="Arial" w:eastAsia="Arial" w:hAnsi="Arial"/>
          <w:sz w:val="18"/>
          <w:szCs w:val="18"/>
          <w:b w:val="1"/>
          <w:bCs w:val="1"/>
          <w:color w:val="auto"/>
        </w:rPr>
        <w:t>A Letter from our CEO</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 Marketplace Powering Our Collective Future</w:t>
      </w:r>
    </w:p>
    <w:p>
      <w:pPr>
        <w:spacing w:after="0"/>
        <w:rPr>
          <w:sz w:val="20"/>
          <w:szCs w:val="20"/>
          <w:color w:val="auto"/>
        </w:rPr>
      </w:pPr>
      <w:r>
        <w:rPr>
          <w:rFonts w:ascii="Arial" w:cs="Arial" w:eastAsia="Arial" w:hAnsi="Arial"/>
          <w:sz w:val="18"/>
          <w:szCs w:val="18"/>
          <w:color w:val="auto"/>
        </w:rPr>
        <w:t>Dear Shareholders –</w:t>
      </w:r>
    </w:p>
    <w:p>
      <w:pPr>
        <w:spacing w:after="0" w:line="15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2021 was a phenomenal year for Xometry. At the same time we grew revenue by 54% year over year, we grew gross profit at an even faster rate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72%. Xometry’s proprietary AI engine powers our marketplace and continues to deliver tremendous value to our customers.</w:t>
      </w:r>
    </w:p>
    <w:p>
      <w:pPr>
        <w:spacing w:after="0" w:line="169" w:lineRule="exact"/>
        <w:rPr>
          <w:sz w:val="20"/>
          <w:szCs w:val="20"/>
          <w:color w:val="auto"/>
        </w:rPr>
      </w:pPr>
    </w:p>
    <w:p>
      <w:pPr>
        <w:ind w:right="100" w:firstLine="644"/>
        <w:spacing w:after="0" w:line="243" w:lineRule="auto"/>
        <w:rPr>
          <w:sz w:val="20"/>
          <w:szCs w:val="20"/>
          <w:color w:val="auto"/>
        </w:rPr>
      </w:pPr>
      <w:r>
        <w:rPr>
          <w:rFonts w:ascii="Arial" w:cs="Arial" w:eastAsia="Arial" w:hAnsi="Arial"/>
          <w:sz w:val="18"/>
          <w:szCs w:val="18"/>
          <w:color w:val="auto"/>
        </w:rPr>
        <w:t>We released numerous new technology features, rapidly expanding the breadth of our marketplace. We went public in June, and committed 1% of our equity over time to support charitable organizations that strive to improve educational opportunities for all, reduce global CO2 output, and help train and expand the horizons of the next generation of inventors. Completing the acquisition of Thomas in December created an unparalleled scale of buyers and sellers, enabling further growth in 2022.</w:t>
      </w:r>
    </w:p>
    <w:p>
      <w:pPr>
        <w:spacing w:after="0" w:line="147" w:lineRule="exact"/>
        <w:rPr>
          <w:sz w:val="20"/>
          <w:szCs w:val="20"/>
          <w:color w:val="auto"/>
        </w:rPr>
      </w:pPr>
    </w:p>
    <w:p>
      <w:pPr>
        <w:ind w:right="160" w:firstLine="644"/>
        <w:spacing w:after="0" w:line="248" w:lineRule="auto"/>
        <w:rPr>
          <w:sz w:val="20"/>
          <w:szCs w:val="20"/>
          <w:color w:val="auto"/>
        </w:rPr>
      </w:pPr>
      <w:r>
        <w:rPr>
          <w:rFonts w:ascii="Arial" w:cs="Arial" w:eastAsia="Arial" w:hAnsi="Arial"/>
          <w:sz w:val="18"/>
          <w:szCs w:val="18"/>
          <w:color w:val="auto"/>
        </w:rPr>
        <w:t>The whole Company is proud of what we accomplished in 2021, but we also know our work has just begun. Tragic global events are having devastating humanitarian consequences, while also crippling supply chains, spurring product shortages and limiting access to raw materials – all of which underscore the need for the rapid digital transformation of the manufacturing industry.</w:t>
      </w:r>
    </w:p>
    <w:p>
      <w:pPr>
        <w:spacing w:after="0" w:line="141" w:lineRule="exact"/>
        <w:rPr>
          <w:sz w:val="20"/>
          <w:szCs w:val="20"/>
          <w:color w:val="auto"/>
        </w:rPr>
      </w:pPr>
    </w:p>
    <w:p>
      <w:pPr>
        <w:ind w:right="300" w:firstLine="644"/>
        <w:spacing w:after="0" w:line="291" w:lineRule="auto"/>
        <w:rPr>
          <w:sz w:val="20"/>
          <w:szCs w:val="20"/>
          <w:color w:val="auto"/>
        </w:rPr>
      </w:pPr>
      <w:r>
        <w:rPr>
          <w:rFonts w:ascii="Arial" w:cs="Arial" w:eastAsia="Arial" w:hAnsi="Arial"/>
          <w:sz w:val="17"/>
          <w:szCs w:val="17"/>
          <w:color w:val="auto"/>
        </w:rPr>
        <w:t>Our global marketplace model is playing an instrumental role in accelerating the digitization of the industry, helping buyers create resilient and robust supply chains and supporting manufacturers with a portfolio of fin-tech, digital marketing products and enterprise software.</w:t>
      </w:r>
    </w:p>
    <w:p>
      <w:pPr>
        <w:spacing w:after="0" w:line="120" w:lineRule="exact"/>
        <w:rPr>
          <w:sz w:val="20"/>
          <w:szCs w:val="20"/>
          <w:color w:val="auto"/>
        </w:rPr>
      </w:pPr>
    </w:p>
    <w:p>
      <w:pPr>
        <w:jc w:val="both"/>
        <w:ind w:right="120" w:firstLine="644"/>
        <w:spacing w:after="0" w:line="248" w:lineRule="auto"/>
        <w:rPr>
          <w:sz w:val="20"/>
          <w:szCs w:val="20"/>
          <w:color w:val="auto"/>
        </w:rPr>
      </w:pPr>
      <w:r>
        <w:rPr>
          <w:rFonts w:ascii="Arial" w:cs="Arial" w:eastAsia="Arial" w:hAnsi="Arial"/>
          <w:sz w:val="18"/>
          <w:szCs w:val="18"/>
          <w:color w:val="auto"/>
        </w:rPr>
        <w:t>Our game plan is simple: Become the enterprise solution for buyers and sellers of custom manufacturing, driving value for both sides in a wildly inefficient $2 trillion market. For buyers, we save them hours, days and weeks by using artificial intelligence to find the optimal solution for their needs in just seconds.</w:t>
      </w:r>
    </w:p>
    <w:p>
      <w:pPr>
        <w:spacing w:after="0" w:line="141" w:lineRule="exact"/>
        <w:rPr>
          <w:sz w:val="20"/>
          <w:szCs w:val="20"/>
          <w:color w:val="auto"/>
        </w:rPr>
      </w:pPr>
    </w:p>
    <w:p>
      <w:pPr>
        <w:ind w:right="200" w:firstLine="644"/>
        <w:spacing w:after="0" w:line="248" w:lineRule="auto"/>
        <w:rPr>
          <w:sz w:val="20"/>
          <w:szCs w:val="20"/>
          <w:color w:val="auto"/>
        </w:rPr>
      </w:pPr>
      <w:r>
        <w:rPr>
          <w:rFonts w:ascii="Arial" w:cs="Arial" w:eastAsia="Arial" w:hAnsi="Arial"/>
          <w:sz w:val="18"/>
          <w:szCs w:val="18"/>
          <w:color w:val="auto"/>
        </w:rPr>
        <w:t>Buyers will be able to order seamlessly from anywhere they want, whether through their own ERP, popular 3D CAD programs or our embedded quoting engine in other websites. Likewise, small and medium manufacturers will be able to manage their businesses and grow through access to the Xometry platform.</w:t>
      </w:r>
    </w:p>
    <w:p>
      <w:pPr>
        <w:spacing w:after="0" w:line="141" w:lineRule="exact"/>
        <w:rPr>
          <w:sz w:val="20"/>
          <w:szCs w:val="20"/>
          <w:color w:val="auto"/>
        </w:rPr>
      </w:pPr>
    </w:p>
    <w:p>
      <w:pPr>
        <w:ind w:firstLine="644"/>
        <w:spacing w:after="0" w:line="284" w:lineRule="auto"/>
        <w:rPr>
          <w:sz w:val="20"/>
          <w:szCs w:val="20"/>
          <w:color w:val="auto"/>
        </w:rPr>
      </w:pPr>
      <w:r>
        <w:rPr>
          <w:rFonts w:ascii="Arial" w:cs="Arial" w:eastAsia="Arial" w:hAnsi="Arial"/>
          <w:sz w:val="16"/>
          <w:szCs w:val="16"/>
          <w:color w:val="auto"/>
        </w:rPr>
        <w:t>With an increasing number of jobs available from our marketplace, and a portfolio of services to help them manage costs and cash flow, sellers can confidently add equipment and people to grow their businesses. In the United States, we are committed to playing a pivotal role in revitalizing and strengthening our domestic manufacturing base. In contrast to the ineffectual “supporting” American manufacturing rhetoric, Xometry is helping in tangible ways, producing the revenue-generating and operating tools that are critical to enabling these small and medium-sized businesses to flourish.</w:t>
      </w:r>
    </w:p>
    <w:p>
      <w:pPr>
        <w:spacing w:after="0" w:line="128" w:lineRule="exact"/>
        <w:rPr>
          <w:sz w:val="20"/>
          <w:szCs w:val="20"/>
          <w:color w:val="auto"/>
        </w:rPr>
      </w:pPr>
    </w:p>
    <w:p>
      <w:pPr>
        <w:ind w:right="60" w:firstLine="644"/>
        <w:spacing w:after="0" w:line="248" w:lineRule="auto"/>
        <w:rPr>
          <w:sz w:val="20"/>
          <w:szCs w:val="20"/>
          <w:color w:val="auto"/>
        </w:rPr>
      </w:pPr>
      <w:r>
        <w:rPr>
          <w:rFonts w:ascii="Arial" w:cs="Arial" w:eastAsia="Arial" w:hAnsi="Arial"/>
          <w:sz w:val="18"/>
          <w:szCs w:val="18"/>
          <w:color w:val="auto"/>
        </w:rPr>
        <w:t>Who helps make this happen? It starts with my colleagues. The powerful combination of their unique knowledge and abilities drives Xometry and its marketplace. It is an eclectic bunch, from PhD data scientists to aerospace engineers to self-taught programmers. They are all motivated and united by our mission.</w:t>
      </w:r>
    </w:p>
    <w:p>
      <w:pPr>
        <w:spacing w:after="0" w:line="141" w:lineRule="exact"/>
        <w:rPr>
          <w:sz w:val="20"/>
          <w:szCs w:val="20"/>
          <w:color w:val="auto"/>
        </w:rPr>
      </w:pPr>
    </w:p>
    <w:p>
      <w:pPr>
        <w:ind w:right="340" w:firstLine="644"/>
        <w:spacing w:after="0" w:line="248" w:lineRule="auto"/>
        <w:rPr>
          <w:sz w:val="20"/>
          <w:szCs w:val="20"/>
          <w:color w:val="auto"/>
        </w:rPr>
      </w:pPr>
      <w:r>
        <w:rPr>
          <w:rFonts w:ascii="Arial" w:cs="Arial" w:eastAsia="Arial" w:hAnsi="Arial"/>
          <w:sz w:val="18"/>
          <w:szCs w:val="18"/>
          <w:color w:val="auto"/>
        </w:rPr>
        <w:t>Of course, our buyers and sellers are critical participants. Buyers are coming to us in growing numbers. Instead of worrying about their supply chains, designers, engineers and procurement professionals can focus on building amazing things. Likewise, sellers don’t have to struggle to find customers, and can now focus on what they love to do – make parts!</w:t>
      </w:r>
    </w:p>
    <w:p>
      <w:pPr>
        <w:spacing w:after="0" w:line="141" w:lineRule="exact"/>
        <w:rPr>
          <w:sz w:val="20"/>
          <w:szCs w:val="20"/>
          <w:color w:val="auto"/>
        </w:rPr>
      </w:pPr>
    </w:p>
    <w:p>
      <w:pPr>
        <w:ind w:right="440" w:firstLine="644"/>
        <w:spacing w:after="0" w:line="248" w:lineRule="auto"/>
        <w:rPr>
          <w:sz w:val="20"/>
          <w:szCs w:val="20"/>
          <w:color w:val="auto"/>
        </w:rPr>
      </w:pPr>
      <w:r>
        <w:rPr>
          <w:rFonts w:ascii="Arial" w:cs="Arial" w:eastAsia="Arial" w:hAnsi="Arial"/>
          <w:sz w:val="18"/>
          <w:szCs w:val="18"/>
          <w:color w:val="auto"/>
        </w:rPr>
        <w:t>An emerging, important stakeholder are partners who have software, financial products and supplies to sell to manufacturers. Xometry has fostered a unique community, one of the few places to find such a large group of small- and medium-sized manufacturers connected in a marketplace. Working with Xometry, these partners have a valuable sales channel, offering our sellers terrific deals.</w:t>
      </w:r>
    </w:p>
    <w:p>
      <w:pPr>
        <w:spacing w:after="0" w:line="155" w:lineRule="exact"/>
        <w:rPr>
          <w:sz w:val="20"/>
          <w:szCs w:val="20"/>
          <w:color w:val="auto"/>
        </w:rPr>
      </w:pPr>
    </w:p>
    <w:p>
      <w:pPr>
        <w:ind w:firstLine="644"/>
        <w:spacing w:after="0" w:line="259" w:lineRule="auto"/>
        <w:rPr>
          <w:sz w:val="20"/>
          <w:szCs w:val="20"/>
          <w:color w:val="auto"/>
        </w:rPr>
      </w:pPr>
      <w:r>
        <w:rPr>
          <w:rFonts w:ascii="Arial" w:cs="Arial" w:eastAsia="Arial" w:hAnsi="Arial"/>
          <w:sz w:val="17"/>
          <w:szCs w:val="17"/>
          <w:color w:val="auto"/>
        </w:rPr>
        <w:t>Our stakeholders expect us to be good stewards not only of our business but of the broader communities in which we all live. With the Xometry Go Green initiative, we purchase carbon credits to offset 100% of the estimated impact of the shipment of parts. We offer buyers the ability to instantly calculate the price-to-purchase carbon credits to offset the CO2 emitted through the manufacturing of their parts. Through Xometry’s Donor Advised Fund (DAF) we have embraced the Pledge 1% movement. We are using our DAF to donate to educational institutions and not-for-profit organizations focused on training a new generation of mechanical engineers, machinists and technicians.</w:t>
      </w:r>
    </w:p>
    <w:p>
      <w:pPr>
        <w:spacing w:after="0" w:line="133" w:lineRule="exact"/>
        <w:rPr>
          <w:sz w:val="20"/>
          <w:szCs w:val="20"/>
          <w:color w:val="auto"/>
        </w:rPr>
      </w:pPr>
    </w:p>
    <w:p>
      <w:pPr>
        <w:ind w:right="140" w:firstLine="644"/>
        <w:spacing w:after="0" w:line="249" w:lineRule="auto"/>
        <w:rPr>
          <w:sz w:val="20"/>
          <w:szCs w:val="20"/>
          <w:color w:val="auto"/>
        </w:rPr>
      </w:pPr>
      <w:r>
        <w:rPr>
          <w:rFonts w:ascii="Arial" w:cs="Arial" w:eastAsia="Arial" w:hAnsi="Arial"/>
          <w:sz w:val="18"/>
          <w:szCs w:val="18"/>
          <w:color w:val="auto"/>
        </w:rPr>
        <w:t>Our marketplace is helping tens of thousands of customers manufacture products that are notable in everyday life and what our shared world will look like tomorrow. From life-saving medical devices to electric vehicles to satellites in space, Xometry is powering the present and future. We are relentless in delivering increasing value to our buyers, sellers, employees, communities and shareholders. If you haven’t already, we hope you will join us on this exciting journey.</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Randy Altschuler, CEO</w:t>
      </w: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4" w:name="page5"/>
    <w:bookmarkEnd w:id="4"/>
    <w:p>
      <w:pPr>
        <w:jc w:val="center"/>
        <w:ind w:right="-79"/>
        <w:spacing w:after="0"/>
        <w:rPr>
          <w:sz w:val="20"/>
          <w:szCs w:val="20"/>
          <w:color w:val="auto"/>
        </w:rPr>
      </w:pPr>
      <w:r>
        <w:rPr>
          <w:rFonts w:ascii="Arial" w:cs="Arial" w:eastAsia="Arial" w:hAnsi="Arial"/>
          <w:sz w:val="18"/>
          <w:szCs w:val="18"/>
          <w:b w:val="1"/>
          <w:bCs w:val="1"/>
          <w:color w:val="auto"/>
        </w:rPr>
        <w:t>PART I</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108" w:lineRule="exact"/>
        <w:rPr>
          <w:sz w:val="20"/>
          <w:szCs w:val="20"/>
          <w:color w:val="auto"/>
        </w:rPr>
      </w:pPr>
    </w:p>
    <w:p>
      <w:pPr>
        <w:ind w:right="20" w:firstLine="644"/>
        <w:spacing w:after="0" w:line="248" w:lineRule="auto"/>
        <w:rPr>
          <w:sz w:val="20"/>
          <w:szCs w:val="20"/>
          <w:color w:val="auto"/>
        </w:rPr>
      </w:pPr>
      <w:r>
        <w:rPr>
          <w:rFonts w:ascii="Arial" w:cs="Arial" w:eastAsia="Arial" w:hAnsi="Arial"/>
          <w:sz w:val="18"/>
          <w:szCs w:val="18"/>
          <w:color w:val="auto"/>
        </w:rPr>
        <w:t>Xometry, Inc. (Xometry, the “Company”, “our”, “we”) is a leading AI-enabled digital manufacturing marketplace, transforming one of the largest industries in the world. We use our proprietary technology to create a marketplace that enables buyers to efficiently source manufactured parts and assemblies, and empowers sellers of manufacturing services to grow their businesses.</w:t>
      </w:r>
    </w:p>
    <w:p>
      <w:pPr>
        <w:spacing w:after="0" w:line="141" w:lineRule="exact"/>
        <w:rPr>
          <w:sz w:val="20"/>
          <w:szCs w:val="20"/>
          <w:color w:val="auto"/>
        </w:rPr>
      </w:pPr>
    </w:p>
    <w:p>
      <w:pPr>
        <w:ind w:right="40" w:firstLine="644"/>
        <w:spacing w:after="0"/>
        <w:rPr>
          <w:sz w:val="20"/>
          <w:szCs w:val="20"/>
          <w:color w:val="auto"/>
        </w:rPr>
      </w:pPr>
      <w:r>
        <w:rPr>
          <w:rFonts w:ascii="Arial" w:cs="Arial" w:eastAsia="Arial" w:hAnsi="Arial"/>
          <w:sz w:val="18"/>
          <w:szCs w:val="18"/>
          <w:color w:val="auto"/>
        </w:rPr>
        <w:t>We define “buyers” as individuals who have placed an order to purchase parts or assemblies on our platform. Our buyers include engineers, product designers, procurement and supply chain personnel, inventors and business owners from businesses of a variety of sizes, ranging from self-funded start-ups to Fortune 100 companies. We define “accounts” as an individual entity, such as a sole proprietor with a single buyer or corporate entities with multiple buyers, having purchased at least one part on our marketplace. We define “sellers” as individuals or businesses that have been approved by us to either manufacture a product on our platform for a buyer or have utilized our seller services, including our digital marketing services, data services, financial services or supplies.</w:t>
      </w:r>
    </w:p>
    <w:p>
      <w:pPr>
        <w:spacing w:after="0" w:line="162" w:lineRule="exact"/>
        <w:rPr>
          <w:sz w:val="20"/>
          <w:szCs w:val="20"/>
          <w:color w:val="auto"/>
        </w:rPr>
      </w:pPr>
    </w:p>
    <w:p>
      <w:pPr>
        <w:ind w:right="20" w:firstLine="644"/>
        <w:spacing w:after="0" w:line="257" w:lineRule="auto"/>
        <w:rPr>
          <w:sz w:val="20"/>
          <w:szCs w:val="20"/>
          <w:color w:val="auto"/>
        </w:rPr>
      </w:pPr>
      <w:r>
        <w:rPr>
          <w:rFonts w:ascii="Arial" w:cs="Arial" w:eastAsia="Arial" w:hAnsi="Arial"/>
          <w:sz w:val="17"/>
          <w:szCs w:val="17"/>
          <w:color w:val="auto"/>
        </w:rPr>
        <w:t>Manufacturing is one of the largest industries globally and is in the early stages of digitization. Buyers looking to source manufacturing processes are faced with a highly fragmented and regionalized base of sellers that are prone to supply chain disruptions and are difficult to efficiently manage. Opaque pricing structures, long lead times and a lack of quality controls contribute to a procurement process that is inefficient, unpredictable and unreliable. Conversely, sellers of specialized manufacturing services are faced with limited ability to source customers, inconsistent demand, volatile operating costs and resource constraints that put their businesses under significant financial pressure. For supply chains around the world to become more reliable and resilient, buyers and sellers need a more efficient, agile way to transact.</w:t>
      </w:r>
    </w:p>
    <w:p>
      <w:pPr>
        <w:spacing w:after="0" w:line="135" w:lineRule="exact"/>
        <w:rPr>
          <w:sz w:val="20"/>
          <w:szCs w:val="20"/>
          <w:color w:val="auto"/>
        </w:rPr>
      </w:pPr>
    </w:p>
    <w:p>
      <w:pPr>
        <w:ind w:firstLine="644"/>
        <w:spacing w:after="0" w:line="251" w:lineRule="auto"/>
        <w:rPr>
          <w:sz w:val="20"/>
          <w:szCs w:val="20"/>
          <w:color w:val="auto"/>
        </w:rPr>
      </w:pPr>
      <w:r>
        <w:rPr>
          <w:rFonts w:ascii="Arial" w:cs="Arial" w:eastAsia="Arial" w:hAnsi="Arial"/>
          <w:sz w:val="17"/>
          <w:szCs w:val="17"/>
          <w:color w:val="auto"/>
        </w:rPr>
        <w:t>We enable buyers across industries to source a broad array of manufacturing processes to meet their needs. In 2021, we generated substantially all of our revenue from the prices we charge buyers on our platform. Buyers begin by uploading an engineering schematic that contains 3D design specifications, typically a computer-aided design, or a CAD, file. Then, we price transactions through our proprietary, AI-enabled instant quoting engine based on factors such as volume, manufacturing process, material and location. The convenience and transparency of our model leads to increasing buyer stickiness and spend over time. In addition, we incorporate elements of environmental, social and governance (“ESG”) practices into our marketplace by offering buyers the ability to purchase carbon credits to offset the carbon used to make their parts.</w:t>
      </w:r>
    </w:p>
    <w:p>
      <w:pPr>
        <w:spacing w:after="0" w:line="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648" w:right="419" w:bottom="1440" w:gutter="0" w:footer="0" w:header="0"/>
        </w:sectPr>
      </w:pPr>
    </w:p>
    <w:bookmarkStart w:id="5" w:name="page6"/>
    <w:bookmarkEnd w:id="5"/>
    <w:p>
      <w:pPr>
        <w:ind w:firstLine="644"/>
        <w:spacing w:after="0" w:line="272" w:lineRule="auto"/>
        <w:rPr>
          <w:sz w:val="20"/>
          <w:szCs w:val="20"/>
          <w:color w:val="auto"/>
        </w:rPr>
      </w:pPr>
      <w:r>
        <w:rPr>
          <w:rFonts w:ascii="Arial" w:cs="Arial" w:eastAsia="Arial" w:hAnsi="Arial"/>
          <w:sz w:val="16"/>
          <w:szCs w:val="16"/>
          <w:color w:val="auto"/>
        </w:rPr>
        <w:t>We empower sellers to grow their manufacturing businesses and expand machine uptime by providing access to an international base of buyers. We also offer supporting products and services designed to meet our sellers’ unique needs. In 2019, we introduced Xometry Supplies in the U.S., which enables our sellers to access experienced suppliers who sell competitively priced tools, materials and supplies from leading brands. In 2020, we introduced financial services that enable sellers to stabilize and enhance their cash flows, provide discounts on tools and materials that allow sellers to lower their operating costs, and give access to resource management tools to optimize sellers’ businesses. In 2021, we acquired Thomas Publishing Company (“Thomas”) and Fusiform, Inc. (d.b.a FactoryFour) (“FactoryFour”), expanding our basket of seller services to include digital marketing and data solutions and SaaS based solutions to help sellers optimize their productivity. Revenue from our seller services was approximately six percent of our total revenue for the year ended December 31, 2021. We expect revenue from seller services to continue to grow over time.</w:t>
      </w:r>
    </w:p>
    <w:p>
      <w:pPr>
        <w:spacing w:after="0" w:line="141" w:lineRule="exact"/>
        <w:rPr>
          <w:sz w:val="20"/>
          <w:szCs w:val="20"/>
          <w:color w:val="auto"/>
        </w:rPr>
      </w:pPr>
    </w:p>
    <w:p>
      <w:pPr>
        <w:ind w:firstLine="644"/>
        <w:spacing w:after="0" w:line="261" w:lineRule="auto"/>
        <w:rPr>
          <w:sz w:val="20"/>
          <w:szCs w:val="20"/>
          <w:color w:val="auto"/>
        </w:rPr>
      </w:pPr>
      <w:r>
        <w:rPr>
          <w:rFonts w:ascii="Arial" w:cs="Arial" w:eastAsia="Arial" w:hAnsi="Arial"/>
          <w:sz w:val="18"/>
          <w:szCs w:val="18"/>
          <w:color w:val="auto"/>
        </w:rPr>
        <w:t>We act as the seller to our buyers and we agree to pricing in advance of sourcing the order from a manufacturer. We bear the risk that a buyer is not satisfied or that we are required to pay a seller more than anticipated to manufacture the order.</w:t>
      </w:r>
    </w:p>
    <w:p>
      <w:pPr>
        <w:spacing w:after="0" w:line="130" w:lineRule="exact"/>
        <w:rPr>
          <w:sz w:val="20"/>
          <w:szCs w:val="20"/>
          <w:color w:val="auto"/>
        </w:rPr>
      </w:pPr>
    </w:p>
    <w:p>
      <w:pPr>
        <w:ind w:right="40" w:firstLine="644"/>
        <w:spacing w:after="0" w:line="243" w:lineRule="auto"/>
        <w:rPr>
          <w:sz w:val="20"/>
          <w:szCs w:val="20"/>
          <w:color w:val="auto"/>
        </w:rPr>
      </w:pPr>
      <w:r>
        <w:rPr>
          <w:rFonts w:ascii="Arial" w:cs="Arial" w:eastAsia="Arial" w:hAnsi="Arial"/>
          <w:sz w:val="18"/>
          <w:szCs w:val="18"/>
          <w:color w:val="auto"/>
        </w:rPr>
        <w:t>Our AI-enabled technology platform is powered by proprietary machine learning algorithms and a dataset, resulting in a sophisticated marketplace for manufacturing. As a result, buyers can procure the products they want on demand and sellers can source new manufacturing opportunities that match their specific processes and capacity. Interactions on our platform provide rich data insights that allow us to continuously improve our AI models and innovate new products and services, fueling powerful network effects as we scale.</w:t>
      </w:r>
    </w:p>
    <w:p>
      <w:pPr>
        <w:spacing w:after="0" w:line="147" w:lineRule="exact"/>
        <w:rPr>
          <w:sz w:val="20"/>
          <w:szCs w:val="20"/>
          <w:color w:val="auto"/>
        </w:rPr>
      </w:pPr>
    </w:p>
    <w:p>
      <w:pPr>
        <w:jc w:val="both"/>
        <w:ind w:right="200" w:firstLine="644"/>
        <w:spacing w:after="0" w:line="248" w:lineRule="auto"/>
        <w:rPr>
          <w:sz w:val="20"/>
          <w:szCs w:val="20"/>
          <w:color w:val="auto"/>
        </w:rPr>
      </w:pPr>
      <w:r>
        <w:rPr>
          <w:rFonts w:ascii="Arial" w:cs="Arial" w:eastAsia="Arial" w:hAnsi="Arial"/>
          <w:sz w:val="18"/>
          <w:szCs w:val="18"/>
          <w:color w:val="auto"/>
        </w:rPr>
        <w:t>On July 2, 2021, we closed our initial public offering (“IPO”), in which we issued and sold 7,906,250 shares of our Class A common stock at an initial offering price of $44.00 per share. We received net proceeds of approximately $325.3 million from the IPO after deducting underwriting discounts and commissions of $22.6 million, and we incurred approximately $3.7 million of other offering costs.</w:t>
      </w:r>
    </w:p>
    <w:p>
      <w:pPr>
        <w:spacing w:after="0" w:line="155" w:lineRule="exact"/>
        <w:rPr>
          <w:sz w:val="20"/>
          <w:szCs w:val="20"/>
          <w:color w:val="auto"/>
        </w:rPr>
      </w:pPr>
    </w:p>
    <w:p>
      <w:pPr>
        <w:ind w:right="160" w:firstLine="644"/>
        <w:spacing w:after="0" w:line="279" w:lineRule="auto"/>
        <w:rPr>
          <w:sz w:val="20"/>
          <w:szCs w:val="20"/>
          <w:color w:val="auto"/>
        </w:rPr>
      </w:pPr>
      <w:r>
        <w:rPr>
          <w:rFonts w:ascii="Arial" w:cs="Arial" w:eastAsia="Arial" w:hAnsi="Arial"/>
          <w:sz w:val="16"/>
          <w:szCs w:val="16"/>
          <w:color w:val="auto"/>
        </w:rPr>
        <w:t>On December 9, 2021, we acquired Thomas, a leading platform for product sourcing, supplier selection and digital marketing solutions for the manufacturing industry. Thomas brings deep relationships with highly qualified enterprise buyers and engineers. The company’s industry leading Thomasnet platform boasts more than 1.4 million registered users and more than 500,000 commercial and industrial sellers. The acquisition of Thomas is expected to expand our buyer and seller base, enhancing our global digital marketplace for manufacturers. We also expect to leverage Thomas’ marketing and data services to deliver a suite of end-to-end services for sellers with additional financial services and digital marketing products.</w:t>
      </w:r>
    </w:p>
    <w:p>
      <w:pPr>
        <w:spacing w:after="0" w:line="26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Industry Overview</w:t>
      </w:r>
    </w:p>
    <w:p>
      <w:pPr>
        <w:spacing w:after="0" w:line="216" w:lineRule="exact"/>
        <w:rPr>
          <w:sz w:val="20"/>
          <w:szCs w:val="20"/>
          <w:color w:val="auto"/>
        </w:rPr>
      </w:pPr>
    </w:p>
    <w:p>
      <w:pPr>
        <w:ind w:left="900" w:right="40" w:hanging="263"/>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Manufacturing is a massive, highly fragmented, and regionalized industry in need of solutions to drive efficiency. </w:t>
      </w:r>
      <w:r>
        <w:rPr>
          <w:rFonts w:ascii="Arial" w:cs="Arial" w:eastAsia="Arial" w:hAnsi="Arial"/>
          <w:sz w:val="18"/>
          <w:szCs w:val="18"/>
          <w:color w:val="auto"/>
        </w:rPr>
        <w:t>The global manufacturing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industry is one of the largest industries in the world. We believe the industry is poised for increased digitization via a number of global thematic shifts, including rising demand for production, new manufacturing technologies, and shifting value chains, but is in need of solutions to drive efficiency and create opportunities from these dynamics. Furthermore, the manufacturing industry is largely composed of small- to medium-sized manufacturers and we believe that there are significant barriers to entry for these businesses, who have to compete with scaled, better-resourced manufacturers.</w:t>
      </w:r>
    </w:p>
    <w:p>
      <w:pPr>
        <w:spacing w:after="0" w:line="81" w:lineRule="exact"/>
        <w:rPr>
          <w:rFonts w:ascii="Arial" w:cs="Arial" w:eastAsia="Arial" w:hAnsi="Arial"/>
          <w:sz w:val="18"/>
          <w:szCs w:val="18"/>
          <w:color w:val="auto"/>
        </w:rPr>
      </w:pPr>
    </w:p>
    <w:p>
      <w:pPr>
        <w:ind w:left="900" w:right="100" w:hanging="263"/>
        <w:spacing w:after="0" w:line="243"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Sourcing manufacturing opportunities is a complex, costly and time-consuming process. </w:t>
      </w:r>
      <w:r>
        <w:rPr>
          <w:rFonts w:ascii="Arial" w:cs="Arial" w:eastAsia="Arial" w:hAnsi="Arial"/>
          <w:sz w:val="18"/>
          <w:szCs w:val="18"/>
          <w:color w:val="auto"/>
        </w:rPr>
        <w:t>Even for the most sophisticated buyers and sellers,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manufacturing sourcing and procurement process is complex, uncertain, costly and time-consuming. We believe that the labor-intensive sourcing process presents a significant opportunity as buyers and sellers look for more efficient ways to source demand and consummate production.</w:t>
      </w:r>
    </w:p>
    <w:p>
      <w:pPr>
        <w:spacing w:after="0" w:line="79" w:lineRule="exact"/>
        <w:rPr>
          <w:rFonts w:ascii="Arial" w:cs="Arial" w:eastAsia="Arial" w:hAnsi="Arial"/>
          <w:sz w:val="18"/>
          <w:szCs w:val="18"/>
          <w:color w:val="auto"/>
        </w:rPr>
      </w:pPr>
    </w:p>
    <w:p>
      <w:pPr>
        <w:ind w:left="900" w:right="180" w:hanging="263"/>
        <w:spacing w:after="0" w:line="270" w:lineRule="auto"/>
        <w:tabs>
          <w:tab w:leader="none" w:pos="900" w:val="left"/>
        </w:tabs>
        <w:numPr>
          <w:ilvl w:val="0"/>
          <w:numId w:val="4"/>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Resilient, localized and compliant supply chains are imperative. </w:t>
      </w:r>
      <w:r>
        <w:rPr>
          <w:rFonts w:ascii="Arial" w:cs="Arial" w:eastAsia="Arial" w:hAnsi="Arial"/>
          <w:sz w:val="17"/>
          <w:szCs w:val="17"/>
          <w:color w:val="auto"/>
        </w:rPr>
        <w:t>We believe there is a significant opportunity to help companies around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world improve their supply chain diversification, access just-in-time production, and build supply chain resilience. The COVID-19 pandemic and geopolitical instability have highlighted the urgent need for resilient and localized supply chains.</w:t>
      </w:r>
    </w:p>
    <w:p>
      <w:pPr>
        <w:spacing w:after="0" w:line="55" w:lineRule="exact"/>
        <w:rPr>
          <w:rFonts w:ascii="Arial" w:cs="Arial" w:eastAsia="Arial" w:hAnsi="Arial"/>
          <w:sz w:val="17"/>
          <w:szCs w:val="17"/>
          <w:color w:val="auto"/>
        </w:rPr>
      </w:pPr>
    </w:p>
    <w:p>
      <w:pPr>
        <w:ind w:left="900" w:hanging="263"/>
        <w:spacing w:after="0" w:line="251" w:lineRule="auto"/>
        <w:tabs>
          <w:tab w:leader="none" w:pos="900" w:val="left"/>
        </w:tabs>
        <w:numPr>
          <w:ilvl w:val="0"/>
          <w:numId w:val="4"/>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There is increasing focus on the manufacturing industry to address ESG issues. </w:t>
      </w:r>
      <w:r>
        <w:rPr>
          <w:rFonts w:ascii="Arial" w:cs="Arial" w:eastAsia="Arial" w:hAnsi="Arial"/>
          <w:sz w:val="17"/>
          <w:szCs w:val="17"/>
          <w:color w:val="auto"/>
        </w:rPr>
        <w:t>Companies and investors are increasingly focused on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importance of ESG issues. Supply chain management is a major source of carbon emissions with the Carbon Disclosure Project estimating that supply chain emissions are, on average, 5.5 times higher than a corporation’s direct emissions. A lack of transparency in the supply chain makes it more difficult for companies to track and address their carbon emissions. Many companies, including some of the largest corporations in the U.S., are shifting their focus towards building more equitable supply chains and sourcing from more diverse sellers. As ESG continues to garner management and stakeholder focus, we believe companies will increasingly look to productive business solutions that limit environmental harm and address social issues throughout the manufacturing ecosystem.</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6" w:name="page7"/>
    <w:bookmarkEnd w:id="6"/>
    <w:p>
      <w:pPr>
        <w:ind w:left="900" w:hanging="263"/>
        <w:spacing w:after="0" w:line="248"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Multiple catalysts have led to an inflection point for industry digitization. </w:t>
      </w:r>
      <w:r>
        <w:rPr>
          <w:rFonts w:ascii="Arial" w:cs="Arial" w:eastAsia="Arial" w:hAnsi="Arial"/>
          <w:sz w:val="18"/>
          <w:szCs w:val="18"/>
          <w:color w:val="auto"/>
        </w:rPr>
        <w:t>We believe future expected labor shortages, in combination with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proliferation of new technologies, necessitates digital solutions that increase productivity, improve financial performance and allow them to compete sustainably.</w:t>
      </w: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Our Opportunity</w:t>
      </w:r>
    </w:p>
    <w:p>
      <w:pPr>
        <w:spacing w:after="0" w:line="216" w:lineRule="exact"/>
        <w:rPr>
          <w:sz w:val="20"/>
          <w:szCs w:val="20"/>
          <w:color w:val="auto"/>
        </w:rPr>
      </w:pPr>
    </w:p>
    <w:p>
      <w:pPr>
        <w:ind w:right="200" w:firstLine="644"/>
        <w:spacing w:after="0" w:line="248" w:lineRule="auto"/>
        <w:rPr>
          <w:sz w:val="20"/>
          <w:szCs w:val="20"/>
          <w:color w:val="auto"/>
        </w:rPr>
      </w:pPr>
      <w:r>
        <w:rPr>
          <w:rFonts w:ascii="Arial" w:cs="Arial" w:eastAsia="Arial" w:hAnsi="Arial"/>
          <w:sz w:val="18"/>
          <w:szCs w:val="18"/>
          <w:color w:val="auto"/>
        </w:rPr>
        <w:t>We believe the unique challenges that companies and manufacturers face, supporting macro trends, and innovations in technology have brought the manufacturing industry to an inflection point for digital transformation. We provide the solution—a technology platform to unlock access, drive business efficiency, and improve the sustainability of manufacturing worldwide.</w:t>
      </w:r>
    </w:p>
    <w:p>
      <w:pPr>
        <w:spacing w:after="0" w:line="141" w:lineRule="exact"/>
        <w:rPr>
          <w:sz w:val="20"/>
          <w:szCs w:val="20"/>
          <w:color w:val="auto"/>
        </w:rPr>
      </w:pPr>
    </w:p>
    <w:p>
      <w:pPr>
        <w:ind w:right="100" w:firstLine="636"/>
        <w:spacing w:after="0" w:line="279" w:lineRule="auto"/>
        <w:rPr>
          <w:sz w:val="20"/>
          <w:szCs w:val="20"/>
          <w:color w:val="auto"/>
        </w:rPr>
      </w:pPr>
      <w:r>
        <w:rPr>
          <w:rFonts w:ascii="Arial" w:cs="Arial" w:eastAsia="Arial" w:hAnsi="Arial"/>
          <w:sz w:val="16"/>
          <w:szCs w:val="16"/>
          <w:color w:val="auto"/>
        </w:rPr>
        <w:t>After the acquisition of Thomas, we estimate our global market opportunity to be over $2.4 trillion. This is based on the estimated market size of our sellers’ seven key manufacturing processes, which include CNC machining, injection molding, 3D printing (including fused deposition modeling, direct metal laser sintering, PolyJet, stereolithography, selective laser sintering, binder jetting, carbon digital light synthesis and multi jet fusion), sheet metal forming, sheet cutting, die casting, urethane casting and the over 70,000 industrial processes that we identified in connection with our acquisition of Thomas. Our estimates are based on independent industry publications or other publicly available information, as well as our internal sources.</w:t>
      </w: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Our Platform</w:t>
      </w:r>
    </w:p>
    <w:p>
      <w:pPr>
        <w:spacing w:after="0" w:line="216" w:lineRule="exact"/>
        <w:rPr>
          <w:sz w:val="20"/>
          <w:szCs w:val="20"/>
          <w:color w:val="auto"/>
        </w:rPr>
      </w:pPr>
    </w:p>
    <w:p>
      <w:pPr>
        <w:ind w:right="200" w:firstLine="636"/>
        <w:spacing w:after="0" w:line="270" w:lineRule="auto"/>
        <w:rPr>
          <w:sz w:val="20"/>
          <w:szCs w:val="20"/>
          <w:color w:val="auto"/>
        </w:rPr>
      </w:pPr>
      <w:r>
        <w:rPr>
          <w:rFonts w:ascii="Arial" w:cs="Arial" w:eastAsia="Arial" w:hAnsi="Arial"/>
          <w:sz w:val="17"/>
          <w:szCs w:val="17"/>
          <w:color w:val="auto"/>
        </w:rPr>
        <w:t>We are accelerating innovation by providing real-time, equitable access to global manufacturing demand and capacity. We provide sourcing and pricing across a network of buyers and sellers, offer a suite of configurable manufacturing processes through our diverse seller network, and enable business success through additional products and services that serve the unique needs of each side of our marketplace.</w:t>
      </w:r>
    </w:p>
    <w:p>
      <w:pPr>
        <w:spacing w:after="0" w:line="137" w:lineRule="exact"/>
        <w:rPr>
          <w:sz w:val="20"/>
          <w:szCs w:val="20"/>
          <w:color w:val="auto"/>
        </w:rPr>
      </w:pPr>
    </w:p>
    <w:p>
      <w:pPr>
        <w:ind w:right="80" w:firstLine="636"/>
        <w:spacing w:after="0" w:line="248" w:lineRule="auto"/>
        <w:rPr>
          <w:sz w:val="20"/>
          <w:szCs w:val="20"/>
          <w:color w:val="auto"/>
        </w:rPr>
      </w:pPr>
      <w:r>
        <w:rPr>
          <w:rFonts w:ascii="Arial" w:cs="Arial" w:eastAsia="Arial" w:hAnsi="Arial"/>
          <w:sz w:val="18"/>
          <w:szCs w:val="18"/>
          <w:color w:val="auto"/>
        </w:rPr>
        <w:t>Our platform is AI-driven, continuously learning from millions of data inputs from marketplace interactions, providing rich insights and analytics that allow us to further improve the efficiency of our ecosystem and the products and services we offer. The data we generate enables us to become a preferred collaboration, workflow, and transaction platform for both buyers and sellers.</w:t>
      </w:r>
    </w:p>
    <w:p>
      <w:pPr>
        <w:spacing w:after="0" w:line="141" w:lineRule="exact"/>
        <w:rPr>
          <w:sz w:val="20"/>
          <w:szCs w:val="20"/>
          <w:color w:val="auto"/>
        </w:rPr>
      </w:pPr>
    </w:p>
    <w:p>
      <w:pPr>
        <w:ind w:right="240" w:firstLine="636"/>
        <w:spacing w:after="0" w:line="294" w:lineRule="auto"/>
        <w:rPr>
          <w:sz w:val="20"/>
          <w:szCs w:val="20"/>
          <w:color w:val="auto"/>
        </w:rPr>
      </w:pPr>
      <w:r>
        <w:rPr>
          <w:rFonts w:ascii="Arial" w:cs="Arial" w:eastAsia="Arial" w:hAnsi="Arial"/>
          <w:sz w:val="16"/>
          <w:szCs w:val="16"/>
          <w:color w:val="auto"/>
        </w:rPr>
        <w:t>Our platform is also highly extensible, with an expansive and growing set of traditional and emerging manufacturing processes offered by our seller network. Because of our platform’s extensibility, we are well positioned to scale and rapidly capture new processes brought to the platform by our sellers, further enabling buyers to access customized, relevant manufacturing solutions that are suited to their industry needs and buyer preferences.</w:t>
      </w:r>
    </w:p>
    <w:p>
      <w:pPr>
        <w:spacing w:after="0" w:line="107" w:lineRule="exact"/>
        <w:rPr>
          <w:sz w:val="20"/>
          <w:szCs w:val="20"/>
          <w:color w:val="auto"/>
        </w:rPr>
      </w:pPr>
    </w:p>
    <w:p>
      <w:pPr>
        <w:ind w:right="540" w:firstLine="636"/>
        <w:spacing w:after="0" w:line="261" w:lineRule="auto"/>
        <w:rPr>
          <w:sz w:val="20"/>
          <w:szCs w:val="20"/>
          <w:color w:val="auto"/>
        </w:rPr>
      </w:pPr>
      <w:r>
        <w:rPr>
          <w:rFonts w:ascii="Arial" w:cs="Arial" w:eastAsia="Arial" w:hAnsi="Arial"/>
          <w:sz w:val="18"/>
          <w:szCs w:val="18"/>
          <w:color w:val="auto"/>
        </w:rPr>
        <w:t>We offer these tailored processes through a user-centric platform that is reliable and flexible, leveraging additional products and services to increase buyer and seller engagement over time.</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Carbon Offset Program</w:t>
      </w:r>
    </w:p>
    <w:p>
      <w:pPr>
        <w:spacing w:after="0" w:line="216" w:lineRule="exact"/>
        <w:rPr>
          <w:sz w:val="20"/>
          <w:szCs w:val="20"/>
          <w:color w:val="auto"/>
        </w:rPr>
      </w:pPr>
    </w:p>
    <w:p>
      <w:pPr>
        <w:ind w:right="20" w:firstLine="636"/>
        <w:spacing w:after="0" w:line="243" w:lineRule="auto"/>
        <w:rPr>
          <w:sz w:val="20"/>
          <w:szCs w:val="20"/>
          <w:color w:val="auto"/>
        </w:rPr>
      </w:pPr>
      <w:r>
        <w:rPr>
          <w:rFonts w:ascii="Arial" w:cs="Arial" w:eastAsia="Arial" w:hAnsi="Arial"/>
          <w:sz w:val="18"/>
          <w:szCs w:val="18"/>
          <w:color w:val="auto"/>
        </w:rPr>
        <w:t>As we increase access to global manufacturing capacity and demand, we are also focused on reducing the manufacturing industry’s overall carbon footprint. Through our Carbon Offset Program, we offer buyers an integrated option to offset up to 100% of the carbon footprint of the entire manufacturing process for their orders from raw material extraction and processing, to the transportation of materials and goods along the supply chain, to the energy consumed in fabrication and the operations of the manufacturer.</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Why Buyers Win</w:t>
      </w:r>
    </w:p>
    <w:p>
      <w:pPr>
        <w:spacing w:after="0" w:line="216" w:lineRule="exact"/>
        <w:rPr>
          <w:sz w:val="20"/>
          <w:szCs w:val="20"/>
          <w:color w:val="auto"/>
        </w:rPr>
      </w:pPr>
    </w:p>
    <w:p>
      <w:pPr>
        <w:ind w:left="900" w:right="200" w:hanging="263"/>
        <w:spacing w:after="0" w:line="262" w:lineRule="auto"/>
        <w:tabs>
          <w:tab w:leader="none" w:pos="900" w:val="left"/>
        </w:tabs>
        <w:numPr>
          <w:ilvl w:val="0"/>
          <w:numId w:val="6"/>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Instant and Competitive Pricing and Lead Times. </w:t>
      </w:r>
      <w:r>
        <w:rPr>
          <w:rFonts w:ascii="Arial" w:cs="Arial" w:eastAsia="Arial" w:hAnsi="Arial"/>
          <w:sz w:val="17"/>
          <w:szCs w:val="17"/>
          <w:color w:val="auto"/>
        </w:rPr>
        <w:t>We create value for buyers through marketplace generation fueled by the continuous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learning of our AI technology. The data generated by platform interactions improves the efficiency of our marketplace, lowering prices and improving lead times for buyers. As our AI technology learns buyer needs and preferences, it becomes more precise and efficient, leading to better pricing and matching which in turn drives greater buyer engagement on the platform.</w:t>
      </w:r>
    </w:p>
    <w:p>
      <w:pPr>
        <w:spacing w:after="0" w:line="64" w:lineRule="exact"/>
        <w:rPr>
          <w:rFonts w:ascii="Arial" w:cs="Arial" w:eastAsia="Arial" w:hAnsi="Arial"/>
          <w:sz w:val="17"/>
          <w:szCs w:val="17"/>
          <w:color w:val="auto"/>
        </w:rPr>
      </w:pPr>
    </w:p>
    <w:p>
      <w:pPr>
        <w:ind w:left="900" w:right="220" w:hanging="263"/>
        <w:spacing w:after="0" w:line="241"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Ease of Purchase. </w:t>
      </w:r>
      <w:r>
        <w:rPr>
          <w:rFonts w:ascii="Arial" w:cs="Arial" w:eastAsia="Arial" w:hAnsi="Arial"/>
          <w:sz w:val="18"/>
          <w:szCs w:val="18"/>
          <w:color w:val="auto"/>
        </w:rPr>
        <w:t>We make it easy for buyers to transact on our marketplace. We are committed to simplifying the procurement process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buyers and offer an exceptional e-commerce experience to simplify transactions. After a buyer uploads a CAD file, our platform provides instant access to a wide range of materials, finishes and certifications, with transparent pricing and lead-time information. Buyers can also access our e-commerce capabilities through our plug-ins created for various popular 3D CAD programs and punch-out integrations with widely-used ERP and procurement systems.</w:t>
      </w:r>
    </w:p>
    <w:p>
      <w:pPr>
        <w:spacing w:after="0" w:line="81" w:lineRule="exact"/>
        <w:rPr>
          <w:rFonts w:ascii="Arial" w:cs="Arial" w:eastAsia="Arial" w:hAnsi="Arial"/>
          <w:sz w:val="18"/>
          <w:szCs w:val="18"/>
          <w:color w:val="auto"/>
        </w:rPr>
      </w:pPr>
    </w:p>
    <w:p>
      <w:pPr>
        <w:ind w:left="900" w:right="260" w:hanging="263"/>
        <w:spacing w:after="0" w:line="244"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Access to a Massive Network of Sellers. </w:t>
      </w:r>
      <w:r>
        <w:rPr>
          <w:rFonts w:ascii="Arial" w:cs="Arial" w:eastAsia="Arial" w:hAnsi="Arial"/>
          <w:sz w:val="18"/>
          <w:szCs w:val="18"/>
          <w:color w:val="auto"/>
        </w:rPr>
        <w:t>We provide buyers access to the massive, global network of sellers on our platform. Our extensive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network alongside a personalized user experience allows buyers to submit projects with unique</w:t>
      </w: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36" w:right="379" w:bottom="1440" w:gutter="0" w:footer="0" w:header="0"/>
        </w:sectPr>
      </w:pPr>
    </w:p>
    <w:bookmarkStart w:id="7" w:name="page8"/>
    <w:bookmarkEnd w:id="7"/>
    <w:p>
      <w:pPr>
        <w:ind w:left="263" w:right="420"/>
        <w:spacing w:after="0" w:line="324" w:lineRule="auto"/>
        <w:rPr>
          <w:sz w:val="20"/>
          <w:szCs w:val="20"/>
          <w:color w:val="auto"/>
        </w:rPr>
      </w:pPr>
      <w:r>
        <w:rPr>
          <w:rFonts w:ascii="Arial" w:cs="Arial" w:eastAsia="Arial" w:hAnsi="Arial"/>
          <w:sz w:val="16"/>
          <w:szCs w:val="16"/>
          <w:color w:val="auto"/>
        </w:rPr>
        <w:t>components and specifications, which we source through our platform to sellers that are able to deliver. In particular, we implement select credentialing and compliance specifications to ensure that we can meet the standards for buyers across a number of industries.</w:t>
      </w:r>
    </w:p>
    <w:p>
      <w:pPr>
        <w:spacing w:after="0" w:line="16" w:lineRule="exact"/>
        <w:rPr>
          <w:sz w:val="20"/>
          <w:szCs w:val="20"/>
          <w:color w:val="auto"/>
        </w:rPr>
      </w:pPr>
    </w:p>
    <w:p>
      <w:pPr>
        <w:ind w:left="263" w:right="40" w:hanging="263"/>
        <w:spacing w:after="0" w:line="294" w:lineRule="auto"/>
        <w:tabs>
          <w:tab w:leader="none" w:pos="263" w:val="left"/>
        </w:tabs>
        <w:numPr>
          <w:ilvl w:val="0"/>
          <w:numId w:val="7"/>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Broad Suite of Industry-Specific Solutions. </w:t>
      </w:r>
      <w:r>
        <w:rPr>
          <w:rFonts w:ascii="Arial" w:cs="Arial" w:eastAsia="Arial" w:hAnsi="Arial"/>
          <w:sz w:val="16"/>
          <w:szCs w:val="16"/>
          <w:color w:val="auto"/>
        </w:rPr>
        <w:t>We offer a wide range of traditional and emerging manufacturing processes and materials for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customized solutions across massive industries including Defense, Aerospace, Healthcare, Automotive, Consumer Goods, Industrial, Robotics, Government and Education. The extensibility of our platform allows us to build industry playbooks and add new processes over time.</w:t>
      </w:r>
    </w:p>
    <w:p>
      <w:pPr>
        <w:spacing w:after="0" w:line="39" w:lineRule="exact"/>
        <w:rPr>
          <w:rFonts w:ascii="Arial" w:cs="Arial" w:eastAsia="Arial" w:hAnsi="Arial"/>
          <w:sz w:val="16"/>
          <w:szCs w:val="16"/>
          <w:color w:val="auto"/>
        </w:rPr>
      </w:pPr>
    </w:p>
    <w:p>
      <w:pPr>
        <w:ind w:left="263" w:right="20" w:hanging="263"/>
        <w:spacing w:after="0" w:line="243" w:lineRule="auto"/>
        <w:tabs>
          <w:tab w:leader="none" w:pos="263"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Reliability and Quality. </w:t>
      </w:r>
      <w:r>
        <w:rPr>
          <w:rFonts w:ascii="Arial" w:cs="Arial" w:eastAsia="Arial" w:hAnsi="Arial"/>
          <w:sz w:val="18"/>
          <w:szCs w:val="18"/>
          <w:color w:val="auto"/>
        </w:rPr>
        <w:t>We offer consistently high-quality products and certainty of order fulfillment for buyers. We are further embedding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platform into various buyer workflows by productizing our internal AI and workflow engine. Our enterprise integrations support procurement workflows and part and sourcing requirements. By embedding Xometry intelligence into workflows, we are able to deliver more reliable and relevant manufacturing solutions for buyers.</w:t>
      </w:r>
    </w:p>
    <w:p>
      <w:pPr>
        <w:spacing w:after="0" w:line="79" w:lineRule="exact"/>
        <w:rPr>
          <w:rFonts w:ascii="Arial" w:cs="Arial" w:eastAsia="Arial" w:hAnsi="Arial"/>
          <w:sz w:val="18"/>
          <w:szCs w:val="18"/>
          <w:color w:val="auto"/>
        </w:rPr>
      </w:pPr>
    </w:p>
    <w:p>
      <w:pPr>
        <w:ind w:left="263" w:hanging="263"/>
        <w:spacing w:after="0" w:line="248" w:lineRule="auto"/>
        <w:tabs>
          <w:tab w:leader="none" w:pos="263"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Environmental Benefits. </w:t>
      </w:r>
      <w:r>
        <w:rPr>
          <w:rFonts w:ascii="Arial" w:cs="Arial" w:eastAsia="Arial" w:hAnsi="Arial"/>
          <w:sz w:val="18"/>
          <w:szCs w:val="18"/>
          <w:color w:val="auto"/>
        </w:rPr>
        <w:t>We offer buyers the ability to instantly calculate the price to purchase carbon credits to offset the carbon used to make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their parts. We purchase carbon credits to offset 100% of the estimated impact of the shipment of parts to buyers from sellers, making ESG core to our marketplace and each transaction.</w:t>
      </w:r>
    </w:p>
    <w:p>
      <w:pPr>
        <w:spacing w:after="0" w:line="73" w:lineRule="exact"/>
        <w:rPr>
          <w:rFonts w:ascii="Arial" w:cs="Arial" w:eastAsia="Arial" w:hAnsi="Arial"/>
          <w:sz w:val="18"/>
          <w:szCs w:val="18"/>
          <w:color w:val="auto"/>
        </w:rPr>
      </w:pPr>
    </w:p>
    <w:p>
      <w:pPr>
        <w:ind w:left="263" w:right="20" w:hanging="263"/>
        <w:spacing w:after="0" w:line="262" w:lineRule="auto"/>
        <w:tabs>
          <w:tab w:leader="none" w:pos="263" w:val="left"/>
        </w:tabs>
        <w:numPr>
          <w:ilvl w:val="0"/>
          <w:numId w:val="7"/>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Production Flexibility. </w:t>
      </w:r>
      <w:r>
        <w:rPr>
          <w:rFonts w:ascii="Arial" w:cs="Arial" w:eastAsia="Arial" w:hAnsi="Arial"/>
          <w:sz w:val="17"/>
          <w:szCs w:val="17"/>
          <w:color w:val="auto"/>
        </w:rPr>
        <w:t>We allow buyers to purchase any number of parts and services. From one part to millions, buyers have access to several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manufacturing processes for rapid prototyping, product development, or high-volume production. These processes can also be combined with over 30 finishes and thousands of raw material and color combinations. Given this ability to provide tailored and scaled solutions, we find that buyers typically expand their use of our marketplace, sourcing a greater number of parts and processes over time.</w:t>
      </w:r>
    </w:p>
    <w:p>
      <w:pPr>
        <w:spacing w:after="0" w:line="128" w:lineRule="exact"/>
        <w:rPr>
          <w:sz w:val="20"/>
          <w:szCs w:val="20"/>
          <w:color w:val="auto"/>
        </w:rPr>
      </w:pPr>
    </w:p>
    <w:p>
      <w:pPr>
        <w:ind w:left="4323"/>
        <w:spacing w:after="0"/>
        <w:rPr>
          <w:sz w:val="20"/>
          <w:szCs w:val="20"/>
          <w:color w:val="auto"/>
        </w:rPr>
      </w:pPr>
      <w:r>
        <w:rPr>
          <w:rFonts w:ascii="Arial" w:cs="Arial" w:eastAsia="Arial" w:hAnsi="Arial"/>
          <w:sz w:val="18"/>
          <w:szCs w:val="18"/>
          <w:b w:val="1"/>
          <w:bCs w:val="1"/>
          <w:color w:val="auto"/>
        </w:rPr>
        <w:t>Why Sellers Win</w:t>
      </w:r>
    </w:p>
    <w:p>
      <w:pPr>
        <w:spacing w:after="0" w:line="216" w:lineRule="exact"/>
        <w:rPr>
          <w:sz w:val="20"/>
          <w:szCs w:val="20"/>
          <w:color w:val="auto"/>
        </w:rPr>
      </w:pPr>
    </w:p>
    <w:p>
      <w:pPr>
        <w:ind w:left="263" w:right="60" w:hanging="263"/>
        <w:spacing w:after="0" w:line="243" w:lineRule="auto"/>
        <w:tabs>
          <w:tab w:leader="none" w:pos="263"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Cost-Efficient, Real-Time New Business Generation. </w:t>
      </w:r>
      <w:r>
        <w:rPr>
          <w:rFonts w:ascii="Arial" w:cs="Arial" w:eastAsia="Arial" w:hAnsi="Arial"/>
          <w:sz w:val="18"/>
          <w:szCs w:val="18"/>
          <w:color w:val="auto"/>
        </w:rPr>
        <w:t>We offer sellers access to manufacturing opportunities from our large, geographically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industry-diverse buyer base, allowing sellers to gain new customers without increasing their sales and marketing spend. As our AI technology improves, our ability to generate new business for sellers increases. This model is designed to lower customer acquisition costs and improve seller margins over time.</w:t>
      </w:r>
    </w:p>
    <w:p>
      <w:pPr>
        <w:spacing w:after="0" w:line="79" w:lineRule="exact"/>
        <w:rPr>
          <w:rFonts w:ascii="Arial" w:cs="Arial" w:eastAsia="Arial" w:hAnsi="Arial"/>
          <w:sz w:val="18"/>
          <w:szCs w:val="18"/>
          <w:color w:val="auto"/>
        </w:rPr>
      </w:pPr>
    </w:p>
    <w:p>
      <w:pPr>
        <w:ind w:left="263" w:right="40" w:hanging="263"/>
        <w:spacing w:after="0" w:line="248" w:lineRule="auto"/>
        <w:tabs>
          <w:tab w:leader="none" w:pos="263"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Repeat, High-Quality Customers. </w:t>
      </w:r>
      <w:r>
        <w:rPr>
          <w:rFonts w:ascii="Arial" w:cs="Arial" w:eastAsia="Arial" w:hAnsi="Arial"/>
          <w:sz w:val="18"/>
          <w:szCs w:val="18"/>
          <w:color w:val="auto"/>
        </w:rPr>
        <w:t>Following a successful transaction, we initially offer the same seller the exclusive opportunity to accept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next repeat order in order to increase efficiency and reliability. Our ability to attract repeat buyers helps stabilize demand for sellers so they can operate their businesses more efficiently.</w:t>
      </w:r>
    </w:p>
    <w:p>
      <w:pPr>
        <w:spacing w:after="0" w:line="73" w:lineRule="exact"/>
        <w:rPr>
          <w:rFonts w:ascii="Arial" w:cs="Arial" w:eastAsia="Arial" w:hAnsi="Arial"/>
          <w:sz w:val="18"/>
          <w:szCs w:val="18"/>
          <w:color w:val="auto"/>
        </w:rPr>
      </w:pPr>
    </w:p>
    <w:p>
      <w:pPr>
        <w:ind w:left="263" w:right="40" w:hanging="263"/>
        <w:spacing w:after="0" w:line="239" w:lineRule="auto"/>
        <w:tabs>
          <w:tab w:leader="none" w:pos="263"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Operational Excellence. </w:t>
      </w:r>
      <w:r>
        <w:rPr>
          <w:rFonts w:ascii="Arial" w:cs="Arial" w:eastAsia="Arial" w:hAnsi="Arial"/>
          <w:sz w:val="18"/>
          <w:szCs w:val="18"/>
          <w:color w:val="auto"/>
        </w:rPr>
        <w:t>We aim to be a completely digital one-stop-shop for all workflow solutions for sellers. Our intuitive cloud application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helps our sellers digitize their operations so they can work smarter and faster. We provide order management, shipping and collaboration tools, reducing friction for sellers and improving overall manufacturing order process efficiency. We plan on offering a cloud-based “manufacturing execution system” from FactoryFour to our seller community which allows shops and shop owners to digitize and automate their operations so they can focus on growing their business. In addition to being able to manage existing orders, the operating system is designed to integrate seamlessly with the AI-driven Xometry marketplace and with the Thomasnet.com platform, giving suppliers a one-stop view into all of their orders.</w:t>
      </w:r>
    </w:p>
    <w:p>
      <w:pPr>
        <w:spacing w:after="0" w:line="82" w:lineRule="exact"/>
        <w:rPr>
          <w:rFonts w:ascii="Arial" w:cs="Arial" w:eastAsia="Arial" w:hAnsi="Arial"/>
          <w:sz w:val="18"/>
          <w:szCs w:val="18"/>
          <w:color w:val="auto"/>
        </w:rPr>
      </w:pPr>
    </w:p>
    <w:p>
      <w:pPr>
        <w:ind w:left="263" w:right="240" w:hanging="263"/>
        <w:spacing w:after="0" w:line="243" w:lineRule="auto"/>
        <w:tabs>
          <w:tab w:leader="none" w:pos="263"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Financial Stability and Security. </w:t>
      </w:r>
      <w:r>
        <w:rPr>
          <w:rFonts w:ascii="Arial" w:cs="Arial" w:eastAsia="Arial" w:hAnsi="Arial"/>
          <w:sz w:val="18"/>
          <w:szCs w:val="18"/>
          <w:color w:val="auto"/>
        </w:rPr>
        <w:t>Our suite of financial services and Xometry maintenance, repair, and operating partnerships help sellers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enhance their cash flows and lower operating costs at all stages of production. Sellers can receive cash advances for their work, accelerated payouts and a seamless digital invoicing process in an industry that frequently still relies on analog payments that are prone to delays. These services help sellers manage their business more efficiently.</w:t>
      </w:r>
    </w:p>
    <w:p>
      <w:pPr>
        <w:spacing w:after="0" w:line="79" w:lineRule="exact"/>
        <w:rPr>
          <w:rFonts w:ascii="Arial" w:cs="Arial" w:eastAsia="Arial" w:hAnsi="Arial"/>
          <w:sz w:val="18"/>
          <w:szCs w:val="18"/>
          <w:color w:val="auto"/>
        </w:rPr>
      </w:pPr>
    </w:p>
    <w:p>
      <w:pPr>
        <w:ind w:left="263" w:right="380" w:hanging="263"/>
        <w:spacing w:after="0" w:line="248" w:lineRule="auto"/>
        <w:tabs>
          <w:tab w:leader="none" w:pos="263"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Marketing and Data Solutions. </w:t>
      </w:r>
      <w:r>
        <w:rPr>
          <w:rFonts w:ascii="Arial" w:cs="Arial" w:eastAsia="Arial" w:hAnsi="Arial"/>
          <w:sz w:val="18"/>
          <w:szCs w:val="18"/>
          <w:color w:val="auto"/>
        </w:rPr>
        <w:t>Our suite of marketing and data services provided by Thomas helps sellers grow and efficiently run their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business. We offer sellers a full slate of marketing services, including website building, search-engine optimization (“SEO”) and targeted advertising to buyers, resources that will help them further growth their business.</w:t>
      </w:r>
    </w:p>
    <w:p>
      <w:pPr>
        <w:spacing w:after="0" w:line="73" w:lineRule="exact"/>
        <w:rPr>
          <w:rFonts w:ascii="Arial" w:cs="Arial" w:eastAsia="Arial" w:hAnsi="Arial"/>
          <w:sz w:val="18"/>
          <w:szCs w:val="18"/>
          <w:color w:val="auto"/>
        </w:rPr>
      </w:pPr>
    </w:p>
    <w:p>
      <w:pPr>
        <w:ind w:left="263" w:right="80" w:hanging="263"/>
        <w:spacing w:after="0" w:line="284" w:lineRule="auto"/>
        <w:tabs>
          <w:tab w:leader="none" w:pos="263" w:val="left"/>
        </w:tabs>
        <w:numPr>
          <w:ilvl w:val="0"/>
          <w:numId w:val="8"/>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Increased Utilization. </w:t>
      </w:r>
      <w:r>
        <w:rPr>
          <w:rFonts w:ascii="Arial" w:cs="Arial" w:eastAsia="Arial" w:hAnsi="Arial"/>
          <w:sz w:val="16"/>
          <w:szCs w:val="16"/>
          <w:color w:val="auto"/>
        </w:rPr>
        <w:t>We are focused on helping sellers realize their potential by providing manufacturing opportunities that can be procured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 a single click. Knowing that there is a reliable way to find extra work gives sellers the confidence they need to invest in a new machine, hire an extra employee, or focus on a big job with a longer lead time, while relying on our technology platform to fill in available capacity. The convenience of this automated cycle drives greater order fulfillment and increased utilization across our seller network.</w:t>
      </w:r>
    </w:p>
    <w:p>
      <w:pPr>
        <w:spacing w:after="0" w:line="47" w:lineRule="exact"/>
        <w:rPr>
          <w:rFonts w:ascii="Arial" w:cs="Arial" w:eastAsia="Arial" w:hAnsi="Arial"/>
          <w:sz w:val="16"/>
          <w:szCs w:val="16"/>
          <w:color w:val="auto"/>
        </w:rPr>
      </w:pPr>
    </w:p>
    <w:p>
      <w:pPr>
        <w:ind w:left="263" w:right="20" w:hanging="263"/>
        <w:spacing w:after="0" w:line="239" w:lineRule="auto"/>
        <w:tabs>
          <w:tab w:leader="none" w:pos="263"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Seller Community. </w:t>
      </w:r>
      <w:r>
        <w:rPr>
          <w:rFonts w:ascii="Arial" w:cs="Arial" w:eastAsia="Arial" w:hAnsi="Arial"/>
          <w:sz w:val="18"/>
          <w:szCs w:val="18"/>
          <w:color w:val="auto"/>
        </w:rPr>
        <w:t>Through our seller-focused community initiatives, we empower sellers of a variety of sizes to grow their businesses.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Community Portal is an active and dedicated place where we can interact with our sellers to better understand their needs and interests, and also give sellers a platform to support one another. Our sellers take pride in their crafts and are often sharing tips on machining best practices as well as how they leverage Xometry to work best for their shop.</w:t>
      </w:r>
    </w:p>
    <w:p>
      <w:pPr>
        <w:spacing w:after="0" w:line="2" w:lineRule="exact"/>
        <w:rPr>
          <w:sz w:val="20"/>
          <w:szCs w:val="20"/>
          <w:color w:val="auto"/>
        </w:rPr>
      </w:pPr>
    </w:p>
    <w:p>
      <w:pPr>
        <w:ind w:left="4943"/>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-411480</wp:posOffset>
            </wp:positionH>
            <wp:positionV relativeFrom="paragraph">
              <wp:posOffset>52070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03"/>
          </w:cols>
          <w:pgMar w:left="957" w:top="436" w:right="339" w:bottom="1440" w:gutter="0" w:footer="0" w:header="0"/>
        </w:sectPr>
      </w:pPr>
    </w:p>
    <w:bookmarkStart w:id="8" w:name="page9"/>
    <w:bookmarkEnd w:id="8"/>
    <w:p>
      <w:pPr>
        <w:ind w:left="4443"/>
        <w:spacing w:after="0"/>
        <w:rPr>
          <w:sz w:val="20"/>
          <w:szCs w:val="20"/>
          <w:color w:val="auto"/>
        </w:rPr>
      </w:pPr>
      <w:r>
        <w:rPr>
          <w:rFonts w:ascii="Arial" w:cs="Arial" w:eastAsia="Arial" w:hAnsi="Arial"/>
          <w:sz w:val="18"/>
          <w:szCs w:val="18"/>
          <w:b w:val="1"/>
          <w:bCs w:val="1"/>
          <w:color w:val="auto"/>
        </w:rPr>
        <w:t>Why We Win</w:t>
      </w:r>
    </w:p>
    <w:p>
      <w:pPr>
        <w:spacing w:after="0" w:line="216" w:lineRule="exact"/>
        <w:rPr>
          <w:sz w:val="20"/>
          <w:szCs w:val="20"/>
          <w:color w:val="auto"/>
        </w:rPr>
      </w:pPr>
    </w:p>
    <w:p>
      <w:pPr>
        <w:ind w:left="263" w:right="140" w:hanging="263"/>
        <w:spacing w:after="0" w:line="257" w:lineRule="auto"/>
        <w:tabs>
          <w:tab w:leader="none" w:pos="263" w:val="left"/>
        </w:tabs>
        <w:numPr>
          <w:ilvl w:val="0"/>
          <w:numId w:val="9"/>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Rich Data and Constantly Improving AI Technology. </w:t>
      </w:r>
      <w:r>
        <w:rPr>
          <w:rFonts w:ascii="Arial" w:cs="Arial" w:eastAsia="Arial" w:hAnsi="Arial"/>
          <w:sz w:val="17"/>
          <w:szCs w:val="17"/>
          <w:color w:val="auto"/>
        </w:rPr>
        <w:t>In an industry that historically used intuition and basic data to drive purchasing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pricing decisions, we offer our customers pricing using our proprietary predictive algorithms. Our platform interactions generate millions of data inputs that are reinvested to continue improving our proprietary technology, machine learning and data analytics models. Leveraging this growing data set, we have been refining our AI technology to improve sourcing, pricing and lead time quotes for buyers and sellers. This data in combination with our machine learning algorithms fuels the continuous learning of our models. As our models improve, our platform becomes more efficient and our offerings become more tailored for individual buyers and sellers.</w:t>
      </w:r>
    </w:p>
    <w:p>
      <w:pPr>
        <w:spacing w:after="0" w:line="67" w:lineRule="exact"/>
        <w:rPr>
          <w:rFonts w:ascii="Arial" w:cs="Arial" w:eastAsia="Arial" w:hAnsi="Arial"/>
          <w:sz w:val="17"/>
          <w:szCs w:val="17"/>
          <w:color w:val="auto"/>
        </w:rPr>
      </w:pPr>
    </w:p>
    <w:p>
      <w:pPr>
        <w:ind w:left="263" w:hanging="263"/>
        <w:spacing w:after="0" w:line="259" w:lineRule="auto"/>
        <w:tabs>
          <w:tab w:leader="none" w:pos="263" w:val="left"/>
        </w:tabs>
        <w:numPr>
          <w:ilvl w:val="0"/>
          <w:numId w:val="9"/>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Custom-Built, Extensible Platform. </w:t>
      </w:r>
      <w:r>
        <w:rPr>
          <w:rFonts w:ascii="Arial" w:cs="Arial" w:eastAsia="Arial" w:hAnsi="Arial"/>
          <w:sz w:val="17"/>
          <w:szCs w:val="17"/>
          <w:color w:val="auto"/>
        </w:rPr>
        <w:t>Our manufacturing processes and supply offerings are tailored to the complex and industry-specific design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order needs of manufacturing. These custom offerings are powered by our diverse and growing seller network which contributes differentiated processes and our AI-enabled technology that facilitates intelligent matches between buyers and sellers. Additionally, our use of services-oriented architecture and cloud infrastructure ensures scalability and helps reduce the time to market for new offerings. Over time, we expect to continue to add new manufacturing processes to help both our buyers and sellers thrive.</w:t>
      </w:r>
    </w:p>
    <w:p>
      <w:pPr>
        <w:spacing w:after="0" w:line="65" w:lineRule="exact"/>
        <w:rPr>
          <w:rFonts w:ascii="Arial" w:cs="Arial" w:eastAsia="Arial" w:hAnsi="Arial"/>
          <w:sz w:val="17"/>
          <w:szCs w:val="17"/>
          <w:color w:val="auto"/>
        </w:rPr>
      </w:pPr>
    </w:p>
    <w:p>
      <w:pPr>
        <w:ind w:left="263" w:right="120" w:hanging="263"/>
        <w:spacing w:after="0" w:line="248" w:lineRule="auto"/>
        <w:tabs>
          <w:tab w:leader="none" w:pos="263" w:val="left"/>
        </w:tabs>
        <w:numPr>
          <w:ilvl w:val="0"/>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Powerful Network Effects. </w:t>
      </w:r>
      <w:r>
        <w:rPr>
          <w:rFonts w:ascii="Arial" w:cs="Arial" w:eastAsia="Arial" w:hAnsi="Arial"/>
          <w:sz w:val="18"/>
          <w:szCs w:val="18"/>
          <w:color w:val="auto"/>
        </w:rPr>
        <w:t>Today, we are the largest AI-enabled digital manufacturing marketplace by revenue. As we continue to scale, we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benefit from a self-reinforcing, virtuous cycle, in which marketplace interactions contribute valuable data points and insights that improve our AI-enabled platform, increasing lifetime customer value and fueling strong unit economics.</w:t>
      </w:r>
    </w:p>
    <w:p>
      <w:pPr>
        <w:spacing w:after="0" w:line="73" w:lineRule="exact"/>
        <w:rPr>
          <w:rFonts w:ascii="Arial" w:cs="Arial" w:eastAsia="Arial" w:hAnsi="Arial"/>
          <w:sz w:val="18"/>
          <w:szCs w:val="18"/>
          <w:color w:val="auto"/>
        </w:rPr>
      </w:pPr>
    </w:p>
    <w:p>
      <w:pPr>
        <w:ind w:left="263" w:right="60" w:hanging="263"/>
        <w:spacing w:after="0" w:line="279" w:lineRule="auto"/>
        <w:tabs>
          <w:tab w:leader="none" w:pos="263" w:val="left"/>
        </w:tabs>
        <w:numPr>
          <w:ilvl w:val="0"/>
          <w:numId w:val="9"/>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Buyer Engagement and Expansion. </w:t>
      </w:r>
      <w:r>
        <w:rPr>
          <w:rFonts w:ascii="Arial" w:cs="Arial" w:eastAsia="Arial" w:hAnsi="Arial"/>
          <w:sz w:val="16"/>
          <w:szCs w:val="16"/>
          <w:color w:val="auto"/>
        </w:rPr>
        <w:t>Our flexible ordering process allows us to land new customers and increases buyer stickiness, fueling an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efficient go-to-market model. Over time, our accounts typically increase their spend with us through the addition of buyers and incremental processes, increasing order frequency and spend. For the quarter ended December 31, 2021, 95% of our revenue was generated from existing accounts. We define an existing account as an account where at least one buyer has made a purchase on our marketplace. For the quarter ended December 31, 2021, we saw a 80% year-over-year increase in accounts with at least $50,000 annual spend.</w:t>
      </w:r>
    </w:p>
    <w:p>
      <w:pPr>
        <w:spacing w:after="0" w:line="51" w:lineRule="exact"/>
        <w:rPr>
          <w:rFonts w:ascii="Arial" w:cs="Arial" w:eastAsia="Arial" w:hAnsi="Arial"/>
          <w:sz w:val="16"/>
          <w:szCs w:val="16"/>
          <w:color w:val="auto"/>
        </w:rPr>
      </w:pPr>
    </w:p>
    <w:p>
      <w:pPr>
        <w:ind w:left="263" w:right="80" w:hanging="263"/>
        <w:spacing w:after="0" w:line="243" w:lineRule="auto"/>
        <w:tabs>
          <w:tab w:leader="none" w:pos="263" w:val="left"/>
        </w:tabs>
        <w:numPr>
          <w:ilvl w:val="0"/>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Globally Distributed Seller Network. </w:t>
      </w:r>
      <w:r>
        <w:rPr>
          <w:rFonts w:ascii="Arial" w:cs="Arial" w:eastAsia="Arial" w:hAnsi="Arial"/>
          <w:sz w:val="18"/>
          <w:szCs w:val="18"/>
          <w:color w:val="auto"/>
        </w:rPr>
        <w:t>Our global network of over 5,600 sellers brings together a range of manufacturing processes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industry-specific knowledge. With the acquisition of Thomas, we have access to an additional 500,000 sellers. This enables us to serve a large, diverse and growing set of buyers. We offer our sellers products and services to help them manage their businesses more efficiently and connect our entire seller community for access to shared resources and support.</w:t>
      </w:r>
    </w:p>
    <w:p>
      <w:pPr>
        <w:spacing w:after="0" w:line="79" w:lineRule="exact"/>
        <w:rPr>
          <w:rFonts w:ascii="Arial" w:cs="Arial" w:eastAsia="Arial" w:hAnsi="Arial"/>
          <w:sz w:val="18"/>
          <w:szCs w:val="18"/>
          <w:color w:val="auto"/>
        </w:rPr>
      </w:pPr>
    </w:p>
    <w:p>
      <w:pPr>
        <w:jc w:val="both"/>
        <w:ind w:left="263" w:right="40" w:hanging="263"/>
        <w:spacing w:after="0" w:line="294" w:lineRule="auto"/>
        <w:tabs>
          <w:tab w:leader="none" w:pos="263" w:val="left"/>
        </w:tabs>
        <w:numPr>
          <w:ilvl w:val="0"/>
          <w:numId w:val="9"/>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Mission-Driven Culture. </w:t>
      </w:r>
      <w:r>
        <w:rPr>
          <w:rFonts w:ascii="Arial" w:cs="Arial" w:eastAsia="Arial" w:hAnsi="Arial"/>
          <w:sz w:val="16"/>
          <w:szCs w:val="16"/>
          <w:color w:val="auto"/>
        </w:rPr>
        <w:t>As we accelerate innovation in manufacturing, we remain focused on empowering local businesses and enabling new</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product development for companies around the world. Our corporate culture is centered around our mission through our commitments to serve the local communities in which we operate, champion technological innovation, and drive sustainability for manufacturing worldwide.</w:t>
      </w:r>
    </w:p>
    <w:p>
      <w:pPr>
        <w:spacing w:after="0" w:line="251" w:lineRule="exact"/>
        <w:rPr>
          <w:sz w:val="20"/>
          <w:szCs w:val="20"/>
          <w:color w:val="auto"/>
        </w:rPr>
      </w:pPr>
    </w:p>
    <w:p>
      <w:pPr>
        <w:ind w:left="4143"/>
        <w:spacing w:after="0"/>
        <w:rPr>
          <w:sz w:val="20"/>
          <w:szCs w:val="20"/>
          <w:color w:val="auto"/>
        </w:rPr>
      </w:pPr>
      <w:r>
        <w:rPr>
          <w:rFonts w:ascii="Arial" w:cs="Arial" w:eastAsia="Arial" w:hAnsi="Arial"/>
          <w:sz w:val="18"/>
          <w:szCs w:val="18"/>
          <w:b w:val="1"/>
          <w:bCs w:val="1"/>
          <w:color w:val="auto"/>
        </w:rPr>
        <w:t>Our Growth Strategy</w:t>
      </w:r>
    </w:p>
    <w:p>
      <w:pPr>
        <w:spacing w:after="0" w:line="216" w:lineRule="exact"/>
        <w:rPr>
          <w:sz w:val="20"/>
          <w:szCs w:val="20"/>
          <w:color w:val="auto"/>
        </w:rPr>
      </w:pPr>
    </w:p>
    <w:p>
      <w:pPr>
        <w:jc w:val="both"/>
        <w:ind w:left="263" w:right="220" w:hanging="263"/>
        <w:spacing w:after="0" w:line="294" w:lineRule="auto"/>
        <w:tabs>
          <w:tab w:leader="none" w:pos="263" w:val="left"/>
        </w:tabs>
        <w:numPr>
          <w:ilvl w:val="0"/>
          <w:numId w:val="10"/>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Attract new buyers and grow wallet share with existing buyers. </w:t>
      </w:r>
      <w:r>
        <w:rPr>
          <w:rFonts w:ascii="Arial" w:cs="Arial" w:eastAsia="Arial" w:hAnsi="Arial"/>
          <w:sz w:val="16"/>
          <w:szCs w:val="16"/>
          <w:color w:val="auto"/>
        </w:rPr>
        <w:t>We intend to continue investing in acquiring new buyers through traditional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paid sales and marketing techniques as well as leveraging our strong organic referral network to drive awareness and build trust. We are also focused on increasing buyer stickiness and buyer spend within existing accounts by investing in our sales and marketing capabilities.</w:t>
      </w:r>
    </w:p>
    <w:p>
      <w:pPr>
        <w:spacing w:after="0" w:line="39" w:lineRule="exact"/>
        <w:rPr>
          <w:rFonts w:ascii="Arial" w:cs="Arial" w:eastAsia="Arial" w:hAnsi="Arial"/>
          <w:sz w:val="16"/>
          <w:szCs w:val="16"/>
          <w:color w:val="auto"/>
        </w:rPr>
      </w:pPr>
    </w:p>
    <w:p>
      <w:pPr>
        <w:ind w:left="263" w:right="240" w:hanging="263"/>
        <w:spacing w:after="0" w:line="248" w:lineRule="auto"/>
        <w:tabs>
          <w:tab w:leader="none" w:pos="263" w:val="left"/>
        </w:tabs>
        <w:numPr>
          <w:ilvl w:val="0"/>
          <w:numId w:val="1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Deepen and expand seller partnerships. </w:t>
      </w:r>
      <w:r>
        <w:rPr>
          <w:rFonts w:ascii="Arial" w:cs="Arial" w:eastAsia="Arial" w:hAnsi="Arial"/>
          <w:sz w:val="18"/>
          <w:szCs w:val="18"/>
          <w:color w:val="auto"/>
        </w:rPr>
        <w:t>Creating the largest, most connected, and efficient seller network in the world benefits our entire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platform. We are focused on attracting new sellers, recognizing the massive opportunity still in front of us and the intrinsic benefit an active, diverse seller population brings to the overall platform.</w:t>
      </w:r>
    </w:p>
    <w:p>
      <w:pPr>
        <w:spacing w:after="0" w:line="73" w:lineRule="exact"/>
        <w:rPr>
          <w:rFonts w:ascii="Arial" w:cs="Arial" w:eastAsia="Arial" w:hAnsi="Arial"/>
          <w:sz w:val="18"/>
          <w:szCs w:val="18"/>
          <w:color w:val="auto"/>
        </w:rPr>
      </w:pPr>
    </w:p>
    <w:p>
      <w:pPr>
        <w:ind w:left="263" w:right="260" w:hanging="263"/>
        <w:spacing w:after="0" w:line="294" w:lineRule="auto"/>
        <w:tabs>
          <w:tab w:leader="none" w:pos="263" w:val="left"/>
        </w:tabs>
        <w:numPr>
          <w:ilvl w:val="0"/>
          <w:numId w:val="10"/>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Become an enterprise solution for our sellers. </w:t>
      </w:r>
      <w:r>
        <w:rPr>
          <w:rFonts w:ascii="Arial" w:cs="Arial" w:eastAsia="Arial" w:hAnsi="Arial"/>
          <w:sz w:val="16"/>
          <w:szCs w:val="16"/>
          <w:color w:val="auto"/>
        </w:rPr>
        <w:t>As we continue to grow the amount of data processed by our algorithms, we can provide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sellers with progressively sophisticated data insights and analytics. Combined with our workflow management software and other seller services, we will increasingly become the enterprise solution for sellers to manage their businesses on and off platform.</w:t>
      </w:r>
    </w:p>
    <w:p>
      <w:pPr>
        <w:spacing w:after="0" w:line="39" w:lineRule="exact"/>
        <w:rPr>
          <w:rFonts w:ascii="Arial" w:cs="Arial" w:eastAsia="Arial" w:hAnsi="Arial"/>
          <w:sz w:val="16"/>
          <w:szCs w:val="16"/>
          <w:color w:val="auto"/>
        </w:rPr>
      </w:pPr>
    </w:p>
    <w:p>
      <w:pPr>
        <w:ind w:left="263" w:right="220" w:hanging="263"/>
        <w:spacing w:after="0" w:line="268" w:lineRule="auto"/>
        <w:tabs>
          <w:tab w:leader="none" w:pos="263" w:val="left"/>
        </w:tabs>
        <w:numPr>
          <w:ilvl w:val="0"/>
          <w:numId w:val="10"/>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Enhance and offer additional seller products and services. </w:t>
      </w:r>
      <w:r>
        <w:rPr>
          <w:rFonts w:ascii="Arial" w:cs="Arial" w:eastAsia="Arial" w:hAnsi="Arial"/>
          <w:sz w:val="16"/>
          <w:szCs w:val="16"/>
          <w:color w:val="auto"/>
        </w:rPr>
        <w:t>Our seller products and services allow us to deepen seller relationships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increase engagement. Revenue from our seller services was approximately six percent of our total revenue for the year ended December 31, 2021. We expect revenue from seller services to grow substantially in 2022 and beyond including our full slate of marketing and advertising and data services from Thomas. We plan to continue to market the Xometry Pay platform to U.S. sellers, enhance features that allow quicker conversion of purchase orders to cash, and build toward a full-service digital wallet for sellers to use for payouts and purchases. We plan on</w:t>
      </w:r>
    </w:p>
    <w:p>
      <w:pPr>
        <w:ind w:left="263"/>
        <w:spacing w:after="0" w:line="236" w:lineRule="auto"/>
        <w:rPr>
          <w:sz w:val="20"/>
          <w:szCs w:val="20"/>
          <w:color w:val="auto"/>
        </w:rPr>
      </w:pPr>
      <w:r>
        <w:rPr>
          <w:rFonts w:ascii="Arial" w:cs="Arial" w:eastAsia="Arial" w:hAnsi="Arial"/>
          <w:sz w:val="18"/>
          <w:szCs w:val="18"/>
          <w:color w:val="auto"/>
        </w:rPr>
        <w:t>offering our supplies service across the Thomasnet platform.</w:t>
      </w:r>
    </w:p>
    <w:p>
      <w:pPr>
        <w:ind w:left="4943"/>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-411480</wp:posOffset>
            </wp:positionH>
            <wp:positionV relativeFrom="paragraph">
              <wp:posOffset>52070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03"/>
          </w:cols>
          <w:pgMar w:left="957" w:top="648" w:right="339" w:bottom="1440" w:gutter="0" w:footer="0" w:header="0"/>
        </w:sectPr>
      </w:pPr>
    </w:p>
    <w:bookmarkStart w:id="9" w:name="page10"/>
    <w:bookmarkEnd w:id="9"/>
    <w:p>
      <w:pPr>
        <w:ind w:left="900" w:right="100" w:hanging="263"/>
        <w:spacing w:after="0" w:line="243"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Continue our international expansion. </w:t>
      </w:r>
      <w:r>
        <w:rPr>
          <w:rFonts w:ascii="Arial" w:cs="Arial" w:eastAsia="Arial" w:hAnsi="Arial"/>
          <w:sz w:val="18"/>
          <w:szCs w:val="18"/>
          <w:color w:val="auto"/>
        </w:rPr>
        <w:t>We believe there is significant opportunity in the global manufacturing ecosystem for a marketplace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like Xometry. With operations throughout the majority of the contiguous United States and customers in Europe and Asia we have established footholds in major markets around the world. We will continue to dedicate sales and marketing resources to develop our seller networks and attract buyers to our marketplace in other regions.</w:t>
      </w:r>
    </w:p>
    <w:p>
      <w:pPr>
        <w:spacing w:after="0" w:line="79" w:lineRule="exact"/>
        <w:rPr>
          <w:rFonts w:ascii="Arial" w:cs="Arial" w:eastAsia="Arial" w:hAnsi="Arial"/>
          <w:sz w:val="18"/>
          <w:szCs w:val="18"/>
          <w:color w:val="auto"/>
        </w:rPr>
      </w:pPr>
    </w:p>
    <w:p>
      <w:pPr>
        <w:ind w:left="900" w:right="480" w:hanging="263"/>
        <w:spacing w:after="0" w:line="261"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Pursue strategic acquisitions. </w:t>
      </w:r>
      <w:r>
        <w:rPr>
          <w:rFonts w:ascii="Arial" w:cs="Arial" w:eastAsia="Arial" w:hAnsi="Arial"/>
          <w:sz w:val="18"/>
          <w:szCs w:val="18"/>
          <w:color w:val="auto"/>
        </w:rPr>
        <w:t>With the size and complexity of the manufacturing industry we believe there is significant opportunity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targeted investments and acquisitions to strengthen our competitive position and processes.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148" w:lineRule="exact"/>
        <w:rPr>
          <w:sz w:val="20"/>
          <w:szCs w:val="20"/>
          <w:color w:val="auto"/>
        </w:rPr>
      </w:pPr>
    </w:p>
    <w:p>
      <w:pPr>
        <w:ind w:right="180" w:firstLine="636"/>
        <w:spacing w:after="0" w:line="279" w:lineRule="auto"/>
        <w:rPr>
          <w:sz w:val="20"/>
          <w:szCs w:val="20"/>
          <w:color w:val="auto"/>
        </w:rPr>
      </w:pPr>
      <w:r>
        <w:rPr>
          <w:rFonts w:ascii="Arial" w:cs="Arial" w:eastAsia="Arial" w:hAnsi="Arial"/>
          <w:sz w:val="16"/>
          <w:szCs w:val="16"/>
          <w:color w:val="auto"/>
        </w:rPr>
        <w:t>Our business activities are subject to various federal, state, local and foreign laws, rules, and regulations. Compliance with these laws, rules, and regulations has not had, and is not expected to have, a material effect on our capital expenditures, results of operations, and competitive position as compared to prior periods. Nevertheless, compliance with existing or future governmental regulations, including, but not limited to, those pertaining to privacy, data protection, labor and employment, consumer protection and unsolicited email and taxes, could have a material impact on our business in subsequent periods. For more information on the potential impacts of government regulations affecting our business, see “Item 1A - Risk Factors.”</w:t>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Data Privacy and Security Laws</w:t>
      </w:r>
    </w:p>
    <w:p>
      <w:pPr>
        <w:spacing w:after="0" w:line="200" w:lineRule="exact"/>
        <w:rPr>
          <w:sz w:val="20"/>
          <w:szCs w:val="20"/>
          <w:color w:val="auto"/>
        </w:rPr>
      </w:pPr>
    </w:p>
    <w:p>
      <w:pPr>
        <w:spacing w:after="0" w:line="201" w:lineRule="exact"/>
        <w:rPr>
          <w:sz w:val="20"/>
          <w:szCs w:val="20"/>
          <w:color w:val="auto"/>
        </w:rPr>
      </w:pPr>
    </w:p>
    <w:p>
      <w:pPr>
        <w:ind w:right="60" w:firstLine="495"/>
        <w:spacing w:after="0" w:line="241" w:lineRule="auto"/>
        <w:rPr>
          <w:sz w:val="20"/>
          <w:szCs w:val="20"/>
          <w:color w:val="auto"/>
        </w:rPr>
      </w:pPr>
      <w:r>
        <w:rPr>
          <w:rFonts w:ascii="Arial" w:cs="Arial" w:eastAsia="Arial" w:hAnsi="Arial"/>
          <w:sz w:val="18"/>
          <w:szCs w:val="18"/>
          <w:color w:val="auto"/>
        </w:rPr>
        <w:t>We may be subject to privacy and security laws in the various jurisdictions in which we operate, obtain or store personally identifiable information. Most states have enacted laws and regulations requiring notification to users when there is a security breach of personal data, or requiring the adoption of minimum information security standards that are often vaguely defined and difficult to practically implement. The costs of compliance with these laws and regulations may increase in the future as a result of amendments or changes in interpretation. Furthermore, any failure on our part to comply with these laws and regulations may subject us to significant liabilities.</w:t>
      </w:r>
    </w:p>
    <w:p>
      <w:pPr>
        <w:spacing w:after="0" w:line="378" w:lineRule="exact"/>
        <w:rPr>
          <w:sz w:val="20"/>
          <w:szCs w:val="20"/>
          <w:color w:val="auto"/>
        </w:rPr>
      </w:pPr>
    </w:p>
    <w:p>
      <w:pPr>
        <w:ind w:firstLine="495"/>
        <w:spacing w:after="0" w:line="252" w:lineRule="auto"/>
        <w:rPr>
          <w:sz w:val="20"/>
          <w:szCs w:val="20"/>
          <w:color w:val="auto"/>
        </w:rPr>
      </w:pPr>
      <w:r>
        <w:rPr>
          <w:rFonts w:ascii="Arial" w:cs="Arial" w:eastAsia="Arial" w:hAnsi="Arial"/>
          <w:sz w:val="17"/>
          <w:szCs w:val="17"/>
          <w:color w:val="auto"/>
        </w:rPr>
        <w:t>We are also subject to federal, state, and foreign laws and regulations regarding privacy and protection of data. Our privacy policies describe our practices concerning the use, storage, transmission and disclosure of personal information, including visitor and user data. Any failure by us to comply with these terms or privacy related laws and regulations could result in proceedings against us by governmental authorities or others, which could harm our business. In addition, the interpretation of privacy and data protection laws and regulations and their application to online services are unclear, evolving and in a state of flux. There is a risk that these laws and regulations may be interpreted and applied in conflicting ways from state to state, country to country, or region to region, and in a manner that is not consistent with our current data protection practices, or that new laws or regulations will be enacted. In addition, because our website platform is accessible worldwide, certain foreign governments may claim that we are required to comply with their laws and regulations, including with respect to the storage, use and disclosure of user information, even in jurisdictions where we have no local entity, employees, or infrastructure. Complying with these varying domestic and international requirements could cause us to incur additional costs and change our business practices. Further, any failure by us to adequately protect our users’ privacy and data could result in a loss of user confidence in our services and ultimately in a loss of users, which could adversely affect our business.</w:t>
      </w:r>
    </w:p>
    <w:p>
      <w:pPr>
        <w:spacing w:after="0" w:line="3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w:t>
      </w:r>
    </w:p>
    <w:p>
      <w:pPr>
        <w:spacing w:after="0" w:line="175" w:lineRule="exact"/>
        <w:rPr>
          <w:sz w:val="20"/>
          <w:szCs w:val="20"/>
          <w:color w:val="auto"/>
        </w:rPr>
      </w:pPr>
    </w:p>
    <w:p>
      <w:pPr>
        <w:ind w:firstLine="636"/>
        <w:spacing w:after="0" w:line="279" w:lineRule="auto"/>
        <w:rPr>
          <w:sz w:val="20"/>
          <w:szCs w:val="20"/>
          <w:color w:val="auto"/>
        </w:rPr>
      </w:pPr>
      <w:r>
        <w:rPr>
          <w:rFonts w:ascii="Arial" w:cs="Arial" w:eastAsia="Arial" w:hAnsi="Arial"/>
          <w:sz w:val="16"/>
          <w:szCs w:val="16"/>
          <w:color w:val="auto"/>
        </w:rPr>
        <w:t>To be a Xometry employee means taking an active role in building and serving our communities. We believe that our strong corporate culture and our investment in our relationship with our employees contributes to our success. This is evidenced by our industry recognitions including by Forbes as one of America’s Best Startup Employers in 2021 and by the Kentucky Chamber of Commerce as one of the best places to work in Kentucky in 2021, a state where we have over 100 employees. Our employees are continuously innovating, and our structure rewards productivity. We also encourage employees to invest in themselves by contributing to continuing education tuition. As of December 31, 2021, we had 788 employees.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Diversity and Inclusion</w:t>
      </w:r>
    </w:p>
    <w:p>
      <w:pPr>
        <w:spacing w:after="0" w:line="171" w:lineRule="exact"/>
        <w:rPr>
          <w:sz w:val="20"/>
          <w:szCs w:val="20"/>
          <w:color w:val="auto"/>
        </w:rPr>
      </w:pPr>
    </w:p>
    <w:p>
      <w:pPr>
        <w:jc w:val="both"/>
        <w:ind w:right="100" w:firstLine="636"/>
        <w:spacing w:after="0" w:line="255" w:lineRule="auto"/>
        <w:rPr>
          <w:sz w:val="20"/>
          <w:szCs w:val="20"/>
          <w:color w:val="auto"/>
        </w:rPr>
      </w:pPr>
      <w:r>
        <w:rPr>
          <w:rFonts w:ascii="Arial" w:cs="Arial" w:eastAsia="Arial" w:hAnsi="Arial"/>
          <w:sz w:val="17"/>
          <w:szCs w:val="17"/>
          <w:color w:val="auto"/>
        </w:rPr>
        <w:t>We are committed to growing and empowering inclusive communities in our company, our industry, and the neighborhoods in which we live. We know that a diverse and thriving workforce is critical to attract and retain the talent necessary to grow our business. Our success depends on ideas. We can foster more productive ideas if we amplify all voices and provide the tools and resources to those who need them.</w:t>
      </w: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10" w:name="page11"/>
    <w:bookmarkEnd w:id="10"/>
    <w:p>
      <w:pPr>
        <w:ind w:left="660"/>
        <w:spacing w:after="0"/>
        <w:rPr>
          <w:sz w:val="20"/>
          <w:szCs w:val="20"/>
          <w:color w:val="auto"/>
        </w:rPr>
      </w:pPr>
      <w:r>
        <w:rPr>
          <w:rFonts w:ascii="Arial" w:cs="Arial" w:eastAsia="Arial" w:hAnsi="Arial"/>
          <w:sz w:val="18"/>
          <w:szCs w:val="18"/>
          <w:color w:val="auto"/>
        </w:rPr>
        <w:t>We drive diversity, equity and inclusion (“DEI”) forward through programs, investments and initiatives including:</w:t>
      </w:r>
    </w:p>
    <w:p>
      <w:pPr>
        <w:spacing w:after="0" w:line="347" w:lineRule="exact"/>
        <w:rPr>
          <w:sz w:val="20"/>
          <w:szCs w:val="20"/>
          <w:color w:val="auto"/>
        </w:rPr>
      </w:pPr>
    </w:p>
    <w:p>
      <w:pPr>
        <w:ind w:left="1020" w:right="640" w:hanging="503"/>
        <w:spacing w:after="0" w:line="261" w:lineRule="auto"/>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auto"/>
        </w:rPr>
        <w:t>Diverse Manufacturers</w:t>
      </w:r>
      <w:r>
        <w:rPr>
          <w:rFonts w:ascii="Arial" w:cs="Arial" w:eastAsia="Arial" w:hAnsi="Arial"/>
          <w:sz w:val="18"/>
          <w:szCs w:val="18"/>
          <w:color w:val="auto"/>
        </w:rPr>
        <w:t>. We provide work to thousands of small machine shops that typically do not have exposure to jobs from large corporations. Our sellers include hundreds of minority, veteran, and women-owned companies.</w:t>
      </w:r>
    </w:p>
    <w:p>
      <w:pPr>
        <w:spacing w:after="0" w:line="265" w:lineRule="exact"/>
        <w:rPr>
          <w:rFonts w:ascii="Arial" w:cs="Arial" w:eastAsia="Arial" w:hAnsi="Arial"/>
          <w:sz w:val="18"/>
          <w:szCs w:val="18"/>
          <w:color w:val="auto"/>
        </w:rPr>
      </w:pPr>
    </w:p>
    <w:p>
      <w:pPr>
        <w:ind w:left="1020" w:right="60" w:hanging="503"/>
        <w:spacing w:after="0" w:line="261" w:lineRule="auto"/>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auto"/>
        </w:rPr>
        <w:t>Talent</w:t>
      </w:r>
      <w:r>
        <w:rPr>
          <w:rFonts w:ascii="Arial" w:cs="Arial" w:eastAsia="Arial" w:hAnsi="Arial"/>
          <w:sz w:val="18"/>
          <w:szCs w:val="18"/>
          <w:color w:val="auto"/>
        </w:rPr>
        <w:t>. We are increasing and broadening the pools of candidates from which we hire, both externally and internally, and are further refining the requirements, assessment criteria and selection process for each of our roles.</w:t>
      </w:r>
    </w:p>
    <w:p>
      <w:pPr>
        <w:spacing w:after="0" w:line="265" w:lineRule="exact"/>
        <w:rPr>
          <w:rFonts w:ascii="Arial" w:cs="Arial" w:eastAsia="Arial" w:hAnsi="Arial"/>
          <w:sz w:val="18"/>
          <w:szCs w:val="18"/>
          <w:color w:val="auto"/>
        </w:rPr>
      </w:pPr>
    </w:p>
    <w:p>
      <w:pPr>
        <w:ind w:left="1020" w:right="80" w:hanging="503"/>
        <w:spacing w:after="0" w:line="248" w:lineRule="auto"/>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auto"/>
        </w:rPr>
        <w:t>Education</w:t>
      </w:r>
      <w:r>
        <w:rPr>
          <w:rFonts w:ascii="Arial" w:cs="Arial" w:eastAsia="Arial" w:hAnsi="Arial"/>
          <w:sz w:val="18"/>
          <w:szCs w:val="18"/>
          <w:color w:val="auto"/>
        </w:rPr>
        <w:t>. We devote considerable time and resources to the continuing education of our employees. This effort begins on an employee’s first day and remains part of our employee’s experience through regular panel discussions and focus groups to ignite conversations and ideas around DEI priorities.</w:t>
      </w:r>
    </w:p>
    <w:p>
      <w:pPr>
        <w:spacing w:after="0" w:line="73" w:lineRule="exact"/>
        <w:rPr>
          <w:rFonts w:ascii="Arial" w:cs="Arial" w:eastAsia="Arial" w:hAnsi="Arial"/>
          <w:sz w:val="18"/>
          <w:szCs w:val="18"/>
          <w:color w:val="auto"/>
        </w:rPr>
      </w:pPr>
    </w:p>
    <w:p>
      <w:pPr>
        <w:ind w:left="1020" w:right="380" w:hanging="503"/>
        <w:spacing w:after="0" w:line="261" w:lineRule="auto"/>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auto"/>
        </w:rPr>
        <w:t>Culture</w:t>
      </w:r>
      <w:r>
        <w:rPr>
          <w:rFonts w:ascii="Arial" w:cs="Arial" w:eastAsia="Arial" w:hAnsi="Arial"/>
          <w:sz w:val="18"/>
          <w:szCs w:val="18"/>
          <w:color w:val="auto"/>
        </w:rPr>
        <w:t>. We established a DEI Advisory Committee that will take an active role not only in our programs but also as thought leaders and change agents.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Environment</w:t>
      </w:r>
    </w:p>
    <w:p>
      <w:pPr>
        <w:spacing w:after="0" w:line="185" w:lineRule="exact"/>
        <w:rPr>
          <w:sz w:val="20"/>
          <w:szCs w:val="20"/>
          <w:color w:val="auto"/>
        </w:rPr>
      </w:pPr>
    </w:p>
    <w:p>
      <w:pPr>
        <w:jc w:val="both"/>
        <w:ind w:right="300" w:firstLine="636"/>
        <w:spacing w:after="0" w:line="248" w:lineRule="auto"/>
        <w:rPr>
          <w:sz w:val="20"/>
          <w:szCs w:val="20"/>
          <w:color w:val="auto"/>
        </w:rPr>
      </w:pPr>
      <w:r>
        <w:rPr>
          <w:rFonts w:ascii="Arial" w:cs="Arial" w:eastAsia="Arial" w:hAnsi="Arial"/>
          <w:sz w:val="18"/>
          <w:szCs w:val="18"/>
          <w:color w:val="auto"/>
        </w:rPr>
        <w:t>We are committed to reducing the carbon footprint of manufacturing. We purchase carbon credits to offset 100% of the estimated impact of the shipment of parts, and offer buyers the ability to instantly see the price to purchase carbon credits to offset the carbon used to make their parts. We also promote technologies like additive manufacturing that reduce the carbon footprint.</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Non-Profit Organizations</w:t>
      </w:r>
    </w:p>
    <w:p>
      <w:pPr>
        <w:spacing w:after="0" w:line="171" w:lineRule="exact"/>
        <w:rPr>
          <w:sz w:val="20"/>
          <w:szCs w:val="20"/>
          <w:color w:val="auto"/>
        </w:rPr>
      </w:pPr>
    </w:p>
    <w:p>
      <w:pPr>
        <w:ind w:right="160" w:firstLine="636"/>
        <w:spacing w:after="0"/>
        <w:rPr>
          <w:sz w:val="20"/>
          <w:szCs w:val="20"/>
          <w:color w:val="auto"/>
        </w:rPr>
      </w:pPr>
      <w:r>
        <w:rPr>
          <w:rFonts w:ascii="Arial" w:cs="Arial" w:eastAsia="Arial" w:hAnsi="Arial"/>
          <w:sz w:val="18"/>
          <w:szCs w:val="18"/>
          <w:color w:val="auto"/>
        </w:rPr>
        <w:t>We want to help non-profits that are making a difference addressing other crucial problems facing our world. We started Xometry.org, which is part of our company and not a separate entity, to fund non-profit entities leading the fight against urgent problems such as education and climate change. We have a moral obligation to share some of our good fortune with others and protect our planet for future generations. We integrate this work into our culture and we use our commitment to ideas beyond just building the company to attract, retain and motivate our employees. We do not see this work as a side-project or distraction. To the contrary it is core to the culture we are building at Xometry and ultimately we believe the work of Xometry.org makes our business stronger and more successful.</w:t>
      </w:r>
    </w:p>
    <w:p>
      <w:pPr>
        <w:spacing w:after="0" w:line="149" w:lineRule="exact"/>
        <w:rPr>
          <w:sz w:val="20"/>
          <w:szCs w:val="20"/>
          <w:color w:val="auto"/>
        </w:rPr>
      </w:pPr>
    </w:p>
    <w:p>
      <w:pPr>
        <w:ind w:right="140" w:firstLine="636"/>
        <w:spacing w:after="0" w:line="279" w:lineRule="auto"/>
        <w:rPr>
          <w:sz w:val="20"/>
          <w:szCs w:val="20"/>
          <w:color w:val="auto"/>
        </w:rPr>
      </w:pPr>
      <w:r>
        <w:rPr>
          <w:rFonts w:ascii="Arial" w:cs="Arial" w:eastAsia="Arial" w:hAnsi="Arial"/>
          <w:sz w:val="16"/>
          <w:szCs w:val="16"/>
          <w:color w:val="auto"/>
        </w:rPr>
        <w:t>We have embraced the Pledge 1% movement, and are committed to donating 1% of our equity over time, to fund and support operations of Xometry.org. We have initially reserved 402,658 shares of Class A common stock, representing 1% of our fully diluted capitalization as of the date of approval by our board of directors, for issuance over the next five years for this purpose, in an amount not to exceed 20% of the initial reserve amount per calendar year. As part of this commitment, Xometry pledged more than $900,000 to provide eight scholarships over the next four school years to students enrolled in the Department of Mechanical Engineering at the Howard University College of Engineering and Architecture.</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w:t>
      </w:r>
    </w:p>
    <w:p>
      <w:pPr>
        <w:spacing w:after="0" w:line="189" w:lineRule="exact"/>
        <w:rPr>
          <w:sz w:val="20"/>
          <w:szCs w:val="20"/>
          <w:color w:val="auto"/>
        </w:rPr>
      </w:pPr>
    </w:p>
    <w:p>
      <w:pPr>
        <w:ind w:firstLine="636"/>
        <w:spacing w:after="0" w:line="266" w:lineRule="auto"/>
        <w:rPr>
          <w:sz w:val="20"/>
          <w:szCs w:val="20"/>
          <w:color w:val="auto"/>
        </w:rPr>
      </w:pPr>
      <w:r>
        <w:rPr>
          <w:rFonts w:ascii="Arial" w:cs="Arial" w:eastAsia="Arial" w:hAnsi="Arial"/>
          <w:sz w:val="16"/>
          <w:szCs w:val="16"/>
          <w:color w:val="auto"/>
        </w:rPr>
        <w:t>We were founded in 2013 and incorporated in Delaware in on May 29, 2013 under the name NextLine Manufacturing Corp. We changed our name to Xometry, Inc. on June 29, 2015. Our principal executive offices are located at 7529 Standish Place, Suite 200, Derwood, MD 20855, and our telephone number is (240) 335-7914. We also maintain a website at www.xometry.com. Information contained in, or accessible through, our website is not a part of this Annual Report on Form 10-K, and the inclusion of our website address in this Annual Report on Form 10-K is only as an inactive textual reference. We make available on our website, free of charge, our Annual Report on Form 10-K, our Quarterly Reports on Form 10-Q and our Current Reports on Form 8-K and any amendments to those reports filed or furnished pursuant to Section 13(a) or 15(d) of the Securities Exchange Act of 1934, as amended, or the Exchange Act, as soon as reasonably practicable after we electronically file such material with, or furnish it to, the SEC. The SEC maintains a website that contains reports, proxy and information statements and other information regarding our filings at www.sec.gov.</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88" w:lineRule="exact"/>
        <w:rPr>
          <w:sz w:val="20"/>
          <w:szCs w:val="20"/>
          <w:color w:val="auto"/>
        </w:rPr>
      </w:pPr>
    </w:p>
    <w:p>
      <w:pPr>
        <w:ind w:right="100" w:firstLine="644"/>
        <w:spacing w:after="0" w:line="237" w:lineRule="auto"/>
        <w:rPr>
          <w:sz w:val="20"/>
          <w:szCs w:val="20"/>
          <w:color w:val="auto"/>
        </w:rPr>
      </w:pPr>
      <w:r>
        <w:rPr>
          <w:rFonts w:ascii="Arial" w:cs="Arial" w:eastAsia="Arial" w:hAnsi="Arial"/>
          <w:sz w:val="18"/>
          <w:szCs w:val="18"/>
          <w:i w:val="1"/>
          <w:iCs w:val="1"/>
          <w:color w:val="auto"/>
        </w:rPr>
        <w:t>Investing in our Class A common stock involves a high degree of risk. You should carefully consider the risks and uncertainties described below, together with all of the other information in this Annual Report on Form 10-K, including the sections titled “Management’s Discussion and Analysis of Financial Condition and Results of Operations” and our consolidated financial statements and related notes, before making a decision to invest in our Class A common stock. Our business, financial condition, results of operations, or prospects could also be harmed by risks and uncertainties not currently known to us or that we currently do not believe are material. If any of the risks actually occur, our business, financial condition, results of operations, and prospects could be adversely affected. In that event, the market price of our Class A common stock could decline, and you could lose part or all of your investment.</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Risks Factor Summary</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Our business is subject to numerous risks and uncertainties, including those outside our control, that could cause our actual results to be harmed.</w:t>
      </w:r>
    </w:p>
    <w:p>
      <w:pPr>
        <w:spacing w:after="0" w:line="127" w:lineRule="exact"/>
        <w:rPr>
          <w:sz w:val="20"/>
          <w:szCs w:val="20"/>
          <w:color w:val="auto"/>
        </w:rPr>
      </w:pPr>
    </w:p>
    <w:p>
      <w:pPr>
        <w:ind w:left="1020" w:hanging="503"/>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have incurred net losses in the past, expect to incur net losses in the future and may never achieve or maintain profitability.</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may not continue to grow on pace with historical rates.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If we are unable to manage the anticipated growth of our business, our future revenue and operating results may be adversely affected.</w:t>
      </w:r>
    </w:p>
    <w:p>
      <w:pPr>
        <w:spacing w:after="0" w:line="115" w:lineRule="exact"/>
        <w:rPr>
          <w:rFonts w:ascii="Arial" w:cs="Arial" w:eastAsia="Arial" w:hAnsi="Arial"/>
          <w:sz w:val="17"/>
          <w:szCs w:val="17"/>
          <w:color w:val="auto"/>
        </w:rPr>
      </w:pPr>
    </w:p>
    <w:p>
      <w:pPr>
        <w:ind w:left="1020" w:hanging="503"/>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operating results may fluctuate from quarter to quarter, which makes our future results difficult to predict.</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growth depends on our ability to attract and retain a large community of buyers and sellers.</w:t>
      </w:r>
    </w:p>
    <w:p>
      <w:pPr>
        <w:spacing w:after="0" w:line="103" w:lineRule="exact"/>
        <w:rPr>
          <w:rFonts w:ascii="Arial" w:cs="Arial" w:eastAsia="Arial" w:hAnsi="Arial"/>
          <w:sz w:val="18"/>
          <w:szCs w:val="18"/>
          <w:color w:val="auto"/>
        </w:rPr>
      </w:pPr>
    </w:p>
    <w:p>
      <w:pPr>
        <w:ind w:left="1020" w:right="480" w:hanging="503"/>
        <w:spacing w:after="0" w:line="261" w:lineRule="auto"/>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success depends on our ability to deliver products and manufacturing processes that meet the demand of buyers transacting on our marketplace and our ability to adapt to technological changes and improvements.</w:t>
      </w:r>
    </w:p>
    <w:p>
      <w:pPr>
        <w:spacing w:after="0" w:line="62" w:lineRule="exact"/>
        <w:rPr>
          <w:rFonts w:ascii="Arial" w:cs="Arial" w:eastAsia="Arial" w:hAnsi="Arial"/>
          <w:sz w:val="18"/>
          <w:szCs w:val="18"/>
          <w:color w:val="auto"/>
        </w:rPr>
      </w:pPr>
    </w:p>
    <w:p>
      <w:pPr>
        <w:ind w:left="1020" w:right="260" w:hanging="503"/>
        <w:spacing w:after="0" w:line="261" w:lineRule="auto"/>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If we fail to maintain and improve the quality of our platform, customer support and ancillary services available through our platform, we may not be able to attract and retain buyers and sellers.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provide quality assurance to buyers.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business model involves our agreeing to pricing with a buyer in advance of sourcing the opportunity to a seller.</w:t>
      </w:r>
    </w:p>
    <w:p>
      <w:pPr>
        <w:spacing w:after="0" w:line="103" w:lineRule="exact"/>
        <w:rPr>
          <w:rFonts w:ascii="Arial" w:cs="Arial" w:eastAsia="Arial" w:hAnsi="Arial"/>
          <w:sz w:val="18"/>
          <w:szCs w:val="18"/>
          <w:color w:val="auto"/>
        </w:rPr>
      </w:pPr>
    </w:p>
    <w:p>
      <w:pPr>
        <w:ind w:left="1020" w:right="420" w:hanging="503"/>
        <w:spacing w:after="0" w:line="261" w:lineRule="auto"/>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or our third-party partners or service providers may experience a security breach, including unauthorized parties obtaining access to buyers’ confidential information.</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Failure to deal effectively with bad actors engaging on our marketplace or platform could harm our business.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may be subject to disputes between sellers and suppliers on our platform.</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rely on a third-party payment processor to process payments made by buyers and payments made to sellers and suppliers.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rely on third parties to fulfill buyer orders.</w:t>
      </w:r>
    </w:p>
    <w:p>
      <w:pPr>
        <w:spacing w:after="0" w:line="103" w:lineRule="exact"/>
        <w:rPr>
          <w:rFonts w:ascii="Arial" w:cs="Arial" w:eastAsia="Arial" w:hAnsi="Arial"/>
          <w:sz w:val="18"/>
          <w:szCs w:val="18"/>
          <w:color w:val="auto"/>
        </w:rPr>
      </w:pPr>
    </w:p>
    <w:p>
      <w:pPr>
        <w:ind w:left="1020" w:right="100" w:hanging="503"/>
        <w:spacing w:after="0" w:line="261" w:lineRule="auto"/>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face significant competition and expect to face increasing competition in many aspects of our business, which could cause our operating results to suffer.</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may not be able to rapidly grow our business outside the United States.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ongoing COVID-19 pandemic and measures intended to prevent its spread may have an effect on our business and results of operations.</w:t>
      </w:r>
    </w:p>
    <w:p>
      <w:pPr>
        <w:spacing w:after="0" w:line="126" w:lineRule="exact"/>
        <w:rPr>
          <w:rFonts w:ascii="Arial" w:cs="Arial" w:eastAsia="Arial" w:hAnsi="Arial"/>
          <w:sz w:val="16"/>
          <w:szCs w:val="16"/>
          <w:color w:val="auto"/>
        </w:rPr>
      </w:pPr>
    </w:p>
    <w:p>
      <w:pPr>
        <w:ind w:left="1020" w:right="640" w:hanging="503"/>
        <w:spacing w:after="0" w:line="291" w:lineRule="auto"/>
        <w:tabs>
          <w:tab w:leader="none" w:pos="10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Interruptions to or other problems with our website and platform, information technology systems, manufacturing processes or other operations could damage our reputation and brand and substantially harm our business and results of operations.</w:t>
      </w:r>
    </w:p>
    <w:p>
      <w:pPr>
        <w:spacing w:after="0" w:line="38" w:lineRule="exact"/>
        <w:rPr>
          <w:rFonts w:ascii="Arial" w:cs="Arial" w:eastAsia="Arial" w:hAnsi="Arial"/>
          <w:sz w:val="17"/>
          <w:szCs w:val="17"/>
          <w:color w:val="auto"/>
        </w:rPr>
      </w:pPr>
    </w:p>
    <w:p>
      <w:pPr>
        <w:ind w:left="1020" w:hanging="503"/>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are subject to stringent and evolving laws and regulations relating to consumer data privacy and data protection.</w:t>
      </w:r>
    </w:p>
    <w:p>
      <w:pPr>
        <w:spacing w:after="0" w:line="103" w:lineRule="exact"/>
        <w:rPr>
          <w:rFonts w:ascii="Arial" w:cs="Arial" w:eastAsia="Arial" w:hAnsi="Arial"/>
          <w:sz w:val="18"/>
          <w:szCs w:val="18"/>
          <w:color w:val="auto"/>
        </w:rPr>
      </w:pPr>
    </w:p>
    <w:p>
      <w:pPr>
        <w:ind w:left="1020" w:hanging="503"/>
        <w:spacing w:after="0" w:line="261" w:lineRule="auto"/>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intellectual property and proprietary rights are valuable, and any inability to obtain, maintain, protect or enforce them could substantially harm our business, products, services, and brand.</w:t>
      </w:r>
    </w:p>
    <w:p>
      <w:pPr>
        <w:spacing w:after="0" w:line="62" w:lineRule="exact"/>
        <w:rPr>
          <w:rFonts w:ascii="Arial" w:cs="Arial" w:eastAsia="Arial" w:hAnsi="Arial"/>
          <w:sz w:val="18"/>
          <w:szCs w:val="18"/>
          <w:color w:val="auto"/>
        </w:rPr>
      </w:pPr>
    </w:p>
    <w:p>
      <w:pPr>
        <w:ind w:left="1020" w:right="380" w:hanging="503"/>
        <w:spacing w:after="0" w:line="261" w:lineRule="auto"/>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could incur substantial costs and other harms as a result of any claim of infringement, misappropriation or other violation of another party’s intellectual property or proprietary rights.</w:t>
      </w:r>
    </w:p>
    <w:p>
      <w:pPr>
        <w:spacing w:after="0" w:line="62" w:lineRule="exact"/>
        <w:rPr>
          <w:rFonts w:ascii="Arial" w:cs="Arial" w:eastAsia="Arial" w:hAnsi="Arial"/>
          <w:sz w:val="18"/>
          <w:szCs w:val="18"/>
          <w:color w:val="auto"/>
        </w:rPr>
      </w:pPr>
    </w:p>
    <w:p>
      <w:pPr>
        <w:ind w:left="1020" w:right="180" w:hanging="503"/>
        <w:spacing w:after="0" w:line="261" w:lineRule="auto"/>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rely on Amazon Web Services to operate our platform, and any disruption of service from Amazon Web Services or material change to our arrangement with Amazon Web Services could adversely affect our business.</w:t>
      </w:r>
    </w:p>
    <w:p>
      <w:pPr>
        <w:spacing w:after="0" w:line="27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Risks Related to Our Business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incurred net losses in the past, expect to incur net losses in the future and may never achieve or sustain profitability.</w:t>
      </w:r>
    </w:p>
    <w:p>
      <w:pPr>
        <w:spacing w:after="0" w:line="104" w:lineRule="exact"/>
        <w:rPr>
          <w:sz w:val="20"/>
          <w:szCs w:val="20"/>
          <w:color w:val="auto"/>
        </w:rPr>
      </w:pPr>
    </w:p>
    <w:p>
      <w:pPr>
        <w:ind w:right="180" w:firstLine="644"/>
        <w:spacing w:after="0"/>
        <w:rPr>
          <w:sz w:val="20"/>
          <w:szCs w:val="20"/>
          <w:color w:val="auto"/>
        </w:rPr>
      </w:pPr>
      <w:r>
        <w:rPr>
          <w:rFonts w:ascii="Arial" w:cs="Arial" w:eastAsia="Arial" w:hAnsi="Arial"/>
          <w:sz w:val="18"/>
          <w:szCs w:val="18"/>
          <w:color w:val="auto"/>
        </w:rPr>
        <w:t>We have incurred net losses since our inception in 2013. We incurred a net loss of $61.4 million in 2021 and, as a result of these losses, we have an accumulated deficit of $173.3 million as of December 31, 2021. We expect to continue the development and expansion of our business, and we anticipate additional costs in connection with legal, accounting and other administrative expenses</w:t>
      </w:r>
    </w:p>
    <w:p>
      <w:pPr>
        <w:spacing w:after="0" w:line="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48" w:right="379" w:bottom="1440" w:gutter="0" w:footer="0" w:header="0"/>
        </w:sectPr>
      </w:pPr>
    </w:p>
    <w:bookmarkStart w:id="12" w:name="page13"/>
    <w:bookmarkEnd w:id="12"/>
    <w:p>
      <w:pPr>
        <w:spacing w:after="0" w:line="270" w:lineRule="auto"/>
        <w:rPr>
          <w:sz w:val="20"/>
          <w:szCs w:val="20"/>
          <w:color w:val="auto"/>
        </w:rPr>
      </w:pPr>
      <w:r>
        <w:rPr>
          <w:rFonts w:ascii="Arial" w:cs="Arial" w:eastAsia="Arial" w:hAnsi="Arial"/>
          <w:sz w:val="17"/>
          <w:szCs w:val="17"/>
          <w:color w:val="auto"/>
        </w:rPr>
        <w:t>related to operating as a public company. If our revenue declines or fails to grow at a rate sufficient to offset increases in our operating expenses, we will not be able to achieve profitability in future periods or, if we do become profitable, sustain profitability. As a result, we may continue to generate net losses. We cannot ensure that we will achieve profitability in the future or that, if we do become profitable, we will be able to sustain profitability.</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continue to grow on pace with historical rates.</w:t>
      </w:r>
    </w:p>
    <w:p>
      <w:pPr>
        <w:spacing w:after="0" w:line="104" w:lineRule="exact"/>
        <w:rPr>
          <w:sz w:val="20"/>
          <w:szCs w:val="20"/>
          <w:color w:val="auto"/>
        </w:rPr>
      </w:pPr>
    </w:p>
    <w:p>
      <w:pPr>
        <w:ind w:right="40" w:firstLine="644"/>
        <w:spacing w:after="0" w:line="252" w:lineRule="auto"/>
        <w:rPr>
          <w:sz w:val="20"/>
          <w:szCs w:val="20"/>
          <w:color w:val="auto"/>
        </w:rPr>
      </w:pPr>
      <w:r>
        <w:rPr>
          <w:rFonts w:ascii="Arial" w:cs="Arial" w:eastAsia="Arial" w:hAnsi="Arial"/>
          <w:sz w:val="17"/>
          <w:szCs w:val="17"/>
          <w:color w:val="auto"/>
        </w:rPr>
        <w:t>We have grown rapidly over the last several years, but our recent revenue growth rate and financial performance should not be considered indicative of our future performance. During the years ended December 31, 2021 and 2020, our revenue was $218.3 million and $141.4 million, respectively, representing a growth rate of 54%. We may also experience declines in our revenue growth rate as a result of a number of factors, including slowing demand for our platform, insufficient growth in the number of buyers and sellers who transact on our marketplace, increasing competition, a decrease in the growth of our overall market, our failure to continue to capitalize on growth opportunities, failure to realize anticipated revenue growth from our seller services and the maturation of our business, among others. You should not rely on our revenue or key operational and business metrics for any previous quarterly or annual period as any indication of our revenue, revenue growth, key business metrics, or key operational and business metrics growth in future periods. In particular, our revenue growth rate has fluctuated in prior periods. We expect our revenue growth rate to continue to fluctuate over the short term and decline in the long term. We also expect to continue to make investments in the development and expansion of our business, which may not result in increased revenue or growth. If our revenue growth rate declines, investors’ perceptions of our business and the trading price of our Class A common stock could be adversely affected.</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are unable to manage the anticipated growth of our business, our future revenue and operating results may be adversely affected.</w:t>
      </w:r>
    </w:p>
    <w:p>
      <w:pPr>
        <w:spacing w:after="0" w:line="115" w:lineRule="exact"/>
        <w:rPr>
          <w:sz w:val="20"/>
          <w:szCs w:val="20"/>
          <w:color w:val="auto"/>
        </w:rPr>
      </w:pPr>
    </w:p>
    <w:p>
      <w:pPr>
        <w:ind w:right="60" w:firstLine="644"/>
        <w:spacing w:after="0" w:line="252" w:lineRule="auto"/>
        <w:rPr>
          <w:sz w:val="20"/>
          <w:szCs w:val="20"/>
          <w:color w:val="auto"/>
        </w:rPr>
      </w:pPr>
      <w:r>
        <w:rPr>
          <w:rFonts w:ascii="Arial" w:cs="Arial" w:eastAsia="Arial" w:hAnsi="Arial"/>
          <w:sz w:val="17"/>
          <w:szCs w:val="17"/>
          <w:color w:val="auto"/>
        </w:rPr>
        <w:t>We have experienced substantial growth in our operations, and we expect to experience continued substantial growth in our business. This growth has placed, and will continue to place, significant demands on our management and our operational infrastructure. Any growth that we experience in the future could require us to expand our sales and marketing personnel and general and administrative infrastructure. In addition to the need to scale our organization, future growth will impose significant added responsibilities on management, including the need to identify, recruit, train and integrate additional employees. We cannot assure you that any increases in scale, related improvements and quality assurance will be successfully implemented or that appropriate personnel will be available to facilitate the growth of our business. Rapid and significant growth may strain our administrative and operational infrastructure and could require significant capital expenditures that may divert financial resources from other projects, such as product development. Our ability to manage our business and growth will require us to continue to improve our operational, financial and management controls, and reporting systems and procedures. If we do not effectively manage our growth effectively, such as by failing to implement necessary procedures, transition to new processes or hire necessary personnel, it may be difficult for us to execute our business strategy and our business could be adversely affected.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operating results may fluctuate from quarter to quarter, which makes our future results difficult to predict.</w:t>
      </w:r>
    </w:p>
    <w:p>
      <w:pPr>
        <w:spacing w:after="0" w:line="104" w:lineRule="exact"/>
        <w:rPr>
          <w:sz w:val="20"/>
          <w:szCs w:val="20"/>
          <w:color w:val="auto"/>
        </w:rPr>
      </w:pPr>
    </w:p>
    <w:p>
      <w:pPr>
        <w:jc w:val="both"/>
        <w:ind w:right="60" w:firstLine="644"/>
        <w:spacing w:after="0" w:line="248" w:lineRule="auto"/>
        <w:rPr>
          <w:sz w:val="20"/>
          <w:szCs w:val="20"/>
          <w:color w:val="auto"/>
        </w:rPr>
      </w:pPr>
      <w:r>
        <w:rPr>
          <w:rFonts w:ascii="Arial" w:cs="Arial" w:eastAsia="Arial" w:hAnsi="Arial"/>
          <w:sz w:val="18"/>
          <w:szCs w:val="18"/>
          <w:color w:val="auto"/>
        </w:rPr>
        <w:t>Our quarterly operating results have fluctuated in the past and may fluctuate in the future. You should take into account the risks and uncertainties frequently encountered by companies in rapidly evolving markets. Our operating results in any given quarter can be influenced by numerous factors, many of which are unpredictable or are outside of our control, including:</w:t>
      </w:r>
    </w:p>
    <w:p>
      <w:pPr>
        <w:spacing w:after="0" w:line="74" w:lineRule="exact"/>
        <w:rPr>
          <w:sz w:val="20"/>
          <w:szCs w:val="20"/>
          <w:color w:val="auto"/>
        </w:rPr>
      </w:pPr>
    </w:p>
    <w:p>
      <w:pPr>
        <w:ind w:left="1020" w:hanging="503"/>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maintain and grow our community of buyers and sellers;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demand for and types of manufacturing processes, capabilities and materials that are sourced on our marketplace to sellers;</w:t>
      </w:r>
    </w:p>
    <w:p>
      <w:pPr>
        <w:spacing w:after="0" w:line="103" w:lineRule="exact"/>
        <w:rPr>
          <w:rFonts w:ascii="Arial" w:cs="Arial" w:eastAsia="Arial" w:hAnsi="Arial"/>
          <w:sz w:val="18"/>
          <w:szCs w:val="18"/>
          <w:color w:val="auto"/>
        </w:rPr>
      </w:pPr>
    </w:p>
    <w:p>
      <w:pPr>
        <w:ind w:left="1020" w:right="180" w:hanging="503"/>
        <w:spacing w:after="0" w:line="261" w:lineRule="auto"/>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spending patterns of buyers, including whether those buyers who transact on our marketplace frequently, or for larger services, reduce their use of our marketplace or stop transacting on our marketplace completely;</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timing of large orders on our marketplace;</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impact of holidays on purchase activity;</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fluctuations in the prices charged to buyers transacting on our marketplace;</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to our pricing model;</w:t>
      </w:r>
    </w:p>
    <w:p>
      <w:pPr>
        <w:spacing w:after="0" w:line="103" w:lineRule="exact"/>
        <w:rPr>
          <w:rFonts w:ascii="Arial" w:cs="Arial" w:eastAsia="Arial" w:hAnsi="Arial"/>
          <w:sz w:val="18"/>
          <w:szCs w:val="18"/>
          <w:color w:val="auto"/>
        </w:rPr>
      </w:pPr>
    </w:p>
    <w:p>
      <w:pPr>
        <w:ind w:left="1020" w:right="60" w:hanging="503"/>
        <w:spacing w:after="0" w:line="261" w:lineRule="auto"/>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introduce new features and services and enhance our existing platform and our ability to generate significant revenue from new features and services;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impact of outages of our platform and associated reputational harm;</w:t>
      </w:r>
    </w:p>
    <w:p>
      <w:pPr>
        <w:spacing w:after="0" w:line="103" w:lineRule="exact"/>
        <w:rPr>
          <w:rFonts w:ascii="Arial" w:cs="Arial" w:eastAsia="Arial" w:hAnsi="Arial"/>
          <w:sz w:val="18"/>
          <w:szCs w:val="18"/>
          <w:color w:val="auto"/>
        </w:rPr>
      </w:pPr>
    </w:p>
    <w:p>
      <w:pPr>
        <w:ind w:left="1020" w:right="480" w:hanging="503"/>
        <w:spacing w:after="0" w:line="244" w:lineRule="auto"/>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to financial accounting standards and the interpretation of those standards that may affect the way we recognize and report our financial results;</w:t>
      </w: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13" w:name="page14"/>
    <w:bookmarkEnd w:id="13"/>
    <w:p>
      <w:pPr>
        <w:ind w:left="1020" w:hanging="503"/>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increases in, and timing of, operating expenses that we may incur to grow and expand our business and to remain competitive;</w:t>
      </w:r>
    </w:p>
    <w:p>
      <w:pPr>
        <w:spacing w:after="0" w:line="103" w:lineRule="exact"/>
        <w:rPr>
          <w:rFonts w:ascii="Arial" w:cs="Arial" w:eastAsia="Arial" w:hAnsi="Arial"/>
          <w:sz w:val="18"/>
          <w:szCs w:val="18"/>
          <w:color w:val="auto"/>
        </w:rPr>
      </w:pPr>
    </w:p>
    <w:p>
      <w:pPr>
        <w:ind w:left="1020" w:right="60" w:hanging="503"/>
        <w:spacing w:after="0" w:line="261" w:lineRule="auto"/>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costs related to the acquisition of businesses, talent, technologies, or intellectual property, including potentially significant amortization costs and possible impairments;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actual or perceived breaches of, or failures relating to security or data privacy and associated remediation costs;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litigation, adverse judgments, settlements, or other litigation-related costs;</w:t>
      </w:r>
    </w:p>
    <w:p>
      <w:pPr>
        <w:spacing w:after="0" w:line="103" w:lineRule="exact"/>
        <w:rPr>
          <w:rFonts w:ascii="Arial" w:cs="Arial" w:eastAsia="Arial" w:hAnsi="Arial"/>
          <w:sz w:val="18"/>
          <w:szCs w:val="18"/>
          <w:color w:val="auto"/>
        </w:rPr>
      </w:pPr>
    </w:p>
    <w:p>
      <w:pPr>
        <w:ind w:left="1020" w:right="320" w:hanging="503"/>
        <w:spacing w:after="0" w:line="261" w:lineRule="auto"/>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developments or disputes concerning our intellectual property or proprietary rights or our solutions, or third-party intellectual property or proprietary rights;</w:t>
      </w:r>
    </w:p>
    <w:p>
      <w:pPr>
        <w:spacing w:after="0" w:line="62" w:lineRule="exact"/>
        <w:rPr>
          <w:rFonts w:ascii="Arial" w:cs="Arial" w:eastAsia="Arial" w:hAnsi="Arial"/>
          <w:sz w:val="18"/>
          <w:szCs w:val="18"/>
          <w:color w:val="auto"/>
        </w:rPr>
      </w:pPr>
    </w:p>
    <w:p>
      <w:pPr>
        <w:ind w:left="1020" w:right="80" w:hanging="503"/>
        <w:spacing w:after="0" w:line="294" w:lineRule="auto"/>
        <w:tabs>
          <w:tab w:leader="none" w:pos="10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changes in the common law, statutory, legislative, or regulatory environment, such as with respect to privacy and data protection, wage and hour regulations, worker classification (including classification of independent contractors or similar service providers and classification of employees as exempt or non-exempt), internet regulation, payment processing, import and export controls, global trade, or tax requirements;</w:t>
      </w:r>
    </w:p>
    <w:p>
      <w:pPr>
        <w:spacing w:after="0" w:line="39" w:lineRule="exact"/>
        <w:rPr>
          <w:rFonts w:ascii="Arial" w:cs="Arial" w:eastAsia="Arial" w:hAnsi="Arial"/>
          <w:sz w:val="16"/>
          <w:szCs w:val="16"/>
          <w:color w:val="auto"/>
        </w:rPr>
      </w:pPr>
    </w:p>
    <w:p>
      <w:pPr>
        <w:ind w:left="1020" w:hanging="503"/>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fluctuations in currency exchange rates;</w:t>
      </w:r>
    </w:p>
    <w:p>
      <w:pPr>
        <w:spacing w:after="0" w:line="103" w:lineRule="exact"/>
        <w:rPr>
          <w:rFonts w:ascii="Arial" w:cs="Arial" w:eastAsia="Arial" w:hAnsi="Arial"/>
          <w:sz w:val="18"/>
          <w:szCs w:val="18"/>
          <w:color w:val="auto"/>
        </w:rPr>
      </w:pPr>
    </w:p>
    <w:p>
      <w:pPr>
        <w:ind w:left="1020" w:right="40" w:hanging="503"/>
        <w:spacing w:after="0" w:line="261" w:lineRule="auto"/>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general economic and political conditions and government regulations in the countries where we currently have significant numbers of users, or where we currently operate or may expand in the future; and</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natural disasters, such as earthquakes, hurricanes, wildfires, and threats to public health, such as the ongoing COVID-19 pandemic.</w:t>
      </w:r>
    </w:p>
    <w:p>
      <w:pPr>
        <w:spacing w:after="0" w:line="210" w:lineRule="exact"/>
        <w:rPr>
          <w:sz w:val="20"/>
          <w:szCs w:val="20"/>
          <w:color w:val="auto"/>
        </w:rPr>
      </w:pPr>
    </w:p>
    <w:p>
      <w:pPr>
        <w:ind w:right="40" w:firstLine="644"/>
        <w:spacing w:after="0" w:line="243" w:lineRule="auto"/>
        <w:rPr>
          <w:sz w:val="20"/>
          <w:szCs w:val="20"/>
          <w:color w:val="auto"/>
        </w:rPr>
      </w:pPr>
      <w:r>
        <w:rPr>
          <w:rFonts w:ascii="Arial" w:cs="Arial" w:eastAsia="Arial" w:hAnsi="Arial"/>
          <w:sz w:val="18"/>
          <w:szCs w:val="18"/>
          <w:color w:val="auto"/>
        </w:rPr>
        <w:t>The impact of one or more of the foregoing and other factors may cause our operating results to vary significantly. As such, we believe that quarter-to-quarter comparisons of our operating results may not be meaningful and should not be relied upon as an indication of future performance. If we fail to meet or exceed the expectations of investors or securities analysts, the trading price of our ordinary shares could fall substantially, and we could face costly lawsuits, including securities class action suits.</w:t>
      </w:r>
    </w:p>
    <w:p>
      <w:pPr>
        <w:spacing w:after="0" w:line="147" w:lineRule="exact"/>
        <w:rPr>
          <w:sz w:val="20"/>
          <w:szCs w:val="20"/>
          <w:color w:val="auto"/>
        </w:rPr>
      </w:pPr>
    </w:p>
    <w:p>
      <w:pPr>
        <w:ind w:right="320"/>
        <w:spacing w:after="0" w:line="324" w:lineRule="auto"/>
        <w:rPr>
          <w:sz w:val="20"/>
          <w:szCs w:val="20"/>
          <w:color w:val="auto"/>
        </w:rPr>
      </w:pPr>
      <w:r>
        <w:rPr>
          <w:rFonts w:ascii="Arial" w:cs="Arial" w:eastAsia="Arial" w:hAnsi="Arial"/>
          <w:sz w:val="16"/>
          <w:szCs w:val="16"/>
          <w:b w:val="1"/>
          <w:bCs w:val="1"/>
          <w:i w:val="1"/>
          <w:iCs w:val="1"/>
          <w:color w:val="auto"/>
        </w:rPr>
        <w:t>Our growth depends on our ability to attract and retain a large community of buyers and sellers, and the loss of our buyers and sellers, or failure to attract new buyers and sellers, could materially and adversely affect our business, financial condition, and results of operations.</w:t>
      </w:r>
    </w:p>
    <w:p>
      <w:pPr>
        <w:spacing w:after="0" w:line="16" w:lineRule="exact"/>
        <w:rPr>
          <w:sz w:val="20"/>
          <w:szCs w:val="20"/>
          <w:color w:val="auto"/>
        </w:rPr>
      </w:pPr>
    </w:p>
    <w:p>
      <w:pPr>
        <w:ind w:firstLine="644"/>
        <w:spacing w:after="0" w:line="251" w:lineRule="auto"/>
        <w:rPr>
          <w:sz w:val="20"/>
          <w:szCs w:val="20"/>
          <w:color w:val="auto"/>
        </w:rPr>
      </w:pPr>
      <w:r>
        <w:rPr>
          <w:rFonts w:ascii="Arial" w:cs="Arial" w:eastAsia="Arial" w:hAnsi="Arial"/>
          <w:sz w:val="17"/>
          <w:szCs w:val="17"/>
          <w:color w:val="auto"/>
        </w:rPr>
        <w:t>We derive a majority of our revenue from sales to buyers transacting on our marketplace seeking sophisticated manufacturing solutions. The size and diversity of our community of buyers and sellers is critical to our success. Over the past few years, we have experienced strong growth in the number of buyers and sellers transacting on our marketplace, including the number of active buyers, but we do not know whether we will be able to achieve similar growth rates in the future. Sellers have alternative ways of marketing their services and finding buyers, including meeting and contacting prospective buyers through other platforms or marketplaces, advertising to prospective buyers online or offline through other methods, or interacting directly with a business. Buyers also have other ways to find sellers, such as engaging sellers directly, finding sellers through other online or offline platforms or marketplaces. Buyers and sellers may also source connections through our Thomasnet services. Additionally, buyers may use in-house manufacturing processes. Use of these other options available to buyers and sellers may make our marketplace less attractive to them and could lead to decreased use of our marketplace, which could result in a decrease in revenue. In addition, a decrease in engagement from buyers, including due to a general decrease in spending or as a result of the COVID-19 pandemic, could diminish the network effects that results from expanding the number of buyers within a particular account, or decrease the attractiveness of our marketplace to sellers. If we fail to attract new buyers and sellers or our existing buyers or sellers decrease their use of or cease using our marketplace, the breadth and diversity of manufacturing processes offered on our marketplace may be reduced, or the quality of products manufactured by sellers transacting on our marketplace is not satisfactory to buyers, buyers and sellers may decrease their use of our marketplace.</w:t>
      </w:r>
    </w:p>
    <w:p>
      <w:pPr>
        <w:spacing w:after="0" w:line="162" w:lineRule="exact"/>
        <w:rPr>
          <w:sz w:val="20"/>
          <w:szCs w:val="20"/>
          <w:color w:val="auto"/>
        </w:rPr>
      </w:pPr>
    </w:p>
    <w:p>
      <w:pPr>
        <w:ind w:right="20" w:firstLine="644"/>
        <w:spacing w:after="0" w:line="238" w:lineRule="auto"/>
        <w:rPr>
          <w:sz w:val="20"/>
          <w:szCs w:val="20"/>
          <w:color w:val="auto"/>
        </w:rPr>
      </w:pPr>
      <w:r>
        <w:rPr>
          <w:rFonts w:ascii="Arial" w:cs="Arial" w:eastAsia="Arial" w:hAnsi="Arial"/>
          <w:sz w:val="18"/>
          <w:szCs w:val="18"/>
          <w:color w:val="auto"/>
        </w:rPr>
        <w:t>Key factors in attracting and retaining buyers include our ability to grow our brand awareness, attract and retain high-quality sellers and increase the quantity, quality and diversity of manufacturing processes, including with respect to technique and materials, offered on our marketplace. In addition, our AI-enabled instant quoting engine provides price quotes for buyers and offers the opportunity to fill buyer orders at a different price to sellers. The prices quoted must appeal to both buyers and sellers; if the quoted prices are unattractive to either buyers or sellers, we could incur losses on certain orders, or buyers or sellers could decrease their activity or stop transacting on our marketplace. A key factor in attracting and retaining sellers, in turn, is maintaining and increasing the number and diversity of buyers transacting on our marketplace. Achieving growth in our community of buyers and sellers may require us to increasingly engage in sophisticated and costly sales and marketing efforts that may not result in growth in our community of buyers and sellers.</w:t>
      </w:r>
    </w:p>
    <w:p>
      <w:pPr>
        <w:spacing w:after="0" w:line="153" w:lineRule="exact"/>
        <w:rPr>
          <w:sz w:val="20"/>
          <w:szCs w:val="20"/>
          <w:color w:val="auto"/>
        </w:rPr>
      </w:pPr>
    </w:p>
    <w:p>
      <w:pPr>
        <w:ind w:right="180" w:firstLine="644"/>
        <w:spacing w:after="0" w:line="244" w:lineRule="auto"/>
        <w:rPr>
          <w:sz w:val="20"/>
          <w:szCs w:val="20"/>
          <w:color w:val="auto"/>
        </w:rPr>
      </w:pPr>
      <w:r>
        <w:rPr>
          <w:rFonts w:ascii="Arial" w:cs="Arial" w:eastAsia="Arial" w:hAnsi="Arial"/>
          <w:sz w:val="18"/>
          <w:szCs w:val="18"/>
          <w:color w:val="auto"/>
        </w:rPr>
        <w:t>Buyers or sellers can stop transacting on our marketplace at any time. Buyers or sellers may stop transacting on our marketplace if the quality of their experience on our platform, including our support capabilities in the event of a problem, or the</w:t>
      </w: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14" w:name="page15"/>
    <w:bookmarkEnd w:id="14"/>
    <w:p>
      <w:pPr>
        <w:ind w:right="80"/>
        <w:spacing w:after="0" w:line="279" w:lineRule="auto"/>
        <w:rPr>
          <w:sz w:val="20"/>
          <w:szCs w:val="20"/>
          <w:color w:val="auto"/>
        </w:rPr>
      </w:pPr>
      <w:r>
        <w:rPr>
          <w:rFonts w:ascii="Arial" w:cs="Arial" w:eastAsia="Arial" w:hAnsi="Arial"/>
          <w:sz w:val="16"/>
          <w:szCs w:val="16"/>
          <w:color w:val="auto"/>
        </w:rPr>
        <w:t>quality of the manufactured product, does not meet expectations or keep pace with the quality of the user experience generally offered by competitors or manufactured parts sourced through other means. Buyers or sellers may also stop transacting on our marketplace if they perceive that our pricing is not in line with competitors. In addition, expenditures by buyers may be cyclical and be affected by adverse changes in overall economic conditions or budgeting patterns. If we fail to attract new buyers or new sellers or fail to maintain existing buyers and existing sellers, our revenue may grow more slowly than expected, or decline, and our business, financial condition, and results of operations could be materially and adversely affected.</w:t>
      </w:r>
    </w:p>
    <w:p>
      <w:pPr>
        <w:spacing w:after="0" w:line="146"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b w:val="1"/>
          <w:bCs w:val="1"/>
          <w:i w:val="1"/>
          <w:iCs w:val="1"/>
          <w:color w:val="auto"/>
        </w:rPr>
        <w:t>Our success depends on our ability to deliver products and manufacturing processes that meet the demand of buyers transacting on our marketplace and our ability to adapt to technological changes and improvements.</w:t>
      </w:r>
    </w:p>
    <w:p>
      <w:pPr>
        <w:spacing w:after="0" w:line="63" w:lineRule="exact"/>
        <w:rPr>
          <w:sz w:val="20"/>
          <w:szCs w:val="20"/>
          <w:color w:val="auto"/>
        </w:rPr>
      </w:pPr>
    </w:p>
    <w:p>
      <w:pPr>
        <w:ind w:firstLine="644"/>
        <w:spacing w:after="0" w:line="255" w:lineRule="auto"/>
        <w:rPr>
          <w:sz w:val="20"/>
          <w:szCs w:val="20"/>
          <w:color w:val="auto"/>
        </w:rPr>
      </w:pPr>
      <w:r>
        <w:rPr>
          <w:rFonts w:ascii="Arial" w:cs="Arial" w:eastAsia="Arial" w:hAnsi="Arial"/>
          <w:sz w:val="17"/>
          <w:szCs w:val="17"/>
          <w:color w:val="auto"/>
        </w:rPr>
        <w:t>Our business may be affected by changes in buyer requirements and preferences, including as a result of decreased consumer demand for products, seller manufacturing processes, availability of manufacturing materials and machinery, rapid technological change, and the emergence of new standards and practices, any of which could render our marketplace less attractive, uneconomical or obsolete. To the extent that our buyers’ demand for manufacturing decreases significantly for any reason, including because of shifting consumer preferences, it would likely have a material adverse effect on our business, financial condition, and results of operations and harm our competitive position. In addition, computer-aided design simulation and other technologies may reduce the demand for physical parts. Therefore, we believe that to remain competitive, we must continually expend resources to enhance and improve our technology and ability to provide buyers with traditional and emerging manufacturing processes.</w:t>
      </w:r>
    </w:p>
    <w:p>
      <w:pPr>
        <w:spacing w:after="0" w:line="153" w:lineRule="exact"/>
        <w:rPr>
          <w:sz w:val="20"/>
          <w:szCs w:val="20"/>
          <w:color w:val="auto"/>
        </w:rPr>
      </w:pPr>
    </w:p>
    <w:p>
      <w:pPr>
        <w:ind w:right="40" w:firstLine="644"/>
        <w:spacing w:after="0" w:line="254" w:lineRule="auto"/>
        <w:rPr>
          <w:sz w:val="20"/>
          <w:szCs w:val="20"/>
          <w:color w:val="auto"/>
        </w:rPr>
      </w:pPr>
      <w:r>
        <w:rPr>
          <w:rFonts w:ascii="Arial" w:cs="Arial" w:eastAsia="Arial" w:hAnsi="Arial"/>
          <w:sz w:val="17"/>
          <w:szCs w:val="17"/>
          <w:color w:val="auto"/>
        </w:rPr>
        <w:t>In particular, we plan to expand the network of sellers transacting on our marketplace to increase the number of sellers available to fulfill orders, ensure production quality, expand upon the manufacturing processes, techniques and materials available to buyers, and continue to develop industry playbooks to offer increasingly customized solutions and serve additional industries over time. We believe successful execution of this part of our business plan is critical for our ability to grow our business and differentiate ourselves from our competition, and there are no guarantees we will be able to do so in a timely fashion, or at all. There are no guarantees that the resources devoted to executing on this aspect of our business plan will improve our business and operating results or result in increased demand for our offerings. Failures in this area could adversely impact our operating results and harm our reputation and brand. Even if we are successful in executing in these areas, our industry is subject to rapid and significant technological change, and our competitors may develop new technologies, processes and capabilities that are superior to ours.</w:t>
      </w:r>
    </w:p>
    <w:p>
      <w:pPr>
        <w:spacing w:after="0" w:line="140" w:lineRule="exact"/>
        <w:rPr>
          <w:sz w:val="20"/>
          <w:szCs w:val="20"/>
          <w:color w:val="auto"/>
        </w:rPr>
      </w:pPr>
    </w:p>
    <w:p>
      <w:pPr>
        <w:ind w:right="280" w:firstLine="644"/>
        <w:spacing w:after="0" w:line="291" w:lineRule="auto"/>
        <w:rPr>
          <w:sz w:val="20"/>
          <w:szCs w:val="20"/>
          <w:color w:val="auto"/>
        </w:rPr>
      </w:pPr>
      <w:r>
        <w:rPr>
          <w:rFonts w:ascii="Arial" w:cs="Arial" w:eastAsia="Arial" w:hAnsi="Arial"/>
          <w:sz w:val="17"/>
          <w:szCs w:val="17"/>
          <w:color w:val="auto"/>
        </w:rPr>
        <w:t>Any failure to properly meet the needs of buyers and sellers or respond to changes in our industry on a cost-effective and timely basis, or at all, would likely have a material adverse effect on our business, financial condition, and results of operations and harm our competitive position.</w:t>
      </w:r>
    </w:p>
    <w:p>
      <w:pPr>
        <w:spacing w:after="0" w:line="133"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b w:val="1"/>
          <w:bCs w:val="1"/>
          <w:i w:val="1"/>
          <w:iCs w:val="1"/>
          <w:color w:val="auto"/>
        </w:rPr>
        <w:t>If we fail to maintain and improve the quality of our platform, customer support and ancillary services available through our platform, we may not be able to attract and retain buyers and sellers.</w:t>
      </w:r>
    </w:p>
    <w:p>
      <w:pPr>
        <w:spacing w:after="0" w:line="76" w:lineRule="exact"/>
        <w:rPr>
          <w:sz w:val="20"/>
          <w:szCs w:val="20"/>
          <w:color w:val="auto"/>
        </w:rPr>
      </w:pPr>
    </w:p>
    <w:p>
      <w:pPr>
        <w:ind w:right="60" w:firstLine="644"/>
        <w:spacing w:after="0" w:line="270" w:lineRule="auto"/>
        <w:rPr>
          <w:sz w:val="20"/>
          <w:szCs w:val="20"/>
          <w:color w:val="auto"/>
        </w:rPr>
      </w:pPr>
      <w:r>
        <w:rPr>
          <w:rFonts w:ascii="Arial" w:cs="Arial" w:eastAsia="Arial" w:hAnsi="Arial"/>
          <w:sz w:val="16"/>
          <w:szCs w:val="16"/>
          <w:color w:val="auto"/>
        </w:rPr>
        <w:t>To satisfy both buyers and sellers, we need to continue to improve their user experience as well as innovate and introduce features and services that users find useful and that cause them to use our platform and transact on our marketplace more frequently. This includes improving our technology to optimize pricing and lead-time tools, improving upon and introducing new seller products and services, like our Thomasnet platform, Xometry Pay and the Xometry Advance Card, improving upon and introducing new design guides and industry playbooks, expanding the availability of sellers to additional geographic and industry segments and improving the user-friendliness of our platform and our ability to provide high-quality support. Our buyers and sellers depend on our support organization to resolve issues relating to our platform. Our ability to provide effective support is largely dependent on our ability to attract and retain employees who are well versed in our platform and the needs of buyers and sellers transacting on our marketplace. As we continue to grow our international user base, our support organization will face additional challenges, including those associated with continuing to deliver support in languages other than English. Any failure to maintain high-quality support, or a market perception that we do not maintain high-quality support, could harm our reputation or adversely affect our ability to market the benefits of our platform and marketplace to existing and prospective users.</w:t>
      </w:r>
    </w:p>
    <w:p>
      <w:pPr>
        <w:spacing w:after="0" w:line="158" w:lineRule="exact"/>
        <w:rPr>
          <w:sz w:val="20"/>
          <w:szCs w:val="20"/>
          <w:color w:val="auto"/>
        </w:rPr>
      </w:pPr>
    </w:p>
    <w:p>
      <w:pPr>
        <w:ind w:right="40" w:firstLine="644"/>
        <w:spacing w:after="0" w:line="272" w:lineRule="auto"/>
        <w:rPr>
          <w:sz w:val="20"/>
          <w:szCs w:val="20"/>
          <w:color w:val="auto"/>
        </w:rPr>
      </w:pPr>
      <w:r>
        <w:rPr>
          <w:rFonts w:ascii="Arial" w:cs="Arial" w:eastAsia="Arial" w:hAnsi="Arial"/>
          <w:sz w:val="16"/>
          <w:szCs w:val="16"/>
          <w:color w:val="auto"/>
        </w:rPr>
        <w:t>In addition, we need to continue to adapt, expand and improve our platform and user interfaces to keep up with changing user preferences. We invest substantial resources in researching and developing new seller products and services and enhancing our platform by incorporating these new features, improving functionality and adding other improvements to meet our users’ evolving demands. The success of any enhancements or improvements to our platform or any new features depends on several factors, including timely completion, adequate quality testing, integration with technologies on our platform and third-party partners’ technologies and overall market acceptance. Because further development of our platform is complex, challenging and dependent upon an array of factors, the timetable for the release of new features and enhancements to our platform is difficult to predict, and we may not offer new features as rapidly as users of our platform require or expect. Additionally, the time, money, energy and other resources we dedicate to developing new features or enhancements to our platform may be greater than the short-term, and potentially the total, returns from these new offerings.</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15" w:name="page16"/>
    <w:bookmarkEnd w:id="15"/>
    <w:p>
      <w:pPr>
        <w:ind w:firstLine="644"/>
        <w:spacing w:after="0" w:line="241" w:lineRule="auto"/>
        <w:rPr>
          <w:sz w:val="20"/>
          <w:szCs w:val="20"/>
          <w:color w:val="auto"/>
        </w:rPr>
      </w:pPr>
      <w:r>
        <w:rPr>
          <w:rFonts w:ascii="Arial" w:cs="Arial" w:eastAsia="Arial" w:hAnsi="Arial"/>
          <w:sz w:val="18"/>
          <w:szCs w:val="18"/>
          <w:color w:val="auto"/>
        </w:rPr>
        <w:t>It is difficult to predict the problems we may encounter in introducing new features to our platform, and we may need to devote significant resources to the creation, support and maintenance of these features. We provide no assurances that our initiatives to improve our user experience will be successful. We also cannot predict whether any new features will be well received by users, or whether improving our platform will be successful or sufficient to offset the costs incurred to offer these new features. If we are unable to improve or maintain the quality of our platform, our business, financial condition and results of operations could be materially and adversely affected.</w:t>
      </w:r>
    </w:p>
    <w:p>
      <w:pPr>
        <w:spacing w:after="0" w:line="176" w:lineRule="exact"/>
        <w:rPr>
          <w:sz w:val="20"/>
          <w:szCs w:val="20"/>
          <w:color w:val="auto"/>
        </w:rPr>
      </w:pPr>
    </w:p>
    <w:p>
      <w:pPr>
        <w:ind w:right="140" w:firstLine="644"/>
        <w:spacing w:after="0" w:line="324" w:lineRule="auto"/>
        <w:rPr>
          <w:sz w:val="20"/>
          <w:szCs w:val="20"/>
          <w:color w:val="auto"/>
        </w:rPr>
      </w:pPr>
      <w:r>
        <w:rPr>
          <w:rFonts w:ascii="Arial" w:cs="Arial" w:eastAsia="Arial" w:hAnsi="Arial"/>
          <w:sz w:val="16"/>
          <w:szCs w:val="16"/>
          <w:color w:val="auto"/>
        </w:rPr>
        <w:t>Our platform is dependent on our AI-enabled instant quoting engine. If pricing, lead time or other aspects of a quote to buyers either do not meet such buyer’s expectations or prove to be incorrect, our business, financial condition and results of operations could be materially and adversely affected.</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provide quality assurance to buyers.</w:t>
      </w:r>
    </w:p>
    <w:p>
      <w:pPr>
        <w:spacing w:after="0" w:line="117" w:lineRule="exact"/>
        <w:rPr>
          <w:sz w:val="20"/>
          <w:szCs w:val="20"/>
          <w:color w:val="auto"/>
        </w:rPr>
      </w:pPr>
    </w:p>
    <w:p>
      <w:pPr>
        <w:ind w:right="20" w:firstLine="644"/>
        <w:spacing w:after="0"/>
        <w:rPr>
          <w:sz w:val="20"/>
          <w:szCs w:val="20"/>
          <w:color w:val="auto"/>
        </w:rPr>
      </w:pPr>
      <w:r>
        <w:rPr>
          <w:rFonts w:ascii="Arial" w:cs="Arial" w:eastAsia="Arial" w:hAnsi="Arial"/>
          <w:sz w:val="18"/>
          <w:szCs w:val="18"/>
          <w:color w:val="auto"/>
        </w:rPr>
        <w:t>Our customer agreement with buyers provides that we will manufacture their order in accordance with their specifications. Whether or not the order is ultimately supplied by a seller, in the event that a buyer deems that an order does not conform to its specifications, we agree to replace the order. Our standard customer agreement allows buyers three days to specify non-conformance; however, the duration of our warranty varies by contract, and in some cases, we may be responsible for replacing non-conforming orders for longer periods. While we require sellers to meet certain quality standards before offering their services on our marketplace and provide operational support to our buyers and sellers, such efforts may not prevent us from losses due to poor quality of parts manufactured for our buyers.</w:t>
      </w:r>
    </w:p>
    <w:p>
      <w:pPr>
        <w:spacing w:after="0" w:line="176" w:lineRule="exact"/>
        <w:rPr>
          <w:sz w:val="20"/>
          <w:szCs w:val="20"/>
          <w:color w:val="auto"/>
        </w:rPr>
      </w:pPr>
    </w:p>
    <w:p>
      <w:pPr>
        <w:ind w:right="400"/>
        <w:spacing w:after="0" w:line="261" w:lineRule="auto"/>
        <w:rPr>
          <w:sz w:val="20"/>
          <w:szCs w:val="20"/>
          <w:color w:val="auto"/>
        </w:rPr>
      </w:pPr>
      <w:r>
        <w:rPr>
          <w:rFonts w:ascii="Arial" w:cs="Arial" w:eastAsia="Arial" w:hAnsi="Arial"/>
          <w:sz w:val="18"/>
          <w:szCs w:val="18"/>
          <w:b w:val="1"/>
          <w:bCs w:val="1"/>
          <w:i w:val="1"/>
          <w:iCs w:val="1"/>
          <w:color w:val="auto"/>
        </w:rPr>
        <w:t>Our business model involves our agreeing to pricing with a buyer in advance of sourcing the opportunity to a seller. We are at risk that the price a buyer pays us may be less than the cost we ultimately pay a seller.</w:t>
      </w:r>
    </w:p>
    <w:p>
      <w:pPr>
        <w:spacing w:after="0" w:line="76" w:lineRule="exact"/>
        <w:rPr>
          <w:sz w:val="20"/>
          <w:szCs w:val="20"/>
          <w:color w:val="auto"/>
        </w:rPr>
      </w:pPr>
    </w:p>
    <w:p>
      <w:pPr>
        <w:ind w:right="20" w:firstLine="644"/>
        <w:spacing w:after="0" w:line="279" w:lineRule="auto"/>
        <w:rPr>
          <w:sz w:val="20"/>
          <w:szCs w:val="20"/>
          <w:color w:val="auto"/>
        </w:rPr>
      </w:pPr>
      <w:r>
        <w:rPr>
          <w:rFonts w:ascii="Arial" w:cs="Arial" w:eastAsia="Arial" w:hAnsi="Arial"/>
          <w:sz w:val="16"/>
          <w:szCs w:val="16"/>
          <w:color w:val="auto"/>
        </w:rPr>
        <w:t>Buyers transacting on our marketplace enter into our customer agreement, which provides that we will manufacture their order in accordance with their specifications. In addition, our AI-enabled instant quoting engine provides a prospective buyer with pricing, design feedback and proposed shipping dates prior to our sourcing the manufacturing opportunity to a seller with requisite manufacturing process. From time to time, we may quote buyers prices that are lower than the cost we agree with a seller. If our platform is unable to find a seller to source a manufacturing opportunity from a particular buyer at below the price we quote such buyer, or at all, our results of operations may be materially and adversely affected.</w:t>
      </w:r>
    </w:p>
    <w:p>
      <w:pPr>
        <w:spacing w:after="0" w:line="146" w:lineRule="exact"/>
        <w:rPr>
          <w:sz w:val="20"/>
          <w:szCs w:val="20"/>
          <w:color w:val="auto"/>
        </w:rPr>
      </w:pPr>
    </w:p>
    <w:p>
      <w:pPr>
        <w:ind w:right="240"/>
        <w:spacing w:after="0" w:line="248" w:lineRule="auto"/>
        <w:rPr>
          <w:sz w:val="20"/>
          <w:szCs w:val="20"/>
          <w:color w:val="auto"/>
        </w:rPr>
      </w:pPr>
      <w:r>
        <w:rPr>
          <w:rFonts w:ascii="Arial" w:cs="Arial" w:eastAsia="Arial" w:hAnsi="Arial"/>
          <w:sz w:val="18"/>
          <w:szCs w:val="18"/>
          <w:b w:val="1"/>
          <w:bCs w:val="1"/>
          <w:i w:val="1"/>
          <w:iCs w:val="1"/>
          <w:color w:val="auto"/>
        </w:rPr>
        <w:t>We or our third-party partners or service providers may experience a security breach, including unauthorized parties obtaining access to buyers’ confidential information, personal or other data, or any other data privacy or data protection compliance issue. Any such security breach may harm our reputation and brand, and may expose us to liability.</w:t>
      </w:r>
    </w:p>
    <w:p>
      <w:pPr>
        <w:spacing w:after="0" w:line="87" w:lineRule="exact"/>
        <w:rPr>
          <w:sz w:val="20"/>
          <w:szCs w:val="20"/>
          <w:color w:val="auto"/>
        </w:rPr>
      </w:pPr>
    </w:p>
    <w:p>
      <w:pPr>
        <w:ind w:firstLine="644"/>
        <w:spacing w:after="0" w:line="274" w:lineRule="auto"/>
        <w:rPr>
          <w:sz w:val="20"/>
          <w:szCs w:val="20"/>
          <w:color w:val="auto"/>
        </w:rPr>
      </w:pPr>
      <w:r>
        <w:rPr>
          <w:rFonts w:ascii="Arial" w:cs="Arial" w:eastAsia="Arial" w:hAnsi="Arial"/>
          <w:sz w:val="16"/>
          <w:szCs w:val="16"/>
          <w:color w:val="auto"/>
        </w:rPr>
        <w:t>Our business involves the collection, storage, processing, transmission and other use of proprietary, confidential and personal data of buyers and sellers and other parties, as well as the use of third-party partners and service providers who collect, store, process, transmit and otherwise use such data. In particular, our platform stores and transmits to sellers confidential buyer information, including the intellectual property in their part designs and other sensitive data. We also maintain certain other proprietary and confidential data relating to our business and personal data of our personnel and job applicants. In addition, a security breach or incident that we or our third-party partners or service providers experience could result in unauthorized access to, misuse of, or unauthorized acquisition of such data, the loss, corruption, or alteration of such data, interruptions in our operations, damage to our computers or systems or those of our platform’s users, or the loss of access to our systems by us or our buyers and sellers.</w:t>
      </w:r>
    </w:p>
    <w:p>
      <w:pPr>
        <w:spacing w:after="0" w:line="150" w:lineRule="exact"/>
        <w:rPr>
          <w:sz w:val="20"/>
          <w:szCs w:val="20"/>
          <w:color w:val="auto"/>
        </w:rPr>
      </w:pPr>
    </w:p>
    <w:p>
      <w:pPr>
        <w:ind w:right="20" w:firstLine="644"/>
        <w:spacing w:after="0" w:line="239" w:lineRule="auto"/>
        <w:rPr>
          <w:sz w:val="20"/>
          <w:szCs w:val="20"/>
          <w:color w:val="auto"/>
        </w:rPr>
      </w:pPr>
      <w:r>
        <w:rPr>
          <w:rFonts w:ascii="Arial" w:cs="Arial" w:eastAsia="Arial" w:hAnsi="Arial"/>
          <w:sz w:val="18"/>
          <w:szCs w:val="18"/>
          <w:color w:val="auto"/>
        </w:rPr>
        <w:t>Any such incidents could expose us to claims, litigation, regulatory or other governmental investigations, administrative fines and potential liability in various jurisdictions, including under applicable data privacy and security laws and regulations. An increasing number of online platforms have disclosed breaches of their security, some of which have involved sophisticated and highly targeted attacks on portions of their networks or services. Because the techniques used to obtain unauthorized access, disable or degrade service, or sabotage systems change frequently and often are not foreseeable or recognized until launched against a target, we and our third-party partners and service providers may be unable to anticipate these techniques or implement adequate preventative measures. Further, we may need to expend significant resources to protect against, and to address issues created by, security breaches and other incidents.</w:t>
      </w:r>
    </w:p>
    <w:p>
      <w:pPr>
        <w:spacing w:after="0" w:line="177" w:lineRule="exact"/>
        <w:rPr>
          <w:sz w:val="20"/>
          <w:szCs w:val="20"/>
          <w:color w:val="auto"/>
        </w:rPr>
      </w:pPr>
    </w:p>
    <w:p>
      <w:pPr>
        <w:ind w:right="20" w:firstLine="644"/>
        <w:spacing w:after="0" w:line="267" w:lineRule="auto"/>
        <w:rPr>
          <w:sz w:val="20"/>
          <w:szCs w:val="20"/>
          <w:color w:val="auto"/>
        </w:rPr>
      </w:pPr>
      <w:r>
        <w:rPr>
          <w:rFonts w:ascii="Arial" w:cs="Arial" w:eastAsia="Arial" w:hAnsi="Arial"/>
          <w:sz w:val="16"/>
          <w:szCs w:val="16"/>
          <w:color w:val="auto"/>
        </w:rPr>
        <w:t>If an actual or perceived breach of security of our networks or systems or those of any of our third-party partners’ or service providers’ security occurs, public perception of the effectiveness of our security measures and brand could be severely harmed, and we could lose buyers, sellers or third-party partners. Data security breaches and other cybersecurity incidents may also result from non-technical means, for example, intentional, accidental or negligent actions by employees or contractors. Any compromise of our or our third-party partners’ or service providers’ security could result in a violation of applicable security, privacy or data protection, consumer and other laws, regulatory or other governmental investigations, enforcement actions and legal and financial exposure, including potential contractual liability, in all cases that may not always be covered by our insurance, in whole or in part. Any such compromise could also result in damage to our brand and a loss of confidence in our security and privacy or data protection measures.</w:t>
      </w:r>
    </w:p>
    <w:p>
      <w:pPr>
        <w:spacing w:after="0" w:line="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28" w:right="379" w:bottom="1440" w:gutter="0" w:footer="0" w:header="0"/>
        </w:sectPr>
      </w:pPr>
    </w:p>
    <w:bookmarkStart w:id="16" w:name="page17"/>
    <w:bookmarkEnd w:id="16"/>
    <w:p>
      <w:pPr>
        <w:spacing w:after="0"/>
        <w:rPr>
          <w:sz w:val="20"/>
          <w:szCs w:val="20"/>
          <w:color w:val="auto"/>
        </w:rPr>
      </w:pPr>
      <w:r>
        <w:rPr>
          <w:rFonts w:ascii="Arial" w:cs="Arial" w:eastAsia="Arial" w:hAnsi="Arial"/>
          <w:sz w:val="18"/>
          <w:szCs w:val="18"/>
          <w:color w:val="auto"/>
        </w:rPr>
        <w:t>Further, we may need to expend significant resources to protect against, and to address issues created by, security breaches and other incidents, including, potentially, payments for investigations, forensic analyses, regulatory compliance, breach notification, legal advice, public relations advice, system repair or replacement, or other services. Security breaches and other security incidents, including any breaches of our security measures or those of parties with which we have commercial relationships (e.g., third-party service providers who provide development or other services to us) that result in the unauthorized access of buyers’ confidential, proprietary or personal data, or the belief that any of these have occurred, could damage our reputation and expose us to a risk of loss or litigation and possible liability.</w:t>
      </w:r>
    </w:p>
    <w:p>
      <w:pPr>
        <w:spacing w:after="0" w:line="176" w:lineRule="exact"/>
        <w:rPr>
          <w:sz w:val="20"/>
          <w:szCs w:val="20"/>
          <w:color w:val="auto"/>
        </w:rPr>
      </w:pPr>
    </w:p>
    <w:p>
      <w:pPr>
        <w:ind w:right="80" w:firstLine="644"/>
        <w:spacing w:after="0" w:line="252" w:lineRule="auto"/>
        <w:rPr>
          <w:sz w:val="20"/>
          <w:szCs w:val="20"/>
          <w:color w:val="auto"/>
        </w:rPr>
      </w:pPr>
      <w:r>
        <w:rPr>
          <w:rFonts w:ascii="Arial" w:cs="Arial" w:eastAsia="Arial" w:hAnsi="Arial"/>
          <w:sz w:val="17"/>
          <w:szCs w:val="17"/>
          <w:color w:val="auto"/>
        </w:rPr>
        <w:t>Our and our third-party partners’ along with those of our service may be vulnerable to computer viruses and other malicious software, physical or electronic break-ins, or weakness resulting from intentional or unintentional actions by us, our third-party partners or service providers, as well as similar disruptions that could make all or portions of our platform unavailable for periods of time. We cannot provide assurances that the various antivirus and computer protection software that we currently employ in our operations will in all cases successfully prevent hacking or the transmission of any computer virus or malware, which could result in significant damage to our hardware and software systems and databases, disruptions to our business activities, including to our e-mail and other communications systems, breaches of security and the inadvertent disclosure of personal, confidential or sensitive data, interruptions in access to our website through the use of “denial of service” or similar attacks and other material adverse effects on our operations. Significant unavailability of our platform due to attacks could cause users to cease using our platform and transacting on our marketplace. Although we maintain cybersecurity liability insurance, we cannot be certain our coverage will be adequate for expenses or liabilities actually incurred or will continue to be available to us on reasonable terms, or at all. Any of the foregoing could materially and adversely affect our business, prospects, financial condition and results of operations.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Failure to deal effectively with bad actors engaging on our marketplace or platform could harm our business.</w:t>
      </w:r>
    </w:p>
    <w:p>
      <w:pPr>
        <w:spacing w:after="0" w:line="117" w:lineRule="exact"/>
        <w:rPr>
          <w:sz w:val="20"/>
          <w:szCs w:val="20"/>
          <w:color w:val="auto"/>
        </w:rPr>
      </w:pPr>
    </w:p>
    <w:p>
      <w:pPr>
        <w:ind w:right="40" w:firstLine="644"/>
        <w:spacing w:after="0"/>
        <w:rPr>
          <w:sz w:val="20"/>
          <w:szCs w:val="20"/>
          <w:color w:val="auto"/>
        </w:rPr>
      </w:pPr>
      <w:r>
        <w:rPr>
          <w:rFonts w:ascii="Arial" w:cs="Arial" w:eastAsia="Arial" w:hAnsi="Arial"/>
          <w:sz w:val="18"/>
          <w:szCs w:val="18"/>
          <w:color w:val="auto"/>
        </w:rPr>
        <w:t>We have adopted policies and procedures that are intended to ensure compliance with law, including, for example anti-corruption, anti-money laundering, export control, and trade sanctions requirements, and we have measures in place to detect and limit the occurrence of illegal activity on our marketplace. However, those policies, procedures, and measures may not always be effective. Further, the measures that we use to detect and limit the occurrence of illegal activity will require significant investment and resources, particularly as our marketplace increases in public visibility and we increase the number of buyers and sellers engaging on our marketplace. Regulations requiring marketplaces to detect and limit illegal activities are increasing. Our measures may not always keep up with these changes.</w:t>
      </w:r>
    </w:p>
    <w:p>
      <w:pPr>
        <w:spacing w:after="0" w:line="176" w:lineRule="exact"/>
        <w:rPr>
          <w:sz w:val="20"/>
          <w:szCs w:val="20"/>
          <w:color w:val="auto"/>
        </w:rPr>
      </w:pPr>
    </w:p>
    <w:p>
      <w:pPr>
        <w:ind w:right="40" w:firstLine="644"/>
        <w:spacing w:after="0" w:line="243" w:lineRule="auto"/>
        <w:rPr>
          <w:sz w:val="20"/>
          <w:szCs w:val="20"/>
          <w:color w:val="auto"/>
        </w:rPr>
      </w:pPr>
      <w:r>
        <w:rPr>
          <w:rFonts w:ascii="Arial" w:cs="Arial" w:eastAsia="Arial" w:hAnsi="Arial"/>
          <w:sz w:val="18"/>
          <w:szCs w:val="18"/>
          <w:color w:val="auto"/>
        </w:rPr>
        <w:t>We may suffer reputational harm for actual or perceived bad acts or actual or perceived illegal activities of buyers and sellers on our marketplaces, particularly related to factory or other workplace conditions. Failure to limit the impact of actual or perceived illegal activity on our marketplaces, could subject us to penalties, fines, other enforcement actions and expenses, significant reputation harm and our business, financial condition, and results of operations could be adversely affected.</w:t>
      </w:r>
    </w:p>
    <w:p>
      <w:pPr>
        <w:spacing w:after="0" w:line="174" w:lineRule="exact"/>
        <w:rPr>
          <w:sz w:val="20"/>
          <w:szCs w:val="20"/>
          <w:color w:val="auto"/>
        </w:rPr>
      </w:pPr>
    </w:p>
    <w:p>
      <w:pPr>
        <w:ind w:right="200" w:firstLine="644"/>
        <w:spacing w:after="0" w:line="324" w:lineRule="auto"/>
        <w:rPr>
          <w:sz w:val="20"/>
          <w:szCs w:val="20"/>
          <w:color w:val="auto"/>
        </w:rPr>
      </w:pPr>
      <w:r>
        <w:rPr>
          <w:rFonts w:ascii="Arial" w:cs="Arial" w:eastAsia="Arial" w:hAnsi="Arial"/>
          <w:sz w:val="16"/>
          <w:szCs w:val="16"/>
          <w:color w:val="auto"/>
        </w:rPr>
        <w:t>We rely upon third-party service providers to perform certain compliance services. If we or our service providers do not perform adequately, our compliance tools may not be effective, which could increase our expenses, lead to potential legal liability, and negatively impact our business.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disputes between sellers and suppliers on our platform.</w:t>
      </w:r>
    </w:p>
    <w:p>
      <w:pPr>
        <w:spacing w:after="0" w:line="117" w:lineRule="exact"/>
        <w:rPr>
          <w:sz w:val="20"/>
          <w:szCs w:val="20"/>
          <w:color w:val="auto"/>
        </w:rPr>
      </w:pPr>
    </w:p>
    <w:p>
      <w:pPr>
        <w:ind w:right="20" w:firstLine="644"/>
        <w:spacing w:after="0" w:line="254" w:lineRule="auto"/>
        <w:rPr>
          <w:sz w:val="20"/>
          <w:szCs w:val="20"/>
          <w:color w:val="auto"/>
        </w:rPr>
      </w:pPr>
      <w:r>
        <w:rPr>
          <w:rFonts w:ascii="Arial" w:cs="Arial" w:eastAsia="Arial" w:hAnsi="Arial"/>
          <w:sz w:val="17"/>
          <w:szCs w:val="17"/>
          <w:color w:val="auto"/>
        </w:rPr>
        <w:t>Our business model involves, in part, connecting sellers to suppliers to purchase materials that enable sellers to fulfill orders on our marketplace. It is possible that disputes may arise between sellers and such suppliers with regard to the terms of orders, payment, confidentiality, work product and intellectual property ownership and infringement, misappropriation or other violation. While we are not parties to such contracts, we cannot guarantee that we will not be involved in disputes among sellers and the suppliers with whom we pair. If these disputes are not resolved amicably, the parties might escalate to formal proceedings, such as by filing claims with a court or arbitral authority. Given our role in facilitating and supporting the relationships between sellers and such suppliers, claims may be brought against us directly as a result of these disputes, or the parties may involve us in claims filed against each other. Even if these claims do not result in litigation or are resolved expediently, these claims, and the time and resources necessary to resolve them, could divert the resources of our management and result in unexpected expenses.</w:t>
      </w:r>
    </w:p>
    <w:p>
      <w:pPr>
        <w:spacing w:after="0" w:line="167" w:lineRule="exact"/>
        <w:rPr>
          <w:sz w:val="20"/>
          <w:szCs w:val="20"/>
          <w:color w:val="auto"/>
        </w:rPr>
      </w:pPr>
    </w:p>
    <w:p>
      <w:pPr>
        <w:jc w:val="both"/>
        <w:ind w:right="100"/>
        <w:spacing w:after="0" w:line="248" w:lineRule="auto"/>
        <w:rPr>
          <w:sz w:val="20"/>
          <w:szCs w:val="20"/>
          <w:color w:val="auto"/>
        </w:rPr>
      </w:pPr>
      <w:r>
        <w:rPr>
          <w:rFonts w:ascii="Arial" w:cs="Arial" w:eastAsia="Arial" w:hAnsi="Arial"/>
          <w:sz w:val="18"/>
          <w:szCs w:val="18"/>
          <w:b w:val="1"/>
          <w:bCs w:val="1"/>
          <w:i w:val="1"/>
          <w:iCs w:val="1"/>
          <w:color w:val="auto"/>
        </w:rPr>
        <w:t>We rely on a third-party payment processor to process payments made by buyers and payments made to sellers and suppliers, and if we cannot manage our relationship with such third party and other payment-related risks, our business, financial condition, and results of operations could be adversely affected.</w:t>
      </w:r>
    </w:p>
    <w:p>
      <w:pPr>
        <w:spacing w:after="0" w:line="87" w:lineRule="exact"/>
        <w:rPr>
          <w:sz w:val="20"/>
          <w:szCs w:val="20"/>
          <w:color w:val="auto"/>
        </w:rPr>
      </w:pPr>
    </w:p>
    <w:p>
      <w:pPr>
        <w:ind w:right="20" w:firstLine="644"/>
        <w:spacing w:after="0" w:line="238" w:lineRule="auto"/>
        <w:rPr>
          <w:sz w:val="20"/>
          <w:szCs w:val="20"/>
          <w:color w:val="auto"/>
        </w:rPr>
      </w:pPr>
      <w:r>
        <w:rPr>
          <w:rFonts w:ascii="Arial" w:cs="Arial" w:eastAsia="Arial" w:hAnsi="Arial"/>
          <w:sz w:val="18"/>
          <w:szCs w:val="18"/>
          <w:color w:val="auto"/>
        </w:rPr>
        <w:t>We rely on a third-party payment processor, Stripe, to process payments made by buyers and payments made to sellers and suppliers. We also rely on Stripe for our Xometry Pay, an integrated payment processing tool for sellers available through our platform, and the Xometry Advance Card. Under our commercial agreements with Stripe, Stripe may terminate the relationship with 120 days’ advance notice. If Stripe terminates its relationship with us or refuses to renew its agreements with us on commercially reasonable terms, or at all, we would be required to find an alternate payment processor and may not be able to secure similar terms or</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7" w:name="page18"/>
    <w:bookmarkEnd w:id="17"/>
    <w:p>
      <w:pPr>
        <w:ind w:right="140"/>
        <w:spacing w:after="0" w:line="259" w:lineRule="auto"/>
        <w:rPr>
          <w:sz w:val="20"/>
          <w:szCs w:val="20"/>
          <w:color w:val="auto"/>
        </w:rPr>
      </w:pPr>
      <w:r>
        <w:rPr>
          <w:rFonts w:ascii="Arial" w:cs="Arial" w:eastAsia="Arial" w:hAnsi="Arial"/>
          <w:sz w:val="17"/>
          <w:szCs w:val="17"/>
          <w:color w:val="auto"/>
        </w:rPr>
        <w:t>replace such payment processor in an acceptable timeframe. Further, the software and services provided by Stripe may not meet our expectations, may contain errors or vulnerabilities, and could be compromised or experience outages. Any of these risks could cause us to lose our ability to accept online payments or other payment transactions, make timely payments to sellers or suppliers, or decrease the use of Xometry Pay or the Xometry Advance Card, any of which could disrupt our business for an extended period of time, make our platform less convenient, trustworthy and attractive to users, and adversely affect our ability to attract and retain qualified buyers, sellers and suppliers.</w:t>
      </w:r>
    </w:p>
    <w:p>
      <w:pPr>
        <w:spacing w:after="0" w:line="160" w:lineRule="exact"/>
        <w:rPr>
          <w:sz w:val="20"/>
          <w:szCs w:val="20"/>
          <w:color w:val="auto"/>
        </w:rPr>
      </w:pPr>
    </w:p>
    <w:p>
      <w:pPr>
        <w:ind w:right="20" w:firstLine="644"/>
        <w:spacing w:after="0" w:line="253" w:lineRule="auto"/>
        <w:rPr>
          <w:sz w:val="20"/>
          <w:szCs w:val="20"/>
          <w:color w:val="auto"/>
        </w:rPr>
      </w:pPr>
      <w:r>
        <w:rPr>
          <w:rFonts w:ascii="Arial" w:cs="Arial" w:eastAsia="Arial" w:hAnsi="Arial"/>
          <w:sz w:val="17"/>
          <w:szCs w:val="17"/>
          <w:color w:val="auto"/>
        </w:rPr>
        <w:t>Most payments by our buyers are made by credit card or debit card or through third-party payment services, which subjects us to certain regulations and to the risk of fraud. We may in the future offer new payment options to buyers who may be subject to additional regulations and risks. We also receive payments in the form of bank checks, Fed wires or ACH. As a result, we are also subject to a number of other laws and regulations relating to the payments we accept from our buyers, including with respect to money laundering, money transfers, privacy, and information security. If we fail to, or are alleged to fail to, comply with applicable rules and regulations, we may be subject to claims and litigation, regulatory investigations and proceedings, civil or criminal penalties, fines and/or higher transaction fees and may lose the ability to accept online payments or other payment card transactions, which could make our platform less convenient and attractive to users. We also rely on data provided by Stripe for financial statement reporting, and there could be inaccuracies and other errors in such data. If any of these events were to occur, our business, financial condition, and results of operations could be materially adversely affected.</w:t>
      </w:r>
    </w:p>
    <w:p>
      <w:pPr>
        <w:spacing w:after="0" w:line="170" w:lineRule="exact"/>
        <w:rPr>
          <w:sz w:val="20"/>
          <w:szCs w:val="20"/>
          <w:color w:val="auto"/>
        </w:rPr>
      </w:pPr>
    </w:p>
    <w:p>
      <w:pPr>
        <w:ind w:right="40" w:firstLine="644"/>
        <w:spacing w:after="0" w:line="253" w:lineRule="auto"/>
        <w:rPr>
          <w:sz w:val="20"/>
          <w:szCs w:val="20"/>
          <w:color w:val="auto"/>
        </w:rPr>
      </w:pPr>
      <w:r>
        <w:rPr>
          <w:rFonts w:ascii="Arial" w:cs="Arial" w:eastAsia="Arial" w:hAnsi="Arial"/>
          <w:sz w:val="17"/>
          <w:szCs w:val="17"/>
          <w:color w:val="auto"/>
        </w:rPr>
        <w:t>Further, if we are deemed to be a money transmitter as defined by applicable law, we could become subject to certain laws, rules, and regulations enforced by multiple authorities and governing bodies in the United States and numerous state and local agencies that may define money transmitter differently. For example, certain states may have a more expansive view of who qualifies as a money transmitter. Additionally, outside of the United States, we could be subject to additional laws, rules, and regulations related to the provision of payments and financial services, and if we expand into new jurisdictions, the foreign regulations governing our business that we are subject to will expand as well. If we are found to be a money transmitter under any applicable regulation and we are not in compliance with such regulations, we may be subject to fines or other penalties in one or more jurisdictions levied by federal or state or local regulators. In addition to fines, penalties for failing to comply with applicable rules and regulations could include criminal and civil proceedings, forfeiture of significant assets, or other enforcement actions. We could also be required to make changes to our business practices or compliance programs as a result of regulatory scrutiny.</w:t>
      </w:r>
    </w:p>
    <w:p>
      <w:pPr>
        <w:spacing w:after="0" w:line="170" w:lineRule="exact"/>
        <w:rPr>
          <w:sz w:val="20"/>
          <w:szCs w:val="20"/>
          <w:color w:val="auto"/>
        </w:rPr>
      </w:pPr>
    </w:p>
    <w:p>
      <w:pPr>
        <w:ind w:firstLine="644"/>
        <w:spacing w:after="0" w:line="255" w:lineRule="auto"/>
        <w:rPr>
          <w:sz w:val="20"/>
          <w:szCs w:val="20"/>
          <w:color w:val="auto"/>
        </w:rPr>
      </w:pPr>
      <w:r>
        <w:rPr>
          <w:rFonts w:ascii="Arial" w:cs="Arial" w:eastAsia="Arial" w:hAnsi="Arial"/>
          <w:sz w:val="17"/>
          <w:szCs w:val="17"/>
          <w:color w:val="auto"/>
        </w:rPr>
        <w:t>Additionally, our third-party payment processor requires us to comply with payment card network operating rules, which are set and interpreted by the payment card networks. The payment card networks could adopt new operating rules or interpret or re-interpret existing rules in ways that might prohibit us from providing certain services to some users, be costly to implement, or difficult to follow. If we fail to comply with these rules or regulations, we may be subject to fines and higher transaction fees and lose our ability to accept credit and debit card payments from consumers or facilitate other types of online payments, and our business, financial condition, and results of operations could be adversely affected. We have also agreed to reimburse our third-party payment processor for any reversals, chargebacks, and fines they are assessed by payment card networks if we violate these rules. Any of the foregoing risks could adversely affect our business, financial condition, and results of operations.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required to comply with payment card network operating rules.</w:t>
      </w:r>
    </w:p>
    <w:p>
      <w:pPr>
        <w:spacing w:after="0" w:line="117" w:lineRule="exact"/>
        <w:rPr>
          <w:sz w:val="20"/>
          <w:szCs w:val="20"/>
          <w:color w:val="auto"/>
        </w:rPr>
      </w:pPr>
    </w:p>
    <w:p>
      <w:pPr>
        <w:ind w:right="60" w:firstLine="644"/>
        <w:spacing w:after="0" w:line="251" w:lineRule="auto"/>
        <w:rPr>
          <w:sz w:val="20"/>
          <w:szCs w:val="20"/>
          <w:color w:val="auto"/>
        </w:rPr>
      </w:pPr>
      <w:r>
        <w:rPr>
          <w:rFonts w:ascii="Arial" w:cs="Arial" w:eastAsia="Arial" w:hAnsi="Arial"/>
          <w:sz w:val="17"/>
          <w:szCs w:val="17"/>
          <w:color w:val="auto"/>
        </w:rPr>
        <w:t>Payment networks, such as Visa, MasterCard and American Express, establish their own rules and standards that allocate liabilities and responsibilities among the payment networks and their participants. These rules and standards, including the Payment Card Industry Data Security Standards, govern a variety of areas, including how consumers and customers may use their cards, the security features of cards, security standards for processing, data security and allocation of liability for certain acts or omissions, including liability in the event of a data breach. The payment networks may change these rules and standards from time to time as they may determine in their sole discretion and with or without advance notice to their participants. These changes may be made for any number of reasons, including as a result of changes in the regulatory environment, to maintain or attract new participants, or to serve the strategic initiatives of the networks, and may impose additional costs and expenses on or be disadvantageous to certain participants. Participants are subject to audit by the payment networks to ensure compliance with applicable rules and standards. The networks may fine, penalize or suspend the registration of participants for certain acts or omissions or the failure of the participants to comply with applicable rules and standards. Our removal from networks’ lists of Payment Card Industry Data Security Standard compliant service providers could mean that existing merchants, customers, sales partners or other third parties may cease using or referring our services. Also, prospective merchants, customers, sales partners or other third parties may choose to terminate negotiations with us, or delay or choose not to consider us for their processing needs. In addition, the card networks could refuse to allow us to process through their networks. Any of the foregoing could materially adversely impact our business, financial condition or results of operations.</w:t>
      </w:r>
    </w:p>
    <w:p>
      <w:pPr>
        <w:spacing w:after="0" w:line="175" w:lineRule="exact"/>
        <w:rPr>
          <w:sz w:val="20"/>
          <w:szCs w:val="20"/>
          <w:color w:val="auto"/>
        </w:rPr>
      </w:pPr>
    </w:p>
    <w:p>
      <w:pPr>
        <w:ind w:right="320" w:firstLine="644"/>
        <w:spacing w:after="0" w:line="239" w:lineRule="auto"/>
        <w:rPr>
          <w:sz w:val="20"/>
          <w:szCs w:val="20"/>
          <w:color w:val="auto"/>
        </w:rPr>
      </w:pPr>
      <w:r>
        <w:rPr>
          <w:rFonts w:ascii="Arial" w:cs="Arial" w:eastAsia="Arial" w:hAnsi="Arial"/>
          <w:sz w:val="18"/>
          <w:szCs w:val="18"/>
          <w:color w:val="auto"/>
        </w:rPr>
        <w:t>Changes to these network rules or how they are interpreted could have a significant impact on our business and financial results. For example, changes in the payment card network rules regarding chargebacks may affect our ability to dispute chargebacks and the amount of losses we incur from chargebacks. Changes to and interpretations of the network rules that were inconsistent with the way we operated has in the past required us to make changes to our business, and any future changes to or interpretations of the</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8" w:name="page19"/>
    <w:bookmarkEnd w:id="18"/>
    <w:p>
      <w:pPr>
        <w:ind w:right="320"/>
        <w:spacing w:after="0" w:line="284" w:lineRule="auto"/>
        <w:rPr>
          <w:sz w:val="20"/>
          <w:szCs w:val="20"/>
          <w:color w:val="auto"/>
        </w:rPr>
      </w:pPr>
      <w:r>
        <w:rPr>
          <w:rFonts w:ascii="Arial" w:cs="Arial" w:eastAsia="Arial" w:hAnsi="Arial"/>
          <w:sz w:val="16"/>
          <w:szCs w:val="16"/>
          <w:color w:val="auto"/>
        </w:rPr>
        <w:t>network rules that are inconsistent with the way we currently operate may require us to make changes to our business that could be costly or difficult to implement. If we fail to make such changes or otherwise resolve the issue with the payment card networks, the networks could pass on fines and assessments in respect of fraud or chargebacks related to our merchants or disqualify us from processing transactions if satisfactory controls are not maintained, which could have a material adverse effect on our business, financial condition and results of operations.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rely on third parties to fulfill buyer orders.</w:t>
      </w:r>
    </w:p>
    <w:p>
      <w:pPr>
        <w:spacing w:after="0" w:line="117" w:lineRule="exact"/>
        <w:rPr>
          <w:sz w:val="20"/>
          <w:szCs w:val="20"/>
          <w:color w:val="auto"/>
        </w:rPr>
      </w:pPr>
    </w:p>
    <w:p>
      <w:pPr>
        <w:ind w:right="40" w:firstLine="644"/>
        <w:spacing w:after="0" w:line="241" w:lineRule="auto"/>
        <w:rPr>
          <w:sz w:val="20"/>
          <w:szCs w:val="20"/>
          <w:color w:val="auto"/>
        </w:rPr>
      </w:pPr>
      <w:r>
        <w:rPr>
          <w:rFonts w:ascii="Arial" w:cs="Arial" w:eastAsia="Arial" w:hAnsi="Arial"/>
          <w:sz w:val="18"/>
          <w:szCs w:val="18"/>
          <w:color w:val="auto"/>
        </w:rPr>
        <w:t>We rely on continued and unimpeded access to postal services and shipping carriers for us or our sellers to deliver manufactured parts reliably and timely to buyers. As a result of the COVID-19 pandemic and other factors, postal services and shipping carriers have experienced increased delays in delivery of their goods. If these shipping delays continue or worsen, or if shipping rates increase significantly, our sellers may have increased costs, and/or our buyers may have a poor purchasing experience and may lose trust in our marketplace, which could negatively impact our business, financial condition, and results of operations.</w:t>
      </w:r>
    </w:p>
    <w:p>
      <w:pPr>
        <w:spacing w:after="0" w:line="176"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b w:val="1"/>
          <w:bCs w:val="1"/>
          <w:i w:val="1"/>
          <w:iCs w:val="1"/>
          <w:color w:val="auto"/>
        </w:rPr>
        <w:t>We face significant competition and expect to face increasing competition in many aspects of our business, which could cause our operating results to suffer.</w:t>
      </w:r>
    </w:p>
    <w:p>
      <w:pPr>
        <w:spacing w:after="0" w:line="76" w:lineRule="exact"/>
        <w:rPr>
          <w:sz w:val="20"/>
          <w:szCs w:val="20"/>
          <w:color w:val="auto"/>
        </w:rPr>
      </w:pPr>
    </w:p>
    <w:p>
      <w:pPr>
        <w:ind w:right="180" w:firstLine="644"/>
        <w:spacing w:after="0" w:line="270" w:lineRule="auto"/>
        <w:rPr>
          <w:sz w:val="20"/>
          <w:szCs w:val="20"/>
          <w:color w:val="auto"/>
        </w:rPr>
      </w:pPr>
      <w:r>
        <w:rPr>
          <w:rFonts w:ascii="Arial" w:cs="Arial" w:eastAsia="Arial" w:hAnsi="Arial"/>
          <w:sz w:val="16"/>
          <w:szCs w:val="16"/>
          <w:color w:val="auto"/>
        </w:rPr>
        <w:t>The manufacturing market is fragmented and highly competitive. We compete for buyers with a wide variety of manufacturers. Some of our current and potential competitors include captive in-house product lines, parts manufacturers, and other marketplaces for manufacturing services. Moreover, some of our existing and potential competitors are researching, designing, developing and marketing new manufacturing technologies and capabilities that may compete with or provide alternatives to our platform or our marketplace. We also expect that future competition may arise from the development of technologies that are not encompassed by our patents, from the issuance of patents to other companies that may inhibit our ability to develop our capabilities and from improvements to existing technologies. Furthermore, our competitors may attempt to adopt and improve upon key aspects of our business model, such as development of technology that automates much of the manual labor conventionally required to quote and manufacture parts, implementation of interactive web-based and automated user interface and quoting systems and/or building scalable operating models specifically designed for efficient production. We may, from time to time, establish alliances or relationships with other competitors or potential competitors, and our competitors may also be sellers transacting on our marketplace. To the extent companies terminate such relationships and establish alliances and relationships with our competitors, our business could be harmed.</w:t>
      </w:r>
    </w:p>
    <w:p>
      <w:pPr>
        <w:spacing w:after="0" w:line="153" w:lineRule="exact"/>
        <w:rPr>
          <w:sz w:val="20"/>
          <w:szCs w:val="20"/>
          <w:color w:val="auto"/>
        </w:rPr>
      </w:pPr>
    </w:p>
    <w:p>
      <w:pPr>
        <w:ind w:right="140" w:firstLine="644"/>
        <w:spacing w:after="0" w:line="270" w:lineRule="auto"/>
        <w:rPr>
          <w:sz w:val="20"/>
          <w:szCs w:val="20"/>
          <w:color w:val="auto"/>
        </w:rPr>
      </w:pPr>
      <w:r>
        <w:rPr>
          <w:rFonts w:ascii="Arial" w:cs="Arial" w:eastAsia="Arial" w:hAnsi="Arial"/>
          <w:sz w:val="17"/>
          <w:szCs w:val="17"/>
          <w:color w:val="auto"/>
        </w:rPr>
        <w:t>Existing and potential competitors may have substantially greater financial, technical, marketing and sales, manufacturing, distribution and other resources and name recognition than us, as well as more substantial intellectual property portfolios and experience and expertise in intellectual property rights and operating within certain international locations, any of which may enable them to compete effectively against us.</w:t>
      </w:r>
    </w:p>
    <w:p>
      <w:pPr>
        <w:spacing w:after="0" w:line="150" w:lineRule="exact"/>
        <w:rPr>
          <w:sz w:val="20"/>
          <w:szCs w:val="20"/>
          <w:color w:val="auto"/>
        </w:rPr>
      </w:pPr>
    </w:p>
    <w:p>
      <w:pPr>
        <w:ind w:right="100" w:firstLine="644"/>
        <w:spacing w:after="0" w:line="241" w:lineRule="auto"/>
        <w:rPr>
          <w:sz w:val="20"/>
          <w:szCs w:val="20"/>
          <w:color w:val="auto"/>
        </w:rPr>
      </w:pPr>
      <w:r>
        <w:rPr>
          <w:rFonts w:ascii="Arial" w:cs="Arial" w:eastAsia="Arial" w:hAnsi="Arial"/>
          <w:sz w:val="18"/>
          <w:szCs w:val="18"/>
          <w:color w:val="auto"/>
        </w:rPr>
        <w:t>Though we plan to expend resources to develop new technologies, processes and capabilities, we cannot assure you that we will be able to maintain our current position or continue to compete successfully against current and future sources of competition. Our challenge in developing new manufacturing processes is finding capabilities for which our marketplace offers an attractive value proposition. If we do not keep pace with technological change and introduce new technologies, processes and capabilities, the demand for our platform and transacting on our marketplace may decline and our business, financial condition, and results of operations may suffer.</w:t>
      </w:r>
    </w:p>
    <w:p>
      <w:pPr>
        <w:spacing w:after="0" w:line="176" w:lineRule="exact"/>
        <w:rPr>
          <w:sz w:val="20"/>
          <w:szCs w:val="20"/>
          <w:color w:val="auto"/>
        </w:rPr>
      </w:pPr>
    </w:p>
    <w:p>
      <w:pPr>
        <w:ind w:right="80"/>
        <w:spacing w:after="0" w:line="291" w:lineRule="auto"/>
        <w:rPr>
          <w:sz w:val="20"/>
          <w:szCs w:val="20"/>
          <w:color w:val="auto"/>
        </w:rPr>
      </w:pPr>
      <w:r>
        <w:rPr>
          <w:rFonts w:ascii="Arial" w:cs="Arial" w:eastAsia="Arial" w:hAnsi="Arial"/>
          <w:sz w:val="17"/>
          <w:szCs w:val="17"/>
          <w:b w:val="1"/>
          <w:bCs w:val="1"/>
          <w:i w:val="1"/>
          <w:iCs w:val="1"/>
          <w:color w:val="auto"/>
        </w:rPr>
        <w:t>Expansion into markets outside the United States is important to the growth of our business, and if we do not manage the business and economic risks of international expansion effectively, it could materially and adversely affect our business and results of operations.</w:t>
      </w:r>
    </w:p>
    <w:p>
      <w:pPr>
        <w:spacing w:after="0" w:line="52" w:lineRule="exact"/>
        <w:rPr>
          <w:sz w:val="20"/>
          <w:szCs w:val="20"/>
          <w:color w:val="auto"/>
        </w:rPr>
      </w:pPr>
    </w:p>
    <w:p>
      <w:pPr>
        <w:ind w:firstLine="644"/>
        <w:spacing w:after="0" w:line="255" w:lineRule="auto"/>
        <w:rPr>
          <w:sz w:val="20"/>
          <w:szCs w:val="20"/>
          <w:color w:val="auto"/>
        </w:rPr>
      </w:pPr>
      <w:r>
        <w:rPr>
          <w:rFonts w:ascii="Arial" w:cs="Arial" w:eastAsia="Arial" w:hAnsi="Arial"/>
          <w:sz w:val="17"/>
          <w:szCs w:val="17"/>
          <w:color w:val="auto"/>
        </w:rPr>
        <w:t>We expect to continue to expand our international operations, which may include opening offices in new jurisdictions, adding buyers in additional countries, and providing our platform in additional languages. Expansion into new markets or countries may not be successful. In addition, our legal, accounting, financial compliance and other administrative costs will increase as we expand internationally. In addition, our ability to manage our business and conduct our operations internationally requires considerable management attention and resources, and is subject to the particular challenges of supporting a rapidly growing business in an environment of multiple languages, cultures, customs, legal and regulatory systems, alternative dispute systems and commercial markets. International expansion requires investment of significant funds and other resources. Operating internationally subjects us to new risks and may increase risks that we currently face, including risks associated with:</w:t>
      </w:r>
    </w:p>
    <w:p>
      <w:pPr>
        <w:spacing w:after="0" w:line="85" w:lineRule="exact"/>
        <w:rPr>
          <w:sz w:val="20"/>
          <w:szCs w:val="20"/>
          <w:color w:val="auto"/>
        </w:rPr>
      </w:pPr>
    </w:p>
    <w:p>
      <w:pPr>
        <w:ind w:left="1020" w:right="380" w:hanging="503"/>
        <w:spacing w:after="0" w:line="261" w:lineRule="auto"/>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recruiting, training and retaining talented and capable employees outside of the United States and Europe, and maintaining our company culture across all of our offices;</w:t>
      </w:r>
    </w:p>
    <w:p>
      <w:pPr>
        <w:spacing w:after="0" w:line="62" w:lineRule="exact"/>
        <w:rPr>
          <w:rFonts w:ascii="Arial" w:cs="Arial" w:eastAsia="Arial" w:hAnsi="Arial"/>
          <w:sz w:val="18"/>
          <w:szCs w:val="18"/>
          <w:color w:val="auto"/>
        </w:rPr>
      </w:pPr>
    </w:p>
    <w:p>
      <w:pPr>
        <w:ind w:left="1020" w:right="700" w:hanging="503"/>
        <w:spacing w:after="0" w:line="258" w:lineRule="auto"/>
        <w:tabs>
          <w:tab w:leader="none" w:pos="10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providing our platform and operating our business across a significant distance, in different languages and among different cultures, including the potential need to modify our platform and features to ensure that they are relevant in different countries;</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8" w:right="359" w:bottom="1440" w:gutter="0" w:footer="0" w:header="0"/>
        </w:sectPr>
      </w:pPr>
    </w:p>
    <w:bookmarkStart w:id="19" w:name="page20"/>
    <w:bookmarkEnd w:id="19"/>
    <w:p>
      <w:pPr>
        <w:ind w:left="1020" w:right="20" w:hanging="503"/>
        <w:spacing w:after="0" w:line="248" w:lineRule="auto"/>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compliance with applicable international laws and regulations, including laws and regulations with respect to privacy, data protection, labor and employment, consumer protection and unsolicited email, and the risk of penalties to our users and individual members of management or employees if our practices are deemed to be out of compliance;</w:t>
      </w:r>
    </w:p>
    <w:p>
      <w:pPr>
        <w:spacing w:after="0" w:line="73" w:lineRule="exact"/>
        <w:rPr>
          <w:rFonts w:ascii="Arial" w:cs="Arial" w:eastAsia="Arial" w:hAnsi="Arial"/>
          <w:sz w:val="18"/>
          <w:szCs w:val="18"/>
          <w:color w:val="auto"/>
        </w:rPr>
      </w:pPr>
    </w:p>
    <w:p>
      <w:pPr>
        <w:ind w:left="1020" w:right="460" w:hanging="503"/>
        <w:spacing w:after="0" w:line="261" w:lineRule="auto"/>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operating in jurisdictions that do not protect intellectual property rights or other proprietary rights to the same extent as does the United States;</w:t>
      </w:r>
    </w:p>
    <w:p>
      <w:pPr>
        <w:spacing w:after="0" w:line="62" w:lineRule="exact"/>
        <w:rPr>
          <w:rFonts w:ascii="Arial" w:cs="Arial" w:eastAsia="Arial" w:hAnsi="Arial"/>
          <w:sz w:val="18"/>
          <w:szCs w:val="18"/>
          <w:color w:val="auto"/>
        </w:rPr>
      </w:pPr>
    </w:p>
    <w:p>
      <w:pPr>
        <w:ind w:left="1020" w:right="40" w:hanging="503"/>
        <w:spacing w:after="0" w:line="324" w:lineRule="auto"/>
        <w:tabs>
          <w:tab w:leader="none" w:pos="1020" w:val="left"/>
        </w:tabs>
        <w:numPr>
          <w:ilvl w:val="0"/>
          <w:numId w:val="17"/>
        </w:numPr>
        <w:rPr>
          <w:rFonts w:ascii="Arial" w:cs="Arial" w:eastAsia="Arial" w:hAnsi="Arial"/>
          <w:sz w:val="16"/>
          <w:szCs w:val="16"/>
          <w:color w:val="auto"/>
        </w:rPr>
      </w:pPr>
      <w:r>
        <w:rPr>
          <w:rFonts w:ascii="Arial" w:cs="Arial" w:eastAsia="Arial" w:hAnsi="Arial"/>
          <w:sz w:val="16"/>
          <w:szCs w:val="16"/>
          <w:color w:val="auto"/>
        </w:rPr>
        <w:t>compliance by us and our business partners with anti-corruption laws, import and export control laws, tariffs, trade barriers, economic sanctions and other regulatory limitations on our ability to provide our platform and operate our marketplace in certain international markets;</w:t>
      </w:r>
    </w:p>
    <w:p>
      <w:pPr>
        <w:spacing w:after="0" w:line="16" w:lineRule="exact"/>
        <w:rPr>
          <w:rFonts w:ascii="Arial" w:cs="Arial" w:eastAsia="Arial" w:hAnsi="Arial"/>
          <w:sz w:val="16"/>
          <w:szCs w:val="16"/>
          <w:color w:val="auto"/>
        </w:rPr>
      </w:pPr>
    </w:p>
    <w:p>
      <w:pPr>
        <w:ind w:left="1020" w:hanging="503"/>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political and economic instability, including that related to Russia’s recent incursion into Ukraine;</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fluctuations in currency exchange rates;</w:t>
      </w:r>
    </w:p>
    <w:p>
      <w:pPr>
        <w:spacing w:after="0" w:line="103" w:lineRule="exact"/>
        <w:rPr>
          <w:rFonts w:ascii="Arial" w:cs="Arial" w:eastAsia="Arial" w:hAnsi="Arial"/>
          <w:sz w:val="18"/>
          <w:szCs w:val="18"/>
          <w:color w:val="auto"/>
        </w:rPr>
      </w:pPr>
    </w:p>
    <w:p>
      <w:pPr>
        <w:ind w:left="1020" w:right="40" w:hanging="503"/>
        <w:spacing w:after="0" w:line="261" w:lineRule="auto"/>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potentially adverse tax consequences due to changes in the income and other tax laws of the United States or the international jurisdictions in which we operate; and</w:t>
      </w:r>
    </w:p>
    <w:p>
      <w:pPr>
        <w:spacing w:after="0" w:line="62" w:lineRule="exact"/>
        <w:rPr>
          <w:rFonts w:ascii="Arial" w:cs="Arial" w:eastAsia="Arial" w:hAnsi="Arial"/>
          <w:sz w:val="18"/>
          <w:szCs w:val="18"/>
          <w:color w:val="auto"/>
        </w:rPr>
      </w:pPr>
    </w:p>
    <w:p>
      <w:pPr>
        <w:ind w:left="1020" w:right="300" w:hanging="503"/>
        <w:spacing w:after="0" w:line="261" w:lineRule="auto"/>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higher costs of doing business internationally, including increased legal, financial compliance, accounting, travel, infrastructure and other administrative costs.</w:t>
      </w:r>
    </w:p>
    <w:p>
      <w:pPr>
        <w:spacing w:after="0" w:line="157" w:lineRule="exact"/>
        <w:rPr>
          <w:sz w:val="20"/>
          <w:szCs w:val="20"/>
          <w:color w:val="auto"/>
        </w:rPr>
      </w:pPr>
    </w:p>
    <w:p>
      <w:pPr>
        <w:ind w:right="60" w:firstLine="644"/>
        <w:spacing w:after="0"/>
        <w:rPr>
          <w:sz w:val="20"/>
          <w:szCs w:val="20"/>
          <w:color w:val="auto"/>
        </w:rPr>
      </w:pPr>
      <w:r>
        <w:rPr>
          <w:rFonts w:ascii="Arial" w:cs="Arial" w:eastAsia="Arial" w:hAnsi="Arial"/>
          <w:sz w:val="18"/>
          <w:szCs w:val="18"/>
          <w:color w:val="auto"/>
        </w:rPr>
        <w:t>We may be unable to keep current with changes in laws and regulations. Although we strive to comply with all applicable laws and regulations and are in the process of implementing policies and procedures designed to support compliance with such laws and regulations, there can be no assurance that we will always be in full compliance or that all of our employees, contractors, partners and agents will comply at all times. Any violations could result in enforcement actions, fines, civil and criminal penalties, damages, injunctions, or reputational harm. If we are unable comply with these laws and regulations or manage the complexity of our global operations successfully, our business, results of operations and financial condition could be materially and adversely affected.</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Geopolitical instability outside of the U.S. may adversely impact the U.S. and global economies.</w:t>
      </w:r>
    </w:p>
    <w:p>
      <w:pPr>
        <w:spacing w:after="0" w:line="198" w:lineRule="exact"/>
        <w:rPr>
          <w:sz w:val="20"/>
          <w:szCs w:val="20"/>
          <w:color w:val="auto"/>
        </w:rPr>
      </w:pPr>
    </w:p>
    <w:p>
      <w:pPr>
        <w:ind w:right="40" w:firstLine="644"/>
        <w:spacing w:after="0" w:line="257" w:lineRule="auto"/>
        <w:rPr>
          <w:sz w:val="20"/>
          <w:szCs w:val="20"/>
          <w:color w:val="auto"/>
        </w:rPr>
      </w:pPr>
      <w:r>
        <w:rPr>
          <w:rFonts w:ascii="Arial" w:cs="Arial" w:eastAsia="Arial" w:hAnsi="Arial"/>
          <w:sz w:val="17"/>
          <w:szCs w:val="17"/>
          <w:color w:val="auto"/>
        </w:rPr>
        <w:t>At the end of 2021 and into 2022, tensions between the U.S. and Russia escalated when Russia amassed large numbers of military ground forces and support personnel on the Ukraine-Russia border and in February 2022, Russia invaded Ukraine. In response, NATO has deployed additional military forces to Eastern Europe, including to Lithuania and Romania, and Australia, Britain, the European Union, Japan, Switzerland, Taiwan, the U.S. and other countries announced punishing sanctions against Russia. The invasion of Ukraine and any retaliatory measures taken by the U.S. and NATO could threaten global security and result in further regional conflict and otherwise have a lasting impact on regional and global economies, any or all of which could adversely affect our business and the price of our Class A common stock.</w:t>
      </w:r>
    </w:p>
    <w:p>
      <w:pPr>
        <w:spacing w:after="0" w:line="162" w:lineRule="exact"/>
        <w:rPr>
          <w:sz w:val="20"/>
          <w:szCs w:val="20"/>
          <w:color w:val="auto"/>
        </w:rPr>
      </w:pPr>
    </w:p>
    <w:p>
      <w:pPr>
        <w:ind w:right="200" w:firstLine="644"/>
        <w:spacing w:after="0" w:line="261" w:lineRule="auto"/>
        <w:rPr>
          <w:sz w:val="20"/>
          <w:szCs w:val="20"/>
          <w:color w:val="auto"/>
        </w:rPr>
      </w:pPr>
      <w:r>
        <w:rPr>
          <w:rFonts w:ascii="Arial" w:cs="Arial" w:eastAsia="Arial" w:hAnsi="Arial"/>
          <w:sz w:val="18"/>
          <w:szCs w:val="18"/>
          <w:color w:val="auto"/>
        </w:rPr>
        <w:t>We have contractors in Ukraine and Russia. To the extent there are losses of life, disruptions to internet connectivity, or interruptions to banking payment systems, we and our employees could be adversely impacted.</w:t>
      </w:r>
    </w:p>
    <w:p>
      <w:pPr>
        <w:spacing w:after="0" w:line="157" w:lineRule="exact"/>
        <w:rPr>
          <w:sz w:val="20"/>
          <w:szCs w:val="20"/>
          <w:color w:val="auto"/>
        </w:rPr>
      </w:pPr>
    </w:p>
    <w:p>
      <w:pPr>
        <w:ind w:right="400" w:firstLine="644"/>
        <w:spacing w:after="0" w:line="291" w:lineRule="auto"/>
        <w:rPr>
          <w:sz w:val="20"/>
          <w:szCs w:val="20"/>
          <w:color w:val="auto"/>
        </w:rPr>
      </w:pPr>
      <w:r>
        <w:rPr>
          <w:rFonts w:ascii="Arial" w:cs="Arial" w:eastAsia="Arial" w:hAnsi="Arial"/>
          <w:sz w:val="17"/>
          <w:szCs w:val="17"/>
          <w:color w:val="auto"/>
        </w:rPr>
        <w:t>Additionally, many materials used in the manufacturing of parts, like titanium and aluminum, are sourced from Russia. An inability to source materials from Russia due to sanctions, regulations, availability or cost could adversely affect our results of operations.</w:t>
      </w:r>
    </w:p>
    <w:p>
      <w:pPr>
        <w:spacing w:after="0" w:line="133" w:lineRule="exact"/>
        <w:rPr>
          <w:sz w:val="20"/>
          <w:szCs w:val="20"/>
          <w:color w:val="auto"/>
        </w:rPr>
      </w:pPr>
    </w:p>
    <w:p>
      <w:pPr>
        <w:ind w:right="260"/>
        <w:spacing w:after="0" w:line="291" w:lineRule="auto"/>
        <w:rPr>
          <w:sz w:val="20"/>
          <w:szCs w:val="20"/>
          <w:color w:val="auto"/>
        </w:rPr>
      </w:pPr>
      <w:r>
        <w:rPr>
          <w:rFonts w:ascii="Arial" w:cs="Arial" w:eastAsia="Arial" w:hAnsi="Arial"/>
          <w:sz w:val="17"/>
          <w:szCs w:val="17"/>
          <w:b w:val="1"/>
          <w:bCs w:val="1"/>
          <w:i w:val="1"/>
          <w:iCs w:val="1"/>
          <w:color w:val="auto"/>
        </w:rPr>
        <w:t>The ongoing COVID-19 pandemic and measures intended to prevent its spread and any future pandemic (including from variants of the COVID-19 disease) may have material and adverse effects on our business, financial condition, and results of operations.</w:t>
      </w:r>
    </w:p>
    <w:p>
      <w:pPr>
        <w:spacing w:after="0" w:line="52" w:lineRule="exact"/>
        <w:rPr>
          <w:sz w:val="20"/>
          <w:szCs w:val="20"/>
          <w:color w:val="auto"/>
        </w:rPr>
      </w:pPr>
    </w:p>
    <w:p>
      <w:pPr>
        <w:ind w:firstLine="644"/>
        <w:spacing w:after="0"/>
        <w:rPr>
          <w:sz w:val="20"/>
          <w:szCs w:val="20"/>
          <w:color w:val="auto"/>
        </w:rPr>
      </w:pPr>
      <w:r>
        <w:rPr>
          <w:rFonts w:ascii="Arial" w:cs="Arial" w:eastAsia="Arial" w:hAnsi="Arial"/>
          <w:sz w:val="18"/>
          <w:szCs w:val="18"/>
          <w:color w:val="auto"/>
        </w:rPr>
        <w:t>Global health concerns relating to the COVID -19 pandemic and related government actions taken to reduce the spread of the virus have been weighing on the macroeconomic environment, and the pandemic has contributed to periods of economic uncertainty and reduced economic activity. Small businesses, which constitute a significant portion of our buyers and sellers, have been impacted particularly hard. The pandemic has resulted in government authorities and businesses implementing numerous measures to try to contain the virus, such as travel bans and restrictions, quarantines, shelter in place or total lock-down orders, school closures, and business limitations and shutdowns. Such measures have contributed significantly to increased unemployment and negatively impacted business spending.</w:t>
      </w:r>
    </w:p>
    <w:p>
      <w:pPr>
        <w:spacing w:after="0" w:line="176" w:lineRule="exact"/>
        <w:rPr>
          <w:sz w:val="20"/>
          <w:szCs w:val="20"/>
          <w:color w:val="auto"/>
        </w:rPr>
      </w:pPr>
    </w:p>
    <w:p>
      <w:pPr>
        <w:ind w:right="200" w:firstLine="644"/>
        <w:spacing w:after="0" w:line="261" w:lineRule="auto"/>
        <w:rPr>
          <w:sz w:val="20"/>
          <w:szCs w:val="20"/>
          <w:color w:val="auto"/>
        </w:rPr>
      </w:pPr>
      <w:r>
        <w:rPr>
          <w:rFonts w:ascii="Arial" w:cs="Arial" w:eastAsia="Arial" w:hAnsi="Arial"/>
          <w:sz w:val="18"/>
          <w:szCs w:val="18"/>
          <w:color w:val="auto"/>
        </w:rPr>
        <w:t>Although we have made every effort to comply with applicable COVID-19 measures and precautions, there is no certainty that the measures we have taken or will take in the future will be sufficient to mitigate the risks posed by the pandemic.</w:t>
      </w:r>
    </w:p>
    <w:p>
      <w:pPr>
        <w:spacing w:after="0" w:line="157" w:lineRule="exact"/>
        <w:rPr>
          <w:sz w:val="20"/>
          <w:szCs w:val="20"/>
          <w:color w:val="auto"/>
        </w:rPr>
      </w:pPr>
    </w:p>
    <w:p>
      <w:pPr>
        <w:ind w:right="60" w:firstLine="644"/>
        <w:spacing w:after="0" w:line="239" w:lineRule="auto"/>
        <w:rPr>
          <w:sz w:val="20"/>
          <w:szCs w:val="20"/>
          <w:color w:val="auto"/>
        </w:rPr>
      </w:pPr>
      <w:r>
        <w:rPr>
          <w:rFonts w:ascii="Arial" w:cs="Arial" w:eastAsia="Arial" w:hAnsi="Arial"/>
          <w:sz w:val="18"/>
          <w:szCs w:val="18"/>
          <w:color w:val="auto"/>
        </w:rPr>
        <w:t>The extent to which the COVID-19 pandemic, any future variants of the COVID-19 disease, or any future pandemic unrelated to COVID-19 impacts our business, results of operations, and financial condition will depend on developments that continue to be highly uncertain and difficult to predict, including, but not limited to, the duration and spread of any pandemic, its severity, the actions to contain a virus or treat its impact, the availability, distribution and efficacy of vaccines and the likelihood of achieving widespread</w:t>
      </w:r>
    </w:p>
    <w:p>
      <w:pPr>
        <w:spacing w:after="0" w:line="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20" w:name="page21"/>
    <w:bookmarkEnd w:id="20"/>
    <w:p>
      <w:pPr>
        <w:ind w:right="220"/>
        <w:spacing w:after="0" w:line="248" w:lineRule="auto"/>
        <w:rPr>
          <w:sz w:val="20"/>
          <w:szCs w:val="20"/>
          <w:color w:val="auto"/>
        </w:rPr>
      </w:pPr>
      <w:r>
        <w:rPr>
          <w:rFonts w:ascii="Arial" w:cs="Arial" w:eastAsia="Arial" w:hAnsi="Arial"/>
          <w:sz w:val="18"/>
          <w:szCs w:val="18"/>
          <w:color w:val="auto"/>
        </w:rPr>
        <w:t>global vaccination rates, and the uncertainty of the timing of the broader economic recovery to pre-pandemic levels. Even after a pandemic has subsided, we may experience material and adverse impacts to our business as a result of the its global economic impact, including the availability of credit, bankruptcies or insolvencies of buyers and sellers, and any future periods of macroeconomic volatility.</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could be adversely impacted by changes in the Internet and mobile device accessibility of users.</w:t>
      </w:r>
    </w:p>
    <w:p>
      <w:pPr>
        <w:spacing w:after="0" w:line="117" w:lineRule="exact"/>
        <w:rPr>
          <w:sz w:val="20"/>
          <w:szCs w:val="20"/>
          <w:color w:val="auto"/>
        </w:rPr>
      </w:pPr>
    </w:p>
    <w:p>
      <w:pPr>
        <w:jc w:val="both"/>
        <w:ind w:right="40" w:firstLine="644"/>
        <w:spacing w:after="0" w:line="271" w:lineRule="auto"/>
        <w:rPr>
          <w:sz w:val="20"/>
          <w:szCs w:val="20"/>
          <w:color w:val="auto"/>
        </w:rPr>
      </w:pPr>
      <w:r>
        <w:rPr>
          <w:rFonts w:ascii="Arial" w:cs="Arial" w:eastAsia="Arial" w:hAnsi="Arial"/>
          <w:sz w:val="16"/>
          <w:szCs w:val="16"/>
          <w:color w:val="auto"/>
        </w:rPr>
        <w:t>Our business depends on users’ access to our platform via a personal computer or mobile device and the Internet. We have started to enable sellers to access our platform via a mobile browser, which we believe is important to the growth of our business by adding sellers to our marketplace and enabling faster seller response times to orders. We may operate in jurisdictions that provide limited Internet connectivity, particularly as we expand internationally.</w:t>
      </w:r>
    </w:p>
    <w:p>
      <w:pPr>
        <w:ind w:right="20"/>
        <w:spacing w:after="0" w:line="237" w:lineRule="auto"/>
        <w:rPr>
          <w:sz w:val="20"/>
          <w:szCs w:val="20"/>
          <w:color w:val="auto"/>
        </w:rPr>
      </w:pPr>
      <w:r>
        <w:rPr>
          <w:rFonts w:ascii="Arial" w:cs="Arial" w:eastAsia="Arial" w:hAnsi="Arial"/>
          <w:sz w:val="18"/>
          <w:szCs w:val="18"/>
          <w:color w:val="auto"/>
        </w:rPr>
        <w:t>Internet access and access to a mobile device or personal computer are frequently provided by companies with significant market power that could take actions that degrade, disrupt, or increase the cost of users’ ability to access our platform. In addition, the Internet infrastructure that we and users of our platform rely on in any particular geographic area may be unable to support the demands placed upon it and could interfere with the speed and availability of our platform. Any such failure in Internet or mobile device or computer accessibility, even for a short period of time, could adversely affect our results of operations.</w:t>
      </w:r>
    </w:p>
    <w:p>
      <w:pPr>
        <w:spacing w:after="0" w:line="177"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b w:val="1"/>
          <w:bCs w:val="1"/>
          <w:i w:val="1"/>
          <w:iCs w:val="1"/>
          <w:color w:val="auto"/>
        </w:rPr>
        <w:t>Interruptions to or other problems with our website and platform, information technology systems, manufacturing processes or other operations could damage our reputation and brand and substantially harm our business and results of operations.</w:t>
      </w:r>
    </w:p>
    <w:p>
      <w:pPr>
        <w:spacing w:after="0" w:line="76" w:lineRule="exact"/>
        <w:rPr>
          <w:sz w:val="20"/>
          <w:szCs w:val="20"/>
          <w:color w:val="auto"/>
        </w:rPr>
      </w:pPr>
    </w:p>
    <w:p>
      <w:pPr>
        <w:ind w:right="120" w:firstLine="644"/>
        <w:spacing w:after="0" w:line="241" w:lineRule="auto"/>
        <w:rPr>
          <w:sz w:val="20"/>
          <w:szCs w:val="20"/>
          <w:color w:val="auto"/>
        </w:rPr>
      </w:pPr>
      <w:r>
        <w:rPr>
          <w:rFonts w:ascii="Arial" w:cs="Arial" w:eastAsia="Arial" w:hAnsi="Arial"/>
          <w:sz w:val="18"/>
          <w:szCs w:val="18"/>
          <w:color w:val="auto"/>
        </w:rPr>
        <w:t>The satisfactory performance, reliability, consistency, integrity, security and availability of our websites, marketplace and platform, information technology systems, and other operations are critical to our reputation and brand, and to our ability to effectively service buyers and sellers. Any interruptions or other problems that cause any of our websites, marketplace, platform or information technology systems to malfunction or be unavailable, or negatively impact our operations, may damage our reputation and brand, result in lost revenue, cause us to incur significant costs seeking to remedy the problem and otherwise substantially harm our business and results of operations.</w:t>
      </w:r>
    </w:p>
    <w:p>
      <w:pPr>
        <w:spacing w:after="0" w:line="176" w:lineRule="exact"/>
        <w:rPr>
          <w:sz w:val="20"/>
          <w:szCs w:val="20"/>
          <w:color w:val="auto"/>
        </w:rPr>
      </w:pPr>
    </w:p>
    <w:p>
      <w:pPr>
        <w:ind w:firstLine="644"/>
        <w:spacing w:after="0" w:line="252" w:lineRule="auto"/>
        <w:rPr>
          <w:sz w:val="20"/>
          <w:szCs w:val="20"/>
          <w:color w:val="auto"/>
        </w:rPr>
      </w:pPr>
      <w:r>
        <w:rPr>
          <w:rFonts w:ascii="Arial" w:cs="Arial" w:eastAsia="Arial" w:hAnsi="Arial"/>
          <w:sz w:val="17"/>
          <w:szCs w:val="17"/>
          <w:color w:val="auto"/>
        </w:rPr>
        <w:t>A number of factors or events could cause such interruptions or problems, including: human and software errors, hackers, viruses, malware or other malicious activity, design faults, bugs, challenges associated with upgrades, changes or new facets of our business, power loss, telecommunication failures, fire, flood, extreme weather, political instability, acts of terrorism, war, break-ins and security breaches, supply chain attacks, exploitation of vulnerabilities in our network or platform, contract disputes, labor strikes and other workforce-related issues, capacity constraints due to an unusually large number of users accessing our websites or ordering parts at the same time, and other similar events. Our buyers come to us in part for our instant pricing capabilities and that feature is often of critical importance to these buyers. We are dependent upon our facilities, in which we house computer hardware necessary to operate our websites and systems as well as managerial, customer service, sales, marketing and other similar functions, and we have not identified alternatives to these facilities or established fully redundant systems in multiple locations. We also utilize cloud computing and server capabilities with respect to each of our United States and European operations. In addition, we are dependent in part on third parties for the implementation and maintenance of certain aspects of our communications and production systems, and therefore preventing, identifying and rectifying problems with these aspects of our systems is to a large extent outside of our control.</w:t>
      </w:r>
    </w:p>
    <w:p>
      <w:pPr>
        <w:spacing w:after="0" w:line="172" w:lineRule="exact"/>
        <w:rPr>
          <w:sz w:val="20"/>
          <w:szCs w:val="20"/>
          <w:color w:val="auto"/>
        </w:rPr>
      </w:pPr>
    </w:p>
    <w:p>
      <w:pPr>
        <w:jc w:val="both"/>
        <w:ind w:right="60" w:firstLine="644"/>
        <w:spacing w:after="0" w:line="294" w:lineRule="auto"/>
        <w:rPr>
          <w:sz w:val="20"/>
          <w:szCs w:val="20"/>
          <w:color w:val="auto"/>
        </w:rPr>
      </w:pPr>
      <w:r>
        <w:rPr>
          <w:rFonts w:ascii="Arial" w:cs="Arial" w:eastAsia="Arial" w:hAnsi="Arial"/>
          <w:sz w:val="16"/>
          <w:szCs w:val="16"/>
          <w:color w:val="auto"/>
        </w:rPr>
        <w:t>Moreover, the business interruption insurance that we carry may not be sufficient to compensate us for the potentially significant losses, including the potential harm to the future growth of our business that may result from interruptions in the use of our marketplace or platform and delivery of parts as a result of system failures. Any of the foregoing could materially and adversely affect our business, prospects, financial condition and results of operations.</w:t>
      </w:r>
    </w:p>
    <w:p>
      <w:pPr>
        <w:spacing w:after="0" w:line="134" w:lineRule="exact"/>
        <w:rPr>
          <w:sz w:val="20"/>
          <w:szCs w:val="20"/>
          <w:color w:val="auto"/>
        </w:rPr>
      </w:pPr>
    </w:p>
    <w:p>
      <w:pPr>
        <w:ind w:right="540"/>
        <w:spacing w:after="0" w:line="324" w:lineRule="auto"/>
        <w:rPr>
          <w:sz w:val="20"/>
          <w:szCs w:val="20"/>
          <w:color w:val="auto"/>
        </w:rPr>
      </w:pPr>
      <w:r>
        <w:rPr>
          <w:rFonts w:ascii="Arial" w:cs="Arial" w:eastAsia="Arial" w:hAnsi="Arial"/>
          <w:sz w:val="16"/>
          <w:szCs w:val="16"/>
          <w:b w:val="1"/>
          <w:bCs w:val="1"/>
          <w:i w:val="1"/>
          <w:iCs w:val="1"/>
          <w:color w:val="auto"/>
        </w:rPr>
        <w:t>We are subject to stringent and evolving laws and regulations relating to consumer data privacy and data protection, and any actual or perceived failure by us to comply with such laws and regulations or our privacy policies could materially and adversely affect our business.</w:t>
      </w:r>
    </w:p>
    <w:p>
      <w:pPr>
        <w:spacing w:after="0" w:line="30" w:lineRule="exact"/>
        <w:rPr>
          <w:sz w:val="20"/>
          <w:szCs w:val="20"/>
          <w:color w:val="auto"/>
        </w:rPr>
      </w:pPr>
    </w:p>
    <w:p>
      <w:pPr>
        <w:ind w:firstLine="644"/>
        <w:spacing w:after="0" w:line="259" w:lineRule="auto"/>
        <w:rPr>
          <w:sz w:val="20"/>
          <w:szCs w:val="20"/>
          <w:color w:val="auto"/>
        </w:rPr>
      </w:pPr>
      <w:r>
        <w:rPr>
          <w:rFonts w:ascii="Arial" w:cs="Arial" w:eastAsia="Arial" w:hAnsi="Arial"/>
          <w:sz w:val="17"/>
          <w:szCs w:val="17"/>
          <w:color w:val="auto"/>
        </w:rPr>
        <w:t>We receive, collect, store, process, transfer and otherwise use personal data and other sensitive data. The effectiveness of our technology, including our AI and platforms, and our ability to offer our platform to users rely on the collection, storage and use of this data, including personally identifying or other sensitive data. Our collection, storage, processing, transfer and other use of this data might raise privacy and data protection concerns, which could negatively impact the demand for our services. Privacy and data protection laws or misinterpretations of such laws could restrict or add regulatory and compliance processes to our ability to effectively use and profit from those services.</w:t>
      </w:r>
    </w:p>
    <w:p>
      <w:pPr>
        <w:spacing w:after="0" w:line="160" w:lineRule="exact"/>
        <w:rPr>
          <w:sz w:val="20"/>
          <w:szCs w:val="20"/>
          <w:color w:val="auto"/>
        </w:rPr>
      </w:pPr>
    </w:p>
    <w:p>
      <w:pPr>
        <w:ind w:firstLine="644"/>
        <w:spacing w:after="0" w:line="238" w:lineRule="auto"/>
        <w:rPr>
          <w:sz w:val="20"/>
          <w:szCs w:val="20"/>
          <w:color w:val="auto"/>
        </w:rPr>
      </w:pPr>
      <w:r>
        <w:rPr>
          <w:rFonts w:ascii="Arial" w:cs="Arial" w:eastAsia="Arial" w:hAnsi="Arial"/>
          <w:sz w:val="18"/>
          <w:szCs w:val="18"/>
          <w:color w:val="auto"/>
        </w:rPr>
        <w:t>There are numerous federal, state and international laws and regulations regarding privacy, data protection, information security and the collection, storing, sharing, use, processing, transfer, disclosure and protection of personal data and other content, the scope of which are changing, subject to differing interpretations, and may be inconsistent among countries or conflict with other laws and regulations. We are also subject to the terms of our privacy and information policies and contractual or other obligations to third parties related to privacy, data protection and information security. We strive to comply with applicable laws, regulations, policies and</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21" w:name="page22"/>
    <w:bookmarkEnd w:id="21"/>
    <w:p>
      <w:pPr>
        <w:ind w:right="140"/>
        <w:spacing w:after="0" w:line="238" w:lineRule="auto"/>
        <w:rPr>
          <w:sz w:val="20"/>
          <w:szCs w:val="20"/>
          <w:color w:val="auto"/>
        </w:rPr>
      </w:pPr>
      <w:r>
        <w:rPr>
          <w:rFonts w:ascii="Arial" w:cs="Arial" w:eastAsia="Arial" w:hAnsi="Arial"/>
          <w:sz w:val="18"/>
          <w:szCs w:val="18"/>
          <w:color w:val="auto"/>
        </w:rPr>
        <w:t>other legal obligations relating to privacy, data protection and information security to the extent possible. However, the regulatory framework for privacy and data protection worldwide is, and is likely to remain for the foreseeable future, uncertain and complex, and it is possible that these or other actual or alleged obligations may be interpreted and applied in a manner that we do not anticipate or that is inconsistent from one jurisdiction to another and may conflict with other rules or our practices. Further, any significant change to applicable laws, regulations or industry practices regarding the collection, use, retention, security or disclosure of personal data, or their interpretation, or any changes regarding the manner in which the consent of users or other data subjects for the collection, use, retention or disclosure of such data must be obtained, could increase our costs and require us to modify our services and features, possibly in a material manner, which we may be unable to complete, and may limit our ability to store and process user data or develop new services and features.</w:t>
      </w:r>
    </w:p>
    <w:p>
      <w:pPr>
        <w:spacing w:after="0" w:line="180" w:lineRule="exact"/>
        <w:rPr>
          <w:sz w:val="20"/>
          <w:szCs w:val="20"/>
          <w:color w:val="auto"/>
        </w:rPr>
      </w:pPr>
    </w:p>
    <w:p>
      <w:pPr>
        <w:ind w:right="40" w:firstLine="644"/>
        <w:spacing w:after="0"/>
        <w:rPr>
          <w:sz w:val="20"/>
          <w:szCs w:val="20"/>
          <w:color w:val="auto"/>
        </w:rPr>
      </w:pPr>
      <w:r>
        <w:rPr>
          <w:rFonts w:ascii="Arial" w:cs="Arial" w:eastAsia="Arial" w:hAnsi="Arial"/>
          <w:sz w:val="18"/>
          <w:szCs w:val="18"/>
          <w:color w:val="auto"/>
        </w:rPr>
        <w:t>If we were found to be in violation of any applicable privacy or data protection laws or regulations, our business may be materially and adversely affected, and we would likely have to change our business practices and potentially the services and features available through our platform. In addition, these laws and regulations could impose significant costs on us and could make it more difficult for us to use our current technology to and connect buyers and sellers. In addition, if a breach of data security were to occur, or other violation of privacy or data protection laws and regulations were to be alleged, our solutions may be perceived as less desirable and our business, prospects, financial condition and results of operations could be materially and adversely affected.</w:t>
      </w:r>
    </w:p>
    <w:p>
      <w:pPr>
        <w:spacing w:after="0" w:line="176" w:lineRule="exact"/>
        <w:rPr>
          <w:sz w:val="20"/>
          <w:szCs w:val="20"/>
          <w:color w:val="auto"/>
        </w:rPr>
      </w:pPr>
    </w:p>
    <w:p>
      <w:pPr>
        <w:ind w:firstLine="644"/>
        <w:spacing w:after="0" w:line="252" w:lineRule="auto"/>
        <w:rPr>
          <w:sz w:val="20"/>
          <w:szCs w:val="20"/>
          <w:color w:val="auto"/>
        </w:rPr>
      </w:pPr>
      <w:r>
        <w:rPr>
          <w:rFonts w:ascii="Arial" w:cs="Arial" w:eastAsia="Arial" w:hAnsi="Arial"/>
          <w:sz w:val="17"/>
          <w:szCs w:val="17"/>
          <w:color w:val="auto"/>
        </w:rPr>
        <w:t>We expect that there will continue to be new laws, regulations and industry standards concerning privacy, data protection and information security proposed and enacted in various jurisdictions. For example, European legislators adopted the General Data Protection Regulation, or GDPR, which became effective on May 25, 2018, and are now in the process of finalizing the ePrivacy Regulation to replace the European ePrivacy Directive (Directive 2002/58/EC as amended by Directive 2009/136/EC). The GDPR further implemented through binding guidance by the European Data Protection Board (and supplemented by national laws in individual EU member states), applies extra-territorially, imposes stringent data protection compliance requirements and provides for significant penalties for noncompliance. The GDPR created new compliance obligations applicable to our business and users, including obligations and restrictions concerning the consent and rights of individuals to whom the personal data relates, security breach notifications and the security and confidentiality of personal data. The GDPR has caused us to change, and we may in the future need to make further changes to, our business practices, and includes significant financial penalties for noncompliance (including possible fines of up to the greater of €20 million and 4% of our global annual turnover for the preceding financial year for the most serious violations, as well as the right to compensation for financial or non-financial damages claimed by any individuals under Article 82 of the GDPR). We are taking steps to comply with the GDPR, but this is an ongoing compliance process. This may be onerous and if our efforts to comply with GDPR or other applicable EU laws and regulations are not successful, or are perceived to be unsuccessful, it could adversely affect our business in the EU.</w:t>
      </w:r>
    </w:p>
    <w:p>
      <w:pPr>
        <w:spacing w:after="0" w:line="167" w:lineRule="exact"/>
        <w:rPr>
          <w:sz w:val="20"/>
          <w:szCs w:val="20"/>
          <w:color w:val="auto"/>
        </w:rPr>
      </w:pPr>
    </w:p>
    <w:p>
      <w:pPr>
        <w:ind w:right="20" w:firstLine="644"/>
        <w:spacing w:after="0" w:line="267" w:lineRule="auto"/>
        <w:rPr>
          <w:sz w:val="20"/>
          <w:szCs w:val="20"/>
          <w:color w:val="auto"/>
        </w:rPr>
      </w:pPr>
      <w:r>
        <w:rPr>
          <w:rFonts w:ascii="Arial" w:cs="Arial" w:eastAsia="Arial" w:hAnsi="Arial"/>
          <w:sz w:val="16"/>
          <w:szCs w:val="16"/>
          <w:color w:val="auto"/>
        </w:rPr>
        <w:t>Additionally, California passed the California Consumer Privacy Act, or CCPA, which became effective on January 1, 2020. The CCPA provides new data privacy rights for consumers and new operational requirements for companies. Specifically, the CCPA mandates that covered companies provide new disclosures to California consumers and afford such consumers new data privacy rights that include, among other things, the right to request a copy from a covered company of the personal information collected about them and the right to request deletion of such personal information. The California Attorney General can enforce the CCPA, including seeking an injunction and civil penalties for violations. The CCPA also provides a private right of action for certain data breaches that is expected to increase data breach litigation. Additionally, a new privacy law, the California Privacy Rights Act, or CPRA, was approved by California voters in the November 3, 2020 election. The CPRA generally takes effect on January 1, 2023 and significantly modifies the CCPA, including by expanding consumers’ rights with respect to certain personal information and creating a new state agency to oversee implementation and enforcement efforts, potentially resulting in further uncertainty and requiring us to incur additional costs and expenses in an effort to comply. The CPRA will, among other things, give California residents the ability to limit use of certain sensitive personal information, further restrict the use of cross-contextual advertising, establish restrictions on the retention of personal information, expand the types of data breaches subject to the CCPA’s private right of action and provide for increased penalties for CPRA violations concerning California residents under the age of 16. Given its nascency, we cannot yet predict the full impact of the CCPA on our business or operations, but it may require us to modify our data practices and policies and to incur substantial costs and expenses in an effort to comply. Additionally, the CCPA and other legal and regulatory changes are making it easier for certain individuals to opt out of having their personal data processed and disclosed to third parties through various opt-out mechanisms, which could result in an increase to our operational costs to ensure compliance with such legal and regulatory changes. In recent years, there has also been an increase in attention to and regulation of data protection and data privacy across the globe, including in the United States with the increasingly active approach of the Federal Trade Commission (“FTC”) with respect to data privacy issues under Section 5 of the FTC Act’s unfair and deceptive acts framework, as well as contemplated data privacy statutes and regulations in many states as well as at the federal level. Current pending or future proposed legislation may result in changes to the current regulatory landscape, including enforcement measures and sanctions.</w:t>
      </w:r>
    </w:p>
    <w:p>
      <w:pPr>
        <w:spacing w:after="0" w:line="159" w:lineRule="exact"/>
        <w:rPr>
          <w:sz w:val="20"/>
          <w:szCs w:val="20"/>
          <w:color w:val="auto"/>
        </w:rPr>
      </w:pPr>
    </w:p>
    <w:p>
      <w:pPr>
        <w:jc w:val="both"/>
        <w:ind w:right="80" w:firstLine="644"/>
        <w:spacing w:after="0"/>
        <w:rPr>
          <w:sz w:val="20"/>
          <w:szCs w:val="20"/>
          <w:color w:val="auto"/>
        </w:rPr>
      </w:pPr>
      <w:r>
        <w:rPr>
          <w:rFonts w:ascii="Arial" w:cs="Arial" w:eastAsia="Arial" w:hAnsi="Arial"/>
          <w:sz w:val="18"/>
          <w:szCs w:val="18"/>
          <w:color w:val="auto"/>
        </w:rPr>
        <w:t>Any failure or perceived failure by us to comply with our posted privacy policies, our privacy-related obligations to users or other third parties, or any other legal obligations or regulatory requirements relating to privacy, data protection or information security may result in governmental investigations or enforcement actions, litigation, claims or public statements against us by consumer</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22" w:name="page23"/>
    <w:bookmarkEnd w:id="22"/>
    <w:p>
      <w:pPr>
        <w:ind w:right="40"/>
        <w:spacing w:after="0" w:line="253" w:lineRule="auto"/>
        <w:rPr>
          <w:sz w:val="20"/>
          <w:szCs w:val="20"/>
          <w:color w:val="auto"/>
        </w:rPr>
      </w:pPr>
      <w:r>
        <w:rPr>
          <w:rFonts w:ascii="Arial" w:cs="Arial" w:eastAsia="Arial" w:hAnsi="Arial"/>
          <w:sz w:val="17"/>
          <w:szCs w:val="17"/>
          <w:color w:val="auto"/>
        </w:rPr>
        <w:t>advocacy groups or others and could result in significant liability, cause our buyers, sellers or third-party partners to lose trust in us, and otherwise materially and adversely affect our reputation and business. Furthermore, the costs of compliance with, and other burdens imposed by, the laws, regulations and policies that are applicable to the businesses of our users may limit the adoption and use of, and reduce the overall demand for, our marketplace and platform. Additionally, if third parties we work with violate applicable laws, regulations or agreements, such violations may put our users’ data at risk, could result in governmental investigations or enforcement actions, fines, litigation, claims, or public statements against us by consumer advocacy groups or others and could result in significant liability, cause our buyers, sellers or third-party partners to lose trust in us and otherwise materially and adversely affect our reputation and business. Further, public scrutiny of, or complaints about, technology companies or their data handling or data protection practices, even if unrelated to our business, industry or operations, may lead to increased scrutiny of technology companies, including us, and may cause government agencies to enact additional regulatory requirements, or to modify their enforcement or investigation activities, which may increase our costs and risks.</w:t>
      </w:r>
    </w:p>
    <w:p>
      <w:pPr>
        <w:spacing w:after="0" w:line="167" w:lineRule="exact"/>
        <w:rPr>
          <w:sz w:val="20"/>
          <w:szCs w:val="20"/>
          <w:color w:val="auto"/>
        </w:rPr>
      </w:pPr>
    </w:p>
    <w:p>
      <w:pPr>
        <w:ind w:right="40" w:firstLine="644"/>
        <w:spacing w:after="0"/>
        <w:rPr>
          <w:sz w:val="20"/>
          <w:szCs w:val="20"/>
          <w:color w:val="auto"/>
        </w:rPr>
      </w:pPr>
      <w:r>
        <w:rPr>
          <w:rFonts w:ascii="Arial" w:cs="Arial" w:eastAsia="Arial" w:hAnsi="Arial"/>
          <w:sz w:val="18"/>
          <w:szCs w:val="18"/>
          <w:color w:val="auto"/>
        </w:rPr>
        <w:t>Additionally, certain actions of our users that are deemed to be a misuse of or unauthorized disclosure of another user’s personal data could negatively affect our reputation and brand and impose liability on us. While we have adopted policies regarding the misuse or unauthorized disclosure of personal data obtained through our services by our users and retain authority to put a hold on or permanently disable user accounts, users could nonetheless misuse or disclose another user’s personal data. The safeguards we have in place may not be sufficient to avoid liability on our part or avoid harm to our reputation and brand, especially if such misuse or unauthorized disclosure of personal data was high profile, which could adversely affect our ability to expand our user base, and our business and financial results.</w:t>
      </w:r>
    </w:p>
    <w:p>
      <w:pPr>
        <w:spacing w:after="0" w:line="176" w:lineRule="exact"/>
        <w:rPr>
          <w:sz w:val="20"/>
          <w:szCs w:val="20"/>
          <w:color w:val="auto"/>
        </w:rPr>
      </w:pPr>
    </w:p>
    <w:p>
      <w:pPr>
        <w:ind w:right="80" w:firstLine="644"/>
        <w:spacing w:after="0" w:line="243" w:lineRule="auto"/>
        <w:rPr>
          <w:sz w:val="20"/>
          <w:szCs w:val="20"/>
          <w:color w:val="auto"/>
        </w:rPr>
      </w:pPr>
      <w:r>
        <w:rPr>
          <w:rFonts w:ascii="Arial" w:cs="Arial" w:eastAsia="Arial" w:hAnsi="Arial"/>
          <w:sz w:val="18"/>
          <w:szCs w:val="18"/>
          <w:color w:val="auto"/>
        </w:rPr>
        <w:t>Any court ruling or other governmental action that imposes liability on providers of online services for the activities of their users and other third parties could harm our business. In such circumstances, we may also be subject to liability under applicable law in a way which may not be fully mitigated by the user terms of service we require our users to agree to. Any of the foregoing could materially and adversely affect our business, prospects, financial condition and results of operations.</w:t>
      </w:r>
    </w:p>
    <w:p>
      <w:pPr>
        <w:spacing w:after="0" w:line="174"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b w:val="1"/>
          <w:bCs w:val="1"/>
          <w:i w:val="1"/>
          <w:iCs w:val="1"/>
          <w:color w:val="auto"/>
        </w:rPr>
        <w:t>Government regulation of the Internet and e-commerce is evolving, and unfavorable changes could adversely affect our business, financial condition, and results of operations.</w:t>
      </w:r>
    </w:p>
    <w:p>
      <w:pPr>
        <w:spacing w:after="0" w:line="76" w:lineRule="exact"/>
        <w:rPr>
          <w:sz w:val="20"/>
          <w:szCs w:val="20"/>
          <w:color w:val="auto"/>
        </w:rPr>
      </w:pPr>
    </w:p>
    <w:p>
      <w:pPr>
        <w:ind w:firstLine="644"/>
        <w:spacing w:after="0" w:line="270" w:lineRule="auto"/>
        <w:rPr>
          <w:sz w:val="20"/>
          <w:szCs w:val="20"/>
          <w:color w:val="auto"/>
        </w:rPr>
      </w:pPr>
      <w:r>
        <w:rPr>
          <w:rFonts w:ascii="Arial" w:cs="Arial" w:eastAsia="Arial" w:hAnsi="Arial"/>
          <w:sz w:val="16"/>
          <w:szCs w:val="16"/>
          <w:color w:val="auto"/>
        </w:rPr>
        <w:t>We are subject to general business regulations and laws as well as federal and state regulations and laws specifically governing the Internet and e-commerce that are frequently evolving. Existing and future laws and regulations, or changes thereto, may impede the growth of the Internet and e-commerce, or other online services, and increase the cost of operating our platform or operating our marketplace online, require us to change our business practices, or raise compliance costs or other costs of doing business. These regulations and laws, which continue to evolve, may cover taxation, tariffs, user privacy, data protection, pricing and commissions, content, copyrights, distribution, social media marketing, advertising practices, sweepstakes, mobile, electronic contracts and other communications, consumer protection, broadband residential Internet access, and the characteristics and quality of services. It is not clear how existing laws governing issues such as property ownership, sales, use, and other taxes, libel, and personal privacy apply to the Internet and e-commerce. In addition, as we continue to expand internationally, it is possible that foreign government entities may seek to censor content available on our website or mobile application or may even attempt to block access to our website or mobile application. Any failure, or perceived failure, by us to comply with any of these laws or regulations could result in damage to our reputation and brand, a loss in business, and proceedings or actions against us by governmental entities or others, which could adversely affect our business, financial condition, and results of operations.</w:t>
      </w:r>
    </w:p>
    <w:p>
      <w:pPr>
        <w:spacing w:after="0" w:line="153" w:lineRule="exact"/>
        <w:rPr>
          <w:sz w:val="20"/>
          <w:szCs w:val="20"/>
          <w:color w:val="auto"/>
        </w:rPr>
      </w:pPr>
    </w:p>
    <w:p>
      <w:pPr>
        <w:ind w:right="420"/>
        <w:spacing w:after="0" w:line="291" w:lineRule="auto"/>
        <w:rPr>
          <w:sz w:val="20"/>
          <w:szCs w:val="20"/>
          <w:color w:val="auto"/>
        </w:rPr>
      </w:pPr>
      <w:r>
        <w:rPr>
          <w:rFonts w:ascii="Arial" w:cs="Arial" w:eastAsia="Arial" w:hAnsi="Arial"/>
          <w:sz w:val="17"/>
          <w:szCs w:val="17"/>
          <w:b w:val="1"/>
          <w:bCs w:val="1"/>
          <w:i w:val="1"/>
          <w:iCs w:val="1"/>
          <w:color w:val="auto"/>
        </w:rPr>
        <w:t>Growth of our business will depend on a strong reputation and brand and any failure to maintain, protect, and enhance our brand would hurt our ability to retain or expand our base of buyers and sellers and our ability to increase their level of engagement.</w:t>
      </w:r>
    </w:p>
    <w:p>
      <w:pPr>
        <w:spacing w:after="0" w:line="52" w:lineRule="exact"/>
        <w:rPr>
          <w:sz w:val="20"/>
          <w:szCs w:val="20"/>
          <w:color w:val="auto"/>
        </w:rPr>
      </w:pPr>
    </w:p>
    <w:p>
      <w:pPr>
        <w:ind w:right="20" w:firstLine="644"/>
        <w:spacing w:after="0" w:line="238" w:lineRule="auto"/>
        <w:rPr>
          <w:sz w:val="20"/>
          <w:szCs w:val="20"/>
          <w:color w:val="auto"/>
        </w:rPr>
      </w:pPr>
      <w:r>
        <w:rPr>
          <w:rFonts w:ascii="Arial" w:cs="Arial" w:eastAsia="Arial" w:hAnsi="Arial"/>
          <w:sz w:val="18"/>
          <w:szCs w:val="18"/>
          <w:color w:val="auto"/>
        </w:rPr>
        <w:t>We believe that building a strong reputation, identity and brand are critical to our ability to attract and retain buyers and sellers and increase their engagement with our platform and transactions on our marketplace, and will only become more important as competition in our industry intensifies. Successfully obtaining, maintaining, protecting, and enhancing our reputation and brand and increasing network effects of engagement on our platform and transactions on our marketplace will depend on the success of our sales and marketing efforts, our ability to provide consistent, high-quality services and support, and our ability to successfully secure, maintain, defend and enforce our intellectual property or other proprietary rights to use the “Xometry” mark, our logo, and other trademarks important to our brand, as well as a number of other factors, many of which are outside our control. We believe that our sales and marketing initiatives have been critical in promoting awareness of the products and services available to sellers on our platform and buyers organically expanding their accounts by adding more users and service, but future marketing efforts may not be successful or cost-effective. Our buyers’ preferences may change from time to time. In addition, to expand our buyer base, we must appeal to new buyers who may have historically used other manufacturing methods.</w:t>
      </w:r>
    </w:p>
    <w:p>
      <w:pPr>
        <w:spacing w:after="0" w:line="175" w:lineRule="exact"/>
        <w:rPr>
          <w:sz w:val="20"/>
          <w:szCs w:val="20"/>
          <w:color w:val="auto"/>
        </w:rPr>
      </w:pPr>
    </w:p>
    <w:p>
      <w:pPr>
        <w:ind w:right="300" w:firstLine="644"/>
        <w:spacing w:after="0" w:line="244" w:lineRule="auto"/>
        <w:rPr>
          <w:sz w:val="20"/>
          <w:szCs w:val="20"/>
          <w:color w:val="auto"/>
        </w:rPr>
      </w:pPr>
      <w:r>
        <w:rPr>
          <w:rFonts w:ascii="Arial" w:cs="Arial" w:eastAsia="Arial" w:hAnsi="Arial"/>
          <w:sz w:val="18"/>
          <w:szCs w:val="18"/>
          <w:color w:val="auto"/>
        </w:rPr>
        <w:t>Our reputation, brand, and ability to build trust with existing and new buyers and sellers may be adversely affected by complaints and negative publicity about us, our buyers or our sellers, even if factually incorrect or based on isolated incidents.</w:t>
      </w: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color w:val="auto"/>
        </w:rPr>
        <w:t>Negative perception of our platform, marketplace or company may harm our reputation, brand, and network effects, including as a result of:</w:t>
      </w:r>
    </w:p>
    <w:p>
      <w:pPr>
        <w:spacing w:after="0" w:line="104" w:lineRule="exact"/>
        <w:rPr>
          <w:sz w:val="20"/>
          <w:szCs w:val="20"/>
          <w:color w:val="auto"/>
        </w:rPr>
      </w:pPr>
    </w:p>
    <w:p>
      <w:pPr>
        <w:ind w:left="1020" w:hanging="503"/>
        <w:spacing w:after="0" w:line="261" w:lineRule="auto"/>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complaints or negative publicity about us, our platform, our marketplace, our buyers, our sellers, or our policies and guidelines, including our pricing model;</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price quote, production, lead time or shipping delays;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real or perceived manufacturing or quality control inadequacies;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fraud;</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illegal, negligent, reckless, or otherwise inappropriate behavior by buyers, sellers or third parties;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failure to provide sellers with a sufficient level of orders or repeat business;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failure to offer buyers or sellers competitive pricing and lead times;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failure to provide a range of manufacturing processes sought by buyers;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failure to provide manufacturing processes that limit environmental harm;</w:t>
      </w:r>
    </w:p>
    <w:p>
      <w:pPr>
        <w:spacing w:after="0" w:line="103" w:lineRule="exact"/>
        <w:rPr>
          <w:rFonts w:ascii="Arial" w:cs="Arial" w:eastAsia="Arial" w:hAnsi="Arial"/>
          <w:sz w:val="18"/>
          <w:szCs w:val="18"/>
          <w:color w:val="auto"/>
        </w:rPr>
      </w:pPr>
    </w:p>
    <w:p>
      <w:pPr>
        <w:ind w:left="1020" w:right="40" w:hanging="503"/>
        <w:spacing w:after="0" w:line="248" w:lineRule="auto"/>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actual or perceived disruptions to or defects in our platform or similar incidents, such as privacy or data security breaches or other security incidents, site outages, payment disruptions, or other incidents that impact the reliability of our services, as discussed elsewhere in this “Risk Factors” section;</w:t>
      </w:r>
    </w:p>
    <w:p>
      <w:pPr>
        <w:spacing w:after="0" w:line="73" w:lineRule="exact"/>
        <w:rPr>
          <w:rFonts w:ascii="Arial" w:cs="Arial" w:eastAsia="Arial" w:hAnsi="Arial"/>
          <w:sz w:val="18"/>
          <w:szCs w:val="18"/>
          <w:color w:val="auto"/>
        </w:rPr>
      </w:pPr>
    </w:p>
    <w:p>
      <w:pPr>
        <w:ind w:left="1020" w:hanging="503"/>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litigation over, or investigations by regulators into, our company or the industry in which we operate;</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buyers’ or sellers’ lack of awareness of, or compliance with, our policies;</w:t>
      </w:r>
    </w:p>
    <w:p>
      <w:pPr>
        <w:spacing w:after="0" w:line="103" w:lineRule="exact"/>
        <w:rPr>
          <w:rFonts w:ascii="Arial" w:cs="Arial" w:eastAsia="Arial" w:hAnsi="Arial"/>
          <w:sz w:val="18"/>
          <w:szCs w:val="18"/>
          <w:color w:val="auto"/>
        </w:rPr>
      </w:pPr>
    </w:p>
    <w:p>
      <w:pPr>
        <w:ind w:left="1020" w:right="420" w:hanging="503"/>
        <w:spacing w:after="0" w:line="261" w:lineRule="auto"/>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to our policies that users or others perceive as overly restrictive, unclear, inconsistent with our values or mission, or not clearly articulated;</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failure to comply with legal, tax, and regulatory requirements, as discussed elsewhere in this “Risk Factors” section;</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failure to enforce our policies in a manner that users perceive as effective, fair, and transparent;</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failure to operate our business in a way that is consistent with our values and mission;</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inadequate or unsatisfactory support experiences;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illegal or otherwise inappropriate behavior by our management team or other employees or contractors;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negative responses by buyers or sellers to new services or manufacturing processes available on our marketplace;</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failure to register or to prevent infringement, misappropriation or other violation of our trademarks;</w:t>
      </w:r>
    </w:p>
    <w:p>
      <w:pPr>
        <w:spacing w:after="0" w:line="103" w:lineRule="exact"/>
        <w:rPr>
          <w:rFonts w:ascii="Arial" w:cs="Arial" w:eastAsia="Arial" w:hAnsi="Arial"/>
          <w:sz w:val="18"/>
          <w:szCs w:val="18"/>
          <w:color w:val="auto"/>
        </w:rPr>
      </w:pPr>
    </w:p>
    <w:p>
      <w:pPr>
        <w:ind w:left="1020" w:right="120" w:hanging="503"/>
        <w:spacing w:after="0" w:line="261" w:lineRule="auto"/>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perception of our treatment of buyers and sellers and our response to buyer or seller sentiment related to political or social causes or actions of management; or</w:t>
      </w:r>
    </w:p>
    <w:p>
      <w:pPr>
        <w:spacing w:after="0" w:line="62" w:lineRule="exact"/>
        <w:rPr>
          <w:rFonts w:ascii="Arial" w:cs="Arial" w:eastAsia="Arial" w:hAnsi="Arial"/>
          <w:sz w:val="18"/>
          <w:szCs w:val="18"/>
          <w:color w:val="auto"/>
        </w:rPr>
      </w:pPr>
    </w:p>
    <w:p>
      <w:pPr>
        <w:ind w:left="1020" w:right="140" w:hanging="503"/>
        <w:spacing w:after="0" w:line="261" w:lineRule="auto"/>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any of the foregoing with respect to our competitors, to the extent such resulting negative perception affects the public’s perception of us or our industry as a whole.</w:t>
      </w:r>
    </w:p>
    <w:p>
      <w:pPr>
        <w:spacing w:after="0" w:line="103"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b w:val="1"/>
          <w:bCs w:val="1"/>
          <w:i w:val="1"/>
          <w:iCs w:val="1"/>
          <w:color w:val="auto"/>
        </w:rPr>
        <w:t>Our company culture and values have contributed to our success and if we cannot maintain and evolve our culture as we grow, our business could be adversely affected.</w:t>
      </w:r>
    </w:p>
    <w:p>
      <w:pPr>
        <w:spacing w:after="0" w:line="63" w:lineRule="exact"/>
        <w:rPr>
          <w:sz w:val="20"/>
          <w:szCs w:val="20"/>
          <w:color w:val="auto"/>
        </w:rPr>
      </w:pPr>
    </w:p>
    <w:p>
      <w:pPr>
        <w:ind w:right="320" w:firstLine="644"/>
        <w:spacing w:after="0" w:line="261" w:lineRule="auto"/>
        <w:rPr>
          <w:sz w:val="20"/>
          <w:szCs w:val="20"/>
          <w:color w:val="auto"/>
        </w:rPr>
      </w:pPr>
      <w:r>
        <w:rPr>
          <w:rFonts w:ascii="Arial" w:cs="Arial" w:eastAsia="Arial" w:hAnsi="Arial"/>
          <w:sz w:val="18"/>
          <w:szCs w:val="18"/>
          <w:color w:val="auto"/>
        </w:rPr>
        <w:t>We believe that our company culture has been critical to our success. We face a number of challenges that may affect our ability to sustain our corporate culture, including:</w:t>
      </w:r>
    </w:p>
    <w:p>
      <w:pPr>
        <w:spacing w:after="0" w:line="63" w:lineRule="exact"/>
        <w:rPr>
          <w:sz w:val="20"/>
          <w:szCs w:val="20"/>
          <w:color w:val="auto"/>
        </w:rPr>
      </w:pPr>
    </w:p>
    <w:p>
      <w:pPr>
        <w:ind w:left="1020" w:right="40" w:hanging="503"/>
        <w:spacing w:after="0" w:line="261" w:lineRule="auto"/>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failure to identify, attract, reward, and retain people in leadership positions in our organization who share and further our culture, values, and mission;</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failure to further our diversity efforts with respect to our leadership team and our offerings;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increasing size and geographic diversity of our workforce;</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competitive pressures to move in directions that may divert us from our mission, vision, and values;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continued challenges of a rapidly evolving industry; and</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integration of new personnel and businesses from acquisitions.</w:t>
      </w:r>
    </w:p>
    <w:p>
      <w:pPr>
        <w:spacing w:after="0" w:line="12" w:lineRule="exact"/>
        <w:rPr>
          <w:sz w:val="20"/>
          <w:szCs w:val="20"/>
          <w:color w:val="auto"/>
        </w:rPr>
      </w:pPr>
    </w:p>
    <w:p>
      <w:pPr>
        <w:jc w:val="center"/>
        <w:ind w:left="560" w:right="420"/>
        <w:spacing w:after="0" w:line="243" w:lineRule="auto"/>
        <w:rPr>
          <w:sz w:val="20"/>
          <w:szCs w:val="20"/>
          <w:color w:val="auto"/>
        </w:rPr>
      </w:pPr>
      <w:r>
        <w:rPr>
          <w:rFonts w:ascii="Arial" w:cs="Arial" w:eastAsia="Arial" w:hAnsi="Arial"/>
          <w:sz w:val="18"/>
          <w:szCs w:val="18"/>
          <w:color w:val="auto"/>
        </w:rPr>
        <w:t>If we are not able to maintain and evolve our culture, our business, financial condition, and results of operations could be adversely affected.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45720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28" w:right="379" w:bottom="1440" w:gutter="0" w:footer="0" w:header="0"/>
        </w:sectPr>
      </w:pPr>
    </w:p>
    <w:bookmarkStart w:id="24" w:name="page25"/>
    <w:bookmarkEnd w:id="24"/>
    <w:p>
      <w:pPr>
        <w:ind w:right="680"/>
        <w:spacing w:after="0" w:line="261" w:lineRule="auto"/>
        <w:rPr>
          <w:sz w:val="20"/>
          <w:szCs w:val="20"/>
          <w:color w:val="auto"/>
        </w:rPr>
      </w:pPr>
      <w:r>
        <w:rPr>
          <w:rFonts w:ascii="Arial" w:cs="Arial" w:eastAsia="Arial" w:hAnsi="Arial"/>
          <w:sz w:val="18"/>
          <w:szCs w:val="18"/>
          <w:b w:val="1"/>
          <w:bCs w:val="1"/>
          <w:i w:val="1"/>
          <w:iCs w:val="1"/>
          <w:color w:val="auto"/>
        </w:rPr>
        <w:t>Any failure to offer high-quality support may harm our relationships with buyers and sellers and could adversely affect our business, financial condition, and results of operations.</w:t>
      </w:r>
    </w:p>
    <w:p>
      <w:pPr>
        <w:spacing w:after="0" w:line="76" w:lineRule="exact"/>
        <w:rPr>
          <w:sz w:val="20"/>
          <w:szCs w:val="20"/>
          <w:color w:val="auto"/>
        </w:rPr>
      </w:pPr>
    </w:p>
    <w:p>
      <w:pPr>
        <w:ind w:right="40" w:firstLine="644"/>
        <w:spacing w:after="0" w:line="271" w:lineRule="auto"/>
        <w:rPr>
          <w:sz w:val="20"/>
          <w:szCs w:val="20"/>
          <w:color w:val="auto"/>
        </w:rPr>
      </w:pPr>
      <w:r>
        <w:rPr>
          <w:rFonts w:ascii="Arial" w:cs="Arial" w:eastAsia="Arial" w:hAnsi="Arial"/>
          <w:sz w:val="16"/>
          <w:szCs w:val="16"/>
          <w:color w:val="auto"/>
        </w:rPr>
        <w:t>Our ability to attract and retain buyers and sellers is dependent in part on our ability to provide high-quality support. Buyers and sellers depend on our support organization to resolve any issues relating to our platform or transactions on our marketplace. In particular, our operational support team is critical to delivering manufactured parts to buyers timely and in accordance with their orders. We rely on third parties to provide some support services and our ability to provide effective support is partially dependent on our ability to attract and retain third-party software to enable and optimize our support functions. As we continue to grow our business and improve our offerings, we will face challenges related to providing high-quality support services at scale. Additionally, as we continue to grow our international business and the number of international users on our platform and transacting on our marketplace, our support organization will face additional challenges, including those associated with delivering support in languages other than English. Any failure to maintain high-quality support, or a market perception that we do not maintain high-quality support, could harm our reputation and adversely affect our ability to scale our platform, marketplace and business, our financial condition, and results of operations.</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business is subject to a variety of laws and regulations, both in the United States and internationally, many of which are evolving.</w:t>
      </w:r>
    </w:p>
    <w:p>
      <w:pPr>
        <w:spacing w:after="0" w:line="129" w:lineRule="exact"/>
        <w:rPr>
          <w:sz w:val="20"/>
          <w:szCs w:val="20"/>
          <w:color w:val="auto"/>
        </w:rPr>
      </w:pPr>
    </w:p>
    <w:p>
      <w:pPr>
        <w:ind w:firstLine="644"/>
        <w:spacing w:after="0" w:line="252" w:lineRule="auto"/>
        <w:rPr>
          <w:sz w:val="20"/>
          <w:szCs w:val="20"/>
          <w:color w:val="auto"/>
        </w:rPr>
      </w:pPr>
      <w:r>
        <w:rPr>
          <w:rFonts w:ascii="Arial" w:cs="Arial" w:eastAsia="Arial" w:hAnsi="Arial"/>
          <w:sz w:val="17"/>
          <w:szCs w:val="17"/>
          <w:color w:val="auto"/>
        </w:rPr>
        <w:t>We are subject to a wide variety of laws and regulations. Laws, regulations and standards governing issues such as worker classification, employment, payments, worker confidentiality obligations, intellectual property, consumer protection, taxation, import and export controls, privacy and data security are often complex and subject to varying interpretations, in many cases due to their lack of specificity and, as a result, their application in practice may change or develop over time through judicial decisions or as new guidance or interpretations are provided by regulatory and governing bodies, such as federal and state administrative agencies. Many of these laws were adopted prior to the advent of the internet and related technologies and, as a result, do not contemplate or address the unique issues of the internet and related technologies. Other laws and regulations may be adopted in response to internet and related technologies. New and existing laws and regulations (or changes in interpretation of existing laws and regulations) may also be adopted, implemented, or interpreted to apply to us and other online marketplaces. As our marketplace’s geographical scope expands, regulatory agencies or courts may claim that we, or our buyers or sellers, are subject to additional requirements or that we are prohibited from conducting our business in or with certain jurisdictions. It is also possible that certain provisions in agreements with our service providers or between buyers and sellers may be found to be unenforceable or not compliant with applicable law.</w:t>
      </w:r>
    </w:p>
    <w:p>
      <w:pPr>
        <w:spacing w:after="0" w:line="172" w:lineRule="exact"/>
        <w:rPr>
          <w:sz w:val="20"/>
          <w:szCs w:val="20"/>
          <w:color w:val="auto"/>
        </w:rPr>
      </w:pPr>
    </w:p>
    <w:p>
      <w:pPr>
        <w:ind w:right="20" w:firstLine="644"/>
        <w:spacing w:after="0" w:line="257" w:lineRule="auto"/>
        <w:rPr>
          <w:sz w:val="20"/>
          <w:szCs w:val="20"/>
          <w:color w:val="auto"/>
        </w:rPr>
      </w:pPr>
      <w:r>
        <w:rPr>
          <w:rFonts w:ascii="Arial" w:cs="Arial" w:eastAsia="Arial" w:hAnsi="Arial"/>
          <w:sz w:val="17"/>
          <w:szCs w:val="17"/>
          <w:color w:val="auto"/>
        </w:rPr>
        <w:t>Recent financial, political and other events may increase the level of regulatory scrutiny on larger companies, technology companies in general and, in particular, companies engaged in dealings with independent contractors or payments. Regulatory agencies may enact new laws or promulgate new regulations that are adverse to our business, or they may view matters or interpret laws and regulations differently than they have in the past or in a manner adverse to our business. Such regulatory scrutiny or action may create different or conflicting obligations on us from one jurisdiction to another. In particular, we have received letters from certain jurisdictions indicating that we are required to pay taxes based on having certain minimum contacts in such jurisdictions. We may become subject to taxation in additional jurisdictions in the future.</w:t>
      </w:r>
    </w:p>
    <w:p>
      <w:pPr>
        <w:spacing w:after="0" w:line="162" w:lineRule="exact"/>
        <w:rPr>
          <w:sz w:val="20"/>
          <w:szCs w:val="20"/>
          <w:color w:val="auto"/>
        </w:rPr>
      </w:pPr>
    </w:p>
    <w:p>
      <w:pPr>
        <w:ind w:right="100"/>
        <w:spacing w:after="0" w:line="291" w:lineRule="auto"/>
        <w:rPr>
          <w:sz w:val="20"/>
          <w:szCs w:val="20"/>
          <w:color w:val="auto"/>
        </w:rPr>
      </w:pPr>
      <w:r>
        <w:rPr>
          <w:rFonts w:ascii="Arial" w:cs="Arial" w:eastAsia="Arial" w:hAnsi="Arial"/>
          <w:sz w:val="17"/>
          <w:szCs w:val="17"/>
          <w:b w:val="1"/>
          <w:bCs w:val="1"/>
          <w:i w:val="1"/>
          <w:iCs w:val="1"/>
          <w:color w:val="auto"/>
        </w:rPr>
        <w:t>We are subject to U.S. and other anti-corruption laws, trade controls, economic sanctions and similar laws and regulations. Our failure to comply with these laws and regulations could subject us to civil, criminal and administrative penalties and harm our reputation.</w:t>
      </w:r>
    </w:p>
    <w:p>
      <w:pPr>
        <w:spacing w:after="0" w:line="5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do business worldwide, which requires us to comply with the laws and regulations of the U.S. government and various foreign jurisdictions.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These laws and regulations place restrictions on our operations, trade practices, partners and investments.</w:t>
      </w:r>
    </w:p>
    <w:p>
      <w:pPr>
        <w:spacing w:after="0" w:line="182" w:lineRule="exact"/>
        <w:rPr>
          <w:sz w:val="20"/>
          <w:szCs w:val="20"/>
          <w:color w:val="auto"/>
        </w:rPr>
      </w:pPr>
    </w:p>
    <w:p>
      <w:pPr>
        <w:ind w:right="40" w:firstLine="644"/>
        <w:spacing w:after="0" w:line="241" w:lineRule="auto"/>
        <w:rPr>
          <w:sz w:val="20"/>
          <w:szCs w:val="20"/>
          <w:color w:val="auto"/>
        </w:rPr>
      </w:pPr>
      <w:r>
        <w:rPr>
          <w:rFonts w:ascii="Arial" w:cs="Arial" w:eastAsia="Arial" w:hAnsi="Arial"/>
          <w:sz w:val="18"/>
          <w:szCs w:val="18"/>
          <w:color w:val="auto"/>
        </w:rPr>
        <w:t>In particular, our operations are subject to U.S. and foreign anti-corruption and trade control laws and regulations, such as the Foreign Corrupt Practices Act, or FCPA, export controls and economic sanctions programs, including those administered by the U.S. Treasury Department’s Office of Foreign Assets Control, or OFAC, the State Department’s Directorate of Defense Trade Controls, or DDTC, and the Bureau of Industry and Security, or BIS, of the Department of Commerce. As a result of doing business in foreign countries and with foreign customers, we are exposed to a heightened risk of violating anti-corruption and trade control laws and sanctions regulations.</w:t>
      </w:r>
    </w:p>
    <w:p>
      <w:pPr>
        <w:spacing w:after="0" w:line="176" w:lineRule="exact"/>
        <w:rPr>
          <w:sz w:val="20"/>
          <w:szCs w:val="20"/>
          <w:color w:val="auto"/>
        </w:rPr>
      </w:pPr>
    </w:p>
    <w:p>
      <w:pPr>
        <w:ind w:right="60" w:firstLine="644"/>
        <w:spacing w:after="0" w:line="237" w:lineRule="auto"/>
        <w:rPr>
          <w:sz w:val="20"/>
          <w:szCs w:val="20"/>
          <w:color w:val="auto"/>
        </w:rPr>
      </w:pPr>
      <w:r>
        <w:rPr>
          <w:rFonts w:ascii="Arial" w:cs="Arial" w:eastAsia="Arial" w:hAnsi="Arial"/>
          <w:sz w:val="18"/>
          <w:szCs w:val="18"/>
          <w:color w:val="auto"/>
        </w:rPr>
        <w:t>As part of our business, we may deal with state-owned business enterprises, the employees of which are considered foreign officials for purposes of the FCPA’s prohibition on providing anything of value to foreign officials for the purposes of obtaining or retaining business or securing any improper business advantage. In addition, the provisions of anti-bribery and anti-corruption laws in some jurisdictions extend beyond bribery of foreign public officials and also apply to transactions with individuals that a government does not employ. Some of the international locations in which we may operate lack a developed legal system and have higher than normal levels of corruption. Our continued expansion outside the U.S. could increase the risk of FCPA, OFAC or other similar violations in the future.</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0" w:right="339" w:bottom="1440" w:gutter="0" w:footer="0" w:header="0"/>
        </w:sectPr>
      </w:pPr>
    </w:p>
    <w:bookmarkStart w:id="25" w:name="page26"/>
    <w:bookmarkEnd w:id="25"/>
    <w:p>
      <w:pPr>
        <w:ind w:right="220" w:firstLine="644"/>
        <w:spacing w:after="0" w:line="274" w:lineRule="auto"/>
        <w:rPr>
          <w:sz w:val="20"/>
          <w:szCs w:val="20"/>
          <w:color w:val="auto"/>
        </w:rPr>
      </w:pPr>
      <w:r>
        <w:rPr>
          <w:rFonts w:ascii="Arial" w:cs="Arial" w:eastAsia="Arial" w:hAnsi="Arial"/>
          <w:sz w:val="16"/>
          <w:szCs w:val="16"/>
          <w:color w:val="auto"/>
        </w:rPr>
        <w:t>As an exporter, we must comply with various laws and regulations relating to the export of products and technology from the U.S. and other countries having jurisdiction over our operations. In the U.S., these laws include the International Traffic in Arms Regulations, or ITAR, administered by the DDTC, the Export Administration Regulations, or EAR, administered by the BIS and trade sanctions against embargoed countries and destinations administered by OFAC. The EAR governs products, parts, technology and software which present military or weapons proliferation concerns, so-called “dual use” items, and ITAR governs military items listed on the United States Munitions List. Prior to shipping certain items, we must obtain an export license or verify that license exemptions are available. Any failures to comply with these laws and regulations could result in fines, adverse publicity and restrictions on our ability to export our parts, and repeat failures could carry more significant penalties.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various federal, state, local and non-U.S. laws and regulations relating to environmental protection.</w:t>
      </w:r>
    </w:p>
    <w:p>
      <w:pPr>
        <w:spacing w:after="0" w:line="117" w:lineRule="exact"/>
        <w:rPr>
          <w:sz w:val="20"/>
          <w:szCs w:val="20"/>
          <w:color w:val="auto"/>
        </w:rPr>
      </w:pPr>
    </w:p>
    <w:p>
      <w:pPr>
        <w:ind w:firstLine="644"/>
        <w:spacing w:after="0"/>
        <w:rPr>
          <w:sz w:val="20"/>
          <w:szCs w:val="20"/>
          <w:color w:val="auto"/>
        </w:rPr>
      </w:pPr>
      <w:r>
        <w:rPr>
          <w:rFonts w:ascii="Arial" w:cs="Arial" w:eastAsia="Arial" w:hAnsi="Arial"/>
          <w:sz w:val="18"/>
          <w:szCs w:val="18"/>
          <w:color w:val="auto"/>
        </w:rPr>
        <w:t>We are subject to various federal, state, local and non-U.S. laws and regulations relating to environmental protection, including the discharge, treatment, storage, disposal and remediation of hazardous substances and wastes. We continually assess our compliance status and management of environmental matters to ensure our operations are in material compliance with applicable environmental laws and regulations; however, there is no guarantee that we comply with all applicable environmental laws and regulations, and as a result, we may incur costs associated with noncompliance, investigation, remediation, and operation and maintenance costs associated with environmental compliance. The cost of such compliance may increase over time, particularly as we expand our business into new jurisdictions.</w:t>
      </w:r>
    </w:p>
    <w:p>
      <w:pPr>
        <w:spacing w:after="0" w:line="176"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b w:val="1"/>
          <w:bCs w:val="1"/>
          <w:i w:val="1"/>
          <w:iCs w:val="1"/>
          <w:color w:val="auto"/>
        </w:rPr>
        <w:t>Our intellectual property and proprietary rights are valuable, and any inability to obtain, maintain, protect or enforce them could substantially harm our business, products, services and brand.</w:t>
      </w:r>
    </w:p>
    <w:p>
      <w:pPr>
        <w:spacing w:after="0" w:line="76" w:lineRule="exact"/>
        <w:rPr>
          <w:sz w:val="20"/>
          <w:szCs w:val="20"/>
          <w:color w:val="auto"/>
        </w:rPr>
      </w:pPr>
    </w:p>
    <w:p>
      <w:pPr>
        <w:ind w:right="60" w:firstLine="644"/>
        <w:spacing w:after="0" w:line="238" w:lineRule="auto"/>
        <w:rPr>
          <w:sz w:val="20"/>
          <w:szCs w:val="20"/>
          <w:color w:val="auto"/>
        </w:rPr>
      </w:pPr>
      <w:r>
        <w:rPr>
          <w:rFonts w:ascii="Arial" w:cs="Arial" w:eastAsia="Arial" w:hAnsi="Arial"/>
          <w:sz w:val="18"/>
          <w:szCs w:val="18"/>
          <w:color w:val="auto"/>
        </w:rPr>
        <w:t>Our trade secrets, trademarks, copyrights, patents, and other intellectual property and proprietary rights are critical to our success. We rely on, and expect to continue to rely on, a combination of confidentiality, invention assignment, and license agreements with our employees, consultants, and third parties with whom we have relationships, as well as trademark, trade dress, domain name, copyright, trade secret, and patent rights, to protect our brand, proprietary technology and other intellectual property rights. If we do not adequately protect our intellectual property, our brand and reputation could be harmed and competitors may be able to use our technologies and erode or negate any competitive advantage we may have, which could harm our business, negatively affect our position in the marketplace, limit our ability to commercialize our technology and delay or render impossible our achievement of profitability. A failure to protect our intellectual property in a cost-effective and meaningful manner could have a material adverse effect on our ability to compete. We regard the protection of our current or future trade secrets, copyrights, trademarks, trade dress, databases, domain names and patents as critical to our success.</w:t>
      </w:r>
    </w:p>
    <w:p>
      <w:pPr>
        <w:spacing w:after="0" w:line="178" w:lineRule="exact"/>
        <w:rPr>
          <w:sz w:val="20"/>
          <w:szCs w:val="20"/>
          <w:color w:val="auto"/>
        </w:rPr>
      </w:pPr>
    </w:p>
    <w:p>
      <w:pPr>
        <w:ind w:right="80" w:firstLine="644"/>
        <w:spacing w:after="0" w:line="243" w:lineRule="auto"/>
        <w:rPr>
          <w:sz w:val="20"/>
          <w:szCs w:val="20"/>
          <w:color w:val="auto"/>
        </w:rPr>
      </w:pPr>
      <w:r>
        <w:rPr>
          <w:rFonts w:ascii="Arial" w:cs="Arial" w:eastAsia="Arial" w:hAnsi="Arial"/>
          <w:sz w:val="18"/>
          <w:szCs w:val="18"/>
          <w:color w:val="auto"/>
        </w:rPr>
        <w:t>We strive to protect our intellectual property and proprietary rights by relying on federal, state and common law rights and other rights provided under foreign laws. These laws are subject to change at any time and could further restrict our ability to obtain, maintain, protect or enforce our intellectual property rights. In addition, the existing laws of certain foreign countries in which we operate may not protect our intellectual property rights to the same extent as do the laws of the United States.</w:t>
      </w:r>
    </w:p>
    <w:p>
      <w:pPr>
        <w:spacing w:after="0" w:line="174" w:lineRule="exact"/>
        <w:rPr>
          <w:sz w:val="20"/>
          <w:szCs w:val="20"/>
          <w:color w:val="auto"/>
        </w:rPr>
      </w:pPr>
    </w:p>
    <w:p>
      <w:pPr>
        <w:ind w:right="40" w:firstLine="644"/>
        <w:spacing w:after="0" w:line="270" w:lineRule="auto"/>
        <w:rPr>
          <w:sz w:val="20"/>
          <w:szCs w:val="20"/>
          <w:color w:val="auto"/>
        </w:rPr>
      </w:pPr>
      <w:r>
        <w:rPr>
          <w:rFonts w:ascii="Arial" w:cs="Arial" w:eastAsia="Arial" w:hAnsi="Arial"/>
          <w:sz w:val="16"/>
          <w:szCs w:val="16"/>
          <w:color w:val="auto"/>
        </w:rPr>
        <w:t>Effective protection of intellectual property rights is expensive and difficult to maintain, both in terms of application and maintenance costs, as well as the costs of monitoring, defending and enforcing those rights. We routinely apply for patents in the U.S. and internationally to protect innovative ideas embodied in our technology, but we may not always be successful in obtaining patent grants from these applications. Moreover, there is no assurance that any resulting patent rights will adequately protect our intellectual property or provide us with any competitive advantages. We also pursue registration of trademarks, and domain names in the United States and in certain jurisdictions outside of the United States and may pursue registrations of copyrights in the future, but doing so may not always be successful or cost-effective. We may be unable to prevent third parties from acquiring trademarks and domain names that are similar to, infringe upon, dilute or diminish the value of our trademarks and other proprietary rights. Additionally, our trademarks may be challenged, circumvented, declared generic, lapsed or determined to be infringing on or dilutive of other marks. We may not be able to protect our rights in our trademarks, which we need in order to build name recognition with customers. If third parties succeed in registering or developing common law rights in our trademarks and we are not successful in challenging such third-party rights, or if our trademark rights are otherwise damaged, we may not be able to use our trademarks to commercialize our products and services in certain relevant jurisdictions.</w:t>
      </w:r>
    </w:p>
    <w:p>
      <w:pPr>
        <w:spacing w:after="0" w:line="153" w:lineRule="exact"/>
        <w:rPr>
          <w:sz w:val="20"/>
          <w:szCs w:val="20"/>
          <w:color w:val="auto"/>
        </w:rPr>
      </w:pPr>
    </w:p>
    <w:p>
      <w:pPr>
        <w:ind w:firstLine="644"/>
        <w:spacing w:after="0" w:line="237" w:lineRule="auto"/>
        <w:rPr>
          <w:sz w:val="20"/>
          <w:szCs w:val="20"/>
          <w:color w:val="auto"/>
        </w:rPr>
      </w:pPr>
      <w:r>
        <w:rPr>
          <w:rFonts w:ascii="Arial" w:cs="Arial" w:eastAsia="Arial" w:hAnsi="Arial"/>
          <w:sz w:val="18"/>
          <w:szCs w:val="18"/>
          <w:color w:val="auto"/>
        </w:rPr>
        <w:t>Even where we have intellectual property rights, they may later be found to be unenforceable or have a limited scope of enforceability. In addition, we may not seek to pursue such protection in every jurisdiction. In particular, we believe it is important to maintain, protect and enhance our brands. Accordingly, we pursue the registration of domain names and our trademarks and service marks in the United States. Third parties may challenge our use of our trademarks, oppose our trademark applications or otherwise impede our efforts to protect our intellectual property in certain jurisdictions. We may encounter similar challenges in other international jurisdictions as we expand our business. In the event that we are unable to register our trademarks in certain jurisdictions, we could be forced to rebrand our products, which could result in loss of brand recognition and could require us to devote resources to advertising and marketing new brands.</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0" w:right="339" w:bottom="1440" w:gutter="0" w:footer="0" w:header="0"/>
        </w:sectPr>
      </w:pPr>
    </w:p>
    <w:bookmarkStart w:id="26" w:name="page27"/>
    <w:bookmarkEnd w:id="26"/>
    <w:p>
      <w:pPr>
        <w:ind w:right="160" w:firstLine="644"/>
        <w:spacing w:after="0" w:line="274" w:lineRule="auto"/>
        <w:rPr>
          <w:sz w:val="20"/>
          <w:szCs w:val="20"/>
          <w:color w:val="auto"/>
        </w:rPr>
      </w:pPr>
      <w:r>
        <w:rPr>
          <w:rFonts w:ascii="Arial" w:cs="Arial" w:eastAsia="Arial" w:hAnsi="Arial"/>
          <w:sz w:val="16"/>
          <w:szCs w:val="16"/>
          <w:color w:val="auto"/>
        </w:rPr>
        <w:t>Our competitors and others could attempt to capitalize on our brand recognition by using domain names or business names similar to ours. Domain names similar to ours have been registered in the United States and elsewhere. We may be unable to prevent third parties from acquiring or using domain names and other trademarks that infringe on, are similar to, or otherwise decrease the value of our brands, trademarks or service marks. Effective trade secret, copyright, trademark, domain name and patent protection are expensive to develop and maintain, both in terms of initial and ongoing registration requirements and the costs of defending our rights. We may be required to protect our intellectual property in an increasing number of jurisdictions, a process that is expensive and may not be successful or which we may not pursue in every location. We may, over time, increase our investment in protecting our intellectual property through additional patent filings that could be expensive and time-consuming.</w:t>
      </w:r>
    </w:p>
    <w:p>
      <w:pPr>
        <w:spacing w:after="0" w:line="150" w:lineRule="exact"/>
        <w:rPr>
          <w:sz w:val="20"/>
          <w:szCs w:val="20"/>
          <w:color w:val="auto"/>
        </w:rPr>
      </w:pPr>
    </w:p>
    <w:p>
      <w:pPr>
        <w:ind w:firstLine="644"/>
        <w:spacing w:after="0" w:line="251" w:lineRule="auto"/>
        <w:rPr>
          <w:sz w:val="20"/>
          <w:szCs w:val="20"/>
          <w:color w:val="auto"/>
        </w:rPr>
      </w:pPr>
      <w:r>
        <w:rPr>
          <w:rFonts w:ascii="Arial" w:cs="Arial" w:eastAsia="Arial" w:hAnsi="Arial"/>
          <w:sz w:val="17"/>
          <w:szCs w:val="17"/>
          <w:color w:val="auto"/>
        </w:rPr>
        <w:t>Our intellectual property rights may be infringed, misappropriated, violated or challenged, which could result in them being narrowed in scope or declared invalid or unenforceable. In order to protect our intellectual property rights, we may be required to spend significant resources to monitor and protect these rights. We may not be able to detect infringement misappropriation or unauthorized use of our intellectual property rights, and defending or enforcing our intellectual property rights, even if successfully detected, prosecuted, enjoined or remedied, could result in the expenditure of significant financial and managerial resources. Litigation may be necessary to enforce our intellectual property rights, protect our proprietary rights or determine the validity and scope of proprietary rights claimed by others. Any litigation of this nature, regardless of outcome or merit, could result in substantial costs and diversion of management and technical resources, any of which could adversely affect our business and results of operations. We may also incur significant costs in enforcing our trademarks against those who attempt to imitate our brand and other valuable trademarks and service marks. Furthermore, our efforts to enforce our intellectual property rights may be met with defenses, counterclaims, countersuits and adversarial proceedings such as oppositions, inter partes review, post-grant review, re-examination or other post-issuance proceedings, that attack the validity and enforceability of our intellectual property rights. An adverse determination of any litigation proceedings could put our patents at risk of being invalidated or interpreted narrowly and could put our related pending patent applications at risk of not issuing. Further, because of the substantial amount of discovery required in connection with intellectual property litigation, there is a risk that some of our confidential or sensitive information could be compromised by disclosure in the event of litigation. In addition, during the course of litigation there could be public announcements of the results of hearings, motions or other interim proceedings or developments. If securities analysts or investors perceive these results to be negative, it could have a substantial adverse effect on the price of our Class A common stock. If we fail to maintain, protect and enhance our intellectual property rights, our business may be harmed, and the market price of our Class A common stock could decline.</w:t>
      </w:r>
    </w:p>
    <w:p>
      <w:pPr>
        <w:spacing w:after="0" w:line="170" w:lineRule="exact"/>
        <w:rPr>
          <w:sz w:val="20"/>
          <w:szCs w:val="20"/>
          <w:color w:val="auto"/>
        </w:rPr>
      </w:pPr>
    </w:p>
    <w:p>
      <w:pPr>
        <w:ind w:right="20" w:firstLine="644"/>
        <w:spacing w:after="0" w:line="269" w:lineRule="auto"/>
        <w:rPr>
          <w:sz w:val="20"/>
          <w:szCs w:val="20"/>
          <w:color w:val="auto"/>
        </w:rPr>
      </w:pPr>
      <w:r>
        <w:rPr>
          <w:rFonts w:ascii="Arial" w:cs="Arial" w:eastAsia="Arial" w:hAnsi="Arial"/>
          <w:sz w:val="16"/>
          <w:szCs w:val="16"/>
          <w:color w:val="auto"/>
        </w:rPr>
        <w:t>Similarly, our reliance on unpatented proprietary information and technology, such as trade secrets and confidential information, depends in part on agreements we have in place with employees and third parties that place restrictions on the use and disclosure of this intellectual property. However, we cannot guarantee that we have entered into such agreements with each party that may have or has had access to our trade secrets or proprietary technology and processes. Despite these efforts, any of these parties may breach the agreements and disclose our proprietary information, including our trade secrets, and we may not be able to obtain adequate remedies for such breaches. There can be no assurance that these agreements will be self-executing or otherwise provide meaningful protection for our trade secrets or other intellectual property or proprietary information. Further, our competitors could independently develop technology similar to our unpatented proprietary information and technology, which could cause us to lose any competitive advantage resulting from this intellectual property. Agreements restricting the use and disclosure of unpatented proprietary information may be insufficient or may be breached, or we may not enter into sufficient agreements with such individuals in the first instance, in either case potentially resulting in the unauthorized use or disclosure of our trade secrets and other intellectual property, including to our competitors, which could cause us to lose any competitive advantage resulting from this intellectual property. Individuals not subject to invention assignment agreements may make adverse ownership claims to our current and future intellectual property. There can be no assurance that our intellectual property rights will be sufficient to protect against others offering a platform, products or services that are substantially similar to ours and that compete with our business.</w:t>
      </w:r>
    </w:p>
    <w:p>
      <w:pPr>
        <w:spacing w:after="0" w:line="154" w:lineRule="exact"/>
        <w:rPr>
          <w:sz w:val="20"/>
          <w:szCs w:val="20"/>
          <w:color w:val="auto"/>
        </w:rPr>
      </w:pPr>
    </w:p>
    <w:p>
      <w:pPr>
        <w:ind w:right="40" w:firstLine="644"/>
        <w:spacing w:after="0" w:line="253" w:lineRule="auto"/>
        <w:rPr>
          <w:sz w:val="20"/>
          <w:szCs w:val="20"/>
          <w:color w:val="auto"/>
        </w:rPr>
      </w:pPr>
      <w:r>
        <w:rPr>
          <w:rFonts w:ascii="Arial" w:cs="Arial" w:eastAsia="Arial" w:hAnsi="Arial"/>
          <w:sz w:val="17"/>
          <w:szCs w:val="17"/>
          <w:color w:val="auto"/>
        </w:rPr>
        <w:t>Our competitors may also independently develop similar technology that does not infringe on or misappropriate our intellectual property rights. The laws of some foreign countries do not protect, or may not be as protective, of intellectual property rights as those in the United States, and mechanisms for enforcement of intellectual property rights may be inadequate. Effective patent, trademark, copyright and trade secret protection may not be available to us in every country in which our solutions or technology are hosted or available. Further, legal standards relating to the validity, enforceability and scope of protection of intellectual property rights are uncertain. The laws in the United States and elsewhere change rapidly, and any future changes could adversely affect us and our intellectual property. Our intellectual property rights may be contested, circumvented or found unenforceable or invalid, in whole or in part, and we may not be able to prevent third parties from infringing, misappropriating, diluting or otherwise violating them. Our failure to meaningfully protect our intellectual property could result in competitors offering solutions that incorporate our most technologically advanced features, which could seriously reduce demand for our products and services.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0" w:right="339" w:bottom="1440" w:gutter="0" w:footer="0" w:header="0"/>
        </w:sectPr>
      </w:pPr>
    </w:p>
    <w:bookmarkStart w:id="27" w:name="page28"/>
    <w:bookmarkEnd w:id="27"/>
    <w:p>
      <w:pPr>
        <w:ind w:firstLine="644"/>
        <w:spacing w:after="0" w:line="243" w:lineRule="auto"/>
        <w:rPr>
          <w:sz w:val="20"/>
          <w:szCs w:val="20"/>
          <w:color w:val="auto"/>
        </w:rPr>
      </w:pPr>
      <w:r>
        <w:rPr>
          <w:rFonts w:ascii="Arial" w:cs="Arial" w:eastAsia="Arial" w:hAnsi="Arial"/>
          <w:sz w:val="18"/>
          <w:szCs w:val="18"/>
          <w:color w:val="auto"/>
        </w:rPr>
        <w:t>Additionally, our intellectual property rights and other confidential business information are subject to risks of compromise or unauthorized disclosure if our security measures or those of our third-party service providers are unable to prevent cyber-attacks. Significant impairments of our intellectual property rights, and limitations on our ability to assert our intellectual property rights against others, could have a material and adverse effect on our business.</w:t>
      </w:r>
    </w:p>
    <w:p>
      <w:pPr>
        <w:spacing w:after="0" w:line="174" w:lineRule="exact"/>
        <w:rPr>
          <w:sz w:val="20"/>
          <w:szCs w:val="20"/>
          <w:color w:val="auto"/>
        </w:rPr>
      </w:pPr>
    </w:p>
    <w:p>
      <w:pPr>
        <w:ind w:right="20" w:firstLine="644"/>
        <w:spacing w:after="0" w:line="272" w:lineRule="auto"/>
        <w:rPr>
          <w:sz w:val="20"/>
          <w:szCs w:val="20"/>
          <w:color w:val="auto"/>
        </w:rPr>
      </w:pPr>
      <w:r>
        <w:rPr>
          <w:rFonts w:ascii="Arial" w:cs="Arial" w:eastAsia="Arial" w:hAnsi="Arial"/>
          <w:sz w:val="16"/>
          <w:szCs w:val="16"/>
          <w:color w:val="auto"/>
        </w:rPr>
        <w:t>In order to protect and monitor for infringement, misappropriation or other violation of our intellectual property and proprietary rights, we may be required to spend significant resources. Litigation may be necessary to enforce and protect our trade secrets and other intellectual property and proprietary rights, which could be costly, time-consuming, and distracting to management, and could result in the impairment or loss of portions of our intellectual property. Further, our efforts to enforce our intellectual property and proprietary rights may be met with defenses, counterclaims, and countersuits attacking the ownership, scope, validity and enforceability of such rights. Our inability to protect our proprietary technology against unauthorized copying or use, as well as any costly litigation or diversion of our management’s attention and resources, could delay further sales or the implementation of our offerings or impair their functionality, delay introductions of new offerings, result in our substituting inferior or more costly technologies into our offerings, or injure our reputation. Any of the foregoing could materially and adversely affect our business, prospects, financial condition and results of operations.</w:t>
      </w:r>
    </w:p>
    <w:p>
      <w:pPr>
        <w:spacing w:after="0" w:line="154" w:lineRule="exact"/>
        <w:rPr>
          <w:sz w:val="20"/>
          <w:szCs w:val="20"/>
          <w:color w:val="auto"/>
        </w:rPr>
      </w:pPr>
    </w:p>
    <w:p>
      <w:pPr>
        <w:ind w:right="500"/>
        <w:spacing w:after="0" w:line="261" w:lineRule="auto"/>
        <w:rPr>
          <w:sz w:val="20"/>
          <w:szCs w:val="20"/>
          <w:color w:val="auto"/>
        </w:rPr>
      </w:pPr>
      <w:r>
        <w:rPr>
          <w:rFonts w:ascii="Arial" w:cs="Arial" w:eastAsia="Arial" w:hAnsi="Arial"/>
          <w:sz w:val="18"/>
          <w:szCs w:val="18"/>
          <w:b w:val="1"/>
          <w:bCs w:val="1"/>
          <w:i w:val="1"/>
          <w:iCs w:val="1"/>
          <w:color w:val="auto"/>
        </w:rPr>
        <w:t>We could incur substantial costs and other harms as a result of any claim of infringement, misappropriation or other violation of another party’s intellectual property or proprietary rights.</w:t>
      </w:r>
    </w:p>
    <w:p>
      <w:pPr>
        <w:spacing w:after="0" w:line="76" w:lineRule="exact"/>
        <w:rPr>
          <w:sz w:val="20"/>
          <w:szCs w:val="20"/>
          <w:color w:val="auto"/>
        </w:rPr>
      </w:pPr>
    </w:p>
    <w:p>
      <w:pPr>
        <w:ind w:right="20" w:firstLine="644"/>
        <w:spacing w:after="0" w:line="274" w:lineRule="auto"/>
        <w:rPr>
          <w:sz w:val="20"/>
          <w:szCs w:val="20"/>
          <w:color w:val="auto"/>
        </w:rPr>
      </w:pPr>
      <w:r>
        <w:rPr>
          <w:rFonts w:ascii="Arial" w:cs="Arial" w:eastAsia="Arial" w:hAnsi="Arial"/>
          <w:sz w:val="16"/>
          <w:szCs w:val="16"/>
          <w:color w:val="auto"/>
        </w:rPr>
        <w:t>Whether merited or not, we may face claims of intellectual property infringement allegations and claims from individuals or companies, including such parties who have acquired or developed patents in the fields of injection molding, CNC machining, 3D printing, sheet metal fabrication, or other manufacturing processes for products manufactured by sellers transacting on our marketplace, or technologies for automatically calculating pricing information for products manufactured according to such techniques. We may also be subject to claims from individuals or companies asserting that we are liable for alleged violations of intellectual property rights associated with parts created for buyers. Any claims that such products, processes or parts infringe, misappropriate or otherwise violate the intellectual property rights of others, regardless of the merit or resolution of such claims, could cause us to incur significant costs in responding to, defending and resolving such claims, and as a result, could have a material and adverse effect on our business.</w:t>
      </w:r>
    </w:p>
    <w:p>
      <w:pPr>
        <w:spacing w:after="0" w:line="150" w:lineRule="exact"/>
        <w:rPr>
          <w:sz w:val="20"/>
          <w:szCs w:val="20"/>
          <w:color w:val="auto"/>
        </w:rPr>
      </w:pPr>
    </w:p>
    <w:p>
      <w:pPr>
        <w:ind w:right="20" w:firstLine="644"/>
        <w:spacing w:after="0" w:line="268" w:lineRule="auto"/>
        <w:rPr>
          <w:sz w:val="20"/>
          <w:szCs w:val="20"/>
          <w:color w:val="auto"/>
        </w:rPr>
      </w:pPr>
      <w:r>
        <w:rPr>
          <w:rFonts w:ascii="Arial" w:cs="Arial" w:eastAsia="Arial" w:hAnsi="Arial"/>
          <w:sz w:val="16"/>
          <w:szCs w:val="16"/>
          <w:color w:val="auto"/>
        </w:rPr>
        <w:t>Additionally, in recent years, individuals and groups have begun purchasing intellectual property assets for the purpose of making claims of infringement, misappropriation or other violation and attempting to extract settlements from companies like ours. We may also face allegations that our employees have infringed, misappropriated or otherwise violated the intellectual property or proprietary rights of their former employers or other third parties. It may be necessary for us to initiate litigation to defend ourselves in order to determine the scope, enforceability and validity of third-party intellectual property or proprietary rights, or to establish our respective rights. Regardless of whether claims that we are infringing, misappropriating or otherwise violating patents or other intellectual property or proprietary rights have merit, such claims can be time-consuming, divert management’s attention and financial resources and can be costly to evaluate and defend. Results of any such litigation are difficult to predict and may require us to stop commercializing or using our products or technology, obtain licenses, modify our services and technology while we develop non-infringing substitutes or incur substantial damages, settlement costs or face a temporary or permanent injunction prohibiting us from marketing or providing the affected products and services. If we require a third-party license, it may not be available on reasonable terms or at all, and we may have to pay substantial royalties, upfront fees or grant cross-licenses to intellectual property rights for our products and services. We may also have to redesign our products or services so they do not infringe, misappropriate or otherwise violate third-party intellectual property or other proprietary rights, which may not be possible or may require substantial monetary expenditures and time, during which our technology and products may not be available for commercialization or use. Even if we have an agreement to indemnify us against such costs, the indemnifying party may be unable to uphold its contractual obligations. If we cannot or do not obtain a third-party license to the infringed, misappropriated or otherwise violated technology, license the technology on reasonable terms or obtain similar technology from another source, our revenue and earnings could be adversely impacted.</w:t>
      </w:r>
    </w:p>
    <w:p>
      <w:pPr>
        <w:spacing w:after="0" w:line="155" w:lineRule="exact"/>
        <w:rPr>
          <w:sz w:val="20"/>
          <w:szCs w:val="20"/>
          <w:color w:val="auto"/>
        </w:rPr>
      </w:pPr>
    </w:p>
    <w:p>
      <w:pPr>
        <w:ind w:firstLine="644"/>
        <w:spacing w:after="0" w:line="254" w:lineRule="auto"/>
        <w:rPr>
          <w:sz w:val="20"/>
          <w:szCs w:val="20"/>
          <w:color w:val="auto"/>
        </w:rPr>
      </w:pPr>
      <w:r>
        <w:rPr>
          <w:rFonts w:ascii="Arial" w:cs="Arial" w:eastAsia="Arial" w:hAnsi="Arial"/>
          <w:sz w:val="17"/>
          <w:szCs w:val="17"/>
          <w:color w:val="auto"/>
        </w:rPr>
        <w:t>From time to time, we may be subject to legal proceedings and claims in the ordinary course of business with respect to intellectual property. Some third parties may be able to sustain the costs of complex litigation more effectively than we can because they have substantially greater resources. Even if resolved in our favor, litigation or other legal proceedings relating to intellectual property claims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material adverse effect on the price of our Class A common stock. Moreover, any uncertainties resulting from the initiation and continuation of any legal proceedings could have a material adverse effect on our ability to raise the funds necessary to continue our operations. Assertions by third parties that we violate their intellectual property rights could therefore harm our business.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8" w:right="359" w:bottom="1440" w:gutter="0" w:footer="0" w:header="0"/>
        </w:sectPr>
      </w:pPr>
    </w:p>
    <w:bookmarkStart w:id="28" w:name="page29"/>
    <w:bookmarkEnd w:id="28"/>
    <w:p>
      <w:pPr>
        <w:ind w:right="80" w:firstLine="644"/>
        <w:spacing w:after="0" w:line="261" w:lineRule="auto"/>
        <w:rPr>
          <w:sz w:val="20"/>
          <w:szCs w:val="20"/>
          <w:color w:val="auto"/>
        </w:rPr>
      </w:pPr>
      <w:r>
        <w:rPr>
          <w:rFonts w:ascii="Arial" w:cs="Arial" w:eastAsia="Arial" w:hAnsi="Arial"/>
          <w:sz w:val="18"/>
          <w:szCs w:val="18"/>
          <w:color w:val="auto"/>
        </w:rPr>
        <w:t>Any intellectual property litigation to which we might become a party, or for which we are required to provide indemnification, may require us to do one or more of the following:</w:t>
      </w:r>
    </w:p>
    <w:p>
      <w:pPr>
        <w:spacing w:after="0" w:line="63" w:lineRule="exact"/>
        <w:rPr>
          <w:sz w:val="20"/>
          <w:szCs w:val="20"/>
          <w:color w:val="auto"/>
        </w:rPr>
      </w:pPr>
    </w:p>
    <w:p>
      <w:pPr>
        <w:ind w:left="1020" w:right="560" w:hanging="503"/>
        <w:spacing w:after="0" w:line="261" w:lineRule="auto"/>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cease selling or using offerings that incorporate or are otherwise covered by the intellectual property rights that we allegedly infringe, misappropriate or otherwise violate;</w:t>
      </w:r>
    </w:p>
    <w:p>
      <w:pPr>
        <w:spacing w:after="0" w:line="62" w:lineRule="exact"/>
        <w:rPr>
          <w:rFonts w:ascii="Arial" w:cs="Arial" w:eastAsia="Arial" w:hAnsi="Arial"/>
          <w:sz w:val="18"/>
          <w:szCs w:val="18"/>
          <w:color w:val="auto"/>
        </w:rPr>
      </w:pPr>
    </w:p>
    <w:p>
      <w:pPr>
        <w:ind w:left="1020" w:right="20" w:hanging="503"/>
        <w:spacing w:after="0" w:line="261" w:lineRule="auto"/>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make substantial payments for legal fees, settlement payments or other costs or damages, including potentially treble damages and attorneys’ fees if we are found liable for willful infringement;</w:t>
      </w:r>
    </w:p>
    <w:p>
      <w:pPr>
        <w:spacing w:after="0" w:line="62" w:lineRule="exact"/>
        <w:rPr>
          <w:rFonts w:ascii="Arial" w:cs="Arial" w:eastAsia="Arial" w:hAnsi="Arial"/>
          <w:sz w:val="18"/>
          <w:szCs w:val="18"/>
          <w:color w:val="auto"/>
        </w:rPr>
      </w:pPr>
    </w:p>
    <w:p>
      <w:pPr>
        <w:ind w:left="1020" w:right="80" w:hanging="503"/>
        <w:spacing w:after="0" w:line="248" w:lineRule="auto"/>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obtain a license to sell or use the relevant technology, which may not be available on reasonable terms or at all, may be non-exclusive and thereby allow our competitors and other parties access to the same technology, and may require the payment of substantial licensing, royalty or other fees; or</w:t>
      </w:r>
    </w:p>
    <w:p>
      <w:pPr>
        <w:spacing w:after="0" w:line="73" w:lineRule="exact"/>
        <w:rPr>
          <w:rFonts w:ascii="Arial" w:cs="Arial" w:eastAsia="Arial" w:hAnsi="Arial"/>
          <w:sz w:val="18"/>
          <w:szCs w:val="18"/>
          <w:color w:val="auto"/>
        </w:rPr>
      </w:pPr>
    </w:p>
    <w:p>
      <w:pPr>
        <w:ind w:left="1020" w:right="660" w:hanging="503"/>
        <w:spacing w:after="0" w:line="261" w:lineRule="auto"/>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redesign the allegedly infringing, misappropriating or otherwise violating offerings to avoid infringement, misappropriation or other violation, which could be costly, time-consuming or impossible.</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Any of the foregoing could materially and adversely affect our business, prospects, financial condition and results of operations.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successfully execute future acquisitions or efficiently manage any acquired business.</w:t>
      </w:r>
    </w:p>
    <w:p>
      <w:pPr>
        <w:spacing w:after="0" w:line="117" w:lineRule="exact"/>
        <w:rPr>
          <w:sz w:val="20"/>
          <w:szCs w:val="20"/>
          <w:color w:val="auto"/>
        </w:rPr>
      </w:pPr>
    </w:p>
    <w:p>
      <w:pPr>
        <w:ind w:right="160" w:firstLine="644"/>
        <w:spacing w:after="0" w:line="284" w:lineRule="auto"/>
        <w:rPr>
          <w:sz w:val="20"/>
          <w:szCs w:val="20"/>
          <w:color w:val="auto"/>
        </w:rPr>
      </w:pPr>
      <w:r>
        <w:rPr>
          <w:rFonts w:ascii="Arial" w:cs="Arial" w:eastAsia="Arial" w:hAnsi="Arial"/>
          <w:sz w:val="16"/>
          <w:szCs w:val="16"/>
          <w:color w:val="auto"/>
        </w:rPr>
        <w:t>We have acquired, and may in the future seek to acquire or invest in, additional businesses, products or technologies that we believe could complement or expand our marketplace, enhance the technical capabilities, products and services available on our platform, or otherwise offer growth opportunities. The success of any acquisition will depend upon several factors, including our ability to: identify and cost-effectively structure and acquire businesses; integrate acquired user data, operations, products and technologies into our organization effectively; and retain and motivate key personnel.</w:t>
      </w:r>
    </w:p>
    <w:p>
      <w:pPr>
        <w:spacing w:after="0" w:line="142" w:lineRule="exact"/>
        <w:rPr>
          <w:sz w:val="20"/>
          <w:szCs w:val="20"/>
          <w:color w:val="auto"/>
        </w:rPr>
      </w:pPr>
    </w:p>
    <w:p>
      <w:pPr>
        <w:ind w:right="20" w:firstLine="644"/>
        <w:spacing w:after="0" w:line="252" w:lineRule="auto"/>
        <w:rPr>
          <w:sz w:val="20"/>
          <w:szCs w:val="20"/>
          <w:color w:val="auto"/>
        </w:rPr>
      </w:pPr>
      <w:r>
        <w:rPr>
          <w:rFonts w:ascii="Arial" w:cs="Arial" w:eastAsia="Arial" w:hAnsi="Arial"/>
          <w:sz w:val="17"/>
          <w:szCs w:val="17"/>
          <w:color w:val="auto"/>
        </w:rPr>
        <w:t>The process of integrating an acquired company, business or technology may create unforeseen operating challenges, risks and expenditures, including that the acquisitions do not advance our corporate strategy, that we get an unsatisfactory return on our investment, that the acquisitions distract management, or that we may have difficulty: (i) integrating an acquired company’s accounting, financial reporting, management information and information security, human resource and other administrative systems to permit effective management; (ii) integrating the controls, procedures and policies at companies we acquire into our internal control over financial reporting; and (iii) transitioning the acquired company’s operations, suppliers and customers to us. It may take longer than expected to realize the full benefits from these acquisitions, such as increased revenue, enhanced efficiencies or increased market share, or the benefit may ultimately be smaller than we expected. Moreover, if any of our acquisitions or investments increase our international operations, it would expose us to additional risks relating to operating outside the United States, including increased operational and regulatory risks. Our failure to address these risks or other problems encountered in connection with our past or future acquisitions and investments could cause us to fail to realize the anticipated benefits of such acquisitions or investments, incur unanticipated liabilities and harm our business generally. If an acquired business, product or technology fails to meet our expectations or results in unanticipated costs and expenses, our business, financial condition and results of operations may suffer.</w:t>
      </w:r>
    </w:p>
    <w:p>
      <w:pPr>
        <w:spacing w:after="0" w:line="170" w:lineRule="exact"/>
        <w:rPr>
          <w:sz w:val="20"/>
          <w:szCs w:val="20"/>
          <w:color w:val="auto"/>
        </w:rPr>
      </w:pPr>
    </w:p>
    <w:p>
      <w:pPr>
        <w:jc w:val="both"/>
        <w:ind w:firstLine="644"/>
        <w:spacing w:after="0" w:line="279" w:lineRule="auto"/>
        <w:rPr>
          <w:sz w:val="20"/>
          <w:szCs w:val="20"/>
          <w:color w:val="auto"/>
        </w:rPr>
      </w:pPr>
      <w:r>
        <w:rPr>
          <w:rFonts w:ascii="Arial" w:cs="Arial" w:eastAsia="Arial" w:hAnsi="Arial"/>
          <w:sz w:val="16"/>
          <w:szCs w:val="16"/>
          <w:color w:val="auto"/>
        </w:rPr>
        <w:t>In addition, we cannot be certain that any acquisition, if completed, will be successfully integrated into our existing operations. If we are unable to effectively integrate an acquired business, our business, financial condition, and results of operations may be materially and adversely affected. The pursuit of potential acquisitions may divert the attention of management and cause us to incur various costs and expenses in identifying, investigating and pursuing suitable acquisitions, whether or not they are consummated. We may not be able to identify desirable acquisition targets or be successful in entering into an agreement with any particular target or obtain the expected benefits of any acquisition or investment.</w:t>
      </w:r>
    </w:p>
    <w:p>
      <w:pPr>
        <w:spacing w:after="0" w:line="146" w:lineRule="exact"/>
        <w:rPr>
          <w:sz w:val="20"/>
          <w:szCs w:val="20"/>
          <w:color w:val="auto"/>
        </w:rPr>
      </w:pPr>
    </w:p>
    <w:p>
      <w:pPr>
        <w:ind w:right="60" w:firstLine="644"/>
        <w:spacing w:after="0" w:line="248" w:lineRule="auto"/>
        <w:rPr>
          <w:sz w:val="20"/>
          <w:szCs w:val="20"/>
          <w:color w:val="auto"/>
        </w:rPr>
      </w:pPr>
      <w:r>
        <w:rPr>
          <w:rFonts w:ascii="Arial" w:cs="Arial" w:eastAsia="Arial" w:hAnsi="Arial"/>
          <w:sz w:val="18"/>
          <w:szCs w:val="18"/>
          <w:color w:val="auto"/>
        </w:rPr>
        <w:t>Acquisitions could also result in dilutive issuances of equity or equity-linked securities, the use of our available cash, or involve us taking on debt or give rise to new liabilities, whether to fund the upfront purchase price of the transaction or deferred or contingent payments we agree to as part of the transaction.</w:t>
      </w:r>
    </w:p>
    <w:p>
      <w:pPr>
        <w:spacing w:after="0" w:line="168" w:lineRule="exact"/>
        <w:rPr>
          <w:sz w:val="20"/>
          <w:szCs w:val="20"/>
          <w:color w:val="auto"/>
        </w:rPr>
      </w:pPr>
    </w:p>
    <w:p>
      <w:pPr>
        <w:ind w:right="600"/>
        <w:spacing w:after="0" w:line="261" w:lineRule="auto"/>
        <w:rPr>
          <w:sz w:val="20"/>
          <w:szCs w:val="20"/>
          <w:color w:val="auto"/>
        </w:rPr>
      </w:pPr>
      <w:r>
        <w:rPr>
          <w:rFonts w:ascii="Arial" w:cs="Arial" w:eastAsia="Arial" w:hAnsi="Arial"/>
          <w:sz w:val="18"/>
          <w:szCs w:val="18"/>
          <w:b w:val="1"/>
          <w:bCs w:val="1"/>
          <w:i w:val="1"/>
          <w:iCs w:val="1"/>
          <w:color w:val="auto"/>
        </w:rPr>
        <w:t>Natural or man-made disasters affecting the manufacturing facilities of our sellers or of our facilities could materially and adversely affect our business, financial condition, and results of operations.</w:t>
      </w:r>
    </w:p>
    <w:p>
      <w:pPr>
        <w:spacing w:after="0" w:line="76" w:lineRule="exact"/>
        <w:rPr>
          <w:sz w:val="20"/>
          <w:szCs w:val="20"/>
          <w:color w:val="auto"/>
        </w:rPr>
      </w:pPr>
    </w:p>
    <w:p>
      <w:pPr>
        <w:ind w:right="20" w:firstLine="644"/>
        <w:spacing w:after="0" w:line="270" w:lineRule="auto"/>
        <w:rPr>
          <w:sz w:val="20"/>
          <w:szCs w:val="20"/>
          <w:color w:val="auto"/>
        </w:rPr>
      </w:pPr>
      <w:r>
        <w:rPr>
          <w:rFonts w:ascii="Arial" w:cs="Arial" w:eastAsia="Arial" w:hAnsi="Arial"/>
          <w:sz w:val="17"/>
          <w:szCs w:val="17"/>
          <w:color w:val="auto"/>
        </w:rPr>
        <w:t>Sellers manufacture orders in a number of geographic locations; however, these facilities and the manufacturing equipment used would be costly to replace and could require substantial lead time to repair or replace. Such facilities and manufacturing equipment may be harmed by natural or man-made disasters, including, without limitation, earthquakes, floods, tornadoes, fires, hurricanes, tsunamis and nuclear disasters.</w:t>
      </w:r>
    </w:p>
    <w:p>
      <w:pPr>
        <w:spacing w:after="0" w:line="15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the event any of our sellers’ facilities or manufacturing equipment are affected by a disaster, sellers may:</w:t>
      </w:r>
    </w:p>
    <w:p>
      <w:pPr>
        <w:spacing w:after="0" w:line="104" w:lineRule="exact"/>
        <w:rPr>
          <w:sz w:val="20"/>
          <w:szCs w:val="20"/>
          <w:color w:val="auto"/>
        </w:rPr>
      </w:pPr>
    </w:p>
    <w:p>
      <w:pPr>
        <w:ind w:left="1020" w:hanging="503"/>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be unable to meet the shipping deadlines of our buyers;</w:t>
      </w:r>
    </w:p>
    <w:p>
      <w:pPr>
        <w:spacing w:after="0" w:line="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28" w:right="379" w:bottom="1440" w:gutter="0" w:footer="0" w:header="0"/>
        </w:sectPr>
      </w:pPr>
    </w:p>
    <w:bookmarkStart w:id="29" w:name="page30"/>
    <w:bookmarkEnd w:id="29"/>
    <w:p>
      <w:pPr>
        <w:ind w:left="1020" w:hanging="503"/>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experience disruptions in our ability to process orders, manufacture and ship orders;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be forced to rely on third-party manufacturers or otherwise fail to fulfill orders of our buyers; or</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be unable to source materials required for orders.</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the event of any of our facilities are affected by a disaster, we may:</w:t>
      </w:r>
    </w:p>
    <w:p>
      <w:pPr>
        <w:spacing w:after="0" w:line="104" w:lineRule="exact"/>
        <w:rPr>
          <w:sz w:val="20"/>
          <w:szCs w:val="20"/>
          <w:color w:val="auto"/>
        </w:rPr>
      </w:pPr>
    </w:p>
    <w:p>
      <w:pPr>
        <w:ind w:left="1020" w:right="140" w:hanging="503"/>
        <w:spacing w:after="0" w:line="261" w:lineRule="auto"/>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experience disruptions in our ability to process orders, provide sales and marketing support and customer service, and otherwise operate our business, any of which could negatively impact our business; or</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need to expend significant capital and other resources to address any damage caused by the disaster.</w:t>
      </w:r>
    </w:p>
    <w:p>
      <w:pPr>
        <w:spacing w:after="0" w:line="198" w:lineRule="exact"/>
        <w:rPr>
          <w:sz w:val="20"/>
          <w:szCs w:val="20"/>
          <w:color w:val="auto"/>
        </w:rPr>
      </w:pPr>
    </w:p>
    <w:p>
      <w:pPr>
        <w:ind w:right="360" w:firstLine="644"/>
        <w:spacing w:after="0" w:line="261" w:lineRule="auto"/>
        <w:rPr>
          <w:sz w:val="20"/>
          <w:szCs w:val="20"/>
          <w:color w:val="auto"/>
        </w:rPr>
      </w:pPr>
      <w:r>
        <w:rPr>
          <w:rFonts w:ascii="Arial" w:cs="Arial" w:eastAsia="Arial" w:hAnsi="Arial"/>
          <w:sz w:val="18"/>
          <w:szCs w:val="18"/>
          <w:color w:val="auto"/>
        </w:rPr>
        <w:t>Any disruption as a result of natural or man-made disaster strikes of the manufacturing facilities of our sellers or of our facilities, we may lose buyers, damage our brand and reputation, and we may be unable to regain those buyers or fail to attract new buyers.</w:t>
      </w:r>
    </w:p>
    <w:p>
      <w:pPr>
        <w:spacing w:after="0" w:line="157" w:lineRule="exact"/>
        <w:rPr>
          <w:sz w:val="20"/>
          <w:szCs w:val="20"/>
          <w:color w:val="auto"/>
        </w:rPr>
      </w:pPr>
    </w:p>
    <w:p>
      <w:pPr>
        <w:jc w:val="both"/>
        <w:ind w:firstLine="644"/>
        <w:spacing w:after="0" w:line="248" w:lineRule="auto"/>
        <w:rPr>
          <w:sz w:val="20"/>
          <w:szCs w:val="20"/>
          <w:color w:val="auto"/>
        </w:rPr>
      </w:pPr>
      <w:r>
        <w:rPr>
          <w:rFonts w:ascii="Arial" w:cs="Arial" w:eastAsia="Arial" w:hAnsi="Arial"/>
          <w:sz w:val="18"/>
          <w:szCs w:val="18"/>
          <w:color w:val="auto"/>
        </w:rPr>
        <w:t>Although we possess insurance for damage to our property and the disruption of our business from casualties, this insurance may not be sufficient to cover all of our potential losses and may not continue to be available to us on acceptable terms, or at all, nor will it address the impact that a disruption of sellers’ facilities or manufacturing equipment may cause.</w:t>
      </w:r>
    </w:p>
    <w:p>
      <w:pPr>
        <w:spacing w:after="0" w:line="168"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b w:val="1"/>
          <w:bCs w:val="1"/>
          <w:i w:val="1"/>
          <w:iCs w:val="1"/>
          <w:color w:val="auto"/>
        </w:rPr>
        <w:t>We depend upon talented employees to grow, operate and improve our business, and if we are unable to retain and motivate our personnel and attract new talent, we may not be able to grow effectively.</w:t>
      </w:r>
    </w:p>
    <w:p>
      <w:pPr>
        <w:spacing w:after="0" w:line="76" w:lineRule="exact"/>
        <w:rPr>
          <w:sz w:val="20"/>
          <w:szCs w:val="20"/>
          <w:color w:val="auto"/>
        </w:rPr>
      </w:pPr>
    </w:p>
    <w:p>
      <w:pPr>
        <w:ind w:right="500" w:firstLine="644"/>
        <w:spacing w:after="0" w:line="248" w:lineRule="auto"/>
        <w:rPr>
          <w:sz w:val="20"/>
          <w:szCs w:val="20"/>
          <w:color w:val="auto"/>
        </w:rPr>
      </w:pPr>
      <w:r>
        <w:rPr>
          <w:rFonts w:ascii="Arial" w:cs="Arial" w:eastAsia="Arial" w:hAnsi="Arial"/>
          <w:sz w:val="18"/>
          <w:szCs w:val="18"/>
          <w:color w:val="auto"/>
        </w:rPr>
        <w:t>We believe our success has depended, and our future success depends, in part on the efforts and talents of our senior management, including Randolph Altschuler, our Co-Founder and Chief Executive Officer. There can be no assurance that the services of any employee will continue to be available to us in the future.</w:t>
      </w:r>
    </w:p>
    <w:p>
      <w:pPr>
        <w:spacing w:after="0" w:line="168" w:lineRule="exact"/>
        <w:rPr>
          <w:sz w:val="20"/>
          <w:szCs w:val="20"/>
          <w:color w:val="auto"/>
        </w:rPr>
      </w:pPr>
    </w:p>
    <w:p>
      <w:pPr>
        <w:ind w:right="80" w:firstLine="644"/>
        <w:spacing w:after="0" w:line="270" w:lineRule="auto"/>
        <w:rPr>
          <w:sz w:val="20"/>
          <w:szCs w:val="20"/>
          <w:color w:val="auto"/>
        </w:rPr>
      </w:pPr>
      <w:r>
        <w:rPr>
          <w:rFonts w:ascii="Arial" w:cs="Arial" w:eastAsia="Arial" w:hAnsi="Arial"/>
          <w:sz w:val="16"/>
          <w:szCs w:val="16"/>
          <w:color w:val="auto"/>
        </w:rPr>
        <w:t>To maintain and grow our business, we will need to continue to identify, attract, hire, develop, motivate, and retain highly skilled employees. This requires significant time, expense, and attention. In addition, from time to time, there may be changes in our management team that may be disruptive to our business. If our management team, fails to work together effectively and to execute our plans and strategies on a timely basis, our business could be harmed. Competition for highly skilled personnel in our business sector is intense, particularly in the Washington D.C. metropolitan area where our headquarters are located. We may need to invest significant amounts of cash and equity to attract and retain new employees, and we may never realize returns on these investments. Additionally, potential changes in U.S. immigration policy may make it difficult to renew or obtain visas for any highly skilled foreign personnel that we have hired or are actively recruiting. Furthermore, our international expansion and our business in general may be materially adversely affected if legislative or administrative changes to applicable immigration or visa laws and regulations impair our hiring processes or projects involving personnel who are not citizens of the country where the work is to be performed. If we cannot add and retain employees effectively, our ability to achieve our strategic objectives will be adversely affected, and our business and growth prospects may be harmed.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management team has limited experience managing a public company.</w:t>
      </w:r>
    </w:p>
    <w:p>
      <w:pPr>
        <w:spacing w:after="0" w:line="117" w:lineRule="exact"/>
        <w:rPr>
          <w:sz w:val="20"/>
          <w:szCs w:val="20"/>
          <w:color w:val="auto"/>
        </w:rPr>
      </w:pPr>
    </w:p>
    <w:p>
      <w:pPr>
        <w:ind w:right="100" w:firstLine="644"/>
        <w:spacing w:after="0"/>
        <w:rPr>
          <w:sz w:val="20"/>
          <w:szCs w:val="20"/>
          <w:color w:val="auto"/>
        </w:rPr>
      </w:pPr>
      <w:r>
        <w:rPr>
          <w:rFonts w:ascii="Arial" w:cs="Arial" w:eastAsia="Arial" w:hAnsi="Arial"/>
          <w:sz w:val="18"/>
          <w:szCs w:val="18"/>
          <w:color w:val="auto"/>
        </w:rPr>
        <w:t>Most members of our management team have limited experience managing a publicly traded company, interacting with public company investors and complying with the increasingly complex laws pertaining to public companies in the United States. It is possible that our management team may experience challenges managing a newly public company as we are subject to significant regulatory oversight and reporting obligations under the U.S. federal securities laws and the continuous scrutiny of securities analysts and investors. These obligations require significant attention from our senior management and could divert their attention away from the day-to-day management of our business, which could adversely affect our business, prospects, financial condition and results of operations.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or in the interpretation of, tax rules and regulations may impact our effective tax rate and future profitability.</w:t>
      </w:r>
    </w:p>
    <w:p>
      <w:pPr>
        <w:spacing w:after="0" w:line="117" w:lineRule="exact"/>
        <w:rPr>
          <w:sz w:val="20"/>
          <w:szCs w:val="20"/>
          <w:color w:val="auto"/>
        </w:rPr>
      </w:pPr>
    </w:p>
    <w:p>
      <w:pPr>
        <w:ind w:right="140" w:firstLine="644"/>
        <w:spacing w:after="0" w:line="259" w:lineRule="auto"/>
        <w:rPr>
          <w:sz w:val="20"/>
          <w:szCs w:val="20"/>
          <w:color w:val="auto"/>
        </w:rPr>
      </w:pPr>
      <w:r>
        <w:rPr>
          <w:rFonts w:ascii="Arial" w:cs="Arial" w:eastAsia="Arial" w:hAnsi="Arial"/>
          <w:sz w:val="17"/>
          <w:szCs w:val="17"/>
          <w:color w:val="auto"/>
        </w:rPr>
        <w:t>We are a multinational company based in the United States and subject to tax in multiple tax jurisdictions, both domestic and abroad. Our future effective tax rates could be adversely affected by changes in statutory tax rates or in the interpretation of tax rules and regulations in jurisdictions in which we do business, including those set forth in the Tax Cuts and Jobs Act enacted in 2017, or the Tax Act, changes in the amount of revenue or earnings in countries with varying statutory tax rates, obligations to pay sales, use, value-added, goods and services and similar taxes in jurisdictions in which we do not currently pay such taxes, or changes in the valuation of our deferred tax assets and liabilities.</w:t>
      </w:r>
    </w:p>
    <w:p>
      <w:pPr>
        <w:spacing w:after="0" w:line="160" w:lineRule="exact"/>
        <w:rPr>
          <w:sz w:val="20"/>
          <w:szCs w:val="20"/>
          <w:color w:val="auto"/>
        </w:rPr>
      </w:pPr>
    </w:p>
    <w:p>
      <w:pPr>
        <w:ind w:right="540" w:firstLine="644"/>
        <w:spacing w:after="0" w:line="244" w:lineRule="auto"/>
        <w:rPr>
          <w:sz w:val="20"/>
          <w:szCs w:val="20"/>
          <w:color w:val="auto"/>
        </w:rPr>
      </w:pPr>
      <w:r>
        <w:rPr>
          <w:rFonts w:ascii="Arial" w:cs="Arial" w:eastAsia="Arial" w:hAnsi="Arial"/>
          <w:sz w:val="18"/>
          <w:szCs w:val="18"/>
          <w:color w:val="auto"/>
        </w:rPr>
        <w:t>In addition, we may be subject to audits and examinations of previously filed tax returns by the Internal Revenue Service, or IRS, and other domestic and foreign tax authorities. We regularly assess the potential impact of such examinations to determine the</w:t>
      </w: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30" w:name="page31"/>
    <w:bookmarkEnd w:id="30"/>
    <w:p>
      <w:pPr>
        <w:spacing w:after="0"/>
        <w:rPr>
          <w:sz w:val="20"/>
          <w:szCs w:val="20"/>
          <w:color w:val="auto"/>
        </w:rPr>
      </w:pPr>
      <w:r>
        <w:rPr>
          <w:rFonts w:ascii="Arial" w:cs="Arial" w:eastAsia="Arial" w:hAnsi="Arial"/>
          <w:sz w:val="17"/>
          <w:szCs w:val="17"/>
          <w:color w:val="auto"/>
        </w:rPr>
        <w:t>adequacy of our provision for income and other taxes. We believe such estimate to be reasonable, but there is no guarantee that will be the case.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use our net operating loss carryforwards and certain other tax attributes may be limited.</w:t>
      </w:r>
    </w:p>
    <w:p>
      <w:pPr>
        <w:spacing w:after="0" w:line="185" w:lineRule="exact"/>
        <w:rPr>
          <w:sz w:val="20"/>
          <w:szCs w:val="20"/>
          <w:color w:val="auto"/>
        </w:rPr>
      </w:pPr>
    </w:p>
    <w:p>
      <w:pPr>
        <w:ind w:right="20" w:firstLine="644"/>
        <w:spacing w:after="0" w:line="270" w:lineRule="auto"/>
        <w:rPr>
          <w:sz w:val="20"/>
          <w:szCs w:val="20"/>
          <w:color w:val="auto"/>
        </w:rPr>
      </w:pPr>
      <w:r>
        <w:rPr>
          <w:rFonts w:ascii="Arial" w:cs="Arial" w:eastAsia="Arial" w:hAnsi="Arial"/>
          <w:sz w:val="16"/>
          <w:szCs w:val="16"/>
          <w:color w:val="auto"/>
        </w:rPr>
        <w:t>As of December 31, 2021, we have net operating loss (“NOL”) carryforwards for U.S. federal income tax purposes, and similar state amounts, of approximately $195.7 million available to reduce future income subject to income taxes before limitations. Of the total loss carryforward available, approximately $67.3 million of net operating losses were attributable to the acquisition of the company’s wholly owned subsidiary Thomas Publishing. Under Section 382 and Section 383 of the Internal Revenue Code of 1986, as amended, or the Code, if a corporation undergoes an “ownership change,” the corporation’s ability to use its pre-change NOLs and other tax attributes, including R&amp;D tax credits, to offset its post-change income may be limited. In general, an “ownership change” will occur if there is a cumulative change in our ownership by “5 percent stockholders” that exceeds 50 percentage points over a rolling three-year period. Similar rules may apply under state tax laws. As of December 31, 2021, management has not yet completed its evaluation of any limitations on the ability to use the Thomas subsidiary net operating loss carryforward of $67.3 million. The Company plans to complete this analysis during 2022 and the results could have a significant impact on the net operating loss deferred tax asset, acquisition accounting and income tax provision. U.S. federal NOL carryforwards generated prior to 2018 in the approximate amount of $71.9 million will begin to expire, if not utilized, in 2022. It is possible that we will not generate taxable income in the future to utilize NOLs prior to expiration.</w:t>
      </w:r>
    </w:p>
    <w:p>
      <w:pPr>
        <w:spacing w:after="0" w:line="126" w:lineRule="exact"/>
        <w:rPr>
          <w:sz w:val="20"/>
          <w:szCs w:val="20"/>
          <w:color w:val="auto"/>
        </w:rPr>
      </w:pPr>
    </w:p>
    <w:p>
      <w:pPr>
        <w:ind w:right="20" w:firstLine="644"/>
        <w:spacing w:after="0" w:line="252" w:lineRule="auto"/>
        <w:rPr>
          <w:sz w:val="20"/>
          <w:szCs w:val="20"/>
          <w:color w:val="auto"/>
        </w:rPr>
      </w:pPr>
      <w:r>
        <w:rPr>
          <w:rFonts w:ascii="Arial" w:cs="Arial" w:eastAsia="Arial" w:hAnsi="Arial"/>
          <w:sz w:val="17"/>
          <w:szCs w:val="17"/>
          <w:color w:val="auto"/>
        </w:rPr>
        <w:t>Under the Tax Act, as amended by the Coronavirus Aid, Relief, and Economic Security Act, or the CARES Act, net operating losses arising in taxable years beginning after December 31, 2017 and before January 1, 2021 may be carried back to each of the five taxable years preceding the tax year of such loss, but net operating losses arising in taxable years beginning after December 31, 2020 may not be carried back. Additionally, under the Tax Act, as modified by the CARES Act, net operating losses from tax years that began after December 31, 2017 may offset no more than 80% of current taxable income annually for taxable years beginning after December 31, 2020, but the 80% limitation on the use of net operating losses from tax years that began after December 31, 2017 does not apply for taxable income in tax years beginning before January 1, 2021. NOLs arising in tax years ending after December 31, 2017 can be carried forward indefinitely, but NOLs generated in tax years ending before January 1, 2018 will continue to have a two-year carryback and twenty-year carryforward period. As we maintain a full valuation allowance against our U.S. NOLs, these changes will not impact our balance sheet as of December 31, 2021. However, in future years, if and when a net deferred tax asset is recognized related to our NOLs, the changes in the carryforward and carryback periods as well as the new limitation on use of NOLs may significantly impact our valuation allowance assessments for NOLs generated after December 31, 2020.</w:t>
      </w:r>
    </w:p>
    <w:p>
      <w:pPr>
        <w:spacing w:after="0" w:line="145" w:lineRule="exact"/>
        <w:rPr>
          <w:sz w:val="20"/>
          <w:szCs w:val="20"/>
          <w:color w:val="auto"/>
        </w:rPr>
      </w:pPr>
    </w:p>
    <w:p>
      <w:pPr>
        <w:ind w:firstLine="644"/>
        <w:spacing w:after="0" w:line="241" w:lineRule="auto"/>
        <w:rPr>
          <w:sz w:val="20"/>
          <w:szCs w:val="20"/>
          <w:color w:val="auto"/>
        </w:rPr>
      </w:pPr>
      <w:r>
        <w:rPr>
          <w:rFonts w:ascii="Arial" w:cs="Arial" w:eastAsia="Arial" w:hAnsi="Arial"/>
          <w:sz w:val="18"/>
          <w:szCs w:val="18"/>
          <w:color w:val="auto"/>
        </w:rPr>
        <w:t>There is also a risk that due to regulatory changes, such as suspensions on the use of NOLs and tax credits by certain jurisdictions, including in order to raise additional revenue to help counter the fiscal impact from the COVID-19 pandemic, possibly with retroactive effect, or other unforeseen reasons, our existing NOLs and tax credits could expire or otherwise be unavailable to offset future income tax liabilities. A temporary suspension of the use of certain NOLs and tax credits has been enacted in California, and other states may enact suspensions as well. For these reasons, we may not be able to realize a tax benefit from the use of our NOLs and tax credits.</w:t>
      </w: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Earnings for future periods may be impacted by impairment charges for goodwill and intangible assets.</w:t>
      </w:r>
    </w:p>
    <w:p>
      <w:pPr>
        <w:spacing w:after="0" w:line="171" w:lineRule="exact"/>
        <w:rPr>
          <w:sz w:val="20"/>
          <w:szCs w:val="20"/>
          <w:color w:val="auto"/>
        </w:rPr>
      </w:pPr>
    </w:p>
    <w:p>
      <w:pPr>
        <w:ind w:right="120" w:firstLine="644"/>
        <w:spacing w:after="0"/>
        <w:rPr>
          <w:sz w:val="20"/>
          <w:szCs w:val="20"/>
          <w:color w:val="auto"/>
        </w:rPr>
      </w:pPr>
      <w:r>
        <w:rPr>
          <w:rFonts w:ascii="Arial" w:cs="Arial" w:eastAsia="Arial" w:hAnsi="Arial"/>
          <w:sz w:val="18"/>
          <w:szCs w:val="18"/>
          <w:color w:val="auto"/>
        </w:rPr>
        <w:t>We carry a significant amount of goodwill and identifiable intangible assets on our Consolidated Balance Sheets. Goodwill is the excess of purchase price over the fair value of the net assets of acquired businesses. We assess goodwill, indefinite-lived and definite-lived intangible assets for impairment each year, or more frequently if circumstances suggest an impairment may have occurred. We have concluded that there were no impairments of goodwill, indefinite-lived or definite-lived intangibles in 2021. If we determine that a significant impairment has occurred in the value of our intangible assets, right of use assets or fixed assets in 2022 or beyond, we could be required to write off a portion of our assets, which could adversely affect our consolidated financial condition or our reported results of operations.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use of “open source” software could adversely affect our ability to offer our services and subject us to possible litigation.</w:t>
      </w:r>
    </w:p>
    <w:p>
      <w:pPr>
        <w:spacing w:after="0" w:line="104" w:lineRule="exact"/>
        <w:rPr>
          <w:sz w:val="20"/>
          <w:szCs w:val="20"/>
          <w:color w:val="auto"/>
        </w:rPr>
      </w:pPr>
    </w:p>
    <w:p>
      <w:pPr>
        <w:ind w:right="60" w:firstLine="644"/>
        <w:spacing w:after="0" w:line="250" w:lineRule="auto"/>
        <w:rPr>
          <w:sz w:val="20"/>
          <w:szCs w:val="20"/>
          <w:color w:val="auto"/>
        </w:rPr>
      </w:pPr>
      <w:r>
        <w:rPr>
          <w:rFonts w:ascii="Arial" w:cs="Arial" w:eastAsia="Arial" w:hAnsi="Arial"/>
          <w:sz w:val="17"/>
          <w:szCs w:val="17"/>
          <w:color w:val="auto"/>
        </w:rPr>
        <w:t>We use open source software in connection with our products and services, and we expect to continue to incorporate open source software in our offerings in the future. Some open source software licenses contain certain requirements, including requirements that we make available source code for modifications or derivative works we create based upon, incorporating, linking to or using the open source software (which could include valuable proprietary code), and that we license such modifications or derivative works under the terms of a particular open source license or other license granting third-parties certain rights of further use. By the terms of certain open source licenses, we could be required to release the source code of our proprietary software, and to make our proprietary software available under open source licenses, if we combine and/or distribute our proprietary software with open source software in certain manners, for reduced or no cost. Although we monitor our use of open source software, we do not have a formal open source policy and we cannot be sure that all open source software is reviewed prior to use in our proprietary software, that our programmers have not incorporated open source software into our proprietary software, or that they will not do so in the future.</w:t>
      </w:r>
    </w:p>
    <w:p>
      <w:pPr>
        <w:spacing w:after="0" w:line="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31" w:name="page32"/>
    <w:bookmarkEnd w:id="31"/>
    <w:p>
      <w:pPr>
        <w:ind w:right="140"/>
        <w:spacing w:after="0" w:line="243" w:lineRule="auto"/>
        <w:rPr>
          <w:sz w:val="20"/>
          <w:szCs w:val="20"/>
          <w:color w:val="auto"/>
        </w:rPr>
      </w:pPr>
      <w:r>
        <w:rPr>
          <w:rFonts w:ascii="Arial" w:cs="Arial" w:eastAsia="Arial" w:hAnsi="Arial"/>
          <w:sz w:val="18"/>
          <w:szCs w:val="18"/>
          <w:color w:val="auto"/>
        </w:rPr>
        <w:t>Additionally, the terms of many open source licenses to which we are subject have not been interpreted by U.S. or foreign courts. There is a risk that open source software licenses could be construed in a manner that imposes unanticipated conditions or restrictions on our ability to provide our solutions to our clients. In addition, the terms of open source software licenses may require us to provide software that we develop, using such open source software, to others, including our competitors, on unfavorable license terms.</w:t>
      </w:r>
    </w:p>
    <w:p>
      <w:pPr>
        <w:spacing w:after="0" w:line="147" w:lineRule="exact"/>
        <w:rPr>
          <w:sz w:val="20"/>
          <w:szCs w:val="20"/>
          <w:color w:val="auto"/>
        </w:rPr>
      </w:pPr>
    </w:p>
    <w:p>
      <w:pPr>
        <w:ind w:right="20" w:firstLine="644"/>
        <w:spacing w:after="0" w:line="268" w:lineRule="auto"/>
        <w:rPr>
          <w:sz w:val="20"/>
          <w:szCs w:val="20"/>
          <w:color w:val="auto"/>
        </w:rPr>
      </w:pPr>
      <w:r>
        <w:rPr>
          <w:rFonts w:ascii="Arial" w:cs="Arial" w:eastAsia="Arial" w:hAnsi="Arial"/>
          <w:sz w:val="16"/>
          <w:szCs w:val="16"/>
          <w:color w:val="auto"/>
        </w:rPr>
        <w:t>As a result of our current or future use of open source software, we may face claims or litigation, be required to release our proprietary source code, pay damages for breach of contract, re-engineer our technology, discontinue sales in the event re-engineering cannot be accomplished on a timely basis or at all, or take other remedial action that may divert resources away from our development efforts, any of which could adversely affect our business, financial condition or operating results. If an author or other third party that distributes such open source software were to allege that we had not complied with the conditions of one or more of these licenses, we could incur significant legal expenses defending against such allegations and could be subject to significant damages, enjoined from the sale of our offerings that contain the open source software and required to comply with onerous conditions or restrictions on these offerings, which could disrupt the distribution and sale of these offerings. In addition, the licensors of such open source software may provide no warranties or indemnities with respect to such claims. In any of these events, we and our buyers could be required to seek licenses from third parties in order to continue offering or utilizing our platform, products and solutions, which may not be available on reasonable terms or at all. We and our buyers may also be subject to suits by parties claiming infringement, misappropriation or other violation of third-party intellectual property or proprietary rights due to the reliance by our solutions on certain open source software, and such litigation could be costly for us to defend and subject us to injunctions, payments for damages and other liabilities and obligations. Some open source projects provided on an “as-is” basis have known or unknown vulnerabilities and architectural instabilities which, if not properly addressed, could negatively affect the performance of any offering incorporating the relevant software. Any of the foregoing could result in lost revenue, require us to devote additional research and development resources to re-engineer our solutions, cause us to incur additional costs and expenses, and result in customer dissatisfaction and damage to our reputation, any of which could materially and adversely affect our business, prospects, financial condition and results of operations.</w:t>
      </w:r>
    </w:p>
    <w:p>
      <w:pPr>
        <w:spacing w:after="0" w:line="142" w:lineRule="exact"/>
        <w:rPr>
          <w:sz w:val="20"/>
          <w:szCs w:val="20"/>
          <w:color w:val="auto"/>
        </w:rPr>
      </w:pPr>
    </w:p>
    <w:p>
      <w:pPr>
        <w:ind w:right="740"/>
        <w:spacing w:after="0" w:line="261" w:lineRule="auto"/>
        <w:rPr>
          <w:sz w:val="20"/>
          <w:szCs w:val="20"/>
          <w:color w:val="auto"/>
        </w:rPr>
      </w:pPr>
      <w:r>
        <w:rPr>
          <w:rFonts w:ascii="Arial" w:cs="Arial" w:eastAsia="Arial" w:hAnsi="Arial"/>
          <w:sz w:val="18"/>
          <w:szCs w:val="18"/>
          <w:b w:val="1"/>
          <w:bCs w:val="1"/>
          <w:i w:val="1"/>
          <w:iCs w:val="1"/>
          <w:color w:val="auto"/>
        </w:rPr>
        <w:t>We rely on Amazon Web Services to operate our platform, and any disruption of service from Amazon Web Services or material change to our arrangement with Amazon Web Services could adversely affect our business.</w:t>
      </w:r>
    </w:p>
    <w:p>
      <w:pPr>
        <w:spacing w:after="0" w:line="63" w:lineRule="exact"/>
        <w:rPr>
          <w:sz w:val="20"/>
          <w:szCs w:val="20"/>
          <w:color w:val="auto"/>
        </w:rPr>
      </w:pPr>
    </w:p>
    <w:p>
      <w:pPr>
        <w:ind w:right="20" w:firstLine="644"/>
        <w:spacing w:after="0" w:line="268" w:lineRule="auto"/>
        <w:rPr>
          <w:sz w:val="20"/>
          <w:szCs w:val="20"/>
          <w:color w:val="auto"/>
        </w:rPr>
      </w:pPr>
      <w:r>
        <w:rPr>
          <w:rFonts w:ascii="Arial" w:cs="Arial" w:eastAsia="Arial" w:hAnsi="Arial"/>
          <w:sz w:val="16"/>
          <w:szCs w:val="16"/>
          <w:color w:val="auto"/>
        </w:rPr>
        <w:t>The operation of our platform depends on certain third-party service providers. In particular, we currently host our platform, serve our users and support our operations using Amazon Web Services, or AWS, a provider of cloud infrastructure services. We do not have control over the operations of the facilities of AWS that we use. AWS’ facilities are vulnerable to damage or interruption from earthquakes, hurricanes, floods, fires, cybersecurity attacks, terrorist attacks, power losses, telecommunications failures and similar events, including any disruptions in light of increased usage during the COVID-19 pandemic. In the event that AWS’ or any other third-party provider’s systems or service abilities are hindered by any of the events discussed above, our ability to operate our platform may be impaired, resulting in missing financial targets for a particular period. A decision to close the facilities without adequate notice, or other unanticipated problems, could result in lengthy interruptions to our platform. All of the aforementioned risks may be augmented if our or our partners’ business continuity and disaster recovery plans prove to be inadequate. The facilities also could be subject to break-ins, computer viruses, sabotage, intentional acts of vandalism and other misconduct. Our platform’s continuing and uninterrupted performance is critical to our success. Users may become dissatisfied by any system failure that interrupts our ability to provide our platform to them. We may not be able to easily switch our AWS operations to another cloud or other data center provider if there are disruptions or interference with our use of or relationship with AWS, and, even if we do switch our operations, other cloud and data center providers are subject to the same risks. Sustained or repeated system failures would reduce the attractiveness of our platform to users, thereby reducing revenue. Moreover, negative publicity arising from these types of disruptions could damage our reputation and may adversely impact use of our platform. We may not carry sufficient business interruption insurance to compensate us for losses that may occur as a result of any events that cause interruptions in our service.</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failure to meet our buyers’ price expectations would adversely affect our business and results of operations.</w:t>
      </w:r>
    </w:p>
    <w:p>
      <w:pPr>
        <w:spacing w:after="0" w:line="104" w:lineRule="exact"/>
        <w:rPr>
          <w:sz w:val="20"/>
          <w:szCs w:val="20"/>
          <w:color w:val="auto"/>
        </w:rPr>
      </w:pPr>
    </w:p>
    <w:p>
      <w:pPr>
        <w:ind w:right="20" w:firstLine="644"/>
        <w:spacing w:after="0" w:line="243" w:lineRule="auto"/>
        <w:rPr>
          <w:sz w:val="20"/>
          <w:szCs w:val="20"/>
          <w:color w:val="auto"/>
        </w:rPr>
      </w:pPr>
      <w:r>
        <w:rPr>
          <w:rFonts w:ascii="Arial" w:cs="Arial" w:eastAsia="Arial" w:hAnsi="Arial"/>
          <w:sz w:val="18"/>
          <w:szCs w:val="18"/>
          <w:color w:val="auto"/>
        </w:rPr>
        <w:t>Demand for manufactured products is sensitive to price. We believe our algorithmic pricing tool has been an important factor in our results to date. Therefore, changes in our pricing strategies could have a significant impact on our business and ability to generate revenue. If we fail to meet our buyer’s price expectations with respect to any given order, demand for our platform could be negatively impacted and our business and results of operations could suffer.</w:t>
      </w:r>
    </w:p>
    <w:p>
      <w:pPr>
        <w:spacing w:after="0" w:line="147" w:lineRule="exact"/>
        <w:rPr>
          <w:sz w:val="20"/>
          <w:szCs w:val="20"/>
          <w:color w:val="auto"/>
        </w:rPr>
      </w:pPr>
    </w:p>
    <w:p>
      <w:pPr>
        <w:ind w:right="440"/>
        <w:spacing w:after="0" w:line="261" w:lineRule="auto"/>
        <w:rPr>
          <w:sz w:val="20"/>
          <w:szCs w:val="20"/>
          <w:color w:val="auto"/>
        </w:rPr>
      </w:pPr>
      <w:r>
        <w:rPr>
          <w:rFonts w:ascii="Arial" w:cs="Arial" w:eastAsia="Arial" w:hAnsi="Arial"/>
          <w:sz w:val="18"/>
          <w:szCs w:val="18"/>
          <w:b w:val="1"/>
          <w:bCs w:val="1"/>
          <w:i w:val="1"/>
          <w:iCs w:val="1"/>
          <w:color w:val="auto"/>
        </w:rPr>
        <w:t>Our business depends in part on our ability to process a large volume of new part designs from a diverse group of buyers and successfully identify significant opportunities for our business based on those submissions.</w:t>
      </w:r>
    </w:p>
    <w:p>
      <w:pPr>
        <w:spacing w:after="0" w:line="63" w:lineRule="exact"/>
        <w:rPr>
          <w:sz w:val="20"/>
          <w:szCs w:val="20"/>
          <w:color w:val="auto"/>
        </w:rPr>
      </w:pPr>
    </w:p>
    <w:p>
      <w:pPr>
        <w:ind w:firstLine="644"/>
        <w:spacing w:after="0" w:line="237" w:lineRule="auto"/>
        <w:rPr>
          <w:sz w:val="20"/>
          <w:szCs w:val="20"/>
          <w:color w:val="auto"/>
        </w:rPr>
      </w:pPr>
      <w:r>
        <w:rPr>
          <w:rFonts w:ascii="Arial" w:cs="Arial" w:eastAsia="Arial" w:hAnsi="Arial"/>
          <w:sz w:val="18"/>
          <w:szCs w:val="18"/>
          <w:color w:val="auto"/>
        </w:rPr>
        <w:t>We believe the volume and variety of designs and manufacturing processes we process, and the size and diversity of our buyers give us valuable insight into the needs of our prospective buyers and the ability of our community of sellers to meet those needs. We utilize this industry knowledge to better match buyers and sellers and to improve pricing. If the number and diversity of designs and manufacturing processes we process, or the size and diversity of our buyer or seller bases decrease, our ability to expand our business and improve pricing could be negatively impacted. In addition, even if we do continue to process a large number and variety of designs and manufacturing processes and work with significant and diverse buyer and seller bases, there are no guarantees</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32" w:name="page33"/>
    <w:bookmarkEnd w:id="32"/>
    <w:p>
      <w:pPr>
        <w:ind w:right="80"/>
        <w:spacing w:after="0" w:line="261" w:lineRule="auto"/>
        <w:rPr>
          <w:sz w:val="20"/>
          <w:szCs w:val="20"/>
          <w:color w:val="auto"/>
        </w:rPr>
      </w:pPr>
      <w:r>
        <w:rPr>
          <w:rFonts w:ascii="Arial" w:cs="Arial" w:eastAsia="Arial" w:hAnsi="Arial"/>
          <w:sz w:val="18"/>
          <w:szCs w:val="18"/>
          <w:color w:val="auto"/>
        </w:rPr>
        <w:t>that we will successfully identify significant business opportunities, improve the products and services available on our platform or increase the number of transactions on our platform as a result.</w:t>
      </w:r>
    </w:p>
    <w:p>
      <w:pPr>
        <w:spacing w:after="0" w:line="130"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b w:val="1"/>
          <w:bCs w:val="1"/>
          <w:i w:val="1"/>
          <w:iCs w:val="1"/>
          <w:color w:val="auto"/>
        </w:rPr>
        <w:t>If our present single or limited source sellers become unavailable or inadequate, our buyer relationships, results of operations and financial condition may be adversely affected.</w:t>
      </w:r>
    </w:p>
    <w:p>
      <w:pPr>
        <w:spacing w:after="0" w:line="63" w:lineRule="exact"/>
        <w:rPr>
          <w:sz w:val="20"/>
          <w:szCs w:val="20"/>
          <w:color w:val="auto"/>
        </w:rPr>
      </w:pPr>
    </w:p>
    <w:p>
      <w:pPr>
        <w:ind w:right="160" w:firstLine="644"/>
        <w:spacing w:after="0" w:line="241" w:lineRule="auto"/>
        <w:rPr>
          <w:sz w:val="20"/>
          <w:szCs w:val="20"/>
          <w:color w:val="auto"/>
        </w:rPr>
      </w:pPr>
      <w:r>
        <w:rPr>
          <w:rFonts w:ascii="Arial" w:cs="Arial" w:eastAsia="Arial" w:hAnsi="Arial"/>
          <w:sz w:val="18"/>
          <w:szCs w:val="18"/>
          <w:color w:val="auto"/>
        </w:rPr>
        <w:t>While most manufacturing equipment and materials for our buyers’ orders are available from multiple sellers, certain of those items are only available from single or limited sources. Should any of our present single or limited source sellers for manufacturing equipment or materials become unavailable or inadequate, or impose terms unacceptable to us such as increased pricing terms, we may fail to procure alternate sources of supply, and we may not be successful in doing so on terms acceptable to us, or at all. As a result, the loss of a single or limited source seller could adversely affect our relationship with our buyers and our results of operations and financial condition.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reported results of operations may be adversely affected by changes in GAAP.</w:t>
      </w:r>
    </w:p>
    <w:p>
      <w:pPr>
        <w:spacing w:after="0" w:line="104" w:lineRule="exact"/>
        <w:rPr>
          <w:sz w:val="20"/>
          <w:szCs w:val="20"/>
          <w:color w:val="auto"/>
        </w:rPr>
      </w:pPr>
    </w:p>
    <w:p>
      <w:pPr>
        <w:ind w:right="60" w:firstLine="644"/>
        <w:spacing w:after="0" w:line="284" w:lineRule="auto"/>
        <w:rPr>
          <w:sz w:val="20"/>
          <w:szCs w:val="20"/>
          <w:color w:val="auto"/>
        </w:rPr>
      </w:pPr>
      <w:r>
        <w:rPr>
          <w:rFonts w:ascii="Arial" w:cs="Arial" w:eastAsia="Arial" w:hAnsi="Arial"/>
          <w:sz w:val="16"/>
          <w:szCs w:val="16"/>
          <w:color w:val="auto"/>
        </w:rPr>
        <w:t>GAAP is subject to interpretation by the Financial Accounting Standards Board, or FASB, the SEC, and various bodies formed to promulgate and interpret appropriate accounting principles. A change in these principles or interpretations could have a significant effect on our reported results of operations and could affect the reporting of transactions completed before the announcement of a change. It is difficult to predict the impact of future changes to accounting principles or our accounting policies, any of which could negatively affect our reported results of operations.</w:t>
      </w:r>
    </w:p>
    <w:p>
      <w:pPr>
        <w:spacing w:after="0" w:line="115"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b w:val="1"/>
          <w:bCs w:val="1"/>
          <w:i w:val="1"/>
          <w:iCs w:val="1"/>
          <w:color w:val="auto"/>
        </w:rPr>
        <w:t>The impact of economic conditions, including the resulting effect on consumer spending, may adversely affect our business, financial condition, and results of operations.</w:t>
      </w:r>
    </w:p>
    <w:p>
      <w:pPr>
        <w:spacing w:after="0" w:line="63" w:lineRule="exact"/>
        <w:rPr>
          <w:sz w:val="20"/>
          <w:szCs w:val="20"/>
          <w:color w:val="auto"/>
        </w:rPr>
      </w:pPr>
    </w:p>
    <w:p>
      <w:pPr>
        <w:ind w:firstLine="644"/>
        <w:spacing w:after="0" w:line="271" w:lineRule="auto"/>
        <w:rPr>
          <w:sz w:val="20"/>
          <w:szCs w:val="20"/>
          <w:color w:val="auto"/>
        </w:rPr>
      </w:pPr>
      <w:r>
        <w:rPr>
          <w:rFonts w:ascii="Arial" w:cs="Arial" w:eastAsia="Arial" w:hAnsi="Arial"/>
          <w:sz w:val="16"/>
          <w:szCs w:val="16"/>
          <w:color w:val="auto"/>
        </w:rPr>
        <w:t>Our performance is in part subject to economic conditions and their impact on levels of consumer spending, as consumer spending impacts buyers and sellers transacting on our marketplace. Some of the factors having an impact on consumer spending include general economic conditions, unemployment, consumer debt, reductions in net worth, residential real estate and mortgage markets, taxation, energy prices, interest rates, consumer confidence, and other macroeconomic factors. Consumer purchases of generally decline during recessionary periods and other periods in which disposable income is adversely affected, contributing to small business closures. Economic conditions in certain regions may also be affected by natural disasters, such as earthquakes, hurricanes, wildfires, and threats to public health, such as the recent COVID-19 pandemic. Further, small businesses that do not have substantial resources, like some of the buyers and sellers transacting on our marketplace, tend to be more adversely affected by poor economic conditions than large businesses. If buyers or sellers on our platform were to cease operations, temporarily or permanently, or face financial distress or other business disruption, our business, financial condition, and results of operation may be materially and adversely affected.</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Currency exchange rate fluctuations affect our results of operations, as reported in our financial statements.</w:t>
      </w:r>
    </w:p>
    <w:p>
      <w:pPr>
        <w:spacing w:after="0" w:line="104" w:lineRule="exact"/>
        <w:rPr>
          <w:sz w:val="20"/>
          <w:szCs w:val="20"/>
          <w:color w:val="auto"/>
        </w:rPr>
      </w:pPr>
    </w:p>
    <w:p>
      <w:pPr>
        <w:ind w:right="80" w:firstLine="644"/>
        <w:spacing w:after="0" w:line="253" w:lineRule="auto"/>
        <w:rPr>
          <w:sz w:val="20"/>
          <w:szCs w:val="20"/>
          <w:color w:val="auto"/>
        </w:rPr>
      </w:pPr>
      <w:r>
        <w:rPr>
          <w:rFonts w:ascii="Arial" w:cs="Arial" w:eastAsia="Arial" w:hAnsi="Arial"/>
          <w:sz w:val="17"/>
          <w:szCs w:val="17"/>
          <w:color w:val="auto"/>
        </w:rPr>
        <w:t>We report our financial results in U.S. dollars. We collect our revenue primarily in U.S. dollars. A portion of the cost of revenue, product development, sales and marketing and general and administrative expenses of our operations in jurisdictions outside the United States are incurred in foreign currency. As a result, we are exposed to exchange rate risks that may materially and adversely affect our financial results. If the foreign currency appreciates against the U.S. dollar or if the value of the foreign currency declines against the U.S. dollar at a time when the rate of inflation in the cost of goods and services in such jurisdictions exceeds the rate of decline in the relative value of the applicable foreign currency, then the U.S. dollar cost of our operations in non-U.S. jurisdictions would increase and our results of operations could be materially and adversely affected. For example, there has been and may continue to be volatility in currency exchange rates as a result of the exit of the United Kingdom, or UK, from the EU, often referred to as Brexit. We do not currently enter into hedging transactions and our business, financial condition and results of operations could be materially and adversely affected if we are unable to effectively hedge against currency fluctuations in the future.</w:t>
      </w: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Related to the Acquisition of Thomas</w:t>
      </w:r>
    </w:p>
    <w:p>
      <w:pPr>
        <w:spacing w:after="0" w:line="202"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b w:val="1"/>
          <w:bCs w:val="1"/>
          <w:i w:val="1"/>
          <w:iCs w:val="1"/>
          <w:color w:val="auto"/>
        </w:rPr>
        <w:t>We may not realize potential benefits from the acquisition of Thomas because of difficulties related to integration, the achievement of synergies, and other challenges.</w:t>
      </w:r>
    </w:p>
    <w:p>
      <w:pPr>
        <w:spacing w:after="0" w:line="63" w:lineRule="exact"/>
        <w:rPr>
          <w:sz w:val="20"/>
          <w:szCs w:val="20"/>
          <w:color w:val="auto"/>
        </w:rPr>
      </w:pPr>
    </w:p>
    <w:p>
      <w:pPr>
        <w:ind w:right="20" w:firstLine="644"/>
        <w:spacing w:after="0" w:line="266" w:lineRule="auto"/>
        <w:rPr>
          <w:sz w:val="20"/>
          <w:szCs w:val="20"/>
          <w:color w:val="auto"/>
        </w:rPr>
      </w:pPr>
      <w:r>
        <w:rPr>
          <w:rFonts w:ascii="Arial" w:cs="Arial" w:eastAsia="Arial" w:hAnsi="Arial"/>
          <w:sz w:val="16"/>
          <w:szCs w:val="16"/>
          <w:color w:val="auto"/>
        </w:rPr>
        <w:t>We acquired Thomas on December 9, 2021 (the “Thomas Acquisition”). Prior to the completion of the Thomas Acquisition, we and Thomas operated independently, and there can be no assurances that our businesses can be combined in a manner that allows for the achievement of substantial benefits. Any integration process may require significant time and resources, and we may not be able to manage the process successfully as our ability to acquire and integrate larger or more complex companies, products, or technologies in a successful manner is unproven. If we are not able to successfully integrate Thomas’s business with ours or pursue our customer and product strategy successfully, the anticipated benefits of the Thomas Acquisition may not be realized fully or may take longer than expected to be realized. Further, it is possible that there could be a loss of our and/or Thomas’s key employees and customers, disruption of either company’s or both companies’ ongoing businesses or unexpected issues, higher than expected costs and an overall post-completion process that takes longer than originally anticipated. Specifically, the following issues, among others,</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33" w:name="page34"/>
    <w:bookmarkEnd w:id="33"/>
    <w:p>
      <w:pPr>
        <w:ind w:right="420"/>
        <w:spacing w:after="0" w:line="261" w:lineRule="auto"/>
        <w:rPr>
          <w:sz w:val="20"/>
          <w:szCs w:val="20"/>
          <w:color w:val="auto"/>
        </w:rPr>
      </w:pPr>
      <w:r>
        <w:rPr>
          <w:rFonts w:ascii="Arial" w:cs="Arial" w:eastAsia="Arial" w:hAnsi="Arial"/>
          <w:sz w:val="18"/>
          <w:szCs w:val="18"/>
          <w:color w:val="auto"/>
        </w:rPr>
        <w:t>must be addressed in combining Thomas’s operations with ours in order to realize the anticipated benefits of the Thomas Acquisition so the combined company performs as the parties anticipate:</w:t>
      </w:r>
    </w:p>
    <w:p>
      <w:pPr>
        <w:spacing w:after="0" w:line="63" w:lineRule="exact"/>
        <w:rPr>
          <w:sz w:val="20"/>
          <w:szCs w:val="20"/>
          <w:color w:val="auto"/>
        </w:rPr>
      </w:pPr>
    </w:p>
    <w:p>
      <w:pPr>
        <w:ind w:left="1020" w:hanging="503"/>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combining the companies’ corporate functions;</w:t>
      </w:r>
    </w:p>
    <w:p>
      <w:pPr>
        <w:spacing w:after="0" w:line="103" w:lineRule="exact"/>
        <w:rPr>
          <w:rFonts w:ascii="Arial" w:cs="Arial" w:eastAsia="Arial" w:hAnsi="Arial"/>
          <w:sz w:val="18"/>
          <w:szCs w:val="18"/>
          <w:color w:val="auto"/>
        </w:rPr>
      </w:pPr>
    </w:p>
    <w:p>
      <w:pPr>
        <w:ind w:left="1020" w:right="220" w:hanging="503"/>
        <w:spacing w:after="0" w:line="248" w:lineRule="auto"/>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combining Thomas’s business with our business in a manner that permits us to achieve the synergies anticipated to result from the Thomas Acquisition, the failure of which would result in the anticipated benefits of the Thomas Acquisition not being realized in the time frame currently anticipated or at all;</w:t>
      </w:r>
    </w:p>
    <w:p>
      <w:pPr>
        <w:spacing w:after="0" w:line="73" w:lineRule="exact"/>
        <w:rPr>
          <w:rFonts w:ascii="Arial" w:cs="Arial" w:eastAsia="Arial" w:hAnsi="Arial"/>
          <w:sz w:val="18"/>
          <w:szCs w:val="18"/>
          <w:color w:val="auto"/>
        </w:rPr>
      </w:pPr>
    </w:p>
    <w:p>
      <w:pPr>
        <w:ind w:left="1020" w:right="240" w:hanging="503"/>
        <w:spacing w:after="0" w:line="261" w:lineRule="auto"/>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maintaining existing agreements with customers, partners and talent and avoiding delays in entering into new agreements with prospective customers, distributors, providers, talent and vendors;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determining whether and how to address possible differences in corporate cultures and management philosophies;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integrating the companies’ administrative and information technology infrastructure;</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developing products and technology that allow value to be unlocked in the future;</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ensuring the effectiveness of Thomas’ internal control over financial reporting;</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evaluating and forecasting the financial impact of the Thomas Acquisition transaction, including accounting charges; and</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effecting potential actions that may be required in connection with obtaining regulatory approvals.</w:t>
      </w:r>
    </w:p>
    <w:p>
      <w:pPr>
        <w:spacing w:after="0" w:line="306" w:lineRule="exact"/>
        <w:rPr>
          <w:sz w:val="20"/>
          <w:szCs w:val="20"/>
          <w:color w:val="auto"/>
        </w:rPr>
      </w:pPr>
    </w:p>
    <w:p>
      <w:pPr>
        <w:ind w:firstLine="644"/>
        <w:spacing w:after="0" w:line="259" w:lineRule="auto"/>
        <w:rPr>
          <w:sz w:val="20"/>
          <w:szCs w:val="20"/>
          <w:color w:val="auto"/>
        </w:rPr>
      </w:pPr>
      <w:r>
        <w:rPr>
          <w:rFonts w:ascii="Arial" w:cs="Arial" w:eastAsia="Arial" w:hAnsi="Arial"/>
          <w:sz w:val="17"/>
          <w:szCs w:val="17"/>
          <w:color w:val="auto"/>
        </w:rPr>
        <w:t>In addition, at times the attention of certain members of our management and resources may be focused on integration of the businesses of the two companies and diverted from day-to-day business operations, which may disrupt our ongoing business and the business of the combined company. We have incurred, and may continue to incur, significant, non-recurring costs in connection with the Thomas Acquisition and integrating the operations of Xometry and Thomas, including costs to maintain employee morale and to retain key employees. Management cannot ensure that the elimination of duplicative costs or the realization of other efficiencies will offset the transaction and integration costs in the near term or at all.</w:t>
      </w:r>
    </w:p>
    <w:p>
      <w:pPr>
        <w:spacing w:after="0" w:line="268" w:lineRule="exact"/>
        <w:rPr>
          <w:sz w:val="20"/>
          <w:szCs w:val="20"/>
          <w:color w:val="auto"/>
        </w:rPr>
      </w:pPr>
    </w:p>
    <w:p>
      <w:pPr>
        <w:ind w:right="760"/>
        <w:spacing w:after="0" w:line="261" w:lineRule="auto"/>
        <w:rPr>
          <w:sz w:val="20"/>
          <w:szCs w:val="20"/>
          <w:color w:val="auto"/>
        </w:rPr>
      </w:pPr>
      <w:r>
        <w:rPr>
          <w:rFonts w:ascii="Arial" w:cs="Arial" w:eastAsia="Arial" w:hAnsi="Arial"/>
          <w:sz w:val="18"/>
          <w:szCs w:val="18"/>
          <w:b w:val="1"/>
          <w:bCs w:val="1"/>
          <w:i w:val="1"/>
          <w:iCs w:val="1"/>
          <w:color w:val="auto"/>
        </w:rPr>
        <w:t>Purchase price accounting in connection with the Thomas Acquisition requires estimates that may be subject to change and could impact our consolidated financial statements and future results of operations and financial position.</w:t>
      </w:r>
    </w:p>
    <w:p>
      <w:pPr>
        <w:spacing w:after="0" w:line="63" w:lineRule="exact"/>
        <w:rPr>
          <w:sz w:val="20"/>
          <w:szCs w:val="20"/>
          <w:color w:val="auto"/>
        </w:rPr>
      </w:pPr>
    </w:p>
    <w:p>
      <w:pPr>
        <w:ind w:firstLine="644"/>
        <w:spacing w:after="0" w:line="238" w:lineRule="auto"/>
        <w:rPr>
          <w:sz w:val="20"/>
          <w:szCs w:val="20"/>
          <w:color w:val="auto"/>
        </w:rPr>
      </w:pPr>
      <w:r>
        <w:rPr>
          <w:rFonts w:ascii="Arial" w:cs="Arial" w:eastAsia="Arial" w:hAnsi="Arial"/>
          <w:sz w:val="18"/>
          <w:szCs w:val="18"/>
          <w:color w:val="auto"/>
        </w:rPr>
        <w:t>Pursuant to the acquisition method of accounting, the purchase price we paid for the Thomas Acquisition will be allocated to the underlying Thomas tangible and intangible assets acquired and liabilities assumed based on their respective fair market values with any excess purchase price allocated to goodwill. The acquisition method of accounting is dependent upon certain valuations and other studies that are preliminary. Accordingly, the purchase price allocation as of the date of the Thomas Acquisition was preliminary. We currently anticipate that all the information needed to identify and measure values assigned to the assets acquired and liabilities assumed will be obtained and finalized during the one year measurement period following the date of completion of the Thomas Acquisition. Differences between these preliminary estimates and the final acquisition accounting may occur, and these differences could have a material impact on the consolidated financial statements and the combined company’s future results of operations and financial position.</w:t>
      </w:r>
    </w:p>
    <w:p>
      <w:pPr>
        <w:spacing w:after="0" w:line="298" w:lineRule="exact"/>
        <w:rPr>
          <w:sz w:val="20"/>
          <w:szCs w:val="20"/>
          <w:color w:val="auto"/>
        </w:rPr>
      </w:pPr>
    </w:p>
    <w:p>
      <w:pPr>
        <w:ind w:left="3320"/>
        <w:spacing w:after="0"/>
        <w:rPr>
          <w:sz w:val="20"/>
          <w:szCs w:val="20"/>
          <w:color w:val="auto"/>
        </w:rPr>
      </w:pPr>
      <w:r>
        <w:rPr>
          <w:rFonts w:ascii="Arial" w:cs="Arial" w:eastAsia="Arial" w:hAnsi="Arial"/>
          <w:sz w:val="18"/>
          <w:szCs w:val="18"/>
          <w:b w:val="1"/>
          <w:bCs w:val="1"/>
          <w:color w:val="auto"/>
        </w:rPr>
        <w:t>Risks Related to Ownership of Our Class A Common Stock</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 price may be volatile, and the value of our Class A common stock may decline.</w:t>
      </w:r>
    </w:p>
    <w:p>
      <w:pPr>
        <w:spacing w:after="0" w:line="104" w:lineRule="exact"/>
        <w:rPr>
          <w:sz w:val="20"/>
          <w:szCs w:val="20"/>
          <w:color w:val="auto"/>
        </w:rPr>
      </w:pPr>
    </w:p>
    <w:p>
      <w:pPr>
        <w:ind w:right="60" w:firstLine="644"/>
        <w:spacing w:after="0" w:line="261" w:lineRule="auto"/>
        <w:rPr>
          <w:sz w:val="20"/>
          <w:szCs w:val="20"/>
          <w:color w:val="auto"/>
        </w:rPr>
      </w:pPr>
      <w:r>
        <w:rPr>
          <w:rFonts w:ascii="Arial" w:cs="Arial" w:eastAsia="Arial" w:hAnsi="Arial"/>
          <w:sz w:val="18"/>
          <w:szCs w:val="18"/>
          <w:color w:val="auto"/>
        </w:rPr>
        <w:t>The market price of our Class A common stock may be highly volatile and may fluctuate or decline substantially as a result of a variety of factors, some of which are beyond our control, including:</w:t>
      </w:r>
    </w:p>
    <w:p>
      <w:pPr>
        <w:spacing w:after="0" w:line="63" w:lineRule="exact"/>
        <w:rPr>
          <w:sz w:val="20"/>
          <w:szCs w:val="20"/>
          <w:color w:val="auto"/>
        </w:rPr>
      </w:pPr>
    </w:p>
    <w:p>
      <w:pPr>
        <w:ind w:left="1020" w:hanging="503"/>
        <w:spacing w:after="0"/>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actual or anticipated fluctuations in our operating results or financial condition;</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variance in our financial performance from expectations of securities analysts;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changes to our pricing model;</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changes in our projected operating and financial results;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changes in laws or regulations applicable to our business;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business developments, acquisitions, or new offerings;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involvement in any litigation;</w:t>
      </w:r>
    </w:p>
    <w:p>
      <w:pPr>
        <w:spacing w:after="0" w:line="103" w:lineRule="exact"/>
        <w:rPr>
          <w:rFonts w:ascii="Arial" w:cs="Arial" w:eastAsia="Arial" w:hAnsi="Arial"/>
          <w:sz w:val="18"/>
          <w:szCs w:val="18"/>
          <w:color w:val="auto"/>
        </w:rPr>
      </w:pPr>
    </w:p>
    <w:p>
      <w:pPr>
        <w:ind w:left="5540" w:right="1940" w:hanging="5023"/>
        <w:spacing w:after="0" w:line="261" w:lineRule="auto"/>
        <w:tabs>
          <w:tab w:leader="none" w:pos="1032" w:val="left"/>
        </w:tabs>
        <w:numPr>
          <w:ilvl w:val="0"/>
          <w:numId w:val="25"/>
        </w:numPr>
        <w:rPr>
          <w:rFonts w:ascii="Arial" w:cs="Arial" w:eastAsia="Arial" w:hAnsi="Arial"/>
          <w:sz w:val="18"/>
          <w:szCs w:val="18"/>
          <w:color w:val="auto"/>
        </w:rPr>
      </w:pPr>
      <w:r>
        <w:rPr>
          <w:rFonts w:ascii="Arial" w:cs="Arial" w:eastAsia="Arial" w:hAnsi="Arial"/>
          <w:sz w:val="18"/>
          <w:szCs w:val="18"/>
          <w:color w:val="auto"/>
        </w:rPr>
        <w:t>future sales of our Class A common stock by us or our stockholders, as well as the anticipation of lock-up releases;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36195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34" w:name="page35"/>
    <w:bookmarkEnd w:id="34"/>
    <w:p>
      <w:pPr>
        <w:ind w:left="1020" w:hanging="503"/>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actual or perceived data breaches, disruptions or other incidents involving our platform, marketplace or products or services;</w:t>
      </w:r>
    </w:p>
    <w:p>
      <w:pPr>
        <w:spacing w:after="0" w:line="103" w:lineRule="exact"/>
        <w:rPr>
          <w:rFonts w:ascii="Arial" w:cs="Arial" w:eastAsia="Arial" w:hAnsi="Arial"/>
          <w:sz w:val="18"/>
          <w:szCs w:val="18"/>
          <w:color w:val="auto"/>
        </w:rPr>
      </w:pPr>
    </w:p>
    <w:p>
      <w:pPr>
        <w:ind w:left="1020" w:right="160" w:hanging="503"/>
        <w:spacing w:after="0" w:line="261" w:lineRule="auto"/>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developments or disputes concerning our intellectual property or proprietary rights or our solutions, or third-party intellectual or proprietary rights;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changes in senior management or key personnel;</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trading volume of our Class A common stock;</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changes in the anticipated future size and growth rate of our market; and</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general economic and market conditions.</w:t>
      </w:r>
    </w:p>
    <w:p>
      <w:pPr>
        <w:spacing w:after="0" w:line="171" w:lineRule="exact"/>
        <w:rPr>
          <w:sz w:val="20"/>
          <w:szCs w:val="20"/>
          <w:color w:val="auto"/>
        </w:rPr>
      </w:pPr>
    </w:p>
    <w:p>
      <w:pPr>
        <w:ind w:firstLine="644"/>
        <w:spacing w:after="0" w:line="262" w:lineRule="auto"/>
        <w:rPr>
          <w:sz w:val="20"/>
          <w:szCs w:val="20"/>
          <w:color w:val="auto"/>
        </w:rPr>
      </w:pPr>
      <w:r>
        <w:rPr>
          <w:rFonts w:ascii="Arial" w:cs="Arial" w:eastAsia="Arial" w:hAnsi="Arial"/>
          <w:sz w:val="17"/>
          <w:szCs w:val="17"/>
          <w:color w:val="auto"/>
        </w:rPr>
        <w:t>Broad market and industry fluctuations, as well as general economic, political, regulatory, and market conditions, may also negatively impact the market price of our Class A common stock. In addition, technology stocks have historically experienced high levels of volatility. In the past, companies that have experienced volatility in the market price of their securities have been subject to securities class action litigation. We may be the target of this type of litigation in the future, which could result in substantial expenses and divert our management’s attention.</w:t>
      </w:r>
    </w:p>
    <w:p>
      <w:pPr>
        <w:spacing w:after="0" w:line="145"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b w:val="1"/>
          <w:bCs w:val="1"/>
          <w:i w:val="1"/>
          <w:iCs w:val="1"/>
          <w:color w:val="auto"/>
        </w:rPr>
        <w:t>Our issuance of additional capital stock in connection with financings, acquisitions, investments, our equity incentive plans, or otherwise will dilute all other stockholders.</w:t>
      </w:r>
    </w:p>
    <w:p>
      <w:pPr>
        <w:spacing w:after="0" w:line="63" w:lineRule="exact"/>
        <w:rPr>
          <w:sz w:val="20"/>
          <w:szCs w:val="20"/>
          <w:color w:val="auto"/>
        </w:rPr>
      </w:pPr>
    </w:p>
    <w:p>
      <w:pPr>
        <w:ind w:right="80" w:firstLine="644"/>
        <w:spacing w:after="0" w:line="241" w:lineRule="auto"/>
        <w:rPr>
          <w:sz w:val="20"/>
          <w:szCs w:val="20"/>
          <w:color w:val="auto"/>
        </w:rPr>
      </w:pPr>
      <w:r>
        <w:rPr>
          <w:rFonts w:ascii="Arial" w:cs="Arial" w:eastAsia="Arial" w:hAnsi="Arial"/>
          <w:sz w:val="18"/>
          <w:szCs w:val="18"/>
          <w:color w:val="auto"/>
        </w:rPr>
        <w:t>We expect to issue additional capital stock in the future that will result in dilution to all other stockholders. We expect to grant equity awards to employees, directors, and consultants under our equity incentive plans. We may also raise capital through equity financings in the future. As part of our business strategy, we may acquire or make investments in companies, products, or technologies and issue equity securities to pay for any such acquisition or investment. Any such issuances of additional capital stock may cause stockholders to experience significant dilution of their ownership interests and the per share value of our Class A common stock to decline.</w:t>
      </w:r>
    </w:p>
    <w:p>
      <w:pPr>
        <w:spacing w:after="0" w:line="149" w:lineRule="exact"/>
        <w:rPr>
          <w:sz w:val="20"/>
          <w:szCs w:val="20"/>
          <w:color w:val="auto"/>
        </w:rPr>
      </w:pPr>
    </w:p>
    <w:p>
      <w:pPr>
        <w:ind w:right="700"/>
        <w:spacing w:after="0" w:line="261" w:lineRule="auto"/>
        <w:rPr>
          <w:sz w:val="20"/>
          <w:szCs w:val="20"/>
          <w:color w:val="auto"/>
        </w:rPr>
      </w:pPr>
      <w:r>
        <w:rPr>
          <w:rFonts w:ascii="Arial" w:cs="Arial" w:eastAsia="Arial" w:hAnsi="Arial"/>
          <w:sz w:val="18"/>
          <w:szCs w:val="18"/>
          <w:b w:val="1"/>
          <w:bCs w:val="1"/>
          <w:i w:val="1"/>
          <w:iCs w:val="1"/>
          <w:color w:val="auto"/>
        </w:rPr>
        <w:t>If our operating and financial performance in any given period does not meet the guidance that we provide to the public or the expectations of investment analysts, the market price of our Class A common stock may decline.</w:t>
      </w:r>
    </w:p>
    <w:p>
      <w:pPr>
        <w:spacing w:after="0" w:line="63" w:lineRule="exact"/>
        <w:rPr>
          <w:sz w:val="20"/>
          <w:szCs w:val="20"/>
          <w:color w:val="auto"/>
        </w:rPr>
      </w:pPr>
    </w:p>
    <w:p>
      <w:pPr>
        <w:ind w:firstLine="644"/>
        <w:spacing w:after="0" w:line="276" w:lineRule="auto"/>
        <w:rPr>
          <w:sz w:val="20"/>
          <w:szCs w:val="20"/>
          <w:color w:val="auto"/>
        </w:rPr>
      </w:pPr>
      <w:r>
        <w:rPr>
          <w:rFonts w:ascii="Arial" w:cs="Arial" w:eastAsia="Arial" w:hAnsi="Arial"/>
          <w:sz w:val="16"/>
          <w:szCs w:val="16"/>
          <w:color w:val="auto"/>
        </w:rPr>
        <w:t>We may, but are not obligated to, provide public guidance on our expected operating and financial results for future periods. Any such guidance will comprise forward-looking statements, subject to the risks and uncertainties described in this filing and in our other public filings and public statements. Our actual results may not always be in line with or exceed any guidance we have provided, especially in times of economic uncertainty, such as the current global economic uncertainty being experienced as a result of the COVID-19 pandemic. If, in the future, our operating or financial results for a particular period do not meet any guidance we provide or the expectations of investment analysts, or if we reduce our guidance for future periods, the market price of our Class A common stock may decline as well. Even if we do issue public guidance, there can be no assurance that we will continue to do so in the future.</w:t>
      </w:r>
    </w:p>
    <w:p>
      <w:pPr>
        <w:spacing w:after="0" w:line="121"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publish unfavorable or inaccurate research about our business, our stock price and trading volume could decline.</w:t>
      </w:r>
    </w:p>
    <w:p>
      <w:pPr>
        <w:spacing w:after="0" w:line="63" w:lineRule="exact"/>
        <w:rPr>
          <w:sz w:val="20"/>
          <w:szCs w:val="20"/>
          <w:color w:val="auto"/>
        </w:rPr>
      </w:pPr>
    </w:p>
    <w:p>
      <w:pPr>
        <w:ind w:right="100" w:firstLine="644"/>
        <w:spacing w:after="0" w:line="239" w:lineRule="auto"/>
        <w:rPr>
          <w:sz w:val="20"/>
          <w:szCs w:val="20"/>
          <w:color w:val="auto"/>
        </w:rPr>
      </w:pPr>
      <w:r>
        <w:rPr>
          <w:rFonts w:ascii="Arial" w:cs="Arial" w:eastAsia="Arial" w:hAnsi="Arial"/>
          <w:sz w:val="18"/>
          <w:szCs w:val="18"/>
          <w:color w:val="auto"/>
        </w:rPr>
        <w:t>Our stock price and trading volume is heavily influenced by the way analysts and investors interpret our financial information and other disclosures. Securities and industry analysts do not currently, and may never, publish research on our business. We do not have control over these analysts. If few securities analysts commence coverage of us, or if industry analysts cease coverage of us, our stock price would be negatively affected. If securities or industry analysts do not publish research or reports about our business, downgrade our Class A common stock, or publish negative reports about our business, our stock price would likely decline. If one or more of these analysts cease coverage of us or fail to publish reports on us regularly, demand for our Class A common stock could decrease, which might cause our stock price to decline and could decrease the trading volume of our Class A common stock.</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require additional capital to support the growth of our business, and this capital might not be available on acceptable terms, if at all.</w:t>
      </w:r>
    </w:p>
    <w:p>
      <w:pPr>
        <w:spacing w:after="0" w:line="127" w:lineRule="exact"/>
        <w:rPr>
          <w:sz w:val="20"/>
          <w:szCs w:val="20"/>
          <w:color w:val="auto"/>
        </w:rPr>
      </w:pPr>
    </w:p>
    <w:p>
      <w:pPr>
        <w:ind w:right="120" w:firstLine="644"/>
        <w:spacing w:after="0" w:line="251" w:lineRule="auto"/>
        <w:rPr>
          <w:sz w:val="20"/>
          <w:szCs w:val="20"/>
          <w:color w:val="auto"/>
        </w:rPr>
      </w:pPr>
      <w:r>
        <w:rPr>
          <w:rFonts w:ascii="Arial" w:cs="Arial" w:eastAsia="Arial" w:hAnsi="Arial"/>
          <w:sz w:val="17"/>
          <w:szCs w:val="17"/>
          <w:color w:val="auto"/>
        </w:rPr>
        <w:t>We have funded our operations since inception primarily through equity financings and sales. We cannot be certain when or if our operations will generate sufficient cash to fully fund our ongoing operations or the growth of our business. We intend to continue to make investments to support our business, which may require us to engage in equity or debt financings to secure additional funds. In addition, we may require increasing amounts of working capital or other sources of liquidity to support our financial service offerings, including Xometry Pay and FastPay, as they become more widely used by sellers. Additional financing may not be available on terms favorable to us, or at all. If adequate funds are not available on acceptable terms, we may be unable to invest in future growth opportunities, which could harm our business, operating results, and financial condition. If we incur additional debt, the debt holders would have rights senior to holders of common stock to make claims on our assets, and the terms of any debt could restrict our operations, including our ability to pay dividends on our Class A common stock.</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35" w:name="page36"/>
    <w:bookmarkEnd w:id="35"/>
    <w:p>
      <w:pPr>
        <w:ind w:right="140" w:firstLine="644"/>
        <w:spacing w:after="0" w:line="284" w:lineRule="auto"/>
        <w:rPr>
          <w:sz w:val="20"/>
          <w:szCs w:val="20"/>
          <w:color w:val="auto"/>
        </w:rPr>
      </w:pPr>
      <w:r>
        <w:rPr>
          <w:rFonts w:ascii="Arial" w:cs="Arial" w:eastAsia="Arial" w:hAnsi="Arial"/>
          <w:sz w:val="16"/>
          <w:szCs w:val="16"/>
          <w:color w:val="auto"/>
        </w:rPr>
        <w:t>Furthermore, if we issue additional equity securities, stockholders will experience dilution, and the new equity securities could have rights senior to those of our Class A common stock. Because our decision to issue securities in the future will depend on numerous considerations, including factors beyond our control, we cannot predict or estimate the amount, timing, or nature of any future issuances of debt or equity securities. As a result, our stockholders bear the risk of future issuances of debt or equity securities reducing the value of our Class A common stock and diluting their interests.</w:t>
      </w:r>
    </w:p>
    <w:p>
      <w:pPr>
        <w:spacing w:after="0" w:line="128" w:lineRule="exact"/>
        <w:rPr>
          <w:sz w:val="20"/>
          <w:szCs w:val="20"/>
          <w:color w:val="auto"/>
        </w:rPr>
      </w:pPr>
    </w:p>
    <w:p>
      <w:pPr>
        <w:ind w:right="80" w:firstLine="644"/>
        <w:spacing w:after="0" w:line="274" w:lineRule="auto"/>
        <w:rPr>
          <w:sz w:val="20"/>
          <w:szCs w:val="20"/>
          <w:color w:val="auto"/>
        </w:rPr>
      </w:pPr>
      <w:r>
        <w:rPr>
          <w:rFonts w:ascii="Arial" w:cs="Arial" w:eastAsia="Arial" w:hAnsi="Arial"/>
          <w:sz w:val="16"/>
          <w:szCs w:val="16"/>
          <w:color w:val="auto"/>
        </w:rPr>
        <w:t>As of December 31, 2021, we had $116.7 million in cash, cash equivalents and marketable securities. In February 2022, we issued $287.5 million aggregate principal amount of 1.00% Convertible Senior Notes due 2027. While we believe the net proceeds from our initial public offering and our offering of Convertible Senior Notes, together with our existing cash and cash equivalents and marketable securities, will be sufficient to meet our anticipated cash needs for at least twelve months, we cannot assure you that we will be able to generate sufficient liquidity as and when needed, or that our revenue will be adequate to fund our operating needs or achieve or sustain profitability. We have based this estimate on assumptions that may prove to be wrong, and we could use our capital resources sooner than we currently expect. Changing circumstances, some of which may be beyond our control, could cause us to consume capital significantly faster than we currently anticipate, and we may need to seek additional funds sooner than planned.</w:t>
      </w:r>
    </w:p>
    <w:p>
      <w:pPr>
        <w:spacing w:after="0" w:line="123" w:lineRule="exact"/>
        <w:rPr>
          <w:sz w:val="20"/>
          <w:szCs w:val="20"/>
          <w:color w:val="auto"/>
        </w:rPr>
      </w:pPr>
    </w:p>
    <w:p>
      <w:pPr>
        <w:ind w:right="120"/>
        <w:spacing w:after="0" w:line="294" w:lineRule="auto"/>
        <w:rPr>
          <w:sz w:val="20"/>
          <w:szCs w:val="20"/>
          <w:color w:val="auto"/>
        </w:rPr>
      </w:pPr>
      <w:r>
        <w:rPr>
          <w:rFonts w:ascii="Arial" w:cs="Arial" w:eastAsia="Arial" w:hAnsi="Arial"/>
          <w:sz w:val="16"/>
          <w:szCs w:val="16"/>
          <w:b w:val="1"/>
          <w:bCs w:val="1"/>
          <w:i w:val="1"/>
          <w:iCs w:val="1"/>
          <w:color w:val="auto"/>
        </w:rPr>
        <w:t>The dual-class structure of our common stock will have the effect of concentrating voting control with our co-founders, which will limit your ability to influence the outcome of important transactions and to influence corporate governance matters, such as electing directors, and to approve material mergers, acquisitions, or other business combination transactions that may not be aligned with your interests.</w:t>
      </w:r>
    </w:p>
    <w:p>
      <w:pPr>
        <w:spacing w:after="0" w:line="39" w:lineRule="exact"/>
        <w:rPr>
          <w:sz w:val="20"/>
          <w:szCs w:val="20"/>
          <w:color w:val="auto"/>
        </w:rPr>
      </w:pPr>
    </w:p>
    <w:p>
      <w:pPr>
        <w:ind w:right="180" w:firstLine="644"/>
        <w:spacing w:after="0" w:line="248" w:lineRule="auto"/>
        <w:rPr>
          <w:sz w:val="20"/>
          <w:szCs w:val="20"/>
          <w:color w:val="auto"/>
        </w:rPr>
      </w:pPr>
      <w:r>
        <w:rPr>
          <w:rFonts w:ascii="Arial" w:cs="Arial" w:eastAsia="Arial" w:hAnsi="Arial"/>
          <w:sz w:val="18"/>
          <w:szCs w:val="18"/>
          <w:color w:val="auto"/>
        </w:rPr>
        <w:t>Our Class B common stock has twenty votes per share, whereas our Class A common stock has one vote per share. Our co-founders collectively own shares representing approximately 54.9% of the voting power of our outstanding capital stock, based on the number of shares outstanding as of December 31, 2021.</w:t>
      </w:r>
    </w:p>
    <w:p>
      <w:pPr>
        <w:spacing w:after="0" w:line="141" w:lineRule="exact"/>
        <w:rPr>
          <w:sz w:val="20"/>
          <w:szCs w:val="20"/>
          <w:color w:val="auto"/>
        </w:rPr>
      </w:pPr>
    </w:p>
    <w:p>
      <w:pPr>
        <w:ind w:right="20" w:firstLine="644"/>
        <w:spacing w:after="0" w:line="276" w:lineRule="auto"/>
        <w:rPr>
          <w:sz w:val="20"/>
          <w:szCs w:val="20"/>
          <w:color w:val="auto"/>
        </w:rPr>
      </w:pPr>
      <w:r>
        <w:rPr>
          <w:rFonts w:ascii="Arial" w:cs="Arial" w:eastAsia="Arial" w:hAnsi="Arial"/>
          <w:sz w:val="16"/>
          <w:szCs w:val="16"/>
          <w:color w:val="auto"/>
        </w:rPr>
        <w:t>As a result, the holders of our Class B common stock will have the ability to control the outcome of most matters requiring stockholder approval for the foreseeable future, including the election of directors and approval of significant corporate transactions, such as a merger or other sale of our company or our assets, even if their stock holdings represent less than a majority of the outstanding shares of our capital stock. This concentration of ownership will limit the ability of other stockholders to influence corporate matters and may cause us to make strategic decisions that could involve risks to you or that may not be aligned with your interests. This control may adversely affect the market price of our Class A common stock. In addition, this may prevent or discourage unsolicited acquisition proposals or offers for our capital stock that you may feel are in your best interest as one of our stockholders.</w:t>
      </w:r>
    </w:p>
    <w:p>
      <w:pPr>
        <w:spacing w:after="0" w:line="135" w:lineRule="exact"/>
        <w:rPr>
          <w:sz w:val="20"/>
          <w:szCs w:val="20"/>
          <w:color w:val="auto"/>
        </w:rPr>
      </w:pPr>
    </w:p>
    <w:p>
      <w:pPr>
        <w:ind w:right="120" w:firstLine="644"/>
        <w:spacing w:after="0" w:line="271" w:lineRule="auto"/>
        <w:rPr>
          <w:sz w:val="20"/>
          <w:szCs w:val="20"/>
          <w:color w:val="auto"/>
        </w:rPr>
      </w:pPr>
      <w:r>
        <w:rPr>
          <w:rFonts w:ascii="Arial" w:cs="Arial" w:eastAsia="Arial" w:hAnsi="Arial"/>
          <w:sz w:val="16"/>
          <w:szCs w:val="16"/>
          <w:color w:val="auto"/>
        </w:rPr>
        <w:t>Our Class B common stock will convert automatically into Class A common stock, on a one-to-one basis, upon: (1) the sale or transfer of such shares of Class B common stock (except for certain transfers described in our amended and restated certificate of incorporation, including transfers for tax and estate planning purposes, so long as the transferring holder continues to hold sole voting and dispositive power with respect to the shares transferred);</w:t>
      </w:r>
    </w:p>
    <w:p>
      <w:pPr>
        <w:ind w:right="240" w:firstLine="8"/>
        <w:spacing w:after="0" w:line="239" w:lineRule="auto"/>
        <w:tabs>
          <w:tab w:leader="none" w:pos="2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death or incapacity of the Class B common stockholder; (3) such holder’s departure from our board of directors; and (4) on the final conversion date, defined as the earlier of (a) the seventh anniversary of our initial public offering; or (b) the date specified by vote of the holders of a majority of the outstanding shares of Class B common stock.</w:t>
      </w:r>
    </w:p>
    <w:p>
      <w:pPr>
        <w:spacing w:after="0" w:line="149" w:lineRule="exact"/>
        <w:rPr>
          <w:sz w:val="20"/>
          <w:szCs w:val="20"/>
          <w:color w:val="auto"/>
        </w:rPr>
      </w:pPr>
    </w:p>
    <w:p>
      <w:pPr>
        <w:ind w:right="20" w:firstLine="644"/>
        <w:spacing w:after="0" w:line="243" w:lineRule="auto"/>
        <w:rPr>
          <w:sz w:val="20"/>
          <w:szCs w:val="20"/>
          <w:color w:val="auto"/>
        </w:rPr>
      </w:pPr>
      <w:r>
        <w:rPr>
          <w:rFonts w:ascii="Arial" w:cs="Arial" w:eastAsia="Arial" w:hAnsi="Arial"/>
          <w:sz w:val="18"/>
          <w:szCs w:val="18"/>
          <w:color w:val="auto"/>
        </w:rPr>
        <w:t>In addition, while we do not expect to issue any additional shares of Class B common stock following the listing of our Class A common stock on The Nasdaq Global Select Market, any future issuances of Class B common stock would be dilutive to holders of Class A common stock. Such issuances would also reduce the voting power of our Class A common stock as compared to Class B common stock and could further concentrate the voting power of holders of our Class B common stock relative to holders of our Class A common stock.</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cannot predict the impact our dual-class structure may have on the market price of our Class A common stock.</w:t>
      </w:r>
    </w:p>
    <w:p>
      <w:pPr>
        <w:spacing w:after="0" w:line="104" w:lineRule="exact"/>
        <w:rPr>
          <w:sz w:val="20"/>
          <w:szCs w:val="20"/>
          <w:color w:val="auto"/>
        </w:rPr>
      </w:pPr>
    </w:p>
    <w:p>
      <w:pPr>
        <w:ind w:firstLine="644"/>
        <w:spacing w:after="0" w:line="238" w:lineRule="auto"/>
        <w:rPr>
          <w:sz w:val="20"/>
          <w:szCs w:val="20"/>
          <w:color w:val="auto"/>
        </w:rPr>
      </w:pPr>
      <w:r>
        <w:rPr>
          <w:rFonts w:ascii="Arial" w:cs="Arial" w:eastAsia="Arial" w:hAnsi="Arial"/>
          <w:sz w:val="18"/>
          <w:szCs w:val="18"/>
          <w:color w:val="auto"/>
        </w:rPr>
        <w:t>We cannot predict whether our dual-class structure, combined with the concentrated control of our co-founders, will result in a lower or more volatile market price of our Class A common stock or in adverse publicity or other adverse consequences. For example, certain index providers have announced restrictions on including companies with multiple class share structures in certain of their indices. In July 2017, FTSE Russell and Standard &amp; Poor’s announced that they would cease to allow most newly public companies utilizing dual or multi-class capital structures to be included in their indices. Under the announced policies, our dual-class capital structure would make us ineligible for inclusion in any of these indices. Given the sustained flow of investment funds into passive strategies that seek to track certain indexes, exclusion from stock indices would likely preclude investment by many of these funds and could make our Class A common stock less attractive to other investors. As a result, the market price of our Class A common stock could be adversely affected.</w:t>
      </w:r>
    </w:p>
    <w:p>
      <w:pPr>
        <w:spacing w:after="0" w:line="167"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b w:val="1"/>
          <w:bCs w:val="1"/>
          <w:i w:val="1"/>
          <w:iCs w:val="1"/>
          <w:color w:val="auto"/>
        </w:rPr>
        <w:t>We incur increased costs as a result of operating as a public company, and our management is required to devote substantial time to compliance with our public company responsibilities and corporate governance practices.</w:t>
      </w:r>
    </w:p>
    <w:p>
      <w:pPr>
        <w:spacing w:after="0" w:line="63" w:lineRule="exact"/>
        <w:rPr>
          <w:sz w:val="20"/>
          <w:szCs w:val="20"/>
          <w:color w:val="auto"/>
        </w:rPr>
      </w:pPr>
    </w:p>
    <w:p>
      <w:pPr>
        <w:ind w:right="240" w:firstLine="644"/>
        <w:spacing w:after="0" w:line="244" w:lineRule="auto"/>
        <w:rPr>
          <w:sz w:val="20"/>
          <w:szCs w:val="20"/>
          <w:color w:val="auto"/>
        </w:rPr>
      </w:pPr>
      <w:r>
        <w:rPr>
          <w:rFonts w:ascii="Arial" w:cs="Arial" w:eastAsia="Arial" w:hAnsi="Arial"/>
          <w:sz w:val="18"/>
          <w:szCs w:val="18"/>
          <w:color w:val="auto"/>
        </w:rPr>
        <w:t>As a public company, we incur significant legal, accounting, and other expenses that we did not incur as a private company, which we expect to further increase after we are no longer an “emerging growth company.” The Sarbanes-Oxley Act, the Dodd-Frank</w:t>
      </w: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36" w:name="page37"/>
    <w:bookmarkEnd w:id="36"/>
    <w:p>
      <w:pPr>
        <w:ind w:right="120"/>
        <w:spacing w:after="0" w:line="243" w:lineRule="auto"/>
        <w:rPr>
          <w:sz w:val="20"/>
          <w:szCs w:val="20"/>
          <w:color w:val="auto"/>
        </w:rPr>
      </w:pPr>
      <w:r>
        <w:rPr>
          <w:rFonts w:ascii="Arial" w:cs="Arial" w:eastAsia="Arial" w:hAnsi="Arial"/>
          <w:sz w:val="18"/>
          <w:szCs w:val="18"/>
          <w:color w:val="auto"/>
        </w:rPr>
        <w:t>Wall Street Reform and Consumer Protection Act, the listing requirements of The Nasdaq Global Select Market, and other applicable securities rules and regulations impose various requirements on public companies. Our management and other personnel devote a substantial amount of time to compliance with these requirements. Moreover, these rules and regulations increase our legal and financial compliance costs and will make some activities more time-consuming and costly.</w:t>
      </w:r>
    </w:p>
    <w:p>
      <w:pPr>
        <w:spacing w:after="0" w:line="147" w:lineRule="exact"/>
        <w:rPr>
          <w:sz w:val="20"/>
          <w:szCs w:val="20"/>
          <w:color w:val="auto"/>
        </w:rPr>
      </w:pPr>
    </w:p>
    <w:p>
      <w:pPr>
        <w:ind w:right="120" w:firstLine="644"/>
        <w:spacing w:after="0" w:line="252" w:lineRule="auto"/>
        <w:rPr>
          <w:sz w:val="20"/>
          <w:szCs w:val="20"/>
          <w:color w:val="auto"/>
        </w:rPr>
      </w:pPr>
      <w:r>
        <w:rPr>
          <w:rFonts w:ascii="Arial" w:cs="Arial" w:eastAsia="Arial" w:hAnsi="Arial"/>
          <w:sz w:val="17"/>
          <w:szCs w:val="17"/>
          <w:color w:val="auto"/>
        </w:rPr>
        <w:t>In addition, changing laws, regulations and standards relating to corporate governance and public disclosure are creating uncertainty for public companies, increasing legal and financial compliance costs and making some activities more time-consuming. These laws, regulations and standards are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We intend to invest resources to comply with evolving laws, regulations and standards, and this investment may result in increased general and administrative expense and a diversion of management’s time and attention from revenue-generating activities to compliance activities. If our efforts to comply with new laws, regulations and standards differ from the activities intended by regulatory or governing bodies, regulatory authorities may initiate legal proceedings against us, and our business and prospects may be harmed. As a result of disclosure of information in the filings required of a public company and in this filing, our business and financial condition will become more visible, which may result in threatened or actual litigation, including by competitors and other third parties. If such claims are successful, our business, financial condition, results of operations and prospects could be materially harmed, and even if the claims do not result in litigation or are resolved in our favor, these claims, and the time and resources necessary to resolve them, could divert the resources of our management and materially harm our business, financial condition, results of operations and prospects.</w:t>
      </w:r>
    </w:p>
    <w:p>
      <w:pPr>
        <w:spacing w:after="0" w:line="153" w:lineRule="exact"/>
        <w:rPr>
          <w:sz w:val="20"/>
          <w:szCs w:val="20"/>
          <w:color w:val="auto"/>
        </w:rPr>
      </w:pPr>
    </w:p>
    <w:p>
      <w:pPr>
        <w:ind w:right="60" w:firstLine="644"/>
        <w:spacing w:after="0" w:line="294" w:lineRule="auto"/>
        <w:rPr>
          <w:sz w:val="20"/>
          <w:szCs w:val="20"/>
          <w:color w:val="auto"/>
        </w:rPr>
      </w:pPr>
      <w:r>
        <w:rPr>
          <w:rFonts w:ascii="Arial" w:cs="Arial" w:eastAsia="Arial" w:hAnsi="Arial"/>
          <w:sz w:val="16"/>
          <w:szCs w:val="16"/>
          <w:color w:val="auto"/>
        </w:rPr>
        <w:t>Being a public company and these new rules and regulations make it more expensive for us to obtain director and officer liability insurance, and we may be required to accept reduced coverage or incur substantially higher costs to obtain coverage. These factors could also make it more difficult for us to attract and retain qualified executive officers and members of our board of directors, particularly to serve on our audit and compensation committees.</w:t>
      </w:r>
    </w:p>
    <w:p>
      <w:pPr>
        <w:spacing w:after="0" w:line="107" w:lineRule="exact"/>
        <w:rPr>
          <w:sz w:val="20"/>
          <w:szCs w:val="20"/>
          <w:color w:val="auto"/>
        </w:rPr>
      </w:pPr>
    </w:p>
    <w:p>
      <w:pPr>
        <w:ind w:right="220" w:firstLine="644"/>
        <w:spacing w:after="0" w:line="261" w:lineRule="auto"/>
        <w:rPr>
          <w:sz w:val="20"/>
          <w:szCs w:val="20"/>
          <w:color w:val="auto"/>
        </w:rPr>
      </w:pPr>
      <w:r>
        <w:rPr>
          <w:rFonts w:ascii="Arial" w:cs="Arial" w:eastAsia="Arial" w:hAnsi="Arial"/>
          <w:sz w:val="18"/>
          <w:szCs w:val="18"/>
          <w:color w:val="auto"/>
        </w:rPr>
        <w:t>In addition, as a result of our disclosure obligations as a public company, we will have reduced strategic flexibility and will be under pressure to focus on short-term results, which may materially and adversely affect our ability to achieve long-term profitability.</w:t>
      </w:r>
    </w:p>
    <w:p>
      <w:pPr>
        <w:spacing w:after="0" w:line="130" w:lineRule="exact"/>
        <w:rPr>
          <w:sz w:val="20"/>
          <w:szCs w:val="20"/>
          <w:color w:val="auto"/>
        </w:rPr>
      </w:pPr>
    </w:p>
    <w:p>
      <w:pPr>
        <w:ind w:right="40"/>
        <w:spacing w:after="0" w:line="291" w:lineRule="auto"/>
        <w:rPr>
          <w:sz w:val="20"/>
          <w:szCs w:val="20"/>
          <w:color w:val="auto"/>
        </w:rPr>
      </w:pPr>
      <w:r>
        <w:rPr>
          <w:rFonts w:ascii="Arial" w:cs="Arial" w:eastAsia="Arial" w:hAnsi="Arial"/>
          <w:sz w:val="17"/>
          <w:szCs w:val="17"/>
          <w:b w:val="1"/>
          <w:bCs w:val="1"/>
          <w:i w:val="1"/>
          <w:iCs w:val="1"/>
          <w:color w:val="auto"/>
        </w:rPr>
        <w:t>Anti-takeover provisions in our charter documents and under Delaware law could make an acquisition of our company more difficult, limit attempts by our stockholders to replace or remove our current management and limit the market price of our Class A common stock.</w:t>
      </w:r>
    </w:p>
    <w:p>
      <w:pPr>
        <w:spacing w:after="0" w:line="39" w:lineRule="exact"/>
        <w:rPr>
          <w:sz w:val="20"/>
          <w:szCs w:val="20"/>
          <w:color w:val="auto"/>
        </w:rPr>
      </w:pPr>
    </w:p>
    <w:p>
      <w:pPr>
        <w:ind w:right="380" w:firstLine="644"/>
        <w:spacing w:after="0" w:line="248" w:lineRule="auto"/>
        <w:rPr>
          <w:sz w:val="20"/>
          <w:szCs w:val="20"/>
          <w:color w:val="auto"/>
        </w:rPr>
      </w:pPr>
      <w:r>
        <w:rPr>
          <w:rFonts w:ascii="Arial" w:cs="Arial" w:eastAsia="Arial" w:hAnsi="Arial"/>
          <w:sz w:val="18"/>
          <w:szCs w:val="18"/>
          <w:color w:val="auto"/>
        </w:rPr>
        <w:t>Provisions in our amended and restated certificate of incorporation and amended and restated bylaws may have the effect of delaying or preventing a change of control or changes in our management. Our amended and restated certificate of incorporation and amended and restated bylaws include provisions that:</w:t>
      </w:r>
    </w:p>
    <w:p>
      <w:pPr>
        <w:spacing w:after="0" w:line="74" w:lineRule="exact"/>
        <w:rPr>
          <w:sz w:val="20"/>
          <w:szCs w:val="20"/>
          <w:color w:val="auto"/>
        </w:rPr>
      </w:pPr>
    </w:p>
    <w:p>
      <w:pPr>
        <w:ind w:left="1020" w:right="40" w:hanging="503"/>
        <w:spacing w:after="0" w:line="261" w:lineRule="auto"/>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authorize our board of directors to issue, without further action by the stockholders, shares of undesignated preferred stock with terms, rights, and preferences determined by our board of directors that may be senior to our Class A common stock;</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28"/>
        </w:numPr>
        <w:rPr>
          <w:rFonts w:ascii="Arial" w:cs="Arial" w:eastAsia="Arial" w:hAnsi="Arial"/>
          <w:sz w:val="16"/>
          <w:szCs w:val="16"/>
          <w:color w:val="auto"/>
        </w:rPr>
      </w:pPr>
      <w:r>
        <w:rPr>
          <w:rFonts w:ascii="Arial" w:cs="Arial" w:eastAsia="Arial" w:hAnsi="Arial"/>
          <w:sz w:val="16"/>
          <w:szCs w:val="16"/>
          <w:color w:val="auto"/>
        </w:rPr>
        <w:t>require that any action to be taken by our stockholders be effected at a duly called annual or special meeting and not by written consent;</w:t>
      </w:r>
    </w:p>
    <w:p>
      <w:pPr>
        <w:spacing w:after="0" w:line="126" w:lineRule="exact"/>
        <w:rPr>
          <w:rFonts w:ascii="Arial" w:cs="Arial" w:eastAsia="Arial" w:hAnsi="Arial"/>
          <w:sz w:val="16"/>
          <w:szCs w:val="16"/>
          <w:color w:val="auto"/>
        </w:rPr>
      </w:pPr>
    </w:p>
    <w:p>
      <w:pPr>
        <w:ind w:left="1020" w:hanging="503"/>
        <w:spacing w:after="0" w:line="261" w:lineRule="auto"/>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specify that special meetings of our stockholders can be called only by our board of directors, the chairperson of our board of directors, or our chief executive officer;</w:t>
      </w:r>
    </w:p>
    <w:p>
      <w:pPr>
        <w:spacing w:after="0" w:line="62" w:lineRule="exact"/>
        <w:rPr>
          <w:rFonts w:ascii="Arial" w:cs="Arial" w:eastAsia="Arial" w:hAnsi="Arial"/>
          <w:sz w:val="18"/>
          <w:szCs w:val="18"/>
          <w:color w:val="auto"/>
        </w:rPr>
      </w:pPr>
    </w:p>
    <w:p>
      <w:pPr>
        <w:ind w:left="1020" w:right="140" w:hanging="503"/>
        <w:spacing w:after="0" w:line="261" w:lineRule="auto"/>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establish an advance notice procedure for stockholder proposals to be brought before an annual meeting, including proposed nominations of persons for election to our board of directors;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establish that our board of directors is divided into three classes, with each class serving three-year staggered terms;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prohibit cumulative voting in the election of directors;</w:t>
      </w:r>
    </w:p>
    <w:p>
      <w:pPr>
        <w:spacing w:after="0" w:line="103" w:lineRule="exact"/>
        <w:rPr>
          <w:rFonts w:ascii="Arial" w:cs="Arial" w:eastAsia="Arial" w:hAnsi="Arial"/>
          <w:sz w:val="18"/>
          <w:szCs w:val="18"/>
          <w:color w:val="auto"/>
        </w:rPr>
      </w:pPr>
    </w:p>
    <w:p>
      <w:pPr>
        <w:ind w:left="1020" w:right="400" w:hanging="503"/>
        <w:spacing w:after="0" w:line="261" w:lineRule="auto"/>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provide that our directors may be removed for cause only upon the vote of sixty-six and two-thirds percent (66 2/3%) of our outstanding shares of our voting common stock;</w:t>
      </w:r>
    </w:p>
    <w:p>
      <w:pPr>
        <w:spacing w:after="0" w:line="62" w:lineRule="exact"/>
        <w:rPr>
          <w:rFonts w:ascii="Arial" w:cs="Arial" w:eastAsia="Arial" w:hAnsi="Arial"/>
          <w:sz w:val="18"/>
          <w:szCs w:val="18"/>
          <w:color w:val="auto"/>
        </w:rPr>
      </w:pPr>
    </w:p>
    <w:p>
      <w:pPr>
        <w:ind w:left="1020" w:right="120" w:hanging="503"/>
        <w:spacing w:after="0" w:line="261" w:lineRule="auto"/>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provide that vacancies on our board of directors may be filled only by a majority of directors then in office, even though less than a quorum; and</w:t>
      </w:r>
    </w:p>
    <w:p>
      <w:pPr>
        <w:spacing w:after="0" w:line="62" w:lineRule="exact"/>
        <w:rPr>
          <w:rFonts w:ascii="Arial" w:cs="Arial" w:eastAsia="Arial" w:hAnsi="Arial"/>
          <w:sz w:val="18"/>
          <w:szCs w:val="18"/>
          <w:color w:val="auto"/>
        </w:rPr>
      </w:pPr>
    </w:p>
    <w:p>
      <w:pPr>
        <w:ind w:left="1020" w:right="40" w:hanging="503"/>
        <w:spacing w:after="0" w:line="261" w:lineRule="auto"/>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require the approval of our board of directors or the holders of at least sixty-six and two-thirds percent (66 2/3%) of our outstanding shares of common stock to amend our bylaws and certain provisions of our certificate of incorporation.</w:t>
      </w:r>
    </w:p>
    <w:p>
      <w:pPr>
        <w:spacing w:after="0" w:line="144" w:lineRule="exact"/>
        <w:rPr>
          <w:sz w:val="20"/>
          <w:szCs w:val="20"/>
          <w:color w:val="auto"/>
        </w:rPr>
      </w:pPr>
    </w:p>
    <w:p>
      <w:pPr>
        <w:ind w:right="220" w:firstLine="644"/>
        <w:spacing w:after="0"/>
        <w:rPr>
          <w:sz w:val="20"/>
          <w:szCs w:val="20"/>
          <w:color w:val="auto"/>
        </w:rPr>
      </w:pPr>
      <w:r>
        <w:rPr>
          <w:rFonts w:ascii="Arial" w:cs="Arial" w:eastAsia="Arial" w:hAnsi="Arial"/>
          <w:sz w:val="18"/>
          <w:szCs w:val="18"/>
          <w:color w:val="auto"/>
        </w:rPr>
        <w:t>These provisions may frustrate or prevent any attempts by our stockholders to replace or remove our current management by making it more difficult for stockholders to replace members of our board of directors, which is responsible for appointing the members of our management. In addition, because we are incorporated in Delaware, we are governed by the provisions of Section 203</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37" w:name="page38"/>
    <w:bookmarkEnd w:id="37"/>
    <w:p>
      <w:pPr>
        <w:spacing w:after="0" w:line="241" w:lineRule="auto"/>
        <w:rPr>
          <w:sz w:val="20"/>
          <w:szCs w:val="20"/>
          <w:color w:val="auto"/>
        </w:rPr>
      </w:pPr>
      <w:r>
        <w:rPr>
          <w:rFonts w:ascii="Arial" w:cs="Arial" w:eastAsia="Arial" w:hAnsi="Arial"/>
          <w:sz w:val="18"/>
          <w:szCs w:val="18"/>
          <w:color w:val="auto"/>
        </w:rPr>
        <w:t>of the Delaware General Corporation Law, which generally, subject to certain exceptions, prohibits a Delaware corporation from engaging in any of a broad range of business combinations with any “interested” stockholder for a period of three years following the date on which the stockholder became an “interested” stockholder. Any of the foregoing provisions could limit the price that investors might be willing to pay in the future for shares of our Class A common stock, and they could deter potential acquirers of our company, thereby reducing the likelihood that you would receive a premium for your shares of our Class A common stock in an acquisition.</w:t>
      </w:r>
    </w:p>
    <w:p>
      <w:pPr>
        <w:spacing w:after="0" w:line="162" w:lineRule="exact"/>
        <w:rPr>
          <w:sz w:val="20"/>
          <w:szCs w:val="20"/>
          <w:color w:val="auto"/>
        </w:rPr>
      </w:pPr>
    </w:p>
    <w:p>
      <w:pPr>
        <w:jc w:val="both"/>
        <w:ind w:right="380"/>
        <w:spacing w:after="0" w:line="322" w:lineRule="auto"/>
        <w:rPr>
          <w:sz w:val="20"/>
          <w:szCs w:val="20"/>
          <w:color w:val="auto"/>
        </w:rPr>
      </w:pPr>
      <w:r>
        <w:rPr>
          <w:rFonts w:ascii="Arial" w:cs="Arial" w:eastAsia="Arial" w:hAnsi="Arial"/>
          <w:sz w:val="15"/>
          <w:szCs w:val="15"/>
          <w:b w:val="1"/>
          <w:bCs w:val="1"/>
          <w:i w:val="1"/>
          <w:iCs w:val="1"/>
          <w:color w:val="auto"/>
        </w:rPr>
        <w:t>Our amended and restated certificate of incorporation designate the Court of Chancery of the State of Delaware and, to the extent enforceable, the federal district courts of the United States of America as the exclusive forums for substantially all disputes between us and our stockholders, which restricts our stockholders’ ability to choose the judicial forum for disputes with us or our directors, officers, or employees.</w:t>
      </w:r>
    </w:p>
    <w:p>
      <w:pPr>
        <w:spacing w:after="0" w:line="21" w:lineRule="exact"/>
        <w:rPr>
          <w:sz w:val="20"/>
          <w:szCs w:val="20"/>
          <w:color w:val="auto"/>
        </w:rPr>
      </w:pPr>
    </w:p>
    <w:p>
      <w:pPr>
        <w:ind w:firstLine="644"/>
        <w:spacing w:after="0" w:line="238" w:lineRule="auto"/>
        <w:rPr>
          <w:sz w:val="20"/>
          <w:szCs w:val="20"/>
          <w:color w:val="auto"/>
        </w:rPr>
      </w:pPr>
      <w:r>
        <w:rPr>
          <w:rFonts w:ascii="Arial" w:cs="Arial" w:eastAsia="Arial" w:hAnsi="Arial"/>
          <w:sz w:val="18"/>
          <w:szCs w:val="18"/>
          <w:color w:val="auto"/>
        </w:rPr>
        <w:t>Our amended and restated certificate of incorporation provides that the Court of Chancery of the State of Delaware (or, if and only if the Court of Chancery of the State of Delaware lacks subject matter jurisdiction, any state court located within the State of Delaware or, if and only if all such state courts lack subject matter jurisdiction, the federal district court for the District of Delaware) is the exclusive forum for actions or proceedings brought under Delaware statutory or common law: (1) any derivative action or proceeding brought on our behalf; (2) any action asserting a breach of fiduciary duty; (3) any action asserting a claim against us arising under the Delaware General Corporation Law; (4) any action regarding our amended and restated certificate of incorporation or our amended and restated bylaws; (5) any action as to which the Delaware General Corporation Law confers jurisdiction to the Court of Chancery of the State of Delaware; or (6) any action asserting a claim against us that is governed by the internal affairs doctrine. This provision does not apply to suits brought to enforce a duty or liability created by the Exchange Act or any other claim for which the U.S. federal courts have exclusive jurisdiction.</w:t>
      </w:r>
    </w:p>
    <w:p>
      <w:pPr>
        <w:spacing w:after="0" w:line="151" w:lineRule="exact"/>
        <w:rPr>
          <w:sz w:val="20"/>
          <w:szCs w:val="20"/>
          <w:color w:val="auto"/>
        </w:rPr>
      </w:pPr>
    </w:p>
    <w:p>
      <w:pPr>
        <w:ind w:right="180" w:firstLine="644"/>
        <w:spacing w:after="0" w:line="259" w:lineRule="auto"/>
        <w:rPr>
          <w:sz w:val="20"/>
          <w:szCs w:val="20"/>
          <w:color w:val="auto"/>
        </w:rPr>
      </w:pPr>
      <w:r>
        <w:rPr>
          <w:rFonts w:ascii="Arial" w:cs="Arial" w:eastAsia="Arial" w:hAnsi="Arial"/>
          <w:sz w:val="17"/>
          <w:szCs w:val="17"/>
          <w:color w:val="auto"/>
        </w:rPr>
        <w:t>In addition, our amended and restated certificate of incorporation provides that the federal district courts of the United States of America is the exclusive forum for resolving any complaint asserting a cause or causes of action arising under the Securities Act, including all causes of action asserted against any defendant to such complaint. For the avoidance of doubt, this provision is intended to benefit and may be enforced by us, our officers and directors, the underwriters to any offering giving rise to such complaint, and any other professional entity whose profession gives authority to a statement made by that person or entity and who has prepared or certified any part of the documents underlying the offering.</w:t>
      </w:r>
    </w:p>
    <w:p>
      <w:pPr>
        <w:spacing w:after="0" w:line="133" w:lineRule="exact"/>
        <w:rPr>
          <w:sz w:val="20"/>
          <w:szCs w:val="20"/>
          <w:color w:val="auto"/>
        </w:rPr>
      </w:pPr>
    </w:p>
    <w:p>
      <w:pPr>
        <w:ind w:right="60" w:firstLine="644"/>
        <w:spacing w:after="0" w:line="266" w:lineRule="auto"/>
        <w:rPr>
          <w:sz w:val="20"/>
          <w:szCs w:val="20"/>
          <w:color w:val="auto"/>
        </w:rPr>
      </w:pPr>
      <w:r>
        <w:rPr>
          <w:rFonts w:ascii="Arial" w:cs="Arial" w:eastAsia="Arial" w:hAnsi="Arial"/>
          <w:sz w:val="16"/>
          <w:szCs w:val="16"/>
          <w:color w:val="auto"/>
        </w:rPr>
        <w:t>These exclusive-forum provisions may limit a stockholder’s ability to bring a claim in a judicial forum that it finds favorable for disputes with us or our directors, officers or other employees, which may discourage lawsuits against us and our directors, officers and other employees. Any person or entity purchasing or otherwise acquiring any interest in any of our securities shall be deemed to have notice of and consented to these provisions. There is uncertainty as to whether a court would enforce such provisions, and the enforceability of similar choice of forum provisions in other companies’ charter documents has been challenged in legal proceedings. It is possible that a court could find these types of provisions to be inapplicable or unenforceable, and if a court were to find either exclusive-forum provision in our amended and restated certificate of incorporation to be inapplicable or unenforceable in an action, we may incur additional costs associated with resolving the dispute in other jurisdictions, which could seriously harm our business. For example, under the Securities Act, federal courts have concurrent jurisdiction over all suits brought to enforce any duty or liability created by the Securities Act, and investors cannot waive compliance with the federal securities laws and the rules and regulations thereunder.</w:t>
      </w:r>
    </w:p>
    <w:p>
      <w:pPr>
        <w:spacing w:after="0" w:line="3" w:lineRule="exact"/>
        <w:rPr>
          <w:sz w:val="20"/>
          <w:szCs w:val="20"/>
          <w:color w:val="auto"/>
        </w:rPr>
      </w:pPr>
    </w:p>
    <w:p>
      <w:pPr>
        <w:ind w:left="4100"/>
        <w:spacing w:after="0"/>
        <w:rPr>
          <w:sz w:val="20"/>
          <w:szCs w:val="20"/>
          <w:color w:val="auto"/>
        </w:rPr>
      </w:pPr>
      <w:r>
        <w:rPr>
          <w:rFonts w:ascii="Arial" w:cs="Arial" w:eastAsia="Arial" w:hAnsi="Arial"/>
          <w:sz w:val="18"/>
          <w:szCs w:val="18"/>
          <w:b w:val="1"/>
          <w:bCs w:val="1"/>
          <w:color w:val="auto"/>
        </w:rPr>
        <w:t>Risks Related to our Convertible Notes</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Servicing our debt requires a significant amount of cash, and we may not have sufficient cash flow from our business to pay our substantial debt.</w:t>
      </w:r>
    </w:p>
    <w:p>
      <w:pPr>
        <w:spacing w:after="0" w:line="194" w:lineRule="exact"/>
        <w:rPr>
          <w:sz w:val="20"/>
          <w:szCs w:val="20"/>
          <w:color w:val="auto"/>
        </w:rPr>
      </w:pPr>
    </w:p>
    <w:p>
      <w:pPr>
        <w:ind w:right="20" w:firstLine="644"/>
        <w:spacing w:after="0" w:line="253" w:lineRule="auto"/>
        <w:rPr>
          <w:sz w:val="20"/>
          <w:szCs w:val="20"/>
          <w:color w:val="auto"/>
        </w:rPr>
      </w:pPr>
      <w:r>
        <w:rPr>
          <w:rFonts w:ascii="Arial" w:cs="Arial" w:eastAsia="Arial" w:hAnsi="Arial"/>
          <w:sz w:val="17"/>
          <w:szCs w:val="17"/>
          <w:color w:val="auto"/>
        </w:rPr>
        <w:t>Our ability to make scheduled payments of the principal of, to pay interest on or to refinance our indebtedness, including the $287.5 million aggregate principal amount of 1.00% Convertible Senior Notes due 2027 (the "Notes") that we issued in February 2022, depends on our future performance, which is subject to economic, financial, competitive and other factors beyond our control. If the assumptions underlying our cash flow guidance are incorrect, our business may not continue to generate cash flow from operations in the future sufficient to service our debt, including the Notes, and make necessary capital expenditures. If we are unable to generate such cash flow, we may be required to adopt one or more alternatives, such as selling assets, restructuring debt or issuing additional equity, equity-linked or debt instruments on terms that may be onerous or highly dilutive. Our ability to refinance our indebtedness will depend on the capital markets and our financial condition at such time. If we are unable to engage in any of these activities or engage in these activities on desirable terms, we may be unable to meet our debt obligations, including the Notes, which would materially and adversely impact our business, financial condition and operating results.</w:t>
      </w:r>
    </w:p>
    <w:p>
      <w:pPr>
        <w:spacing w:after="0" w:line="14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Conversion of the Notes may dilute the ownership interest of our stockholders or may otherwise depress the price of our common stock.</w:t>
      </w:r>
    </w:p>
    <w:p>
      <w:pPr>
        <w:spacing w:after="0" w:line="196" w:lineRule="exact"/>
        <w:rPr>
          <w:sz w:val="20"/>
          <w:szCs w:val="20"/>
          <w:color w:val="auto"/>
        </w:rPr>
      </w:pPr>
    </w:p>
    <w:p>
      <w:pPr>
        <w:jc w:val="both"/>
        <w:ind w:right="320" w:firstLine="644"/>
        <w:spacing w:after="0"/>
        <w:rPr>
          <w:sz w:val="20"/>
          <w:szCs w:val="20"/>
          <w:color w:val="auto"/>
        </w:rPr>
      </w:pPr>
      <w:r>
        <w:rPr>
          <w:rFonts w:ascii="Arial" w:cs="Arial" w:eastAsia="Arial" w:hAnsi="Arial"/>
          <w:sz w:val="18"/>
          <w:szCs w:val="18"/>
          <w:color w:val="auto"/>
        </w:rPr>
        <w:t>The conversion of some or all of the Notes may dilute the ownership interests of our stockholders. Upon conversion of the Notes, we have the option to pay or deliver, as the case may be, cash, shares of our common stock, or a combination of cash and shares of our common stock. If we elect to settle our conversion obligation in shares of our common stock or a combination of cash</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38" w:name="page39"/>
    <w:bookmarkEnd w:id="38"/>
    <w:p>
      <w:pPr>
        <w:ind w:right="200"/>
        <w:spacing w:after="0" w:line="243" w:lineRule="auto"/>
        <w:rPr>
          <w:sz w:val="20"/>
          <w:szCs w:val="20"/>
          <w:color w:val="auto"/>
        </w:rPr>
      </w:pPr>
      <w:r>
        <w:rPr>
          <w:rFonts w:ascii="Arial" w:cs="Arial" w:eastAsia="Arial" w:hAnsi="Arial"/>
          <w:sz w:val="18"/>
          <w:szCs w:val="18"/>
          <w:color w:val="auto"/>
        </w:rPr>
        <w:t>and shares of our common stock, any sales in the public market of our common stock issuable upon such conversion could adversely affect prevailing market prices of our common stock. In addition, the existence of the Notes may encourage short selling by market participants because the conversion of the Notes could be used to satisfy short positions, or anticipated conversion of the Notes into shares of our common stock could depress the price of our common stock.</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Certain provisions in the indenture governing the Notes may delay or prevent an otherwise beneficial takeover attempt of us.</w:t>
      </w:r>
    </w:p>
    <w:p>
      <w:pPr>
        <w:spacing w:after="0" w:line="171" w:lineRule="exact"/>
        <w:rPr>
          <w:sz w:val="20"/>
          <w:szCs w:val="20"/>
          <w:color w:val="auto"/>
        </w:rPr>
      </w:pPr>
    </w:p>
    <w:p>
      <w:pPr>
        <w:ind w:firstLine="644"/>
        <w:spacing w:after="0" w:line="257" w:lineRule="auto"/>
        <w:rPr>
          <w:sz w:val="20"/>
          <w:szCs w:val="20"/>
          <w:color w:val="auto"/>
        </w:rPr>
      </w:pPr>
      <w:r>
        <w:rPr>
          <w:rFonts w:ascii="Arial" w:cs="Arial" w:eastAsia="Arial" w:hAnsi="Arial"/>
          <w:sz w:val="17"/>
          <w:szCs w:val="17"/>
          <w:color w:val="auto"/>
        </w:rPr>
        <w:t>Certain provisions in the indenture governing the Notes may make it more difficult or expensive for a third party to acquire us. For example, the indenture governing the Notes will require us, except as described in the indenture, to repurchase the notes for cash upon the occurrence of a "fundamental change" (as defined in the indenture) and, in certain circumstances, to increase the conversion rate for a holder that converts its Notes in connection with a "make-whole fundamental change" (as defined in the indenture). A takeover of us may trigger the requirement that we repurchase the Notes and/or increase the conversion rate, which could make it costlier for a potential acquirer to engage in such takeover. Such additional costs may have the effect of delaying or preventing a takeover of us that would otherwise be beneficial to investors.</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General Risk Factors</w:t>
      </w:r>
    </w:p>
    <w:p>
      <w:pPr>
        <w:spacing w:after="0" w:line="216" w:lineRule="exact"/>
        <w:rPr>
          <w:sz w:val="20"/>
          <w:szCs w:val="20"/>
          <w:color w:val="auto"/>
        </w:rPr>
      </w:pPr>
    </w:p>
    <w:p>
      <w:pPr>
        <w:jc w:val="center"/>
        <w:ind w:right="20"/>
        <w:spacing w:after="0" w:line="345" w:lineRule="auto"/>
        <w:rPr>
          <w:sz w:val="20"/>
          <w:szCs w:val="20"/>
          <w:color w:val="auto"/>
        </w:rPr>
      </w:pPr>
      <w:r>
        <w:rPr>
          <w:rFonts w:ascii="Arial" w:cs="Arial" w:eastAsia="Arial" w:hAnsi="Arial"/>
          <w:sz w:val="16"/>
          <w:szCs w:val="16"/>
          <w:b w:val="1"/>
          <w:bCs w:val="1"/>
          <w:i w:val="1"/>
          <w:iCs w:val="1"/>
          <w:color w:val="auto"/>
        </w:rPr>
        <w:t xml:space="preserve">If we fail to retain and motivate members of our management team or other key personnel, our business and future growth prospects would be harmed. </w:t>
      </w:r>
      <w:r>
        <w:rPr>
          <w:rFonts w:ascii="Arial" w:cs="Arial" w:eastAsia="Arial" w:hAnsi="Arial"/>
          <w:sz w:val="16"/>
          <w:szCs w:val="16"/>
          <w:color w:val="auto"/>
        </w:rPr>
        <w:t>Our success and future growth depend largely upon the continued services of our executive officers as well as other key personnel. These</w:t>
      </w:r>
    </w:p>
    <w:p>
      <w:pPr>
        <w:ind w:right="60"/>
        <w:spacing w:after="0" w:line="238" w:lineRule="auto"/>
        <w:rPr>
          <w:sz w:val="20"/>
          <w:szCs w:val="20"/>
          <w:color w:val="auto"/>
        </w:rPr>
      </w:pPr>
      <w:r>
        <w:rPr>
          <w:rFonts w:ascii="Arial" w:cs="Arial" w:eastAsia="Arial" w:hAnsi="Arial"/>
          <w:sz w:val="18"/>
          <w:szCs w:val="18"/>
          <w:color w:val="auto"/>
        </w:rPr>
        <w:t>executives and key personnel have been primarily responsible for determining the strategic direction of the business and executing our growth strategy and are integral to our brand, culture and reputation with buyers and sellers. From time to time, there may be changes in our executive management team or other key personnel resulting from the hiring or departure of these personnel. The loss of one or more of executive officers, or the failure by the executive team to effectively work with employees and lead the company, could harm our business.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 or legal proceedings could expose us to significant liabilities and have a negative impact on our reputation or business.</w:t>
      </w:r>
    </w:p>
    <w:p>
      <w:pPr>
        <w:spacing w:after="0" w:line="104" w:lineRule="exact"/>
        <w:rPr>
          <w:sz w:val="20"/>
          <w:szCs w:val="20"/>
          <w:color w:val="auto"/>
        </w:rPr>
      </w:pPr>
    </w:p>
    <w:p>
      <w:pPr>
        <w:ind w:firstLine="644"/>
        <w:spacing w:after="0" w:line="241" w:lineRule="auto"/>
        <w:rPr>
          <w:sz w:val="20"/>
          <w:szCs w:val="20"/>
          <w:color w:val="auto"/>
        </w:rPr>
      </w:pPr>
      <w:r>
        <w:rPr>
          <w:rFonts w:ascii="Arial" w:cs="Arial" w:eastAsia="Arial" w:hAnsi="Arial"/>
          <w:sz w:val="18"/>
          <w:szCs w:val="18"/>
          <w:color w:val="auto"/>
        </w:rPr>
        <w:t>From time to time, we may be party to various claims and litigation proceedings. We evaluate these claims and litigation proceedings to assess the likelihood of unfavorable outcomes and to estimate, if possible, the amount of potential losses. Based on these assessments and estimates, we may establish reserves, as appropriate. These assessments and estimates are based on the information available to management at the time and involve a significant amount of management judgment. Actual outcomes or losses may differ materially from our assessments and estimates. We are not currently party to any material litigation.</w:t>
      </w:r>
    </w:p>
    <w:p>
      <w:pPr>
        <w:spacing w:after="0" w:line="149" w:lineRule="exact"/>
        <w:rPr>
          <w:sz w:val="20"/>
          <w:szCs w:val="20"/>
          <w:color w:val="auto"/>
        </w:rPr>
      </w:pPr>
    </w:p>
    <w:p>
      <w:pPr>
        <w:ind w:right="20" w:firstLine="644"/>
        <w:spacing w:after="0" w:line="241" w:lineRule="auto"/>
        <w:rPr>
          <w:sz w:val="20"/>
          <w:szCs w:val="20"/>
          <w:color w:val="auto"/>
        </w:rPr>
      </w:pPr>
      <w:r>
        <w:rPr>
          <w:rFonts w:ascii="Arial" w:cs="Arial" w:eastAsia="Arial" w:hAnsi="Arial"/>
          <w:sz w:val="18"/>
          <w:szCs w:val="18"/>
          <w:color w:val="auto"/>
        </w:rPr>
        <w:t>Even when not merited, the defense of these lawsuits may divert management’s attention, and we may incur significant expenses in defending these lawsuits. The results of litigation and other legal proceedings are inherently uncertain, and adverse judgments or settlements in some of these legal disputes may result in adverse monetary damages, penalties or injunctive relief against us, which could negatively impact our financial position, cash flows or results of operations. Any claims or litigation, even if fully indemnified or insured, could damage our reputation and make it more difficult to compete effectively or to obtain adequate insurance in the future.</w:t>
      </w:r>
    </w:p>
    <w:p>
      <w:pPr>
        <w:spacing w:after="0" w:line="162" w:lineRule="exact"/>
        <w:rPr>
          <w:sz w:val="20"/>
          <w:szCs w:val="20"/>
          <w:color w:val="auto"/>
        </w:rPr>
      </w:pPr>
    </w:p>
    <w:p>
      <w:pPr>
        <w:ind w:right="180" w:firstLine="644"/>
        <w:spacing w:after="0" w:line="294" w:lineRule="auto"/>
        <w:rPr>
          <w:sz w:val="20"/>
          <w:szCs w:val="20"/>
          <w:color w:val="auto"/>
        </w:rPr>
      </w:pPr>
      <w:r>
        <w:rPr>
          <w:rFonts w:ascii="Arial" w:cs="Arial" w:eastAsia="Arial" w:hAnsi="Arial"/>
          <w:sz w:val="16"/>
          <w:szCs w:val="16"/>
          <w:color w:val="auto"/>
        </w:rPr>
        <w:t>Furthermore, while we maintain insurance for certain potential liabilities, such insurance does not cover all types and amounts of potential liabilities and is subject to various exclusions as well as caps on amounts recoverable. Even if we believe a claim is covered by insurance, insurers may dispute our entitlement to recovery for a variety of potential reasons, which may affect the timing and, if the insurers prevail, the amount of our recovery.</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tax laws may materially adversely affect our business, prospects, financial condition and operating results.</w:t>
      </w:r>
    </w:p>
    <w:p>
      <w:pPr>
        <w:spacing w:after="0" w:line="104" w:lineRule="exact"/>
        <w:rPr>
          <w:sz w:val="20"/>
          <w:szCs w:val="20"/>
          <w:color w:val="auto"/>
        </w:rPr>
      </w:pPr>
    </w:p>
    <w:p>
      <w:pPr>
        <w:ind w:right="80" w:firstLine="644"/>
        <w:spacing w:after="0" w:line="267" w:lineRule="auto"/>
        <w:rPr>
          <w:sz w:val="20"/>
          <w:szCs w:val="20"/>
          <w:color w:val="auto"/>
        </w:rPr>
      </w:pPr>
      <w:r>
        <w:rPr>
          <w:rFonts w:ascii="Arial" w:cs="Arial" w:eastAsia="Arial" w:hAnsi="Arial"/>
          <w:sz w:val="16"/>
          <w:szCs w:val="16"/>
          <w:color w:val="auto"/>
        </w:rPr>
        <w:t>New income, sales, use or other tax laws, statutes, rules, regulations or ordinances could be enacted at any time, which could adversely affect our business, prospects, financial condition and operating results. Further, existing tax laws, statutes, rules, regulations or ordinances could be interpreted, changed, modified or applied adversely to us. For example, the Tax Act enacted many significant changes to the U.S. tax laws. Future guidance from the U.S. Internal Revenue Service, or the IRS, with respect to the Tax Act may affect us, and certain aspects of the Tax Act could be repealed or modified in future legislation. The Coronavirus Aid, Relief, and Economic Security Act, or the CARES Act, has already modified certain provisions of the Tax Act. In addition, it is uncertain if and to what extent various states will conform to the Tax Act, the CARES Act or any newly enacted federal tax legislation.</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03" w:right="359" w:bottom="1440" w:gutter="0" w:footer="0" w:header="0"/>
        </w:sectPr>
      </w:pPr>
    </w:p>
    <w:bookmarkStart w:id="39" w:name="page40"/>
    <w:bookmarkEnd w:id="39"/>
    <w:p>
      <w:pPr>
        <w:spacing w:after="0" w:line="248" w:lineRule="auto"/>
        <w:rPr>
          <w:sz w:val="20"/>
          <w:szCs w:val="20"/>
          <w:color w:val="auto"/>
        </w:rPr>
      </w:pPr>
      <w:r>
        <w:rPr>
          <w:rFonts w:ascii="Arial" w:cs="Arial" w:eastAsia="Arial" w:hAnsi="Arial"/>
          <w:sz w:val="18"/>
          <w:szCs w:val="18"/>
          <w:b w:val="1"/>
          <w:bCs w:val="1"/>
          <w:i w:val="1"/>
          <w:iCs w:val="1"/>
          <w:color w:val="auto"/>
        </w:rPr>
        <w:t>We qualify as an “emerging growth company” within the meaning of the Securities Act, and if we take advantage of certain exemptions from disclosure requirements available to emerging growth companies, it could make our securities less attractive to investors and may make it more difficult to compare our performance to the performance of other public companies.</w:t>
      </w:r>
    </w:p>
    <w:p>
      <w:pPr>
        <w:spacing w:after="0" w:line="74" w:lineRule="exact"/>
        <w:rPr>
          <w:sz w:val="20"/>
          <w:szCs w:val="20"/>
          <w:color w:val="auto"/>
        </w:rPr>
      </w:pPr>
    </w:p>
    <w:p>
      <w:pPr>
        <w:ind w:right="40" w:firstLine="644"/>
        <w:spacing w:after="0" w:line="251" w:lineRule="auto"/>
        <w:rPr>
          <w:sz w:val="20"/>
          <w:szCs w:val="20"/>
          <w:color w:val="auto"/>
        </w:rPr>
      </w:pPr>
      <w:r>
        <w:rPr>
          <w:rFonts w:ascii="Arial" w:cs="Arial" w:eastAsia="Arial" w:hAnsi="Arial"/>
          <w:sz w:val="17"/>
          <w:szCs w:val="17"/>
          <w:color w:val="auto"/>
        </w:rPr>
        <w:t>We qualify as an “emerging growth company” as defined in Section 2(a)(19) of the Securities Act, as modified by the JOBS Act. As such, we are eligible for and intend to take advantage of certain exemptions from various reporting requirements applicable to other public companies that are not emerging growth companies for as long as we continue to be an emerging growth company, including, but not limited to, (a) not being required to comply with the auditor attestation requirements of Section 404 of the Sarbanes-Oxley Act, (b) reduced disclosure obligations regarding executive compensation in our periodic reports and proxy statements and (c) exemptions from the requirements of holding a nonbinding advisory vote on executive compensation and stockholder approval of any golden parachute payments not previously approved. As a result, our stockholders may not have access to certain information they may deem important. We will remain an emerging growth company until the earliest of (i) the last day of the fiscal year in which the market value of our common stock that is held by non-affiliates exceeds $700 million as of June 30 of that fiscal year, (ii) the last day of the fiscal year in which it has total annual gross revenue of $1.07 billion or more during such fiscal year (as indexed for inflation), (iii) the date on which it has issued more than $1 billion in non-convertible debt in the prior three-year period or (iv) the last day of the fiscal year following the fifth anniversary of the date of the first sale of our Class A common stock in our initial public offering. We cannot predict whether investors will find our securities less attractive because it will rely on these exemptions. If some investors find our securities less attractive as a result of our reliance on these exemptions, the trading prices of our securities may be lower than they otherwise would be, there may be a less active trading market for our securities and the trading prices of our securities may be more volatile.</w:t>
      </w:r>
    </w:p>
    <w:p>
      <w:pPr>
        <w:spacing w:after="0" w:line="162" w:lineRule="exact"/>
        <w:rPr>
          <w:sz w:val="20"/>
          <w:szCs w:val="20"/>
          <w:color w:val="auto"/>
        </w:rPr>
      </w:pPr>
    </w:p>
    <w:p>
      <w:pPr>
        <w:ind w:right="80" w:firstLine="644"/>
        <w:spacing w:after="0" w:line="253" w:lineRule="auto"/>
        <w:rPr>
          <w:sz w:val="20"/>
          <w:szCs w:val="20"/>
          <w:color w:val="auto"/>
        </w:rPr>
      </w:pPr>
      <w:r>
        <w:rPr>
          <w:rFonts w:ascii="Arial" w:cs="Arial" w:eastAsia="Arial" w:hAnsi="Arial"/>
          <w:sz w:val="17"/>
          <w:szCs w:val="17"/>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an election to opt out is irrevocable. We have elected not to opt out of such extended transition period, which means that when a standard is issued or revised and it has different application dates for public or private companies, we, as an emerging growth company, can adopt the new or revised standard at the time private companies adopt the new or revised standard. This may make comparison of our financial statements with another public emerging growth company which has opted out of using the extended transition period difficult or impossible because of the potential differences in accounting standards used.</w:t>
      </w:r>
    </w:p>
    <w:p>
      <w:pPr>
        <w:spacing w:after="0" w:line="143"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b w:val="1"/>
          <w:bCs w:val="1"/>
          <w:i w:val="1"/>
          <w:iCs w:val="1"/>
          <w:color w:val="auto"/>
        </w:rPr>
        <w:t>If we fail to maintain an effective system of disclosure controls and internal control over financial reporting, our ability to produce timely and accurate financial statements or comply with applicable regulations could be impaired.</w:t>
      </w:r>
    </w:p>
    <w:p>
      <w:pPr>
        <w:spacing w:after="0" w:line="63" w:lineRule="exact"/>
        <w:rPr>
          <w:sz w:val="20"/>
          <w:szCs w:val="20"/>
          <w:color w:val="auto"/>
        </w:rPr>
      </w:pPr>
    </w:p>
    <w:p>
      <w:pPr>
        <w:ind w:firstLine="644"/>
        <w:spacing w:after="0" w:line="284" w:lineRule="auto"/>
        <w:rPr>
          <w:sz w:val="20"/>
          <w:szCs w:val="20"/>
          <w:color w:val="auto"/>
        </w:rPr>
      </w:pPr>
      <w:r>
        <w:rPr>
          <w:rFonts w:ascii="Arial" w:cs="Arial" w:eastAsia="Arial" w:hAnsi="Arial"/>
          <w:sz w:val="16"/>
          <w:szCs w:val="16"/>
          <w:color w:val="auto"/>
        </w:rPr>
        <w:t>As a public company, we are subject to the reporting requirements of the Securities Exchange Act of 1934, as amended, or the Exchange Act, the Sarbanes-Oxley Act of 2002, or the Sarbanes- Oxley Act, and the rules and regulations of the applicable listing standards of The Nasdaq Global Select Market. We expect that the requirements of these rules and regulations will continue to increase our legal, accounting, and financial compliance costs, make some activities more difficult, time-consuming, and costly, and place significant strain on our personnel, systems, and resources.</w:t>
      </w:r>
    </w:p>
    <w:p>
      <w:pPr>
        <w:spacing w:after="0" w:line="115" w:lineRule="exact"/>
        <w:rPr>
          <w:sz w:val="20"/>
          <w:szCs w:val="20"/>
          <w:color w:val="auto"/>
        </w:rPr>
      </w:pPr>
    </w:p>
    <w:p>
      <w:pPr>
        <w:ind w:right="80" w:firstLine="644"/>
        <w:spacing w:after="0" w:line="257" w:lineRule="auto"/>
        <w:rPr>
          <w:sz w:val="20"/>
          <w:szCs w:val="20"/>
          <w:color w:val="auto"/>
        </w:rPr>
      </w:pPr>
      <w:r>
        <w:rPr>
          <w:rFonts w:ascii="Arial" w:cs="Arial" w:eastAsia="Arial" w:hAnsi="Arial"/>
          <w:sz w:val="17"/>
          <w:szCs w:val="17"/>
          <w:color w:val="auto"/>
        </w:rPr>
        <w:t>The Sarbanes-Oxley Act requires, among other things, that we maintain effective disclosure controls and procedures and internal control over financial reporting. We are continuing to develop and refine our disclosure controls and other procedures that are designed to ensure that information required to be disclosed by us in the reports that we will file with the SEC is recorded, processed, summarized, and reported within the time periods specified in SEC rules and forms and that information required to be disclosed in reports under the Exchange Act is accumulated and communicated to our principal executive and financial officers. We are also continuing to improve our internal control over financial reporting, which includes hiring additional accounting and financial personnel to implement such processes and controls.</w:t>
      </w:r>
    </w:p>
    <w:p>
      <w:pPr>
        <w:spacing w:after="0" w:line="148" w:lineRule="exact"/>
        <w:rPr>
          <w:sz w:val="20"/>
          <w:szCs w:val="20"/>
          <w:color w:val="auto"/>
        </w:rPr>
      </w:pPr>
    </w:p>
    <w:p>
      <w:pPr>
        <w:jc w:val="both"/>
        <w:ind w:firstLine="644"/>
        <w:spacing w:after="0" w:line="270" w:lineRule="auto"/>
        <w:rPr>
          <w:sz w:val="20"/>
          <w:szCs w:val="20"/>
          <w:color w:val="auto"/>
        </w:rPr>
      </w:pPr>
      <w:r>
        <w:rPr>
          <w:rFonts w:ascii="Arial" w:cs="Arial" w:eastAsia="Arial" w:hAnsi="Arial"/>
          <w:sz w:val="17"/>
          <w:szCs w:val="17"/>
          <w:color w:val="auto"/>
        </w:rPr>
        <w:t>In order to maintain and improve the effectiveness of our disclosure controls and procedures and internal control over financial reporting, we have expended, and anticipate that we will continue to expend, significant resources, including accounting-related costs and significant management oversight. If any of these new or improved controls and systems do not perform as expected, we may experience deficiencies in our controls.</w:t>
      </w:r>
    </w:p>
    <w:p>
      <w:pPr>
        <w:spacing w:after="0" w:line="123" w:lineRule="exact"/>
        <w:rPr>
          <w:sz w:val="20"/>
          <w:szCs w:val="20"/>
          <w:color w:val="auto"/>
        </w:rPr>
      </w:pPr>
    </w:p>
    <w:p>
      <w:pPr>
        <w:ind w:right="180" w:firstLine="644"/>
        <w:spacing w:after="0" w:line="267" w:lineRule="auto"/>
        <w:rPr>
          <w:sz w:val="20"/>
          <w:szCs w:val="20"/>
          <w:color w:val="auto"/>
        </w:rPr>
      </w:pPr>
      <w:r>
        <w:rPr>
          <w:rFonts w:ascii="Arial" w:cs="Arial" w:eastAsia="Arial" w:hAnsi="Arial"/>
          <w:sz w:val="16"/>
          <w:szCs w:val="16"/>
          <w:color w:val="auto"/>
        </w:rPr>
        <w:t>Our current controls and any new controls that we develop may become inadequate because of changes in conditions in our business. Further, weaknesses in our disclosure controls and internal control over financial reporting may be discovered in the future. Any failure to develop or maintain effective controls or any difficulties encountered in their implementation or improvement could harm our results of operations or cause us to fail to meet our reporting obligations and may result in a restatement of our financial statements for prior periods. Any failure to implement and maintain effective internal control over financial reporting also could adversely affect the results of periodic management evaluations and annual independent registered public accounting firm attestation reports regarding the effectiveness of our internal control over financial reporting that we will eventually be required to include in our periodic reports that will be filed with the SEC. Ineffective disclosure controls and procedures and internal control over financial</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40" w:name="page41"/>
    <w:bookmarkEnd w:id="40"/>
    <w:p>
      <w:pPr>
        <w:ind w:right="120"/>
        <w:spacing w:after="0"/>
        <w:rPr>
          <w:sz w:val="20"/>
          <w:szCs w:val="20"/>
          <w:color w:val="auto"/>
        </w:rPr>
      </w:pPr>
      <w:r>
        <w:rPr>
          <w:rFonts w:ascii="Arial" w:cs="Arial" w:eastAsia="Arial" w:hAnsi="Arial"/>
          <w:sz w:val="18"/>
          <w:szCs w:val="18"/>
          <w:color w:val="auto"/>
        </w:rPr>
        <w:t>reporting could also cause investors to lose confidence in our reported financial and other information, which would likely have a negative effect on the trading price of our Class A common stock. In addition, if we are unable to continue to meet these requirements, we may not be able to remain listed on The Nasdaq Global Select Market. We are not currently required to comply with the SEC rules that implement Section 404 of the Sarbanes-Oxley Act and are therefore not required to make a formal assessment of the effectiveness of our internal control over financial reporting for that purpose. As a public company, we will be required to provide an annual management report on the effectiveness of our internal control over financial reporting commencing with our second annual report on Form 10-K.</w:t>
      </w:r>
    </w:p>
    <w:p>
      <w:pPr>
        <w:spacing w:after="0" w:line="162" w:lineRule="exact"/>
        <w:rPr>
          <w:sz w:val="20"/>
          <w:szCs w:val="20"/>
          <w:color w:val="auto"/>
        </w:rPr>
      </w:pPr>
    </w:p>
    <w:p>
      <w:pPr>
        <w:ind w:right="40" w:firstLine="644"/>
        <w:spacing w:after="0" w:line="259" w:lineRule="auto"/>
        <w:rPr>
          <w:sz w:val="20"/>
          <w:szCs w:val="20"/>
          <w:color w:val="auto"/>
        </w:rPr>
      </w:pPr>
      <w:r>
        <w:rPr>
          <w:rFonts w:ascii="Arial" w:cs="Arial" w:eastAsia="Arial" w:hAnsi="Arial"/>
          <w:sz w:val="17"/>
          <w:szCs w:val="17"/>
          <w:color w:val="auto"/>
        </w:rPr>
        <w:t>Our independent registered public accounting firm is not required to formally attest to the effectiveness of our internal control over financial reporting until after we are no longer an emerging growth company as defined in the JOBS Act. At such time, our independent registered public accounting firm may issue a report that is adverse in the event it is not satisfied with the level at which our internal control over financial reporting is documented, designed, or operating. Any failure to maintain effective disclosure controls and internal control over financial reporting could have an adverse effect on our business and results of operations and could cause a decline in the price of our Class A common stock.</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10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108" w:lineRule="exact"/>
        <w:rPr>
          <w:sz w:val="20"/>
          <w:szCs w:val="20"/>
          <w:color w:val="auto"/>
        </w:rPr>
      </w:pPr>
    </w:p>
    <w:p>
      <w:pPr>
        <w:ind w:right="40" w:firstLine="644"/>
        <w:spacing w:after="0" w:line="258" w:lineRule="auto"/>
        <w:rPr>
          <w:sz w:val="20"/>
          <w:szCs w:val="20"/>
          <w:color w:val="auto"/>
        </w:rPr>
      </w:pPr>
      <w:r>
        <w:rPr>
          <w:rFonts w:ascii="Arial" w:cs="Arial" w:eastAsia="Arial" w:hAnsi="Arial"/>
          <w:sz w:val="17"/>
          <w:szCs w:val="17"/>
          <w:color w:val="auto"/>
        </w:rPr>
        <w:t>We believe that our facilities are well maintained and are generally suitable to meet our needs. All of our offices are leased and we do not own any real property. Our operating leases range in expiration from 2022 to 2026. We have leased offices and/or facilities in the following locations:</w:t>
      </w:r>
    </w:p>
    <w:p>
      <w:pPr>
        <w:jc w:val="center"/>
        <w:ind w:right="60"/>
        <w:spacing w:after="0" w:line="233" w:lineRule="auto"/>
        <w:rPr>
          <w:sz w:val="20"/>
          <w:szCs w:val="20"/>
          <w:color w:val="auto"/>
        </w:rPr>
      </w:pPr>
      <w:r>
        <w:rPr>
          <w:rFonts w:ascii="Arial" w:cs="Arial" w:eastAsia="Arial" w:hAnsi="Arial"/>
          <w:sz w:val="18"/>
          <w:szCs w:val="18"/>
          <w:color w:val="auto"/>
        </w:rPr>
        <w:t>U.S. Operating Leases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340" w:type="dxa"/>
            <w:vAlign w:val="bottom"/>
            <w:tcBorders>
              <w:top w:val="single" w:sz="8" w:color="auto"/>
              <w:bottom w:val="single" w:sz="8" w:color="auto"/>
            </w:tcBorders>
          </w:tcPr>
          <w:p>
            <w:pPr>
              <w:ind w:left="3320"/>
              <w:spacing w:after="0" w:line="196" w:lineRule="exact"/>
              <w:rPr>
                <w:sz w:val="20"/>
                <w:szCs w:val="20"/>
                <w:color w:val="auto"/>
              </w:rPr>
            </w:pPr>
            <w:r>
              <w:rPr>
                <w:rFonts w:ascii="Arial" w:cs="Arial" w:eastAsia="Arial" w:hAnsi="Arial"/>
                <w:sz w:val="18"/>
                <w:szCs w:val="18"/>
                <w:color w:val="auto"/>
              </w:rPr>
              <w:t>City, State</w:t>
            </w:r>
          </w:p>
        </w:tc>
        <w:tc>
          <w:tcPr>
            <w:tcW w:w="6840" w:type="dxa"/>
            <w:vAlign w:val="bottom"/>
            <w:tcBorders>
              <w:top w:val="single" w:sz="8" w:color="auto"/>
              <w:bottom w:val="single" w:sz="8" w:color="auto"/>
            </w:tcBorders>
          </w:tcPr>
          <w:p>
            <w:pPr>
              <w:jc w:val="right"/>
              <w:ind w:right="1250"/>
              <w:spacing w:after="0" w:line="196" w:lineRule="exact"/>
              <w:rPr>
                <w:sz w:val="20"/>
                <w:szCs w:val="20"/>
                <w:color w:val="auto"/>
              </w:rPr>
            </w:pPr>
            <w:r>
              <w:rPr>
                <w:rFonts w:ascii="Arial" w:cs="Arial" w:eastAsia="Arial" w:hAnsi="Arial"/>
                <w:sz w:val="18"/>
                <w:szCs w:val="18"/>
                <w:color w:val="auto"/>
              </w:rPr>
              <w:t>Square Footage</w:t>
            </w:r>
          </w:p>
        </w:tc>
        <w:tc>
          <w:tcPr>
            <w:tcW w:w="60" w:type="dxa"/>
            <w:vAlign w:val="bottom"/>
          </w:tcPr>
          <w:p>
            <w:pPr>
              <w:spacing w:after="0"/>
              <w:rPr>
                <w:sz w:val="17"/>
                <w:szCs w:val="17"/>
                <w:color w:val="auto"/>
              </w:rPr>
            </w:pPr>
          </w:p>
        </w:tc>
      </w:tr>
      <w:tr>
        <w:trPr>
          <w:trHeight w:val="196"/>
        </w:trPr>
        <w:tc>
          <w:tcPr>
            <w:tcW w:w="434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Lexington, KY</w:t>
            </w:r>
          </w:p>
        </w:tc>
        <w:tc>
          <w:tcPr>
            <w:tcW w:w="68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27,514</w:t>
            </w:r>
          </w:p>
        </w:tc>
        <w:tc>
          <w:tcPr>
            <w:tcW w:w="60" w:type="dxa"/>
            <w:vAlign w:val="bottom"/>
            <w:shd w:val="clear" w:color="auto" w:fill="CFF0FC"/>
          </w:tcPr>
          <w:p>
            <w:pPr>
              <w:spacing w:after="0"/>
              <w:rPr>
                <w:sz w:val="17"/>
                <w:szCs w:val="17"/>
                <w:color w:val="auto"/>
              </w:rPr>
            </w:pPr>
          </w:p>
        </w:tc>
      </w:tr>
      <w:tr>
        <w:trPr>
          <w:trHeight w:val="203"/>
        </w:trPr>
        <w:tc>
          <w:tcPr>
            <w:tcW w:w="4340" w:type="dxa"/>
            <w:vAlign w:val="bottom"/>
          </w:tcPr>
          <w:p>
            <w:pPr>
              <w:ind w:left="20"/>
              <w:spacing w:after="0" w:line="202" w:lineRule="exact"/>
              <w:rPr>
                <w:sz w:val="20"/>
                <w:szCs w:val="20"/>
                <w:color w:val="auto"/>
              </w:rPr>
            </w:pPr>
            <w:r>
              <w:rPr>
                <w:rFonts w:ascii="Arial" w:cs="Arial" w:eastAsia="Arial" w:hAnsi="Arial"/>
                <w:sz w:val="18"/>
                <w:szCs w:val="18"/>
                <w:color w:val="auto"/>
              </w:rPr>
              <w:t>Jackson, TN</w:t>
            </w:r>
          </w:p>
        </w:tc>
        <w:tc>
          <w:tcPr>
            <w:tcW w:w="6840" w:type="dxa"/>
            <w:vAlign w:val="bottom"/>
          </w:tcPr>
          <w:p>
            <w:pPr>
              <w:jc w:val="right"/>
              <w:spacing w:after="0" w:line="202" w:lineRule="exact"/>
              <w:rPr>
                <w:sz w:val="20"/>
                <w:szCs w:val="20"/>
                <w:color w:val="auto"/>
              </w:rPr>
            </w:pPr>
            <w:r>
              <w:rPr>
                <w:rFonts w:ascii="Arial" w:cs="Arial" w:eastAsia="Arial" w:hAnsi="Arial"/>
                <w:sz w:val="18"/>
                <w:szCs w:val="18"/>
                <w:color w:val="auto"/>
              </w:rPr>
              <w:t>7,200</w:t>
            </w:r>
          </w:p>
        </w:tc>
        <w:tc>
          <w:tcPr>
            <w:tcW w:w="60" w:type="dxa"/>
            <w:vAlign w:val="bottom"/>
          </w:tcPr>
          <w:p>
            <w:pPr>
              <w:spacing w:after="0"/>
              <w:rPr>
                <w:sz w:val="17"/>
                <w:szCs w:val="17"/>
                <w:color w:val="auto"/>
              </w:rPr>
            </w:pPr>
          </w:p>
        </w:tc>
      </w:tr>
      <w:tr>
        <w:trPr>
          <w:trHeight w:val="203"/>
        </w:trPr>
        <w:tc>
          <w:tcPr>
            <w:tcW w:w="43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Gaithersburg, MD</w:t>
            </w:r>
          </w:p>
        </w:tc>
        <w:tc>
          <w:tcPr>
            <w:tcW w:w="68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21,529</w:t>
            </w:r>
          </w:p>
        </w:tc>
        <w:tc>
          <w:tcPr>
            <w:tcW w:w="60" w:type="dxa"/>
            <w:vAlign w:val="bottom"/>
            <w:shd w:val="clear" w:color="auto" w:fill="CFF0FC"/>
          </w:tcPr>
          <w:p>
            <w:pPr>
              <w:spacing w:after="0"/>
              <w:rPr>
                <w:sz w:val="17"/>
                <w:szCs w:val="17"/>
                <w:color w:val="auto"/>
              </w:rPr>
            </w:pPr>
          </w:p>
        </w:tc>
      </w:tr>
      <w:tr>
        <w:trPr>
          <w:trHeight w:val="203"/>
        </w:trPr>
        <w:tc>
          <w:tcPr>
            <w:tcW w:w="4340" w:type="dxa"/>
            <w:vAlign w:val="bottom"/>
          </w:tcPr>
          <w:p>
            <w:pPr>
              <w:ind w:left="20"/>
              <w:spacing w:after="0" w:line="202" w:lineRule="exact"/>
              <w:rPr>
                <w:sz w:val="20"/>
                <w:szCs w:val="20"/>
                <w:color w:val="auto"/>
              </w:rPr>
            </w:pPr>
            <w:r>
              <w:rPr>
                <w:rFonts w:ascii="Arial" w:cs="Arial" w:eastAsia="Arial" w:hAnsi="Arial"/>
                <w:sz w:val="18"/>
                <w:szCs w:val="18"/>
                <w:color w:val="auto"/>
              </w:rPr>
              <w:t>Derwood, MD</w:t>
            </w:r>
          </w:p>
        </w:tc>
        <w:tc>
          <w:tcPr>
            <w:tcW w:w="6840" w:type="dxa"/>
            <w:vAlign w:val="bottom"/>
          </w:tcPr>
          <w:p>
            <w:pPr>
              <w:jc w:val="right"/>
              <w:spacing w:after="0" w:line="202" w:lineRule="exact"/>
              <w:rPr>
                <w:sz w:val="20"/>
                <w:szCs w:val="20"/>
                <w:color w:val="auto"/>
              </w:rPr>
            </w:pPr>
            <w:r>
              <w:rPr>
                <w:rFonts w:ascii="Arial" w:cs="Arial" w:eastAsia="Arial" w:hAnsi="Arial"/>
                <w:sz w:val="18"/>
                <w:szCs w:val="18"/>
                <w:color w:val="auto"/>
              </w:rPr>
              <w:t>11,626</w:t>
            </w:r>
          </w:p>
        </w:tc>
        <w:tc>
          <w:tcPr>
            <w:tcW w:w="60" w:type="dxa"/>
            <w:vAlign w:val="bottom"/>
          </w:tcPr>
          <w:p>
            <w:pPr>
              <w:spacing w:after="0"/>
              <w:rPr>
                <w:sz w:val="17"/>
                <w:szCs w:val="17"/>
                <w:color w:val="auto"/>
              </w:rPr>
            </w:pPr>
          </w:p>
        </w:tc>
      </w:tr>
      <w:tr>
        <w:trPr>
          <w:trHeight w:val="203"/>
        </w:trPr>
        <w:tc>
          <w:tcPr>
            <w:tcW w:w="43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Bethesda, MD</w:t>
            </w:r>
          </w:p>
        </w:tc>
        <w:tc>
          <w:tcPr>
            <w:tcW w:w="68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6,781</w:t>
            </w:r>
          </w:p>
        </w:tc>
        <w:tc>
          <w:tcPr>
            <w:tcW w:w="60" w:type="dxa"/>
            <w:vAlign w:val="bottom"/>
            <w:shd w:val="clear" w:color="auto" w:fill="CFF0FC"/>
          </w:tcPr>
          <w:p>
            <w:pPr>
              <w:spacing w:after="0"/>
              <w:rPr>
                <w:sz w:val="17"/>
                <w:szCs w:val="17"/>
                <w:color w:val="auto"/>
              </w:rPr>
            </w:pPr>
          </w:p>
        </w:tc>
      </w:tr>
      <w:tr>
        <w:trPr>
          <w:trHeight w:val="203"/>
        </w:trPr>
        <w:tc>
          <w:tcPr>
            <w:tcW w:w="4340" w:type="dxa"/>
            <w:vAlign w:val="bottom"/>
          </w:tcPr>
          <w:p>
            <w:pPr>
              <w:ind w:left="20"/>
              <w:spacing w:after="0" w:line="202" w:lineRule="exact"/>
              <w:rPr>
                <w:sz w:val="20"/>
                <w:szCs w:val="20"/>
                <w:color w:val="auto"/>
              </w:rPr>
            </w:pPr>
            <w:r>
              <w:rPr>
                <w:rFonts w:ascii="Arial" w:cs="Arial" w:eastAsia="Arial" w:hAnsi="Arial"/>
                <w:sz w:val="18"/>
                <w:szCs w:val="18"/>
                <w:color w:val="auto"/>
              </w:rPr>
              <w:t>Doraville, GA</w:t>
            </w:r>
          </w:p>
        </w:tc>
        <w:tc>
          <w:tcPr>
            <w:tcW w:w="6840" w:type="dxa"/>
            <w:vAlign w:val="bottom"/>
          </w:tcPr>
          <w:p>
            <w:pPr>
              <w:jc w:val="right"/>
              <w:spacing w:after="0" w:line="202" w:lineRule="exact"/>
              <w:rPr>
                <w:sz w:val="20"/>
                <w:szCs w:val="20"/>
                <w:color w:val="auto"/>
              </w:rPr>
            </w:pPr>
            <w:r>
              <w:rPr>
                <w:rFonts w:ascii="Arial" w:cs="Arial" w:eastAsia="Arial" w:hAnsi="Arial"/>
                <w:sz w:val="18"/>
                <w:szCs w:val="18"/>
                <w:color w:val="auto"/>
              </w:rPr>
              <w:t>5,600</w:t>
            </w:r>
          </w:p>
        </w:tc>
        <w:tc>
          <w:tcPr>
            <w:tcW w:w="60" w:type="dxa"/>
            <w:vAlign w:val="bottom"/>
          </w:tcPr>
          <w:p>
            <w:pPr>
              <w:spacing w:after="0"/>
              <w:rPr>
                <w:sz w:val="17"/>
                <w:szCs w:val="17"/>
                <w:color w:val="auto"/>
              </w:rPr>
            </w:pPr>
          </w:p>
        </w:tc>
      </w:tr>
      <w:tr>
        <w:trPr>
          <w:trHeight w:val="203"/>
        </w:trPr>
        <w:tc>
          <w:tcPr>
            <w:tcW w:w="43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Culver City, CA</w:t>
            </w:r>
          </w:p>
        </w:tc>
        <w:tc>
          <w:tcPr>
            <w:tcW w:w="68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5,838</w:t>
            </w:r>
          </w:p>
        </w:tc>
        <w:tc>
          <w:tcPr>
            <w:tcW w:w="60" w:type="dxa"/>
            <w:vAlign w:val="bottom"/>
            <w:shd w:val="clear" w:color="auto" w:fill="CFF0FC"/>
          </w:tcPr>
          <w:p>
            <w:pPr>
              <w:spacing w:after="0"/>
              <w:rPr>
                <w:sz w:val="17"/>
                <w:szCs w:val="17"/>
                <w:color w:val="auto"/>
              </w:rPr>
            </w:pPr>
          </w:p>
        </w:tc>
      </w:tr>
      <w:tr>
        <w:trPr>
          <w:trHeight w:val="203"/>
        </w:trPr>
        <w:tc>
          <w:tcPr>
            <w:tcW w:w="4340" w:type="dxa"/>
            <w:vAlign w:val="bottom"/>
          </w:tcPr>
          <w:p>
            <w:pPr>
              <w:ind w:left="20"/>
              <w:spacing w:after="0" w:line="202" w:lineRule="exact"/>
              <w:rPr>
                <w:sz w:val="20"/>
                <w:szCs w:val="20"/>
                <w:color w:val="auto"/>
              </w:rPr>
            </w:pPr>
            <w:r>
              <w:rPr>
                <w:rFonts w:ascii="Arial" w:cs="Arial" w:eastAsia="Arial" w:hAnsi="Arial"/>
                <w:sz w:val="18"/>
                <w:szCs w:val="18"/>
                <w:color w:val="auto"/>
              </w:rPr>
              <w:t>New York, NY</w:t>
            </w:r>
          </w:p>
        </w:tc>
        <w:tc>
          <w:tcPr>
            <w:tcW w:w="6840" w:type="dxa"/>
            <w:vAlign w:val="bottom"/>
          </w:tcPr>
          <w:p>
            <w:pPr>
              <w:jc w:val="right"/>
              <w:spacing w:after="0" w:line="202" w:lineRule="exact"/>
              <w:rPr>
                <w:sz w:val="20"/>
                <w:szCs w:val="20"/>
                <w:color w:val="auto"/>
              </w:rPr>
            </w:pPr>
            <w:r>
              <w:rPr>
                <w:rFonts w:ascii="Arial" w:cs="Arial" w:eastAsia="Arial" w:hAnsi="Arial"/>
                <w:sz w:val="18"/>
                <w:szCs w:val="18"/>
                <w:color w:val="auto"/>
              </w:rPr>
              <w:t>33,054</w:t>
            </w:r>
          </w:p>
        </w:tc>
        <w:tc>
          <w:tcPr>
            <w:tcW w:w="60" w:type="dxa"/>
            <w:vAlign w:val="bottom"/>
          </w:tcPr>
          <w:p>
            <w:pPr>
              <w:spacing w:after="0"/>
              <w:rPr>
                <w:sz w:val="17"/>
                <w:szCs w:val="17"/>
                <w:color w:val="auto"/>
              </w:rPr>
            </w:pPr>
          </w:p>
        </w:tc>
      </w:tr>
      <w:tr>
        <w:trPr>
          <w:trHeight w:val="203"/>
        </w:trPr>
        <w:tc>
          <w:tcPr>
            <w:tcW w:w="43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Horsham, PA</w:t>
            </w:r>
          </w:p>
        </w:tc>
        <w:tc>
          <w:tcPr>
            <w:tcW w:w="68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24,377</w:t>
            </w:r>
          </w:p>
        </w:tc>
        <w:tc>
          <w:tcPr>
            <w:tcW w:w="60" w:type="dxa"/>
            <w:vAlign w:val="bottom"/>
            <w:shd w:val="clear" w:color="auto" w:fill="CFF0FC"/>
          </w:tcPr>
          <w:p>
            <w:pPr>
              <w:spacing w:after="0"/>
              <w:rPr>
                <w:sz w:val="17"/>
                <w:szCs w:val="17"/>
                <w:color w:val="auto"/>
              </w:rPr>
            </w:pPr>
          </w:p>
        </w:tc>
      </w:tr>
      <w:tr>
        <w:trPr>
          <w:trHeight w:val="405"/>
        </w:trPr>
        <w:tc>
          <w:tcPr>
            <w:tcW w:w="4340" w:type="dxa"/>
            <w:vAlign w:val="bottom"/>
            <w:tcBorders>
              <w:bottom w:val="single" w:sz="8" w:color="auto"/>
            </w:tcBorders>
          </w:tcPr>
          <w:p>
            <w:pPr>
              <w:spacing w:after="0"/>
              <w:rPr>
                <w:sz w:val="24"/>
                <w:szCs w:val="24"/>
                <w:color w:val="auto"/>
              </w:rPr>
            </w:pPr>
          </w:p>
        </w:tc>
        <w:tc>
          <w:tcPr>
            <w:tcW w:w="6840" w:type="dxa"/>
            <w:vAlign w:val="bottom"/>
            <w:tcBorders>
              <w:bottom w:val="single" w:sz="8" w:color="auto"/>
            </w:tcBorders>
          </w:tcPr>
          <w:p>
            <w:pPr>
              <w:jc w:val="right"/>
              <w:ind w:right="4390"/>
              <w:spacing w:after="0"/>
              <w:rPr>
                <w:sz w:val="20"/>
                <w:szCs w:val="20"/>
                <w:color w:val="auto"/>
              </w:rPr>
            </w:pPr>
            <w:r>
              <w:rPr>
                <w:rFonts w:ascii="Arial" w:cs="Arial" w:eastAsia="Arial" w:hAnsi="Arial"/>
                <w:sz w:val="18"/>
                <w:szCs w:val="18"/>
                <w:color w:val="auto"/>
                <w:w w:val="95"/>
              </w:rPr>
              <w:t>International Operating Leases</w:t>
            </w:r>
          </w:p>
        </w:tc>
        <w:tc>
          <w:tcPr>
            <w:tcW w:w="60" w:type="dxa"/>
            <w:vAlign w:val="bottom"/>
          </w:tcPr>
          <w:p>
            <w:pPr>
              <w:spacing w:after="0"/>
              <w:rPr>
                <w:sz w:val="24"/>
                <w:szCs w:val="24"/>
                <w:color w:val="auto"/>
              </w:rPr>
            </w:pPr>
          </w:p>
        </w:tc>
      </w:tr>
      <w:tr>
        <w:trPr>
          <w:trHeight w:val="196"/>
        </w:trPr>
        <w:tc>
          <w:tcPr>
            <w:tcW w:w="4340" w:type="dxa"/>
            <w:vAlign w:val="bottom"/>
            <w:tcBorders>
              <w:bottom w:val="single" w:sz="8" w:color="auto"/>
            </w:tcBorders>
          </w:tcPr>
          <w:p>
            <w:pPr>
              <w:ind w:left="3220"/>
              <w:spacing w:after="0" w:line="196" w:lineRule="exact"/>
              <w:rPr>
                <w:sz w:val="20"/>
                <w:szCs w:val="20"/>
                <w:color w:val="auto"/>
              </w:rPr>
            </w:pPr>
            <w:r>
              <w:rPr>
                <w:rFonts w:ascii="Arial" w:cs="Arial" w:eastAsia="Arial" w:hAnsi="Arial"/>
                <w:sz w:val="18"/>
                <w:szCs w:val="18"/>
                <w:color w:val="auto"/>
              </w:rPr>
              <w:t>City, Country</w:t>
            </w:r>
          </w:p>
        </w:tc>
        <w:tc>
          <w:tcPr>
            <w:tcW w:w="6840" w:type="dxa"/>
            <w:vAlign w:val="bottom"/>
            <w:tcBorders>
              <w:bottom w:val="single" w:sz="8" w:color="auto"/>
            </w:tcBorders>
          </w:tcPr>
          <w:p>
            <w:pPr>
              <w:jc w:val="right"/>
              <w:ind w:right="1250"/>
              <w:spacing w:after="0" w:line="196" w:lineRule="exact"/>
              <w:rPr>
                <w:sz w:val="20"/>
                <w:szCs w:val="20"/>
                <w:color w:val="auto"/>
              </w:rPr>
            </w:pPr>
            <w:r>
              <w:rPr>
                <w:rFonts w:ascii="Arial" w:cs="Arial" w:eastAsia="Arial" w:hAnsi="Arial"/>
                <w:sz w:val="18"/>
                <w:szCs w:val="18"/>
                <w:color w:val="auto"/>
              </w:rPr>
              <w:t>Square Footage</w:t>
            </w:r>
          </w:p>
        </w:tc>
        <w:tc>
          <w:tcPr>
            <w:tcW w:w="60" w:type="dxa"/>
            <w:vAlign w:val="bottom"/>
          </w:tcPr>
          <w:p>
            <w:pPr>
              <w:spacing w:after="0"/>
              <w:rPr>
                <w:sz w:val="17"/>
                <w:szCs w:val="17"/>
                <w:color w:val="auto"/>
              </w:rPr>
            </w:pPr>
          </w:p>
        </w:tc>
      </w:tr>
      <w:tr>
        <w:trPr>
          <w:trHeight w:val="196"/>
        </w:trPr>
        <w:tc>
          <w:tcPr>
            <w:tcW w:w="4340" w:type="dxa"/>
            <w:vAlign w:val="bottom"/>
          </w:tcPr>
          <w:p>
            <w:pPr>
              <w:ind w:left="20"/>
              <w:spacing w:after="0" w:line="196" w:lineRule="exact"/>
              <w:rPr>
                <w:sz w:val="20"/>
                <w:szCs w:val="20"/>
                <w:color w:val="auto"/>
              </w:rPr>
            </w:pPr>
            <w:r>
              <w:rPr>
                <w:rFonts w:ascii="Arial" w:cs="Arial" w:eastAsia="Arial" w:hAnsi="Arial"/>
                <w:sz w:val="18"/>
                <w:szCs w:val="18"/>
                <w:color w:val="auto"/>
              </w:rPr>
              <w:t>Ottobrunn, Germany</w:t>
            </w:r>
          </w:p>
        </w:tc>
        <w:tc>
          <w:tcPr>
            <w:tcW w:w="6840" w:type="dxa"/>
            <w:vAlign w:val="bottom"/>
          </w:tcPr>
          <w:p>
            <w:pPr>
              <w:jc w:val="right"/>
              <w:spacing w:after="0" w:line="196" w:lineRule="exact"/>
              <w:rPr>
                <w:sz w:val="20"/>
                <w:szCs w:val="20"/>
                <w:color w:val="auto"/>
              </w:rPr>
            </w:pPr>
            <w:r>
              <w:rPr>
                <w:rFonts w:ascii="Arial" w:cs="Arial" w:eastAsia="Arial" w:hAnsi="Arial"/>
                <w:sz w:val="18"/>
                <w:szCs w:val="18"/>
                <w:color w:val="auto"/>
              </w:rPr>
              <w:t>13,110</w:t>
            </w:r>
          </w:p>
        </w:tc>
        <w:tc>
          <w:tcPr>
            <w:tcW w:w="60" w:type="dxa"/>
            <w:vAlign w:val="bottom"/>
          </w:tcPr>
          <w:p>
            <w:pPr>
              <w:spacing w:after="0"/>
              <w:rPr>
                <w:sz w:val="17"/>
                <w:szCs w:val="17"/>
                <w:color w:val="auto"/>
              </w:rPr>
            </w:pPr>
          </w:p>
        </w:tc>
      </w:tr>
      <w:tr>
        <w:trPr>
          <w:trHeight w:val="203"/>
        </w:trPr>
        <w:tc>
          <w:tcPr>
            <w:tcW w:w="43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Prague, Czech Republic</w:t>
            </w:r>
          </w:p>
        </w:tc>
        <w:tc>
          <w:tcPr>
            <w:tcW w:w="68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5,920</w:t>
            </w:r>
          </w:p>
        </w:tc>
        <w:tc>
          <w:tcPr>
            <w:tcW w:w="60" w:type="dxa"/>
            <w:vAlign w:val="bottom"/>
            <w:shd w:val="clear" w:color="auto" w:fill="CFF0FC"/>
          </w:tcPr>
          <w:p>
            <w:pPr>
              <w:spacing w:after="0"/>
              <w:rPr>
                <w:sz w:val="17"/>
                <w:szCs w:val="17"/>
                <w:color w:val="auto"/>
              </w:rPr>
            </w:pPr>
          </w:p>
        </w:tc>
      </w:tr>
    </w:tbl>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108" w:lineRule="exact"/>
        <w:rPr>
          <w:sz w:val="20"/>
          <w:szCs w:val="20"/>
          <w:color w:val="auto"/>
        </w:rPr>
      </w:pPr>
    </w:p>
    <w:p>
      <w:pPr>
        <w:ind w:right="60" w:firstLine="644"/>
        <w:spacing w:after="0" w:line="262" w:lineRule="auto"/>
        <w:rPr>
          <w:sz w:val="20"/>
          <w:szCs w:val="20"/>
          <w:color w:val="auto"/>
        </w:rPr>
      </w:pPr>
      <w:r>
        <w:rPr>
          <w:rFonts w:ascii="Arial" w:cs="Arial" w:eastAsia="Arial" w:hAnsi="Arial"/>
          <w:sz w:val="17"/>
          <w:szCs w:val="17"/>
          <w:color w:val="auto"/>
        </w:rPr>
        <w:t>From time to time, we are involved in various claims and legal actions that arise in the ordinary course of business. We are not a party to any legal proceedings, that individually or in the aggregate, are reasonably expected to have a material adverse effect on our consolidated results of operations, financial condition or cash flows. However, the results of these matters cannot be predicted with certainty, and an unfavorable resolution of one or more matters could have a material adverse effect on our consolidated results of operations, financial condition or cash flows.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0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Supplemental item. Executive Officers of the Registrant</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Our executive officers at March 1, 2022 were as follows: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41" w:name="page42"/>
    <w:bookmarkEnd w:id="41"/>
    <w:p>
      <w:pPr>
        <w:ind w:firstLine="585"/>
        <w:spacing w:after="0" w:line="258" w:lineRule="auto"/>
        <w:rPr>
          <w:sz w:val="20"/>
          <w:szCs w:val="20"/>
          <w:color w:val="auto"/>
        </w:rPr>
      </w:pPr>
      <w:r>
        <w:rPr>
          <w:rFonts w:ascii="Arial" w:cs="Arial" w:eastAsia="Arial" w:hAnsi="Arial"/>
          <w:sz w:val="17"/>
          <w:szCs w:val="17"/>
          <w:b w:val="1"/>
          <w:bCs w:val="1"/>
          <w:color w:val="auto"/>
        </w:rPr>
        <w:t xml:space="preserve">Randolph Altschuler, age 51, </w:t>
      </w:r>
      <w:r>
        <w:rPr>
          <w:rFonts w:ascii="Arial" w:cs="Arial" w:eastAsia="Arial" w:hAnsi="Arial"/>
          <w:sz w:val="17"/>
          <w:szCs w:val="17"/>
          <w:color w:val="auto"/>
        </w:rPr>
        <w:t>is our co-founder and has served as our Chief Executive Officer and as a member of our board of directors since</w:t>
      </w:r>
      <w:r>
        <w:rPr>
          <w:rFonts w:ascii="Arial" w:cs="Arial" w:eastAsia="Arial" w:hAnsi="Arial"/>
          <w:sz w:val="17"/>
          <w:szCs w:val="17"/>
          <w:b w:val="1"/>
          <w:bCs w:val="1"/>
          <w:color w:val="auto"/>
        </w:rPr>
        <w:t xml:space="preserve"> </w:t>
      </w:r>
      <w:r>
        <w:rPr>
          <w:rFonts w:ascii="Arial" w:cs="Arial" w:eastAsia="Arial" w:hAnsi="Arial"/>
          <w:sz w:val="17"/>
          <w:szCs w:val="17"/>
          <w:color w:val="auto"/>
        </w:rPr>
        <w:t>May 2013. Prior to co-founding Xometry, Mr. Altschuler served as the Co-Founder and Executive Chairman of CloudBlue Technologies, Inc., a provider of recycling services for electronic equipment, from January 2008 to September 2013. Prior to CloudBlue, Mr. Altschuler was the co-founder and co-CEO of OfficeTiger, Inc. from 2000 to 2007. In addition to serving as our Chief Executive Officer, Mr. Altschuler also serves on the board of directors of the Maryland Tech Council and Regional Manufacturing Institute of Maryland. Mr. Altschuler received a B.A. from Princeton University and an M.B.A. from Harvard Business School. Mr. Altschuler was awarded a Fulbright Scholarship and studied at the University of Vienna in Austria.</w:t>
      </w:r>
    </w:p>
    <w:p>
      <w:pPr>
        <w:spacing w:after="0" w:line="157" w:lineRule="exact"/>
        <w:rPr>
          <w:sz w:val="20"/>
          <w:szCs w:val="20"/>
          <w:color w:val="auto"/>
        </w:rPr>
      </w:pPr>
    </w:p>
    <w:p>
      <w:pPr>
        <w:ind w:right="220" w:firstLine="585"/>
        <w:spacing w:after="0" w:line="242" w:lineRule="auto"/>
        <w:rPr>
          <w:sz w:val="20"/>
          <w:szCs w:val="20"/>
          <w:color w:val="auto"/>
        </w:rPr>
      </w:pPr>
      <w:r>
        <w:rPr>
          <w:rFonts w:ascii="Arial" w:cs="Arial" w:eastAsia="Arial" w:hAnsi="Arial"/>
          <w:sz w:val="18"/>
          <w:szCs w:val="18"/>
          <w:b w:val="1"/>
          <w:bCs w:val="1"/>
          <w:color w:val="auto"/>
        </w:rPr>
        <w:t xml:space="preserve">James Rallo, age 56, </w:t>
      </w:r>
      <w:r>
        <w:rPr>
          <w:rFonts w:ascii="Arial" w:cs="Arial" w:eastAsia="Arial" w:hAnsi="Arial"/>
          <w:sz w:val="18"/>
          <w:szCs w:val="18"/>
          <w:color w:val="auto"/>
        </w:rPr>
        <w:t>has served as our Chief Financial Officer since April 2020. Prior to joining Xometry, Mr. Rallo served as the President and</w:t>
      </w:r>
      <w:r>
        <w:rPr>
          <w:rFonts w:ascii="Arial" w:cs="Arial" w:eastAsia="Arial" w:hAnsi="Arial"/>
          <w:sz w:val="18"/>
          <w:szCs w:val="18"/>
          <w:b w:val="1"/>
          <w:bCs w:val="1"/>
          <w:color w:val="auto"/>
        </w:rPr>
        <w:t xml:space="preserve"> </w:t>
      </w:r>
      <w:r>
        <w:rPr>
          <w:rFonts w:ascii="Arial" w:cs="Arial" w:eastAsia="Arial" w:hAnsi="Arial"/>
          <w:sz w:val="18"/>
          <w:szCs w:val="18"/>
          <w:color w:val="auto"/>
        </w:rPr>
        <w:t>Chief Financial Officer of Liquidity Services, a network of e-commerce marketplaces, from February 2005 to April 2019. Between roles at Liquidity Services and Xometry, Mr. Rallo briefly served as Chief Financial Officer of Stimwave Technologies LLC, a medical device company. Mr. Rallo is a Certified Public Accountant and received a B.S. in Business and Accounting from Washington and Lee University and an M.B.A. from the University of Maryland College Park.</w:t>
      </w:r>
    </w:p>
    <w:p>
      <w:pPr>
        <w:spacing w:after="0" w:line="171" w:lineRule="exact"/>
        <w:rPr>
          <w:sz w:val="20"/>
          <w:szCs w:val="20"/>
          <w:color w:val="auto"/>
        </w:rPr>
      </w:pPr>
    </w:p>
    <w:p>
      <w:pPr>
        <w:ind w:right="200" w:firstLine="630"/>
        <w:spacing w:after="0" w:line="242" w:lineRule="auto"/>
        <w:rPr>
          <w:sz w:val="20"/>
          <w:szCs w:val="20"/>
          <w:color w:val="auto"/>
        </w:rPr>
      </w:pPr>
      <w:r>
        <w:rPr>
          <w:rFonts w:ascii="Arial" w:cs="Arial" w:eastAsia="Arial" w:hAnsi="Arial"/>
          <w:sz w:val="18"/>
          <w:szCs w:val="18"/>
          <w:b w:val="1"/>
          <w:bCs w:val="1"/>
          <w:color w:val="auto"/>
        </w:rPr>
        <w:t xml:space="preserve">Peter Goguen, age 58, </w:t>
      </w:r>
      <w:r>
        <w:rPr>
          <w:rFonts w:ascii="Arial" w:cs="Arial" w:eastAsia="Arial" w:hAnsi="Arial"/>
          <w:sz w:val="18"/>
          <w:szCs w:val="18"/>
          <w:color w:val="auto"/>
        </w:rPr>
        <w:t>has served as our Chief Operating Officer since March 2018. Prior to joining Xometry, Mr. Goguen served as the</w:t>
      </w:r>
      <w:r>
        <w:rPr>
          <w:rFonts w:ascii="Arial" w:cs="Arial" w:eastAsia="Arial" w:hAnsi="Arial"/>
          <w:sz w:val="18"/>
          <w:szCs w:val="18"/>
          <w:b w:val="1"/>
          <w:bCs w:val="1"/>
          <w:color w:val="auto"/>
        </w:rPr>
        <w:t xml:space="preserve"> </w:t>
      </w:r>
      <w:r>
        <w:rPr>
          <w:rFonts w:ascii="Arial" w:cs="Arial" w:eastAsia="Arial" w:hAnsi="Arial"/>
          <w:sz w:val="18"/>
          <w:szCs w:val="18"/>
          <w:color w:val="auto"/>
        </w:rPr>
        <w:t>Executive Director of New Business Development and Launch for Detroit Manufacturing Systems LLC, a provider of high-quality vehicle interior components, from April 2015 to October 2018. Prior to that position, Mr. Goguen spent 28 years at Magna International, a Canadian mobility technology company, including most recently as Vice President of Operation from October 2010 to January 2014. Mr. Goguen received a B.S. in Mechanical Engineering from Queen’s University in Canada.</w:t>
      </w:r>
    </w:p>
    <w:p>
      <w:pPr>
        <w:spacing w:after="0" w:line="171" w:lineRule="exact"/>
        <w:rPr>
          <w:sz w:val="20"/>
          <w:szCs w:val="20"/>
          <w:color w:val="auto"/>
        </w:rPr>
      </w:pPr>
    </w:p>
    <w:p>
      <w:pPr>
        <w:ind w:right="20" w:firstLine="630"/>
        <w:spacing w:after="0" w:line="264" w:lineRule="auto"/>
        <w:rPr>
          <w:sz w:val="20"/>
          <w:szCs w:val="20"/>
          <w:color w:val="auto"/>
        </w:rPr>
      </w:pPr>
      <w:r>
        <w:rPr>
          <w:rFonts w:ascii="Arial" w:cs="Arial" w:eastAsia="Arial" w:hAnsi="Arial"/>
          <w:sz w:val="17"/>
          <w:szCs w:val="17"/>
          <w:b w:val="1"/>
          <w:bCs w:val="1"/>
          <w:color w:val="auto"/>
        </w:rPr>
        <w:t xml:space="preserve">Bill Cronin, age 49, </w:t>
      </w:r>
      <w:r>
        <w:rPr>
          <w:rFonts w:ascii="Arial" w:cs="Arial" w:eastAsia="Arial" w:hAnsi="Arial"/>
          <w:sz w:val="17"/>
          <w:szCs w:val="17"/>
          <w:color w:val="auto"/>
        </w:rPr>
        <w:t>has served as our Chief Revenue Office since September 2018, and has served as our Senior Vice President of Sales and</w:t>
      </w:r>
      <w:r>
        <w:rPr>
          <w:rFonts w:ascii="Arial" w:cs="Arial" w:eastAsia="Arial" w:hAnsi="Arial"/>
          <w:sz w:val="17"/>
          <w:szCs w:val="17"/>
          <w:b w:val="1"/>
          <w:bCs w:val="1"/>
          <w:color w:val="auto"/>
        </w:rPr>
        <w:t xml:space="preserve"> </w:t>
      </w:r>
      <w:r>
        <w:rPr>
          <w:rFonts w:ascii="Arial" w:cs="Arial" w:eastAsia="Arial" w:hAnsi="Arial"/>
          <w:sz w:val="17"/>
          <w:szCs w:val="17"/>
          <w:color w:val="auto"/>
        </w:rPr>
        <w:t>Marketing since February 2016. Prior to joining Xometry, Mr. Cronin served as the Vice President of Marketing for WeddingWire, a global marketplace for wedding professionals, from November 2013 to January 2016. Mr. Cronin previously was the VP of Marketing for USA Today and held a range of roles at Mastercard over 12 years including VP of Global Brand Building. Mr. Cronin received a B.A. from Dartmouth College.</w:t>
      </w:r>
    </w:p>
    <w:p>
      <w:pPr>
        <w:spacing w:after="0" w:line="152" w:lineRule="exact"/>
        <w:rPr>
          <w:sz w:val="20"/>
          <w:szCs w:val="20"/>
          <w:color w:val="auto"/>
        </w:rPr>
      </w:pPr>
    </w:p>
    <w:p>
      <w:pPr>
        <w:ind w:right="340" w:firstLine="675"/>
        <w:spacing w:after="0" w:line="245" w:lineRule="auto"/>
        <w:rPr>
          <w:sz w:val="20"/>
          <w:szCs w:val="20"/>
          <w:color w:val="auto"/>
        </w:rPr>
      </w:pPr>
      <w:r>
        <w:rPr>
          <w:rFonts w:ascii="Arial" w:cs="Arial" w:eastAsia="Arial" w:hAnsi="Arial"/>
          <w:sz w:val="18"/>
          <w:szCs w:val="18"/>
          <w:b w:val="1"/>
          <w:bCs w:val="1"/>
          <w:color w:val="auto"/>
        </w:rPr>
        <w:t xml:space="preserve">Kathy Mayerhofer, age 59, </w:t>
      </w:r>
      <w:r>
        <w:rPr>
          <w:rFonts w:ascii="Arial" w:cs="Arial" w:eastAsia="Arial" w:hAnsi="Arial"/>
          <w:sz w:val="18"/>
          <w:szCs w:val="18"/>
          <w:color w:val="auto"/>
        </w:rPr>
        <w:t>has served as our Chief Sales Officer since February 2020, and previously served as our Senior Vice President of</w:t>
      </w:r>
      <w:r>
        <w:rPr>
          <w:rFonts w:ascii="Arial" w:cs="Arial" w:eastAsia="Arial" w:hAnsi="Arial"/>
          <w:sz w:val="18"/>
          <w:szCs w:val="18"/>
          <w:b w:val="1"/>
          <w:bCs w:val="1"/>
          <w:color w:val="auto"/>
        </w:rPr>
        <w:t xml:space="preserve"> </w:t>
      </w:r>
      <w:r>
        <w:rPr>
          <w:rFonts w:ascii="Arial" w:cs="Arial" w:eastAsia="Arial" w:hAnsi="Arial"/>
          <w:sz w:val="18"/>
          <w:szCs w:val="18"/>
          <w:color w:val="auto"/>
        </w:rPr>
        <w:t>Sales from March 2017 to February 2020. Prior to joining Xometry, Ms. Mayerhofer served as the Director of Sales for Protolabs, a provider of rapid manufacturing of low-volume 3D printing, from April 2011 to May 2016. Ms. Mayerhofer received a B.A. in Business and Communications from St. Cloud State University.</w:t>
      </w: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42" w:name="page43"/>
    <w:bookmarkEnd w:id="42"/>
    <w:p>
      <w:pPr>
        <w:jc w:val="center"/>
        <w:spacing w:after="0"/>
        <w:rPr>
          <w:sz w:val="20"/>
          <w:szCs w:val="20"/>
          <w:color w:val="auto"/>
        </w:rPr>
      </w:pPr>
      <w:r>
        <w:rPr>
          <w:rFonts w:ascii="Arial" w:cs="Arial" w:eastAsia="Arial" w:hAnsi="Arial"/>
          <w:sz w:val="18"/>
          <w:szCs w:val="18"/>
          <w:b w:val="1"/>
          <w:bCs w:val="1"/>
          <w:color w:val="auto"/>
        </w:rPr>
        <w:t>PART II</w:t>
      </w:r>
    </w:p>
    <w:p>
      <w:pPr>
        <w:spacing w:after="0" w:line="212" w:lineRule="exact"/>
        <w:rPr>
          <w:sz w:val="20"/>
          <w:szCs w:val="20"/>
          <w:color w:val="auto"/>
        </w:rPr>
      </w:pPr>
    </w:p>
    <w:p>
      <w:pPr>
        <w:ind w:right="1920"/>
        <w:spacing w:after="0" w:line="377"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 Market Information for Common Stock</w:t>
      </w:r>
    </w:p>
    <w:p>
      <w:pPr>
        <w:spacing w:after="0" w:line="2" w:lineRule="exact"/>
        <w:rPr>
          <w:sz w:val="20"/>
          <w:szCs w:val="20"/>
          <w:color w:val="auto"/>
        </w:rPr>
      </w:pPr>
    </w:p>
    <w:p>
      <w:pPr>
        <w:ind w:right="200" w:firstLine="644"/>
        <w:spacing w:after="0" w:line="261" w:lineRule="auto"/>
        <w:rPr>
          <w:sz w:val="20"/>
          <w:szCs w:val="20"/>
          <w:color w:val="auto"/>
        </w:rPr>
      </w:pPr>
      <w:r>
        <w:rPr>
          <w:rFonts w:ascii="Arial" w:cs="Arial" w:eastAsia="Arial" w:hAnsi="Arial"/>
          <w:sz w:val="18"/>
          <w:szCs w:val="18"/>
          <w:color w:val="auto"/>
        </w:rPr>
        <w:t>Our Class A common stock has been listed on the NASDAQ Global Select Market under the symbol “XMTR” since June 30, 2021. Prior to that date, there was no public trading market for our Class A common stock.</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Class B common stock and Class C common stock are neither listed nor traded.</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 of Record</w:t>
      </w:r>
    </w:p>
    <w:p>
      <w:pPr>
        <w:spacing w:after="0" w:line="121" w:lineRule="exact"/>
        <w:rPr>
          <w:sz w:val="20"/>
          <w:szCs w:val="20"/>
          <w:color w:val="auto"/>
        </w:rPr>
      </w:pPr>
    </w:p>
    <w:p>
      <w:pPr>
        <w:ind w:right="300" w:firstLine="644"/>
        <w:spacing w:after="0" w:line="324" w:lineRule="auto"/>
        <w:rPr>
          <w:sz w:val="20"/>
          <w:szCs w:val="20"/>
          <w:color w:val="auto"/>
        </w:rPr>
      </w:pPr>
      <w:r>
        <w:rPr>
          <w:rFonts w:ascii="Arial" w:cs="Arial" w:eastAsia="Arial" w:hAnsi="Arial"/>
          <w:sz w:val="16"/>
          <w:szCs w:val="16"/>
          <w:color w:val="auto"/>
        </w:rPr>
        <w:t>As of March 7, 2022, there were 193 holders of record of our Class A common stock. The actual number of stockholders is greater than this number of record holders and includes stockholders who are beneficial owners but whose shares are held in street name by brokers and other nominees.</w:t>
      </w:r>
    </w:p>
    <w:p>
      <w:pPr>
        <w:spacing w:after="0" w:line="1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March 7, 2022, there were 2 holders of record of our Class B common stock.</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121" w:lineRule="exact"/>
        <w:rPr>
          <w:sz w:val="20"/>
          <w:szCs w:val="20"/>
          <w:color w:val="auto"/>
        </w:rPr>
      </w:pPr>
    </w:p>
    <w:p>
      <w:pPr>
        <w:ind w:firstLine="644"/>
        <w:spacing w:after="0" w:line="241" w:lineRule="auto"/>
        <w:rPr>
          <w:sz w:val="20"/>
          <w:szCs w:val="20"/>
          <w:color w:val="auto"/>
        </w:rPr>
      </w:pPr>
      <w:r>
        <w:rPr>
          <w:rFonts w:ascii="Arial" w:cs="Arial" w:eastAsia="Arial" w:hAnsi="Arial"/>
          <w:sz w:val="18"/>
          <w:szCs w:val="18"/>
          <w:color w:val="auto"/>
        </w:rPr>
        <w:t>We have never declared or paid cash dividends on our capital stock. We currently intend to retain all available funds and future earnings, if any, to fund the development and expansion of our business, and we do not anticipate paying any cash dividends in the foreseeable future. Any future determination regarding the declaration and payment of dividends, if any, will be at the discretion of our board of directors and will depend on then-existing conditions, including our financial condition, operating results, contractual restrictions, capital requirements, business prospects and other factors our board of directors may deem relevant.</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Graph</w:t>
      </w:r>
    </w:p>
    <w:p>
      <w:pPr>
        <w:spacing w:after="0" w:line="202" w:lineRule="exact"/>
        <w:rPr>
          <w:sz w:val="20"/>
          <w:szCs w:val="20"/>
          <w:color w:val="auto"/>
        </w:rPr>
      </w:pPr>
    </w:p>
    <w:p>
      <w:pPr>
        <w:ind w:firstLine="644"/>
        <w:spacing w:after="0" w:line="248" w:lineRule="auto"/>
        <w:rPr>
          <w:sz w:val="20"/>
          <w:szCs w:val="20"/>
          <w:color w:val="auto"/>
        </w:rPr>
      </w:pPr>
      <w:r>
        <w:rPr>
          <w:rFonts w:ascii="Arial" w:cs="Arial" w:eastAsia="Arial" w:hAnsi="Arial"/>
          <w:sz w:val="18"/>
          <w:szCs w:val="18"/>
          <w:color w:val="auto"/>
        </w:rPr>
        <w:t>The following performance graph shows a comparison from June 30, 2021 (the date our Class A common stock commenced trading on the Nasdaq Global Market) through December 31, 2021, of the cumulative total return for our Class A common stock, the Nasdaq Composite Index, and the Russell 200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673735</wp:posOffset>
            </wp:positionH>
            <wp:positionV relativeFrom="paragraph">
              <wp:posOffset>116205</wp:posOffset>
            </wp:positionV>
            <wp:extent cx="6172200" cy="289750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172200" cy="2897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firstLine="644"/>
        <w:spacing w:after="0" w:line="294" w:lineRule="auto"/>
        <w:rPr>
          <w:sz w:val="20"/>
          <w:szCs w:val="20"/>
          <w:color w:val="auto"/>
        </w:rPr>
      </w:pPr>
      <w:r>
        <w:rPr>
          <w:rFonts w:ascii="Arial" w:cs="Arial" w:eastAsia="Arial" w:hAnsi="Arial"/>
          <w:sz w:val="16"/>
          <w:szCs w:val="16"/>
          <w:color w:val="auto"/>
        </w:rPr>
        <w:t>The graph assumes an initial investment of $100 on June 30, 2021. The comparisons in the graph are not intended to forecast or be indicative of possible future performance of our common stock. The performance graph and related information shall not be deemed “soliciting material” or to be “filed” with the SEC, nor shall such information be incorporated by reference into any future filing under the Securities Act or Exchange Act.</w:t>
      </w: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i w:val="1"/>
          <w:iCs w:val="1"/>
          <w:color w:val="auto"/>
        </w:rPr>
        <w:t>Recent Sales of Unregistered Securities</w:t>
      </w:r>
    </w:p>
    <w:p>
      <w:pPr>
        <w:spacing w:after="0" w:line="104" w:lineRule="exact"/>
        <w:rPr>
          <w:sz w:val="20"/>
          <w:szCs w:val="20"/>
          <w:color w:val="auto"/>
        </w:rPr>
      </w:pPr>
    </w:p>
    <w:p>
      <w:pPr>
        <w:ind w:right="180" w:firstLine="644"/>
        <w:spacing w:after="0" w:line="294" w:lineRule="auto"/>
        <w:rPr>
          <w:sz w:val="20"/>
          <w:szCs w:val="20"/>
          <w:color w:val="auto"/>
        </w:rPr>
      </w:pPr>
      <w:r>
        <w:rPr>
          <w:rFonts w:ascii="Arial" w:cs="Arial" w:eastAsia="Arial" w:hAnsi="Arial"/>
          <w:sz w:val="16"/>
          <w:szCs w:val="16"/>
          <w:color w:val="auto"/>
        </w:rPr>
        <w:t>For the period from January 1, 2020, through June 29, 2021, we granted, under our 2016 Plan options to purchase an aggregate of 2,537,888 shares of our common stock to a total of 465 employees, consultants and directors, having exercise prices ranging from $3.65 to $12.32 per share. 56,289 of such options granted under the 2016 Plan have been exercised at a weighted-average exercise price of approximately $3.91 per share.</w:t>
      </w:r>
    </w:p>
    <w:p>
      <w:pPr>
        <w:spacing w:after="0" w:line="39" w:lineRule="exact"/>
        <w:rPr>
          <w:sz w:val="20"/>
          <w:szCs w:val="20"/>
          <w:color w:val="auto"/>
        </w:rPr>
      </w:pPr>
    </w:p>
    <w:p>
      <w:pPr>
        <w:ind w:right="180" w:firstLine="644"/>
        <w:spacing w:after="0" w:line="255" w:lineRule="auto"/>
        <w:rPr>
          <w:sz w:val="20"/>
          <w:szCs w:val="20"/>
          <w:color w:val="auto"/>
        </w:rPr>
      </w:pPr>
      <w:r>
        <w:rPr>
          <w:rFonts w:ascii="Arial" w:cs="Arial" w:eastAsia="Arial" w:hAnsi="Arial"/>
          <w:sz w:val="17"/>
          <w:szCs w:val="17"/>
          <w:color w:val="auto"/>
        </w:rPr>
        <w:t>None of the foregoing transactions involved any underwriters, underwriting discounts or commissions, or any public offering. Unless otherwise specified above, we believe these transactions were exempt from registration under the Securities Act in reliance on Section 4(a)(2) of the Securities Act, Regulation D or Rule 701 promulgated under Section 3(b) of the Securities Act as transactions by an issuer not involving any public offering or under benefit plans and contracts relating to compensation as provided under Rule 701. The recipients of the securities in each of these transactions represented their intentions to acquire the securities for investment only and not with a view to or for sale in connection with any distribution thereof, and appropriate legends were placed on the share certificates issued in these transactions. All recipients had adequate access, through their relationships with us, to information about us. The sales of these securities were made without any general solicitation or advertising.</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Proceeds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Proceeds from the IPO</w:t>
      </w:r>
    </w:p>
    <w:p>
      <w:pPr>
        <w:spacing w:after="0" w:line="104" w:lineRule="exact"/>
        <w:rPr>
          <w:sz w:val="20"/>
          <w:szCs w:val="20"/>
          <w:color w:val="auto"/>
        </w:rPr>
      </w:pPr>
    </w:p>
    <w:p>
      <w:pPr>
        <w:jc w:val="both"/>
        <w:ind w:right="100" w:firstLine="644"/>
        <w:spacing w:after="0" w:line="294" w:lineRule="auto"/>
        <w:rPr>
          <w:sz w:val="20"/>
          <w:szCs w:val="20"/>
          <w:color w:val="auto"/>
        </w:rPr>
      </w:pPr>
      <w:r>
        <w:rPr>
          <w:rFonts w:ascii="Arial" w:cs="Arial" w:eastAsia="Arial" w:hAnsi="Arial"/>
          <w:sz w:val="16"/>
          <w:szCs w:val="16"/>
          <w:color w:val="auto"/>
        </w:rPr>
        <w:t>On July 2, 2021, we closed our IPO, in which we sold 7,906,250 shares of our common stock at a price of $44.00 per share. The offer and sale of the shares in the IPO were registered under the Securities Act pursuant to a registration statement on Form S-1 (File No. 333-256769), which was declared effective by the SEC on June 30, 2021. We raised approximately $325.3 million in net proceeds after deducting underwriting discounts and commissions.</w:t>
      </w:r>
    </w:p>
    <w:p>
      <w:pPr>
        <w:spacing w:after="0" w:line="39" w:lineRule="exact"/>
        <w:rPr>
          <w:sz w:val="20"/>
          <w:szCs w:val="20"/>
          <w:color w:val="auto"/>
        </w:rPr>
      </w:pPr>
    </w:p>
    <w:p>
      <w:pPr>
        <w:ind w:firstLine="644"/>
        <w:spacing w:after="0" w:line="257" w:lineRule="auto"/>
        <w:rPr>
          <w:sz w:val="20"/>
          <w:szCs w:val="20"/>
          <w:color w:val="auto"/>
        </w:rPr>
      </w:pPr>
      <w:r>
        <w:rPr>
          <w:rFonts w:ascii="Arial" w:cs="Arial" w:eastAsia="Arial" w:hAnsi="Arial"/>
          <w:sz w:val="17"/>
          <w:szCs w:val="17"/>
          <w:color w:val="auto"/>
        </w:rPr>
        <w:t>There has been no material change in the planned use of proceeds from our IPO as described in the Form S-1. We used a portion of the net proceeds to repay our outstanding indebtedness under our Amended Loan and Security Agreement, which would have matured on May 1, 2022 and under which $15.0 million was outstanding at an annual interest rate of 8.7% as of the time it was repaid. The representatives of the underwriters of our IPO were Goldman Sachs &amp; Co. LLC and J.P. Morgan Securities LLC. No payments were made by us to directors, officers or persons owning ten percent or more of our common stock or to their associates, or to our affiliates, other than payments in the ordinary course of business to officers for salaries and to non-employee directors pursuant to our director compensation policy.</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[Reserved].</w:t>
      </w:r>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108" w:lineRule="exact"/>
        <w:rPr>
          <w:sz w:val="20"/>
          <w:szCs w:val="20"/>
          <w:color w:val="auto"/>
        </w:rPr>
      </w:pPr>
    </w:p>
    <w:p>
      <w:pPr>
        <w:ind w:firstLine="644"/>
        <w:spacing w:after="0" w:line="257" w:lineRule="auto"/>
        <w:rPr>
          <w:rFonts w:ascii="Arial" w:cs="Arial" w:eastAsia="Arial" w:hAnsi="Arial"/>
          <w:sz w:val="17"/>
          <w:szCs w:val="17"/>
          <w:color w:val="auto"/>
        </w:rPr>
      </w:pPr>
      <w:r>
        <w:rPr>
          <w:rFonts w:ascii="Arial" w:cs="Arial" w:eastAsia="Arial" w:hAnsi="Arial"/>
          <w:sz w:val="17"/>
          <w:szCs w:val="17"/>
          <w:color w:val="auto"/>
        </w:rPr>
        <w:t xml:space="preserve">The following discussion and analysis of our financial condition and results of operations should be read in conjunction with the consolidated financial statements and related notes thereto included elsewhere in this Annual Report on Form 10-K. This discussion contains forward-looking statements that involve risks and uncertainties. Factors that could cause or contribute to such differences include those identified below and those discussed in the section titled “Risk Factors” and other sections of this Annual Report on Form 10-K. Our historical results are not necessarily indicative of the results that may be expected for any period in the future. For a discussion of our results of operation for the year ended December 31, 2019, the earliest of the three fiscal years presented, see the Company's final </w:t>
      </w:r>
      <w:hyperlink r:id="rId61">
        <w:r>
          <w:rPr>
            <w:rFonts w:ascii="Arial" w:cs="Arial" w:eastAsia="Arial" w:hAnsi="Arial"/>
            <w:sz w:val="17"/>
            <w:szCs w:val="17"/>
            <w:u w:val="single" w:color="auto"/>
            <w:color w:val="0000FF"/>
          </w:rPr>
          <w:t>Prospectus on Form 424(b)(4)</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filed with the SEC on July 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2164080</wp:posOffset>
            </wp:positionH>
            <wp:positionV relativeFrom="paragraph">
              <wp:posOffset>-33655</wp:posOffset>
            </wp:positionV>
            <wp:extent cx="138049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1380490" cy="8255"/>
                    </a:xfrm>
                    <a:prstGeom prst="rect">
                      <a:avLst/>
                    </a:prstGeom>
                    <a:noFill/>
                  </pic:spPr>
                </pic:pic>
              </a:graphicData>
            </a:graphic>
          </wp:anchor>
        </w:drawing>
      </w:r>
    </w:p>
    <w:p>
      <w:pPr>
        <w:spacing w:after="0" w:line="25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Overview</w:t>
      </w:r>
    </w:p>
    <w:p>
      <w:pPr>
        <w:spacing w:after="0" w:line="216" w:lineRule="exact"/>
        <w:rPr>
          <w:sz w:val="20"/>
          <w:szCs w:val="20"/>
          <w:color w:val="auto"/>
        </w:rPr>
      </w:pPr>
    </w:p>
    <w:p>
      <w:pPr>
        <w:ind w:right="540" w:firstLine="644"/>
        <w:spacing w:after="0" w:line="279" w:lineRule="auto"/>
        <w:rPr>
          <w:sz w:val="20"/>
          <w:szCs w:val="20"/>
          <w:color w:val="auto"/>
        </w:rPr>
      </w:pPr>
      <w:r>
        <w:rPr>
          <w:rFonts w:ascii="Arial" w:cs="Arial" w:eastAsia="Arial" w:hAnsi="Arial"/>
          <w:sz w:val="16"/>
          <w:szCs w:val="16"/>
          <w:color w:val="auto"/>
        </w:rPr>
        <w:t>Xometry Inc. (“Xometry”, “Company”, “our” or “we”) was incorporated in the State of Delaware in May 2013. Xometry uses proprietary technology to enable product designers, engineers, buyers, and supply chain professionals to instantly access the capacity of a global network of manufacturing facilities. The Company’s platform makes it possible for customers to quickly receive pricing, expected lead times, manufacturability feedback and place orders on the Company’s platform. The network allows the Company to provide high volumes of unique parts, including custom components and aftermarket parts for its customers. Xometry's corporate headquarters is located in Derwood, Maryland.</w:t>
      </w:r>
    </w:p>
    <w:p>
      <w:pPr>
        <w:spacing w:after="0" w:line="132" w:lineRule="exact"/>
        <w:rPr>
          <w:sz w:val="20"/>
          <w:szCs w:val="20"/>
          <w:color w:val="auto"/>
        </w:rPr>
      </w:pPr>
    </w:p>
    <w:p>
      <w:pPr>
        <w:ind w:right="340" w:firstLine="644"/>
        <w:spacing w:after="0" w:line="324" w:lineRule="auto"/>
        <w:rPr>
          <w:sz w:val="20"/>
          <w:szCs w:val="20"/>
          <w:color w:val="auto"/>
        </w:rPr>
      </w:pPr>
      <w:r>
        <w:rPr>
          <w:rFonts w:ascii="Arial" w:cs="Arial" w:eastAsia="Arial" w:hAnsi="Arial"/>
          <w:sz w:val="16"/>
          <w:szCs w:val="16"/>
          <w:color w:val="auto"/>
        </w:rPr>
        <w:t>Our mission is to accelerate innovation by providing real time, equitable access to global manufacturing capacity and demand. Our vision is to drive efficiency, sustainability and innovation for industries worldwide by lowering the barriers to entry to the manufacturing ecosystem.</w:t>
      </w:r>
    </w:p>
    <w:p>
      <w:pPr>
        <w:spacing w:after="0" w:line="84" w:lineRule="exact"/>
        <w:rPr>
          <w:sz w:val="20"/>
          <w:szCs w:val="20"/>
          <w:color w:val="auto"/>
        </w:rPr>
      </w:pPr>
    </w:p>
    <w:p>
      <w:pPr>
        <w:ind w:right="80" w:firstLine="644"/>
        <w:spacing w:after="0" w:line="248" w:lineRule="auto"/>
        <w:rPr>
          <w:sz w:val="20"/>
          <w:szCs w:val="20"/>
          <w:color w:val="auto"/>
        </w:rPr>
      </w:pPr>
      <w:r>
        <w:rPr>
          <w:rFonts w:ascii="Arial" w:cs="Arial" w:eastAsia="Arial" w:hAnsi="Arial"/>
          <w:sz w:val="18"/>
          <w:szCs w:val="18"/>
          <w:color w:val="auto"/>
        </w:rPr>
        <w:t>We are a leading AI-enabled digital manufacturing marketplace for manufacturing, transforming one of the largest industries in the world. We use our proprietary technology to create a marketplace that enables buyers to efficiently source manufactured parts and assemblies, and empowers sellers of manufacturing services to grow their businesses.</w:t>
      </w:r>
    </w:p>
    <w:p>
      <w:pPr>
        <w:spacing w:after="0" w:line="141" w:lineRule="exact"/>
        <w:rPr>
          <w:sz w:val="20"/>
          <w:szCs w:val="20"/>
          <w:color w:val="auto"/>
        </w:rPr>
      </w:pPr>
    </w:p>
    <w:p>
      <w:pPr>
        <w:ind w:right="120" w:firstLine="644"/>
        <w:spacing w:after="0"/>
        <w:rPr>
          <w:sz w:val="20"/>
          <w:szCs w:val="20"/>
          <w:color w:val="auto"/>
        </w:rPr>
      </w:pPr>
      <w:r>
        <w:rPr>
          <w:rFonts w:ascii="Arial" w:cs="Arial" w:eastAsia="Arial" w:hAnsi="Arial"/>
          <w:sz w:val="18"/>
          <w:szCs w:val="18"/>
          <w:color w:val="auto"/>
        </w:rPr>
        <w:t>We define “buyers” as individuals who have placed an order to purchase parts or assemblies on our marketplace. Our buyers include engineers, product designers, procurement and supply chain personnel, inventors and business owners from businesses of a variety of sizes, ranging from self-funded start-ups to Fortune 100 companies. We define “accounts” as an individual entity, such as a sole proprietor with a single buyer or corporate entities with multiple buyers, having purchased at least one part on our marketplace. We define “sellers” as individuals or businesses who have been approved by us to either manufacture a product on our platform for a buyer or have utilized our seller services, including our digital marketing services, data services, financial services or supplies.</w:t>
      </w:r>
    </w:p>
    <w:p>
      <w:pPr>
        <w:spacing w:after="0" w:line="162" w:lineRule="exact"/>
        <w:rPr>
          <w:sz w:val="20"/>
          <w:szCs w:val="20"/>
          <w:color w:val="auto"/>
        </w:rPr>
      </w:pPr>
    </w:p>
    <w:p>
      <w:pPr>
        <w:ind w:right="40" w:firstLine="644"/>
        <w:spacing w:after="0" w:line="257" w:lineRule="auto"/>
        <w:rPr>
          <w:sz w:val="20"/>
          <w:szCs w:val="20"/>
          <w:color w:val="auto"/>
        </w:rPr>
      </w:pPr>
      <w:r>
        <w:rPr>
          <w:rFonts w:ascii="Arial" w:cs="Arial" w:eastAsia="Arial" w:hAnsi="Arial"/>
          <w:sz w:val="17"/>
          <w:szCs w:val="17"/>
          <w:color w:val="auto"/>
        </w:rPr>
        <w:t>Our revenue is primarily generated by the sale of part(s) and assemblies to our customers. The sellers on our platform offer a diversified mix of manufacturing processes. These manufacturing processes include CNC manufacturing, sheet metal manufacturing, 3D printing (including fused deposition modeling, direct metal laser sintering, PolyJet, stereolithography, selective laser sintering, binder jetting, carbon digital light synthesis and multi jet fusion), die casting, injection molding, urethane casting, as well as finishing services, rapid prototyping and high-volume production. We enable buyers to source these processes to meet complex and specific design and order needs across several industries, including Defense, Aerospace, Healthcare, Automotive, Consumer Goods, Industrial, Robotics, Government, and Education.</w:t>
      </w:r>
    </w:p>
    <w:p>
      <w:pPr>
        <w:spacing w:after="0" w:line="135" w:lineRule="exact"/>
        <w:rPr>
          <w:sz w:val="20"/>
          <w:szCs w:val="20"/>
          <w:color w:val="auto"/>
        </w:rPr>
      </w:pPr>
    </w:p>
    <w:p>
      <w:pPr>
        <w:ind w:right="40" w:firstLine="644"/>
        <w:spacing w:after="0" w:line="241" w:lineRule="auto"/>
        <w:rPr>
          <w:sz w:val="20"/>
          <w:szCs w:val="20"/>
          <w:color w:val="auto"/>
        </w:rPr>
      </w:pPr>
      <w:r>
        <w:rPr>
          <w:rFonts w:ascii="Arial" w:cs="Arial" w:eastAsia="Arial" w:hAnsi="Arial"/>
          <w:sz w:val="18"/>
          <w:szCs w:val="18"/>
          <w:color w:val="auto"/>
        </w:rPr>
        <w:t>In addition, in mid-2020 we launched a suite of financial products and services to help our sellers better manage cash flow at all stages of job production from which we have generated a marginal amount of revenue to date. Our financial services products, such as Xometry Pay, enable sellers to stabilize and enhance their cash flows, supply discounts that allow sellers to lower their operating costs, and resource management tools to optimize their businesses. In 2021, we acquired Thomas and FactoryFour, expanding our basket of seller services to include digital marketing and data solutions and SaaS based solutions to help sellers optimize their productivity.</w:t>
      </w:r>
    </w:p>
    <w:p>
      <w:pPr>
        <w:spacing w:after="0" w:line="149" w:lineRule="exact"/>
        <w:rPr>
          <w:sz w:val="20"/>
          <w:szCs w:val="20"/>
          <w:color w:val="auto"/>
        </w:rPr>
      </w:pPr>
    </w:p>
    <w:p>
      <w:pPr>
        <w:ind w:right="20" w:firstLine="644"/>
        <w:spacing w:after="0" w:line="284" w:lineRule="auto"/>
        <w:rPr>
          <w:sz w:val="20"/>
          <w:szCs w:val="20"/>
          <w:color w:val="auto"/>
        </w:rPr>
      </w:pPr>
      <w:r>
        <w:rPr>
          <w:rFonts w:ascii="Arial" w:cs="Arial" w:eastAsia="Arial" w:hAnsi="Arial"/>
          <w:sz w:val="16"/>
          <w:szCs w:val="16"/>
          <w:color w:val="auto"/>
        </w:rPr>
        <w:t>Our business benefits from a virtuous network liquidity effect, because adding buyers to our platform generates greater demand on our marketplace which in turn attracts more sellers to the platform, allowing us to rapidly scale and increase the number of manufacturing processes offered on our platform. In order to continue to meet the needs of buyers and remain highly competitive, we expect to continue to add sellers to our platform that have new and innovative manufacturing processes. Thus, our platform is unbounded by the in-house manufacturing capacity and processes of our current sellers.</w:t>
      </w:r>
    </w:p>
    <w:p>
      <w:pPr>
        <w:spacing w:after="0" w:line="128" w:lineRule="exact"/>
        <w:rPr>
          <w:sz w:val="20"/>
          <w:szCs w:val="20"/>
          <w:color w:val="auto"/>
        </w:rPr>
      </w:pPr>
    </w:p>
    <w:p>
      <w:pPr>
        <w:jc w:val="both"/>
        <w:ind w:right="200" w:firstLine="644"/>
        <w:spacing w:after="0"/>
        <w:rPr>
          <w:sz w:val="20"/>
          <w:szCs w:val="20"/>
          <w:color w:val="auto"/>
        </w:rPr>
      </w:pPr>
      <w:r>
        <w:rPr>
          <w:rFonts w:ascii="Arial" w:cs="Arial" w:eastAsia="Arial" w:hAnsi="Arial"/>
          <w:sz w:val="18"/>
          <w:szCs w:val="18"/>
          <w:color w:val="auto"/>
        </w:rPr>
        <w:t>On July 2, 2021, we closed our initial public offering (“IPO”), in which we issued and sold 7,906,250 shares of our Class A common stock at an initial offering price of $44.00 per share. We received net proceeds of approximately $325.3 million from the IPO after deducting underwriting discounts and commissions of $22.6 million, and we incurred approximately $3.7 million of other offering costs.</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45" w:name="page46"/>
    <w:bookmarkEnd w:id="45"/>
    <w:p>
      <w:pPr>
        <w:ind w:right="100" w:firstLine="644"/>
        <w:spacing w:after="0" w:line="294" w:lineRule="auto"/>
        <w:rPr>
          <w:sz w:val="20"/>
          <w:szCs w:val="20"/>
          <w:color w:val="auto"/>
        </w:rPr>
      </w:pPr>
      <w:r>
        <w:rPr>
          <w:rFonts w:ascii="Arial" w:cs="Arial" w:eastAsia="Arial" w:hAnsi="Arial"/>
          <w:sz w:val="16"/>
          <w:szCs w:val="16"/>
          <w:color w:val="auto"/>
        </w:rPr>
        <w:t>Upon the closing of the IPO on July 2, 2021, 8,665,797 shares of outstanding common stock were reclassified into Class A common stock, 27,758,941 shares of outstanding convertible preferred stock were converted into Class A common stock, and 2,676,154 shares of Class A common stock were exchanged by our co-founders for an equivalent number of shares of Class B common stock pursuant to the terms of the exchange agreement.</w:t>
      </w:r>
    </w:p>
    <w:p>
      <w:pPr>
        <w:spacing w:after="0" w:line="120" w:lineRule="exact"/>
        <w:rPr>
          <w:sz w:val="20"/>
          <w:szCs w:val="20"/>
          <w:color w:val="auto"/>
        </w:rPr>
      </w:pPr>
    </w:p>
    <w:p>
      <w:pPr>
        <w:ind w:firstLine="644"/>
        <w:spacing w:after="0" w:line="259" w:lineRule="auto"/>
        <w:rPr>
          <w:sz w:val="20"/>
          <w:szCs w:val="20"/>
          <w:color w:val="auto"/>
        </w:rPr>
      </w:pPr>
      <w:r>
        <w:rPr>
          <w:rFonts w:ascii="Arial" w:cs="Arial" w:eastAsia="Arial" w:hAnsi="Arial"/>
          <w:sz w:val="17"/>
          <w:szCs w:val="17"/>
          <w:color w:val="auto"/>
        </w:rPr>
        <w:t>Also on July 2, 2021, the Company reserved 402,658 shares of its Class A common stock, representing 1% of the Company's fully diluted capitalization as of the date of approval by our board of directors, for charitable contributions to non-profit organizations. These shares will be issued over the next five years, in an amount not to exceed 20% of the initial reserve amount per calendar year. During 2021, the Company donated 40,266 shares of Class A common stock to a donor advised fund and recognized an expense associated with the charitable contribution of approximately $2.2 million which is recorded in general and administrative expense in the Consolidated Statements of Operations and Comprehensive Loss.</w:t>
      </w:r>
    </w:p>
    <w:p>
      <w:pPr>
        <w:spacing w:after="0" w:line="133" w:lineRule="exact"/>
        <w:rPr>
          <w:sz w:val="20"/>
          <w:szCs w:val="20"/>
          <w:color w:val="auto"/>
        </w:rPr>
      </w:pPr>
    </w:p>
    <w:p>
      <w:pPr>
        <w:ind w:firstLine="644"/>
        <w:spacing w:after="0" w:line="243" w:lineRule="auto"/>
        <w:rPr>
          <w:sz w:val="20"/>
          <w:szCs w:val="20"/>
          <w:color w:val="auto"/>
        </w:rPr>
      </w:pPr>
      <w:r>
        <w:rPr>
          <w:rFonts w:ascii="Arial" w:cs="Arial" w:eastAsia="Arial" w:hAnsi="Arial"/>
          <w:sz w:val="18"/>
          <w:szCs w:val="18"/>
          <w:color w:val="auto"/>
        </w:rPr>
        <w:t>On November 1, 2021, the Company acquired certain assets and liabilities from Big Blue Saw LLC ("Big Blue Saw"), subject to an Asset Purchase Agreement for total consideration of $2.5 million. The total consideration includes cash consideration at closing of $1.25 million, $250,000 of Class A common stock at closing and contingent consideration up to $1.0 million. Big Blue Saw extends our marketplace capabilities in water jet and laser cutting.</w:t>
      </w:r>
    </w:p>
    <w:p>
      <w:pPr>
        <w:spacing w:after="0" w:line="147" w:lineRule="exact"/>
        <w:rPr>
          <w:sz w:val="20"/>
          <w:szCs w:val="20"/>
          <w:color w:val="auto"/>
        </w:rPr>
      </w:pPr>
    </w:p>
    <w:p>
      <w:pPr>
        <w:ind w:right="120" w:firstLine="644"/>
        <w:spacing w:after="0" w:line="262" w:lineRule="auto"/>
        <w:rPr>
          <w:sz w:val="20"/>
          <w:szCs w:val="20"/>
          <w:color w:val="auto"/>
        </w:rPr>
      </w:pPr>
      <w:r>
        <w:rPr>
          <w:rFonts w:ascii="Arial" w:cs="Arial" w:eastAsia="Arial" w:hAnsi="Arial"/>
          <w:sz w:val="17"/>
          <w:szCs w:val="17"/>
          <w:color w:val="auto"/>
        </w:rPr>
        <w:t>On November 5, 2021, the Company acquired certain assets and liabilities from Fusiform, Inc. (d.b.a FactoryFour), subject to an Asset Purchase Agreement for total consideration of $6.3 million. The total consideration includes cash consideration at closing of $1.9 million, $1.9 million of Class A common stock at closing and contingent consideration up to $2.5 million. FactoryFour will provide a SaaS based solution to help manufacturers in the Xometry marketplace improve lead times and make strong, data-driven decisions through real-time production tracking.</w:t>
      </w:r>
    </w:p>
    <w:p>
      <w:pPr>
        <w:spacing w:after="0" w:line="159" w:lineRule="exact"/>
        <w:rPr>
          <w:sz w:val="20"/>
          <w:szCs w:val="20"/>
          <w:color w:val="auto"/>
        </w:rPr>
      </w:pPr>
    </w:p>
    <w:p>
      <w:pPr>
        <w:ind w:right="40" w:firstLine="644"/>
        <w:spacing w:after="0" w:line="270" w:lineRule="auto"/>
        <w:rPr>
          <w:sz w:val="20"/>
          <w:szCs w:val="20"/>
          <w:color w:val="auto"/>
        </w:rPr>
      </w:pPr>
      <w:r>
        <w:rPr>
          <w:rFonts w:ascii="Arial" w:cs="Arial" w:eastAsia="Arial" w:hAnsi="Arial"/>
          <w:sz w:val="16"/>
          <w:szCs w:val="16"/>
          <w:color w:val="auto"/>
        </w:rPr>
        <w:t>On December 7, 2021, the Company entered into an Agreement and Plan of Merger (the “Merger Agreement”) by and among the Company, Thomas Publishing Company, a New York corporation (“Thomas”), NAASOM Merger Sub Inc., a Delaware corporation and wholly owned subsidiary of the Company (“Merger Sub”), and Shareholder Representative Services LLC, as the shareholders’ representative thereunder. Pursuant to the Merger Agreement, Merger Sub merged with and into Thomas, with Thomas continuing as the surviving corporation and becoming a wholly owned subsidiary of the Company (the “Acquisition”), effective December 9, 2021. The aggregate consideration payable in exchange for all of the outstanding equity interests of Thomas was $300 million subject to customary adjustments as set forth in the Merger Agreement, payable in cash and shares of the Company’s Class A common stock. The Company paid approximately $198.5 million of cash and issued 2,073,422 shares of the Company’s Class A common stock to holders of Thomas shares. The acquisition of Thomas is expected to rapidly expand Xometry’s buyer and seller base, significantly enhancing Xometry’s global digital marketplace for manufacturers. Xometry also expects to leverage Thomas’ marketing and data services to deliver an unmatched suite of end-to-end services for sellers with additional financial services and digital marketing products.</w:t>
      </w:r>
    </w:p>
    <w:p>
      <w:pPr>
        <w:spacing w:after="0" w:line="158" w:lineRule="exact"/>
        <w:rPr>
          <w:sz w:val="20"/>
          <w:szCs w:val="20"/>
          <w:color w:val="auto"/>
        </w:rPr>
      </w:pPr>
    </w:p>
    <w:p>
      <w:pPr>
        <w:ind w:firstLine="644"/>
        <w:spacing w:after="0" w:line="248" w:lineRule="auto"/>
        <w:rPr>
          <w:sz w:val="20"/>
          <w:szCs w:val="20"/>
          <w:color w:val="auto"/>
        </w:rPr>
      </w:pPr>
      <w:r>
        <w:rPr>
          <w:rFonts w:ascii="Arial" w:cs="Arial" w:eastAsia="Arial" w:hAnsi="Arial"/>
          <w:sz w:val="18"/>
          <w:szCs w:val="18"/>
          <w:color w:val="auto"/>
        </w:rPr>
        <w:t>On February 4, 2022, the Company completed a private offering of $250 million aggregate principal amount of 1.00% Convertible Senior Notes due 2027 (the “Initial Notes”). The Initial Notes were issued pursuant to an indenture, dated February 4, 2022 (the “Indenture”), between the Company and U.S. Bank Trust Company, National Association, as trustee.</w:t>
      </w:r>
    </w:p>
    <w:p>
      <w:pPr>
        <w:spacing w:after="0" w:line="168" w:lineRule="exact"/>
        <w:rPr>
          <w:sz w:val="20"/>
          <w:szCs w:val="20"/>
          <w:color w:val="auto"/>
        </w:rPr>
      </w:pPr>
    </w:p>
    <w:p>
      <w:pPr>
        <w:ind w:right="20" w:firstLine="644"/>
        <w:spacing w:after="0" w:line="271" w:lineRule="auto"/>
        <w:rPr>
          <w:sz w:val="20"/>
          <w:szCs w:val="20"/>
          <w:color w:val="auto"/>
        </w:rPr>
      </w:pPr>
      <w:r>
        <w:rPr>
          <w:rFonts w:ascii="Arial" w:cs="Arial" w:eastAsia="Arial" w:hAnsi="Arial"/>
          <w:sz w:val="16"/>
          <w:szCs w:val="16"/>
          <w:color w:val="auto"/>
        </w:rPr>
        <w:t>On February 10, 2022, the Company issued an additional $37.5 million aggregate principal amount of its 1.00% Convertible Senior Notes due 2027 (the “Additional Notes”) to the initial purchasers named in the purchase agreement. The issuance of the Additional Notes was pursuant to the initial purchasers’ exercise in full of their 13-day option to purchase Additional Notes granted in the original offering of $250 million aggregate principal amount of 1.00% Convertible Senior Notes due 2027. The proceeds from the Initial Notes and the Additional Notes (collectively referred to as the “Notes”) are expected to be used for working capital and other general corporate purposes. The Company may also use a portion of the net proceeds for acquisitions of, or strategic investments in, complementary businesses, products, services, or technologies. However, the Company does not have agreements or commitments with respect to any such acquisition or strategic investment at this time. The Notes are general unsecured obligations of the Company and will mature on February 1, 2027, unless earlier converted, redeemed or repurchased. Interest on the Notes will accrue at a rate of 1.00% per year from February 4, 2022 and will be payable semiannually in arrears on February 1 and August 1 of each year, beginning on August 1, 2022.</w:t>
      </w:r>
    </w:p>
    <w:p>
      <w:pPr>
        <w:spacing w:after="0" w:line="155" w:lineRule="exact"/>
        <w:rPr>
          <w:sz w:val="20"/>
          <w:szCs w:val="20"/>
          <w:color w:val="auto"/>
        </w:rPr>
      </w:pPr>
    </w:p>
    <w:p>
      <w:pPr>
        <w:ind w:right="520" w:firstLine="644"/>
        <w:spacing w:after="0" w:line="261" w:lineRule="auto"/>
        <w:rPr>
          <w:sz w:val="20"/>
          <w:szCs w:val="20"/>
          <w:color w:val="auto"/>
        </w:rPr>
      </w:pPr>
      <w:r>
        <w:rPr>
          <w:rFonts w:ascii="Arial" w:cs="Arial" w:eastAsia="Arial" w:hAnsi="Arial"/>
          <w:sz w:val="18"/>
          <w:szCs w:val="18"/>
          <w:color w:val="auto"/>
        </w:rPr>
        <w:t>In connection with the Notes offering, the Company received net cash proceeds of approximately $278.9 million, after deducting the initial purchasers discounts and commissions.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03" w:right="399" w:bottom="1440" w:gutter="0" w:footer="0" w:header="0"/>
        </w:sectPr>
      </w:pPr>
    </w:p>
    <w:bookmarkStart w:id="46" w:name="page47"/>
    <w:bookmarkEnd w:id="46"/>
    <w:p>
      <w:pPr>
        <w:jc w:val="center"/>
        <w:spacing w:after="0"/>
        <w:rPr>
          <w:sz w:val="20"/>
          <w:szCs w:val="20"/>
          <w:color w:val="auto"/>
        </w:rPr>
      </w:pPr>
      <w:r>
        <w:rPr>
          <w:rFonts w:ascii="Arial" w:cs="Arial" w:eastAsia="Arial" w:hAnsi="Arial"/>
          <w:sz w:val="18"/>
          <w:szCs w:val="18"/>
          <w:b w:val="1"/>
          <w:bCs w:val="1"/>
          <w:color w:val="auto"/>
        </w:rPr>
        <w:t>Factors Affecting Our Performance</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Continued Growth in Our Broad Base of Sellers</w:t>
      </w:r>
    </w:p>
    <w:p>
      <w:pPr>
        <w:spacing w:after="0" w:line="108" w:lineRule="exact"/>
        <w:rPr>
          <w:sz w:val="20"/>
          <w:szCs w:val="20"/>
          <w:color w:val="auto"/>
        </w:rPr>
      </w:pPr>
    </w:p>
    <w:p>
      <w:pPr>
        <w:ind w:right="20" w:firstLine="644"/>
        <w:spacing w:after="0" w:line="271" w:lineRule="auto"/>
        <w:rPr>
          <w:sz w:val="20"/>
          <w:szCs w:val="20"/>
          <w:color w:val="auto"/>
        </w:rPr>
      </w:pPr>
      <w:r>
        <w:rPr>
          <w:rFonts w:ascii="Arial" w:cs="Arial" w:eastAsia="Arial" w:hAnsi="Arial"/>
          <w:sz w:val="16"/>
          <w:szCs w:val="16"/>
          <w:color w:val="auto"/>
        </w:rPr>
        <w:t>We must maintain and grow our broad selection of sellers and add to our diverse array of manufacturing processes in order to continue to grow our business and maximize the efficiency of our network. We rely on our network of sellers to provide the sophisticated manufacturing processes that we offer to our buyers. We believe the value proposition for sellers, in particular increasing utilization of their manufacturing operations, is compelling. If we fail to attract new sellers to our platform and retain existing sellers, the attractiveness of our platform to buyers would decrease and we would not be able to grow our revenue. In order to increase our efficiency, we intend to continue to expand our large and growing network of sellers. The number of active sellers, which we define as sellers that have used our platform at least once during the last twelve months to manufacture a product or buy tools or supplies, has grown 43% from 1,410 for the year ended December 31, 2020 to 2,010 for the year ended December 31, 2021. As we add to our seller base, our AI-driven pricing becomes more competitive, and therefore more attractive to buyers, leading to higher revenue and improved margins. However, if we do not efficiently price the manufacturing opportunities on our platform, our revenue and margins could be adversely impacted.</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 in Technology and Expansion of Our Platform</w:t>
      </w:r>
    </w:p>
    <w:p>
      <w:pPr>
        <w:spacing w:after="0" w:line="108" w:lineRule="exact"/>
        <w:rPr>
          <w:sz w:val="20"/>
          <w:szCs w:val="20"/>
          <w:color w:val="auto"/>
        </w:rPr>
      </w:pPr>
    </w:p>
    <w:p>
      <w:pPr>
        <w:ind w:right="20" w:firstLine="644"/>
        <w:spacing w:after="0"/>
        <w:rPr>
          <w:sz w:val="20"/>
          <w:szCs w:val="20"/>
          <w:color w:val="auto"/>
        </w:rPr>
      </w:pPr>
      <w:r>
        <w:rPr>
          <w:rFonts w:ascii="Arial" w:cs="Arial" w:eastAsia="Arial" w:hAnsi="Arial"/>
          <w:sz w:val="18"/>
          <w:szCs w:val="18"/>
          <w:color w:val="auto"/>
        </w:rPr>
        <w:t>We have invested, and intend to continue to invest, in developing technology, tools, features, and products that provide targeted and useful solutions for our buyers and sellers. We intend to continue to invest in our AI and machine learning technologies in order to continuously improve the speed and accuracy of our pricing and placement activity. We also continue to invest in our services-oriented architecture and cloud infrastructure to support scalability. Any investments we make in these areas will occur before we recognize benefits, if any, from the investments. Further, the effectiveness of these efforts may be difficult to measure. If we are unable to continue to improve our platform, the efficiency of our platform may be impaired, and our revenue and gross profit may be adversely impacted.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Expansion of Our Offering of Seller Financial Products and Services</w:t>
      </w:r>
    </w:p>
    <w:p>
      <w:pPr>
        <w:spacing w:after="0" w:line="108" w:lineRule="exact"/>
        <w:rPr>
          <w:sz w:val="20"/>
          <w:szCs w:val="20"/>
          <w:color w:val="auto"/>
        </w:rPr>
      </w:pPr>
    </w:p>
    <w:p>
      <w:pPr>
        <w:ind w:right="40" w:firstLine="644"/>
        <w:spacing w:after="0" w:line="269" w:lineRule="auto"/>
        <w:rPr>
          <w:sz w:val="20"/>
          <w:szCs w:val="20"/>
          <w:color w:val="auto"/>
        </w:rPr>
      </w:pPr>
      <w:r>
        <w:rPr>
          <w:rFonts w:ascii="Arial" w:cs="Arial" w:eastAsia="Arial" w:hAnsi="Arial"/>
          <w:sz w:val="16"/>
          <w:szCs w:val="16"/>
          <w:color w:val="auto"/>
        </w:rPr>
        <w:t>In 2019, we launched seller services, beginning with Xometry Supplies in the U.S., which enables our sellers to access experienced suppliers who sell competitively priced goods from leading brands. In mid-2020, we launched a suite of financial products and services to help our sellers manage cash flow at all stages of job production. These services help sellers manage their business more efficiently, even on jobs that they source outside of our platform. In December 2021, we acquired Thomas which significantly expanded our seller services to including marketing and data services for our sellers. Our suite of marketing and data services provided by Thomas help sellers grow and more efficiently run their business. We offer sellers a full slate of marketing services, including website building, search-engine optimization ("SEO") and targeted advertising to buyers, which are resources that will help them further grow their business. In November 2021, we acquired FactoryFour a cloud-based manufacturing execution system. We plan on providing this order management system to our seller community which allows shops and shop owners to digitize and automate their operations so they can focus on growing their business. In addition to being able to manage existing orders, the software is designed to integrate seamlessly with the AI-driven Xometry Marketplace and with the Thomasnet.com platform, giving suppliers a one-stop view into all of their orders. Our revenue from our seller services offerings has not been a material driver of our overall revenue to date; however, we expect revenue from seller services to grow over time including marketing and advertising services from Thomas. We believe that increased revenue from seller services will have a favorable impact on our gross margin.</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Expansion of Our International Operations</w:t>
      </w:r>
    </w:p>
    <w:p>
      <w:pPr>
        <w:spacing w:after="0" w:line="108" w:lineRule="exact"/>
        <w:rPr>
          <w:sz w:val="20"/>
          <w:szCs w:val="20"/>
          <w:color w:val="auto"/>
        </w:rPr>
      </w:pPr>
    </w:p>
    <w:p>
      <w:pPr>
        <w:ind w:firstLine="644"/>
        <w:spacing w:after="0" w:line="241" w:lineRule="auto"/>
        <w:rPr>
          <w:sz w:val="20"/>
          <w:szCs w:val="20"/>
          <w:color w:val="auto"/>
        </w:rPr>
      </w:pPr>
      <w:r>
        <w:rPr>
          <w:rFonts w:ascii="Arial" w:cs="Arial" w:eastAsia="Arial" w:hAnsi="Arial"/>
          <w:sz w:val="18"/>
          <w:szCs w:val="18"/>
          <w:color w:val="auto"/>
        </w:rPr>
        <w:t>In 2019, we launched Xometry in Europe. We believe there is significant opportunity in the global manufacturing ecosystem for our marketplace. With operations throughout the majority of the contiguous United States and customers in Europe and Asia, we have established footholds in major markets around the world. We will continue to dedicate sales and marketing resources to develop our seller networks and attract buyers to our marketplace in other regions. We may not recognize benefits from these investments, and we may not effectively manage additional risks relating to operating outside the United States, including increased operational and regulatory risks.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 Pandemic</w:t>
      </w:r>
    </w:p>
    <w:p>
      <w:pPr>
        <w:spacing w:after="0" w:line="175" w:lineRule="exact"/>
        <w:rPr>
          <w:sz w:val="20"/>
          <w:szCs w:val="20"/>
          <w:color w:val="auto"/>
        </w:rPr>
      </w:pPr>
    </w:p>
    <w:p>
      <w:pPr>
        <w:ind w:right="140" w:firstLine="644"/>
        <w:spacing w:after="0" w:line="243" w:lineRule="auto"/>
        <w:rPr>
          <w:sz w:val="20"/>
          <w:szCs w:val="20"/>
          <w:color w:val="auto"/>
        </w:rPr>
      </w:pPr>
      <w:r>
        <w:rPr>
          <w:rFonts w:ascii="Arial" w:cs="Arial" w:eastAsia="Arial" w:hAnsi="Arial"/>
          <w:sz w:val="18"/>
          <w:szCs w:val="18"/>
          <w:color w:val="auto"/>
        </w:rPr>
        <w:t>The on-going COVID-19 pandemic has globally resulted in loss of life, business closures impacting our buyers and sellers. Even after the COVID-19 pandemic subsides, it may have a continued and lasting impact on the global economy, including our business. Future shelter-in-place orders and similar regulations impact the ability of our buyers and sellers to operate their businesses. Any limitations on or disruptions or closures of buyers’ and sellers’ businesses could adversely affect our business.</w:t>
      </w:r>
    </w:p>
    <w:p>
      <w:pPr>
        <w:spacing w:after="0" w:line="161" w:lineRule="exact"/>
        <w:rPr>
          <w:sz w:val="20"/>
          <w:szCs w:val="20"/>
          <w:color w:val="auto"/>
        </w:rPr>
      </w:pPr>
    </w:p>
    <w:p>
      <w:pPr>
        <w:ind w:right="240" w:firstLine="644"/>
        <w:spacing w:after="0" w:line="274" w:lineRule="auto"/>
        <w:rPr>
          <w:sz w:val="20"/>
          <w:szCs w:val="20"/>
          <w:color w:val="auto"/>
        </w:rPr>
      </w:pPr>
      <w:r>
        <w:rPr>
          <w:rFonts w:ascii="Arial" w:cs="Arial" w:eastAsia="Arial" w:hAnsi="Arial"/>
          <w:sz w:val="16"/>
          <w:szCs w:val="16"/>
          <w:color w:val="auto"/>
        </w:rPr>
        <w:t>The COVID-19 pandemic to date has not significantly adversely impacted the growth of our business. We believe the COVID-19 pandemic has validated our platform, highlighting the need for resilient supply chains, and reshaping the way buyers source their manufacturing needs.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47" w:name="page48"/>
    <w:bookmarkEnd w:id="47"/>
    <w:p>
      <w:pPr>
        <w:jc w:val="center"/>
        <w:spacing w:after="0"/>
        <w:rPr>
          <w:sz w:val="20"/>
          <w:szCs w:val="20"/>
          <w:color w:val="auto"/>
        </w:rPr>
      </w:pPr>
      <w:r>
        <w:rPr>
          <w:rFonts w:ascii="Arial" w:cs="Arial" w:eastAsia="Arial" w:hAnsi="Arial"/>
          <w:sz w:val="18"/>
          <w:szCs w:val="18"/>
          <w:b w:val="1"/>
          <w:bCs w:val="1"/>
          <w:color w:val="auto"/>
        </w:rPr>
        <w:t>Key Operational and Business Metrics</w:t>
      </w:r>
    </w:p>
    <w:p>
      <w:pPr>
        <w:spacing w:after="0" w:line="216" w:lineRule="exact"/>
        <w:rPr>
          <w:sz w:val="20"/>
          <w:szCs w:val="20"/>
          <w:color w:val="auto"/>
        </w:rPr>
      </w:pPr>
    </w:p>
    <w:p>
      <w:pPr>
        <w:jc w:val="both"/>
        <w:ind w:firstLine="636"/>
        <w:spacing w:after="0" w:line="248" w:lineRule="auto"/>
        <w:rPr>
          <w:sz w:val="20"/>
          <w:szCs w:val="20"/>
          <w:color w:val="auto"/>
        </w:rPr>
      </w:pPr>
      <w:r>
        <w:rPr>
          <w:rFonts w:ascii="Arial" w:cs="Arial" w:eastAsia="Arial" w:hAnsi="Arial"/>
          <w:sz w:val="18"/>
          <w:szCs w:val="18"/>
          <w:color w:val="auto"/>
        </w:rPr>
        <w:t>In addition to the measures presented in our consolidated financial statements included elsewhere in this Annual Report on Form 10-K, we use the following key operational and business metrics to help us evaluate our business, measure our performance, identify trends affecting our business, formulate business plans and develop forecasts, and make strategic decisions: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Active Buyers</w:t>
      </w:r>
    </w:p>
    <w:p>
      <w:pPr>
        <w:spacing w:after="0" w:line="104" w:lineRule="exact"/>
        <w:rPr>
          <w:sz w:val="20"/>
          <w:szCs w:val="20"/>
          <w:color w:val="auto"/>
        </w:rPr>
      </w:pPr>
    </w:p>
    <w:p>
      <w:pPr>
        <w:ind w:right="340" w:firstLine="636"/>
        <w:spacing w:after="0" w:line="324" w:lineRule="auto"/>
        <w:rPr>
          <w:sz w:val="20"/>
          <w:szCs w:val="20"/>
          <w:color w:val="auto"/>
        </w:rPr>
      </w:pPr>
      <w:r>
        <w:rPr>
          <w:rFonts w:ascii="Arial" w:cs="Arial" w:eastAsia="Arial" w:hAnsi="Arial"/>
          <w:sz w:val="16"/>
          <w:szCs w:val="16"/>
          <w:color w:val="auto"/>
        </w:rPr>
        <w:t>We define Active Buyers as the number of buyers who have made at least one purchase on our marketplace during the last twelve months. An increase or decrease in the number of Active Buyers is a key indicator of our ability to attract, retain and engage buyers on our platform.</w:t>
      </w:r>
    </w:p>
    <w:p>
      <w:pPr>
        <w:spacing w:after="0" w:line="97" w:lineRule="exact"/>
        <w:rPr>
          <w:sz w:val="20"/>
          <w:szCs w:val="20"/>
          <w:color w:val="auto"/>
        </w:rPr>
      </w:pPr>
    </w:p>
    <w:p>
      <w:pPr>
        <w:ind w:right="40" w:firstLine="644"/>
        <w:spacing w:after="0" w:line="248" w:lineRule="auto"/>
        <w:rPr>
          <w:sz w:val="20"/>
          <w:szCs w:val="20"/>
          <w:color w:val="auto"/>
        </w:rPr>
      </w:pPr>
      <w:r>
        <w:rPr>
          <w:rFonts w:ascii="Arial" w:cs="Arial" w:eastAsia="Arial" w:hAnsi="Arial"/>
          <w:sz w:val="18"/>
          <w:szCs w:val="18"/>
          <w:color w:val="auto"/>
        </w:rPr>
        <w:t>Active Buyers has consistently grown over time. The number of Active Buyers on our platform reached 28,130 as of December 31, 2021, up 49% from 18,846 as of December 31, 2020. The key drivers of Active Buyer growth are continued account and buyer engagement and the success of our strategy to attract new buyers.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1170940</wp:posOffset>
            </wp:positionH>
            <wp:positionV relativeFrom="paragraph">
              <wp:posOffset>270510</wp:posOffset>
            </wp:positionV>
            <wp:extent cx="4766310" cy="32575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4766310" cy="32575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50" w:right="37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i w:val="1"/>
          <w:iCs w:val="1"/>
          <w:color w:val="auto"/>
        </w:rPr>
        <w:t>Percentage of Revenue from Existing Accounts</w:t>
      </w:r>
    </w:p>
    <w:p>
      <w:pPr>
        <w:spacing w:after="0" w:line="104" w:lineRule="exact"/>
        <w:rPr>
          <w:sz w:val="20"/>
          <w:szCs w:val="20"/>
          <w:color w:val="auto"/>
        </w:rPr>
      </w:pPr>
    </w:p>
    <w:p>
      <w:pPr>
        <w:ind w:firstLine="636"/>
        <w:spacing w:after="0" w:line="257" w:lineRule="auto"/>
        <w:rPr>
          <w:sz w:val="20"/>
          <w:szCs w:val="20"/>
          <w:color w:val="auto"/>
        </w:rPr>
      </w:pPr>
      <w:r>
        <w:rPr>
          <w:rFonts w:ascii="Arial" w:cs="Arial" w:eastAsia="Arial" w:hAnsi="Arial"/>
          <w:sz w:val="17"/>
          <w:szCs w:val="17"/>
          <w:color w:val="auto"/>
        </w:rPr>
        <w:t>We define an existing account as an account where at least one buyer has made a purchase on our marketplace. We believe the efficiency and transparency of our business model leads to increasing account stickiness and spend over time. Buyers can utilize our marketplace for both one-off and recurring manufacturing opportunities. For example, a buyer may choose to utilize our marketplace’s CNC manufacturing processes to manufacture a discrete component for a prototype, and then may choose to later use our marketplace to mass produce that same component. A buyer may also recommend our marketplace to other engineers within their organizations who are designing other products and who may use an entirely different set of manufacturing processes, deepening our reach and stickiness with an account.</w:t>
      </w:r>
    </w:p>
    <w:p>
      <w:pPr>
        <w:spacing w:after="0" w:line="135" w:lineRule="exact"/>
        <w:rPr>
          <w:sz w:val="20"/>
          <w:szCs w:val="20"/>
          <w:color w:val="auto"/>
        </w:rPr>
      </w:pPr>
    </w:p>
    <w:p>
      <w:pPr>
        <w:ind w:firstLine="644"/>
        <w:spacing w:after="0" w:line="291" w:lineRule="auto"/>
        <w:rPr>
          <w:sz w:val="20"/>
          <w:szCs w:val="20"/>
          <w:color w:val="auto"/>
        </w:rPr>
      </w:pPr>
      <w:r>
        <w:rPr>
          <w:rFonts w:ascii="Arial" w:cs="Arial" w:eastAsia="Arial" w:hAnsi="Arial"/>
          <w:sz w:val="17"/>
          <w:szCs w:val="17"/>
          <w:color w:val="auto"/>
        </w:rPr>
        <w:t>For the quarter ended December 31, 2021, 95% of our revenue was generated from existing accounts. We believe the repeat purchase activity from existing accounts reflects the underlying strength of our business and provides us with substantial revenue visibility and predictability.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1247775</wp:posOffset>
            </wp:positionH>
            <wp:positionV relativeFrom="paragraph">
              <wp:posOffset>248285</wp:posOffset>
            </wp:positionV>
            <wp:extent cx="4612005" cy="321437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4612005" cy="3214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52" w:right="35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i w:val="1"/>
          <w:iCs w:val="1"/>
          <w:color w:val="auto"/>
        </w:rPr>
        <w:t>Accounts with Last Twelve-Month Spend of At Least $50,000</w:t>
      </w:r>
    </w:p>
    <w:p>
      <w:pPr>
        <w:spacing w:after="0" w:line="104" w:lineRule="exact"/>
        <w:rPr>
          <w:sz w:val="20"/>
          <w:szCs w:val="20"/>
          <w:color w:val="auto"/>
        </w:rPr>
      </w:pPr>
    </w:p>
    <w:p>
      <w:pPr>
        <w:ind w:right="20" w:firstLine="644"/>
        <w:spacing w:after="0" w:line="284" w:lineRule="auto"/>
        <w:rPr>
          <w:sz w:val="20"/>
          <w:szCs w:val="20"/>
          <w:color w:val="auto"/>
        </w:rPr>
      </w:pPr>
      <w:r>
        <w:rPr>
          <w:rFonts w:ascii="Arial" w:cs="Arial" w:eastAsia="Arial" w:hAnsi="Arial"/>
          <w:sz w:val="16"/>
          <w:szCs w:val="16"/>
          <w:color w:val="auto"/>
        </w:rPr>
        <w:t>Accounts with Last Twelve-Month, or LTM, Spend of At Least $50,000 means an account that has spent at least $50,000 on our marketplace in the most recent twelve-month period. We view the acquisition of an account as a foundation for the addition of long-term buyers to our marketplace. Once an account joins our platform, we aim to expand the relationship and increase engagement and spending activities from that account over time. The number of accounts with LTM Spend of at least $50,000 on our platform reached 701 as of December 31, 2021, up 80% from 389 as of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1205230</wp:posOffset>
            </wp:positionH>
            <wp:positionV relativeFrom="paragraph">
              <wp:posOffset>253365</wp:posOffset>
            </wp:positionV>
            <wp:extent cx="4705985" cy="324866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4705985" cy="3248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EBITDA</w:t>
      </w:r>
    </w:p>
    <w:p>
      <w:pPr>
        <w:spacing w:after="0" w:line="104" w:lineRule="exact"/>
        <w:rPr>
          <w:sz w:val="20"/>
          <w:szCs w:val="20"/>
          <w:color w:val="auto"/>
        </w:rPr>
      </w:pPr>
    </w:p>
    <w:p>
      <w:pPr>
        <w:ind w:right="60" w:firstLine="636"/>
        <w:spacing w:after="0" w:line="262" w:lineRule="auto"/>
        <w:rPr>
          <w:sz w:val="20"/>
          <w:szCs w:val="20"/>
          <w:color w:val="auto"/>
        </w:rPr>
      </w:pPr>
      <w:r>
        <w:rPr>
          <w:rFonts w:ascii="Arial" w:cs="Arial" w:eastAsia="Arial" w:hAnsi="Arial"/>
          <w:sz w:val="17"/>
          <w:szCs w:val="17"/>
          <w:color w:val="auto"/>
        </w:rPr>
        <w:t>We define Adjusted EBITDA as net income (loss), adjusted to exclude interest expense, interest and dividend income and other expense, depreciation and amortization, stock-based compensation expense, charitable contributions, transaction costs, income from an unconsolidated joint venture and impairment charges. Adjusted EBITDA is a performance measure that we use to assess our operating performance and the operating leverage in our business. Adjusted EBITDA Margin is calculated by dividing Adjusted EBITDA for a period by revenue for the same period.</w:t>
      </w:r>
    </w:p>
    <w:p>
      <w:pPr>
        <w:spacing w:after="0" w:line="132" w:lineRule="exact"/>
        <w:rPr>
          <w:sz w:val="20"/>
          <w:szCs w:val="20"/>
          <w:color w:val="auto"/>
        </w:rPr>
      </w:pPr>
    </w:p>
    <w:p>
      <w:pPr>
        <w:ind w:firstLine="636"/>
        <w:spacing w:after="0"/>
        <w:rPr>
          <w:sz w:val="20"/>
          <w:szCs w:val="20"/>
          <w:color w:val="auto"/>
        </w:rPr>
      </w:pPr>
      <w:r>
        <w:rPr>
          <w:rFonts w:ascii="Arial" w:cs="Arial" w:eastAsia="Arial" w:hAnsi="Arial"/>
          <w:sz w:val="18"/>
          <w:szCs w:val="18"/>
          <w:color w:val="auto"/>
        </w:rPr>
        <w:t>For the year ended December 31, 2021, Adjusted EBITDA declined to $(39.8) million, compared to Adjusted EBITDA of $(23.5) million in 2020. For the year ended December 31, 2021, Adjusted EBITDA increased to (18.2)% of revenue, as compared to (16.6)% of revenue in 2020, driven primarily by higher operating expense as we continue to scale our business.</w:t>
      </w:r>
    </w:p>
    <w:p>
      <w:pPr>
        <w:spacing w:after="0" w:line="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52" w:right="359" w:bottom="1440" w:gutter="0" w:footer="0" w:header="0"/>
        </w:sectPr>
      </w:pPr>
    </w:p>
    <w:bookmarkStart w:id="50" w:name="page51"/>
    <w:bookmarkEnd w:id="50"/>
    <w:p>
      <w:pPr>
        <w:ind w:right="20" w:firstLine="644"/>
        <w:spacing w:after="0" w:line="257" w:lineRule="auto"/>
        <w:rPr>
          <w:sz w:val="20"/>
          <w:szCs w:val="20"/>
          <w:color w:val="auto"/>
        </w:rPr>
      </w:pPr>
      <w:r>
        <w:rPr>
          <w:rFonts w:ascii="Arial" w:cs="Arial" w:eastAsia="Arial" w:hAnsi="Arial"/>
          <w:sz w:val="17"/>
          <w:szCs w:val="17"/>
          <w:color w:val="auto"/>
        </w:rPr>
        <w:t>Adjusted EBITDA is a non-GAAP financial measure that we use, in addition to our GAAP financial measures, to evaluate our business. We have included Adjusted EBITDA in this filing because it is a key measure used by our management to evaluate our operating performance. Accordingly, we believe that Adjusted EBITDA provides useful information to investors and others in understanding and evaluating our operating results in the same manner as our management team and board of directors. Our calculation of Adjusted EBITDA may differ from similarly titled non-GAAP measures, if any, reported by our peer companies and therefore may not serve as an accurate basis of comparison among companies. Adjusted EBITDA should not be considered in isolation from, or as a substitute for, financial information prepared in accordance with GAAP.</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320" w:type="dxa"/>
            <w:vAlign w:val="bottom"/>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4"/>
              </w:rPr>
              <w:t>Year Ended December 31,</w:t>
            </w:r>
          </w:p>
        </w:tc>
        <w:tc>
          <w:tcPr>
            <w:tcW w:w="10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69"/>
        </w:trPr>
        <w:tc>
          <w:tcPr>
            <w:tcW w:w="7320" w:type="dxa"/>
            <w:vAlign w:val="bottom"/>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72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652"/>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4"/>
                <w:szCs w:val="14"/>
                <w:color w:val="auto"/>
              </w:rPr>
            </w:pPr>
          </w:p>
        </w:tc>
      </w:tr>
      <w:tr>
        <w:trPr>
          <w:trHeight w:val="196"/>
        </w:trPr>
        <w:tc>
          <w:tcPr>
            <w:tcW w:w="732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Net loss</w:t>
            </w:r>
          </w:p>
        </w:tc>
        <w:tc>
          <w:tcPr>
            <w:tcW w:w="1080" w:type="dxa"/>
            <w:vAlign w:val="bottom"/>
            <w:shd w:val="clear" w:color="auto" w:fill="CFF0FC"/>
          </w:tcPr>
          <w:p>
            <w:pPr>
              <w:jc w:val="right"/>
              <w:ind w:right="896"/>
              <w:spacing w:after="0" w:line="196" w:lineRule="exact"/>
              <w:rPr>
                <w:sz w:val="20"/>
                <w:szCs w:val="20"/>
                <w:color w:val="auto"/>
              </w:rPr>
            </w:pPr>
            <w:r>
              <w:rPr>
                <w:rFonts w:ascii="Arial" w:cs="Arial" w:eastAsia="Arial" w:hAnsi="Arial"/>
                <w:sz w:val="18"/>
                <w:szCs w:val="18"/>
                <w:color w:val="auto"/>
                <w:w w:val="79"/>
              </w:rPr>
              <w:t>$</w:t>
            </w:r>
          </w:p>
        </w:tc>
        <w:tc>
          <w:tcPr>
            <w:tcW w:w="7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(61,381</w:t>
            </w:r>
          </w:p>
        </w:tc>
        <w:tc>
          <w:tcPr>
            <w:tcW w:w="260" w:type="dxa"/>
            <w:vAlign w:val="bottom"/>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99"/>
              </w:rPr>
              <w:t>)</w:t>
            </w:r>
          </w:p>
        </w:tc>
        <w:tc>
          <w:tcPr>
            <w:tcW w:w="700" w:type="dxa"/>
            <w:vAlign w:val="bottom"/>
            <w:shd w:val="clear" w:color="auto" w:fill="CFF0FC"/>
          </w:tcPr>
          <w:p>
            <w:pPr>
              <w:jc w:val="right"/>
              <w:ind w:right="510"/>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(31,085</w:t>
            </w:r>
          </w:p>
        </w:tc>
        <w:tc>
          <w:tcPr>
            <w:tcW w:w="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r>
      <w:tr>
        <w:trPr>
          <w:trHeight w:val="203"/>
        </w:trPr>
        <w:tc>
          <w:tcPr>
            <w:tcW w:w="7320" w:type="dxa"/>
            <w:vAlign w:val="bottom"/>
          </w:tcPr>
          <w:p>
            <w:pPr>
              <w:ind w:left="20"/>
              <w:spacing w:after="0" w:line="202" w:lineRule="exact"/>
              <w:rPr>
                <w:sz w:val="20"/>
                <w:szCs w:val="20"/>
                <w:color w:val="auto"/>
              </w:rPr>
            </w:pPr>
            <w:r>
              <w:rPr>
                <w:rFonts w:ascii="Arial" w:cs="Arial" w:eastAsia="Arial" w:hAnsi="Arial"/>
                <w:sz w:val="18"/>
                <w:szCs w:val="18"/>
                <w:color w:val="auto"/>
              </w:rPr>
              <w:t>Addback (deduct)</w:t>
            </w:r>
          </w:p>
        </w:tc>
        <w:tc>
          <w:tcPr>
            <w:tcW w:w="10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73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Interest expense, interest and dividend income and other expenses</w:t>
            </w:r>
          </w:p>
        </w:tc>
        <w:tc>
          <w:tcPr>
            <w:tcW w:w="108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2,736</w:t>
            </w:r>
          </w:p>
        </w:tc>
        <w:tc>
          <w:tcPr>
            <w:tcW w:w="26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1,869</w:t>
            </w:r>
          </w:p>
        </w:tc>
        <w:tc>
          <w:tcPr>
            <w:tcW w:w="80" w:type="dxa"/>
            <w:vAlign w:val="bottom"/>
            <w:shd w:val="clear" w:color="auto" w:fill="CFF0FC"/>
          </w:tcPr>
          <w:p>
            <w:pPr>
              <w:spacing w:after="0"/>
              <w:rPr>
                <w:sz w:val="17"/>
                <w:szCs w:val="17"/>
                <w:color w:val="auto"/>
              </w:rPr>
            </w:pPr>
          </w:p>
        </w:tc>
      </w:tr>
      <w:tr>
        <w:trPr>
          <w:trHeight w:val="203"/>
        </w:trPr>
        <w:tc>
          <w:tcPr>
            <w:tcW w:w="7320" w:type="dxa"/>
            <w:vAlign w:val="bottom"/>
          </w:tcPr>
          <w:p>
            <w:pPr>
              <w:ind w:left="20"/>
              <w:spacing w:after="0" w:line="202" w:lineRule="exact"/>
              <w:rPr>
                <w:sz w:val="20"/>
                <w:szCs w:val="20"/>
                <w:color w:val="auto"/>
              </w:rPr>
            </w:pPr>
            <w:r>
              <w:rPr>
                <w:rFonts w:ascii="Arial" w:cs="Arial" w:eastAsia="Arial" w:hAnsi="Arial"/>
                <w:sz w:val="18"/>
                <w:szCs w:val="18"/>
                <w:color w:val="auto"/>
              </w:rPr>
              <w:t>Depreciation and amortization</w:t>
            </w:r>
          </w:p>
        </w:tc>
        <w:tc>
          <w:tcPr>
            <w:tcW w:w="108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3,596</w:t>
            </w: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3,120</w:t>
            </w:r>
          </w:p>
        </w:tc>
        <w:tc>
          <w:tcPr>
            <w:tcW w:w="80" w:type="dxa"/>
            <w:vAlign w:val="bottom"/>
          </w:tcPr>
          <w:p>
            <w:pPr>
              <w:spacing w:after="0"/>
              <w:rPr>
                <w:sz w:val="17"/>
                <w:szCs w:val="17"/>
                <w:color w:val="auto"/>
              </w:rPr>
            </w:pPr>
          </w:p>
        </w:tc>
      </w:tr>
      <w:tr>
        <w:trPr>
          <w:trHeight w:val="203"/>
        </w:trPr>
        <w:tc>
          <w:tcPr>
            <w:tcW w:w="73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Stock based compensation expense</w:t>
            </w:r>
          </w:p>
        </w:tc>
        <w:tc>
          <w:tcPr>
            <w:tcW w:w="108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7,395</w:t>
            </w:r>
          </w:p>
        </w:tc>
        <w:tc>
          <w:tcPr>
            <w:tcW w:w="26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1,006</w:t>
            </w:r>
          </w:p>
        </w:tc>
        <w:tc>
          <w:tcPr>
            <w:tcW w:w="80" w:type="dxa"/>
            <w:vAlign w:val="bottom"/>
            <w:shd w:val="clear" w:color="auto" w:fill="CFF0FC"/>
          </w:tcPr>
          <w:p>
            <w:pPr>
              <w:spacing w:after="0"/>
              <w:rPr>
                <w:sz w:val="17"/>
                <w:szCs w:val="17"/>
                <w:color w:val="auto"/>
              </w:rPr>
            </w:pPr>
          </w:p>
        </w:tc>
      </w:tr>
      <w:tr>
        <w:trPr>
          <w:trHeight w:val="203"/>
        </w:trPr>
        <w:tc>
          <w:tcPr>
            <w:tcW w:w="7320" w:type="dxa"/>
            <w:vAlign w:val="bottom"/>
          </w:tcPr>
          <w:p>
            <w:pPr>
              <w:ind w:left="20"/>
              <w:spacing w:after="0" w:line="202" w:lineRule="exact"/>
              <w:rPr>
                <w:sz w:val="20"/>
                <w:szCs w:val="20"/>
                <w:color w:val="auto"/>
              </w:rPr>
            </w:pPr>
            <w:r>
              <w:rPr>
                <w:rFonts w:ascii="Arial" w:cs="Arial" w:eastAsia="Arial" w:hAnsi="Arial"/>
                <w:sz w:val="18"/>
                <w:szCs w:val="18"/>
                <w:color w:val="auto"/>
              </w:rPr>
              <w:t>Charitable contribution of common stock</w:t>
            </w:r>
          </w:p>
        </w:tc>
        <w:tc>
          <w:tcPr>
            <w:tcW w:w="108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2,242</w:t>
            </w: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160" w:type="dxa"/>
            <w:vAlign w:val="bottom"/>
            <w:gridSpan w:val="2"/>
          </w:tcPr>
          <w:p>
            <w:pPr>
              <w:jc w:val="right"/>
              <w:ind w:right="10"/>
              <w:spacing w:after="0" w:line="202" w:lineRule="exact"/>
              <w:rPr>
                <w:sz w:val="20"/>
                <w:szCs w:val="20"/>
                <w:color w:val="auto"/>
              </w:rPr>
            </w:pPr>
            <w:r>
              <w:rPr>
                <w:rFonts w:ascii="Arial" w:cs="Arial" w:eastAsia="Arial" w:hAnsi="Arial"/>
                <w:sz w:val="18"/>
                <w:szCs w:val="18"/>
                <w:color w:val="auto"/>
              </w:rPr>
              <w:t>—</w:t>
            </w:r>
          </w:p>
        </w:tc>
      </w:tr>
      <w:tr>
        <w:trPr>
          <w:trHeight w:val="203"/>
        </w:trPr>
        <w:tc>
          <w:tcPr>
            <w:tcW w:w="73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Transaction costs</w:t>
            </w:r>
          </w:p>
        </w:tc>
        <w:tc>
          <w:tcPr>
            <w:tcW w:w="108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5,696</w:t>
            </w:r>
          </w:p>
        </w:tc>
        <w:tc>
          <w:tcPr>
            <w:tcW w:w="26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w:t>
            </w:r>
          </w:p>
        </w:tc>
      </w:tr>
      <w:tr>
        <w:trPr>
          <w:trHeight w:val="203"/>
        </w:trPr>
        <w:tc>
          <w:tcPr>
            <w:tcW w:w="7320" w:type="dxa"/>
            <w:vAlign w:val="bottom"/>
          </w:tcPr>
          <w:p>
            <w:pPr>
              <w:ind w:left="20"/>
              <w:spacing w:after="0" w:line="202" w:lineRule="exact"/>
              <w:rPr>
                <w:sz w:val="20"/>
                <w:szCs w:val="20"/>
                <w:color w:val="auto"/>
              </w:rPr>
            </w:pPr>
            <w:r>
              <w:rPr>
                <w:rFonts w:ascii="Arial" w:cs="Arial" w:eastAsia="Arial" w:hAnsi="Arial"/>
                <w:sz w:val="18"/>
                <w:szCs w:val="18"/>
                <w:color w:val="auto"/>
              </w:rPr>
              <w:t>Income from unconsolidated joint venture</w:t>
            </w:r>
          </w:p>
        </w:tc>
        <w:tc>
          <w:tcPr>
            <w:tcW w:w="1080" w:type="dxa"/>
            <w:vAlign w:val="bottom"/>
          </w:tcPr>
          <w:p>
            <w:pPr>
              <w:spacing w:after="0"/>
              <w:rPr>
                <w:sz w:val="17"/>
                <w:szCs w:val="17"/>
                <w:color w:val="auto"/>
              </w:rPr>
            </w:pPr>
          </w:p>
        </w:tc>
        <w:tc>
          <w:tcPr>
            <w:tcW w:w="980" w:type="dxa"/>
            <w:vAlign w:val="bottom"/>
            <w:gridSpan w:val="2"/>
          </w:tcPr>
          <w:p>
            <w:pPr>
              <w:jc w:val="right"/>
              <w:ind w:right="90"/>
              <w:spacing w:after="0" w:line="202" w:lineRule="exact"/>
              <w:rPr>
                <w:sz w:val="20"/>
                <w:szCs w:val="20"/>
                <w:color w:val="auto"/>
              </w:rPr>
            </w:pPr>
            <w:r>
              <w:rPr>
                <w:rFonts w:ascii="Arial" w:cs="Arial" w:eastAsia="Arial" w:hAnsi="Arial"/>
                <w:sz w:val="18"/>
                <w:szCs w:val="18"/>
                <w:color w:val="auto"/>
              </w:rPr>
              <w:t>(41 )</w:t>
            </w:r>
          </w:p>
        </w:tc>
        <w:tc>
          <w:tcPr>
            <w:tcW w:w="700" w:type="dxa"/>
            <w:vAlign w:val="bottom"/>
          </w:tcPr>
          <w:p>
            <w:pPr>
              <w:spacing w:after="0"/>
              <w:rPr>
                <w:sz w:val="17"/>
                <w:szCs w:val="17"/>
                <w:color w:val="auto"/>
              </w:rPr>
            </w:pPr>
          </w:p>
        </w:tc>
        <w:tc>
          <w:tcPr>
            <w:tcW w:w="1160" w:type="dxa"/>
            <w:vAlign w:val="bottom"/>
            <w:gridSpan w:val="2"/>
          </w:tcPr>
          <w:p>
            <w:pPr>
              <w:jc w:val="right"/>
              <w:ind w:right="10"/>
              <w:spacing w:after="0" w:line="202" w:lineRule="exact"/>
              <w:rPr>
                <w:sz w:val="20"/>
                <w:szCs w:val="20"/>
                <w:color w:val="auto"/>
              </w:rPr>
            </w:pPr>
            <w:r>
              <w:rPr>
                <w:rFonts w:ascii="Arial" w:cs="Arial" w:eastAsia="Arial" w:hAnsi="Arial"/>
                <w:sz w:val="18"/>
                <w:szCs w:val="18"/>
                <w:color w:val="auto"/>
              </w:rPr>
              <w:t>—</w:t>
            </w:r>
          </w:p>
        </w:tc>
      </w:tr>
      <w:tr>
        <w:trPr>
          <w:trHeight w:val="203"/>
        </w:trPr>
        <w:tc>
          <w:tcPr>
            <w:tcW w:w="732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Impairment of goodwill and intangibles</w:t>
            </w:r>
          </w:p>
        </w:tc>
        <w:tc>
          <w:tcPr>
            <w:tcW w:w="1080" w:type="dxa"/>
            <w:vAlign w:val="bottom"/>
            <w:tcBorders>
              <w:bottom w:val="single" w:sz="8" w:color="auto"/>
            </w:tcBorders>
            <w:shd w:val="clear" w:color="auto" w:fill="CFF0FC"/>
          </w:tcPr>
          <w:p>
            <w:pPr>
              <w:spacing w:after="0"/>
              <w:rPr>
                <w:sz w:val="17"/>
                <w:szCs w:val="17"/>
                <w:color w:val="auto"/>
              </w:rPr>
            </w:pPr>
          </w:p>
        </w:tc>
        <w:tc>
          <w:tcPr>
            <w:tcW w:w="7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60" w:type="dxa"/>
            <w:vAlign w:val="bottom"/>
            <w:tcBorders>
              <w:bottom w:val="single" w:sz="8" w:color="CFF0FC"/>
            </w:tcBorders>
            <w:shd w:val="clear" w:color="auto" w:fill="CFF0FC"/>
          </w:tcPr>
          <w:p>
            <w:pPr>
              <w:spacing w:after="0"/>
              <w:rPr>
                <w:sz w:val="17"/>
                <w:szCs w:val="17"/>
                <w:color w:val="auto"/>
              </w:rPr>
            </w:pPr>
          </w:p>
        </w:tc>
        <w:tc>
          <w:tcPr>
            <w:tcW w:w="700" w:type="dxa"/>
            <w:vAlign w:val="bottom"/>
            <w:tcBorders>
              <w:bottom w:val="single" w:sz="8" w:color="auto"/>
            </w:tcBorders>
            <w:shd w:val="clear" w:color="auto" w:fill="CFF0FC"/>
          </w:tcPr>
          <w:p>
            <w:pPr>
              <w:spacing w:after="0"/>
              <w:rPr>
                <w:sz w:val="17"/>
                <w:szCs w:val="17"/>
                <w:color w:val="auto"/>
              </w:rPr>
            </w:pPr>
          </w:p>
        </w:tc>
        <w:tc>
          <w:tcPr>
            <w:tcW w:w="10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1,592</w:t>
            </w:r>
          </w:p>
        </w:tc>
        <w:tc>
          <w:tcPr>
            <w:tcW w:w="80" w:type="dxa"/>
            <w:vAlign w:val="bottom"/>
            <w:tcBorders>
              <w:bottom w:val="single" w:sz="8" w:color="CFF0FC"/>
            </w:tcBorders>
            <w:shd w:val="clear" w:color="auto" w:fill="CFF0FC"/>
          </w:tcPr>
          <w:p>
            <w:pPr>
              <w:spacing w:after="0"/>
              <w:rPr>
                <w:sz w:val="17"/>
                <w:szCs w:val="17"/>
                <w:color w:val="auto"/>
              </w:rPr>
            </w:pPr>
          </w:p>
        </w:tc>
      </w:tr>
      <w:tr>
        <w:trPr>
          <w:trHeight w:val="196"/>
        </w:trPr>
        <w:tc>
          <w:tcPr>
            <w:tcW w:w="7320" w:type="dxa"/>
            <w:vAlign w:val="bottom"/>
          </w:tcPr>
          <w:p>
            <w:pPr>
              <w:ind w:left="20"/>
              <w:spacing w:after="0" w:line="196" w:lineRule="exact"/>
              <w:rPr>
                <w:sz w:val="20"/>
                <w:szCs w:val="20"/>
                <w:color w:val="auto"/>
              </w:rPr>
            </w:pPr>
            <w:r>
              <w:rPr>
                <w:rFonts w:ascii="Arial" w:cs="Arial" w:eastAsia="Arial" w:hAnsi="Arial"/>
                <w:sz w:val="18"/>
                <w:szCs w:val="18"/>
                <w:color w:val="auto"/>
              </w:rPr>
              <w:t>Adjusted EBITDA</w:t>
            </w:r>
          </w:p>
        </w:tc>
        <w:tc>
          <w:tcPr>
            <w:tcW w:w="1080" w:type="dxa"/>
            <w:vAlign w:val="bottom"/>
          </w:tcPr>
          <w:p>
            <w:pPr>
              <w:jc w:val="right"/>
              <w:ind w:right="896"/>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90"/>
              <w:spacing w:after="0" w:line="196" w:lineRule="exact"/>
              <w:rPr>
                <w:sz w:val="20"/>
                <w:szCs w:val="20"/>
                <w:color w:val="auto"/>
              </w:rPr>
            </w:pPr>
            <w:r>
              <w:rPr>
                <w:rFonts w:ascii="Arial" w:cs="Arial" w:eastAsia="Arial" w:hAnsi="Arial"/>
                <w:sz w:val="18"/>
                <w:szCs w:val="18"/>
                <w:color w:val="auto"/>
              </w:rPr>
              <w:t>(39,757 )</w:t>
            </w:r>
          </w:p>
        </w:tc>
        <w:tc>
          <w:tcPr>
            <w:tcW w:w="700" w:type="dxa"/>
            <w:vAlign w:val="bottom"/>
          </w:tcPr>
          <w:p>
            <w:pPr>
              <w:jc w:val="right"/>
              <w:ind w:right="510"/>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(23,498 )</w:t>
            </w:r>
          </w:p>
        </w:tc>
      </w:tr>
      <w:tr>
        <w:trPr>
          <w:trHeight w:val="20"/>
        </w:trPr>
        <w:tc>
          <w:tcPr>
            <w:tcW w:w="73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5791200</wp:posOffset>
            </wp:positionH>
            <wp:positionV relativeFrom="paragraph">
              <wp:posOffset>-159385</wp:posOffset>
            </wp:positionV>
            <wp:extent cx="51435" cy="571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-159385</wp:posOffset>
            </wp:positionV>
            <wp:extent cx="51435" cy="571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51435" cy="5715"/>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Components of Results of Operations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04" w:lineRule="exact"/>
        <w:rPr>
          <w:sz w:val="20"/>
          <w:szCs w:val="20"/>
          <w:color w:val="auto"/>
        </w:rPr>
      </w:pPr>
    </w:p>
    <w:p>
      <w:pPr>
        <w:ind w:right="60" w:firstLine="636"/>
        <w:spacing w:after="0" w:line="279" w:lineRule="auto"/>
        <w:rPr>
          <w:sz w:val="20"/>
          <w:szCs w:val="20"/>
          <w:color w:val="auto"/>
        </w:rPr>
      </w:pPr>
      <w:r>
        <w:rPr>
          <w:rFonts w:ascii="Arial" w:cs="Arial" w:eastAsia="Arial" w:hAnsi="Arial"/>
          <w:sz w:val="16"/>
          <w:szCs w:val="16"/>
          <w:color w:val="auto"/>
        </w:rPr>
        <w:t>Our revenue is primarily comprised of sales to buyers through our platform. Buyers purchase specialized CNC manufacturing, sheet metal manufacturing, 3D printing, injection molding, urethane casting, finishing services. Buyer purchases range from rapid prototyping of single parts to high-volume production on our marketplace. These products are primarily manufactured by our network of sellers. We also derive a portion of our revenue from our offerings to sellers, which includes seller services which includes marketing and advertising services, SaaS based solutions and financial products. In 2022 and going forward, we expect a significant portion of our revenue to be derived from our seller services which includes Thomas.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w:t>
      </w:r>
    </w:p>
    <w:p>
      <w:pPr>
        <w:spacing w:after="0" w:line="104" w:lineRule="exact"/>
        <w:rPr>
          <w:sz w:val="20"/>
          <w:szCs w:val="20"/>
          <w:color w:val="auto"/>
        </w:rPr>
      </w:pPr>
    </w:p>
    <w:p>
      <w:pPr>
        <w:ind w:right="20" w:firstLine="636"/>
        <w:spacing w:after="0" w:line="243" w:lineRule="auto"/>
        <w:rPr>
          <w:sz w:val="20"/>
          <w:szCs w:val="20"/>
          <w:color w:val="auto"/>
        </w:rPr>
      </w:pPr>
      <w:r>
        <w:rPr>
          <w:rFonts w:ascii="Arial" w:cs="Arial" w:eastAsia="Arial" w:hAnsi="Arial"/>
          <w:sz w:val="18"/>
          <w:szCs w:val="18"/>
          <w:color w:val="auto"/>
        </w:rPr>
        <w:t>Cost of revenue primarily consists of the cost to us of the products that are manufactured or produced by us or our sellers for delivery to buyers on our platform, internal and external production costs, shipping costs and certain internal depreciation. We expect cost of revenue to increase in absolute dollars to the extent our revenue increases and transaction volume increases. As we add sellers to our Xometry platform and are able to expand our network liquidity effect, we expect cost of revenue to decline as a percent of revenue over time.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Profit</w:t>
      </w:r>
    </w:p>
    <w:p>
      <w:pPr>
        <w:spacing w:after="0" w:line="104" w:lineRule="exact"/>
        <w:rPr>
          <w:sz w:val="20"/>
          <w:szCs w:val="20"/>
          <w:color w:val="auto"/>
        </w:rPr>
      </w:pPr>
    </w:p>
    <w:p>
      <w:pPr>
        <w:ind w:right="220" w:firstLine="636"/>
        <w:spacing w:after="0" w:line="248" w:lineRule="auto"/>
        <w:rPr>
          <w:sz w:val="20"/>
          <w:szCs w:val="20"/>
          <w:color w:val="auto"/>
        </w:rPr>
      </w:pPr>
      <w:r>
        <w:rPr>
          <w:rFonts w:ascii="Arial" w:cs="Arial" w:eastAsia="Arial" w:hAnsi="Arial"/>
          <w:sz w:val="18"/>
          <w:szCs w:val="18"/>
          <w:color w:val="auto"/>
        </w:rPr>
        <w:t>Gross profit, or revenue less cost of revenue, is primarily affected by the growth of our revenue. Our gross profit margin is primarily affected by liquidity of our seller network and the efficiency of our pricing and will be benefited by increasing the use of existing seller services and the variety of seller services offerings over time.</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04" w:lineRule="exact"/>
        <w:rPr>
          <w:sz w:val="20"/>
          <w:szCs w:val="20"/>
          <w:color w:val="auto"/>
        </w:rPr>
      </w:pPr>
    </w:p>
    <w:p>
      <w:pPr>
        <w:ind w:left="640"/>
        <w:spacing w:after="0"/>
        <w:rPr>
          <w:sz w:val="20"/>
          <w:szCs w:val="20"/>
          <w:color w:val="auto"/>
        </w:rPr>
      </w:pPr>
      <w:r>
        <w:rPr>
          <w:rFonts w:ascii="Arial" w:cs="Arial" w:eastAsia="Arial" w:hAnsi="Arial"/>
          <w:sz w:val="16"/>
          <w:szCs w:val="16"/>
          <w:color w:val="auto"/>
        </w:rPr>
        <w:t>Our operating expenses consist of sales and marketing, operations and support, product development and general and administrative functions.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and Marketing</w:t>
      </w:r>
    </w:p>
    <w:p>
      <w:pPr>
        <w:spacing w:after="0" w:line="104" w:lineRule="exact"/>
        <w:rPr>
          <w:sz w:val="20"/>
          <w:szCs w:val="20"/>
          <w:color w:val="auto"/>
        </w:rPr>
      </w:pPr>
    </w:p>
    <w:p>
      <w:pPr>
        <w:ind w:right="60" w:firstLine="644"/>
        <w:spacing w:after="0" w:line="251" w:lineRule="auto"/>
        <w:rPr>
          <w:sz w:val="20"/>
          <w:szCs w:val="20"/>
          <w:color w:val="auto"/>
        </w:rPr>
      </w:pPr>
      <w:r>
        <w:rPr>
          <w:rFonts w:ascii="Arial" w:cs="Arial" w:eastAsia="Arial" w:hAnsi="Arial"/>
          <w:sz w:val="17"/>
          <w:szCs w:val="17"/>
          <w:color w:val="auto"/>
        </w:rPr>
        <w:t>Sales and marketing expenses are expensed as incurred and include the costs of our digital marketing strategies, branding costs and other advertising costs, certain depreciation and amortization expense, and compensation expenses, including stock-based compensation, to our sales and marketing employees. We intend to continue to invest in our sales and marketing capabilities in the future to continue to increase our brand awareness, add new accounts and further penetrate existing accounts. We expect sales and marketing expense to increase in absolute dollars in the future as we grow our business, though in the near term sales and marketing expenses may fluctuate from period to period based on the timing of our investments in our sales and marketing functions as these investments may vary in scope and scale over future periods.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i w:val="1"/>
          <w:iCs w:val="1"/>
          <w:color w:val="auto"/>
        </w:rPr>
        <w:t>Operations and Support</w:t>
      </w:r>
    </w:p>
    <w:p>
      <w:pPr>
        <w:spacing w:after="0" w:line="104" w:lineRule="exact"/>
        <w:rPr>
          <w:sz w:val="20"/>
          <w:szCs w:val="20"/>
          <w:color w:val="auto"/>
        </w:rPr>
      </w:pPr>
    </w:p>
    <w:p>
      <w:pPr>
        <w:ind w:right="120" w:firstLine="636"/>
        <w:spacing w:after="0" w:line="257" w:lineRule="auto"/>
        <w:rPr>
          <w:sz w:val="20"/>
          <w:szCs w:val="20"/>
          <w:color w:val="auto"/>
        </w:rPr>
      </w:pPr>
      <w:r>
        <w:rPr>
          <w:rFonts w:ascii="Arial" w:cs="Arial" w:eastAsia="Arial" w:hAnsi="Arial"/>
          <w:sz w:val="17"/>
          <w:szCs w:val="17"/>
          <w:color w:val="auto"/>
        </w:rPr>
        <w:t>Operations and support expenses are the costs we incur in support of the customers and sellers on our platform which are provided by phone, email and chat for purposes of resolving customer and seller related matters. These costs primarily consist of compensation expenses of the support staff, including stock-based compensation, certain depreciation and amortization expense and software costs used in delivering customer and seller service. We expect operations and support expense to increase in absolute dollars in the future, though in the near term operations and support expenses may fluctuate from period-to-period based on total revenue levels and the timing of our investments in our operations and support functions as these investments may vary in scope and scale over future periods.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Development</w:t>
      </w:r>
    </w:p>
    <w:p>
      <w:pPr>
        <w:spacing w:after="0" w:line="104" w:lineRule="exact"/>
        <w:rPr>
          <w:sz w:val="20"/>
          <w:szCs w:val="20"/>
          <w:color w:val="auto"/>
        </w:rPr>
      </w:pPr>
    </w:p>
    <w:p>
      <w:pPr>
        <w:ind w:right="120" w:firstLine="636"/>
        <w:spacing w:after="0" w:line="241" w:lineRule="auto"/>
        <w:rPr>
          <w:sz w:val="20"/>
          <w:szCs w:val="20"/>
          <w:color w:val="auto"/>
        </w:rPr>
      </w:pPr>
      <w:r>
        <w:rPr>
          <w:rFonts w:ascii="Arial" w:cs="Arial" w:eastAsia="Arial" w:hAnsi="Arial"/>
          <w:sz w:val="18"/>
          <w:szCs w:val="18"/>
          <w:color w:val="auto"/>
        </w:rPr>
        <w:t>Product development costs which are not eligible for capitalization are expensed as incurred. This account also includes compensation expenses, including stock-based compensation expenses to our employees performing these functions and certain depreciation and amortization expense. We expect product development expense to increase in absolute dollars in the future, though in the near term product development expenses may fluctuate from period-to-period based on total revenue levels and the timing of our investments in our product development functions as these investments may vary in scope and scale over future periods.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104" w:lineRule="exact"/>
        <w:rPr>
          <w:sz w:val="20"/>
          <w:szCs w:val="20"/>
          <w:color w:val="auto"/>
        </w:rPr>
      </w:pPr>
    </w:p>
    <w:p>
      <w:pPr>
        <w:ind w:firstLine="636"/>
        <w:spacing w:after="0" w:line="241" w:lineRule="auto"/>
        <w:rPr>
          <w:sz w:val="20"/>
          <w:szCs w:val="20"/>
          <w:color w:val="auto"/>
        </w:rPr>
      </w:pPr>
      <w:r>
        <w:rPr>
          <w:rFonts w:ascii="Arial" w:cs="Arial" w:eastAsia="Arial" w:hAnsi="Arial"/>
          <w:sz w:val="18"/>
          <w:szCs w:val="18"/>
          <w:color w:val="auto"/>
        </w:rPr>
        <w:t>General and administrative expenses primarily consist of professional service fees, public company costs, charitable contributions and certain depreciation and amortization expense. It also includes compensation expenses, including stock-based compensation expenses, for executive, finance, legal and other administrative personnel. We expect our general and administrative expenses to increase. We expect to incur additional general and administrative expenses as a result of operating as a public company, including as a result of increased legal, accounting, and directors’ and officers’ insurance expenses.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(Expense) Income</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04" w:lineRule="exact"/>
        <w:rPr>
          <w:sz w:val="20"/>
          <w:szCs w:val="20"/>
          <w:color w:val="auto"/>
        </w:rPr>
      </w:pPr>
    </w:p>
    <w:p>
      <w:pPr>
        <w:jc w:val="both"/>
        <w:ind w:right="200" w:firstLine="636"/>
        <w:spacing w:after="0" w:line="270" w:lineRule="auto"/>
        <w:rPr>
          <w:sz w:val="20"/>
          <w:szCs w:val="20"/>
          <w:color w:val="auto"/>
        </w:rPr>
      </w:pPr>
      <w:r>
        <w:rPr>
          <w:rFonts w:ascii="Arial" w:cs="Arial" w:eastAsia="Arial" w:hAnsi="Arial"/>
          <w:sz w:val="17"/>
          <w:szCs w:val="17"/>
          <w:color w:val="auto"/>
        </w:rPr>
        <w:t>Interest expense consists of interest incurred on our outstanding borrowings under our outstanding debt facility. In 2020, we amended our term loan agreement, increasing the principal by $4.0 million for total borrowings of $15.0 million. See “Management’s Discussion and Analysis of Financial Condition and Results of Operations—Liquidity and Capital Resources.” On July 9, 2021, we repaid our $15.0 million term loan.</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and Dividend Income</w:t>
      </w:r>
    </w:p>
    <w:p>
      <w:pPr>
        <w:spacing w:after="0" w:line="10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Interest and dividend income consists of interest on our cash and cash equivalents and dividend income from our investments.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Expenses</w:t>
      </w:r>
    </w:p>
    <w:p>
      <w:pPr>
        <w:spacing w:after="0" w:line="10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Other expenses consist primarily of unrealized losses, losses on the extinguishment of debt and other expenses.</w:t>
      </w:r>
    </w:p>
    <w:p>
      <w:pPr>
        <w:spacing w:after="0" w:line="12"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14" w:right="37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i w:val="1"/>
          <w:iCs w:val="1"/>
          <w:color w:val="auto"/>
        </w:rPr>
        <w:t>Income from Unconsolidated Joint Venture</w:t>
      </w:r>
    </w:p>
    <w:p>
      <w:pPr>
        <w:spacing w:after="0" w:line="10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Income from unconsolidated joint venture is income attributable to use from a joint venture of which we hold a 50% ownership interest.</w:t>
      </w:r>
    </w:p>
    <w:p>
      <w:pPr>
        <w:spacing w:after="0" w:line="111" w:lineRule="exact"/>
        <w:rPr>
          <w:sz w:val="20"/>
          <w:szCs w:val="20"/>
          <w:color w:val="auto"/>
        </w:rPr>
      </w:pPr>
    </w:p>
    <w:p>
      <w:pPr>
        <w:ind w:left="5100"/>
        <w:spacing w:after="0"/>
        <w:rPr>
          <w:sz w:val="20"/>
          <w:szCs w:val="20"/>
          <w:color w:val="auto"/>
        </w:rPr>
      </w:pPr>
      <w:r>
        <w:rPr>
          <w:rFonts w:ascii="Arial" w:cs="Arial" w:eastAsia="Arial" w:hAnsi="Arial"/>
          <w:sz w:val="18"/>
          <w:szCs w:val="18"/>
          <w:b w:val="1"/>
          <w:bCs w:val="1"/>
          <w:color w:val="auto"/>
        </w:rPr>
        <w:t>Results of Operations</w:t>
      </w:r>
    </w:p>
    <w:p>
      <w:pPr>
        <w:spacing w:after="0" w:line="108" w:lineRule="exact"/>
        <w:rPr>
          <w:sz w:val="20"/>
          <w:szCs w:val="20"/>
          <w:color w:val="auto"/>
        </w:rPr>
      </w:pPr>
    </w:p>
    <w:p>
      <w:pPr>
        <w:ind w:right="360" w:firstLine="644"/>
        <w:spacing w:after="0" w:line="261" w:lineRule="auto"/>
        <w:rPr>
          <w:sz w:val="20"/>
          <w:szCs w:val="20"/>
          <w:color w:val="auto"/>
        </w:rPr>
      </w:pPr>
      <w:r>
        <w:rPr>
          <w:rFonts w:ascii="Arial" w:cs="Arial" w:eastAsia="Arial" w:hAnsi="Arial"/>
          <w:sz w:val="18"/>
          <w:szCs w:val="18"/>
          <w:color w:val="auto"/>
        </w:rPr>
        <w:t>The following is our discussion of the consolidated results of operations for the year ended December 31, 2021 as compared to the year ended December 31, 2020.</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our statement of operations data for the years indicated:</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520" w:type="dxa"/>
            <w:vAlign w:val="bottom"/>
          </w:tcPr>
          <w:p>
            <w:pPr>
              <w:spacing w:after="0"/>
              <w:rPr>
                <w:sz w:val="16"/>
                <w:szCs w:val="16"/>
                <w:color w:val="auto"/>
              </w:rPr>
            </w:pPr>
          </w:p>
        </w:tc>
        <w:tc>
          <w:tcPr>
            <w:tcW w:w="3160" w:type="dxa"/>
            <w:vAlign w:val="bottom"/>
          </w:tcPr>
          <w:p>
            <w:pPr>
              <w:spacing w:after="0"/>
              <w:rPr>
                <w:sz w:val="16"/>
                <w:szCs w:val="16"/>
                <w:color w:val="auto"/>
              </w:rPr>
            </w:pPr>
          </w:p>
        </w:tc>
        <w:tc>
          <w:tcPr>
            <w:tcW w:w="2860" w:type="dxa"/>
            <w:vAlign w:val="bottom"/>
            <w:tcBorders>
              <w:bottom w:val="single" w:sz="8" w:color="auto"/>
            </w:tcBorders>
            <w:gridSpan w:val="4"/>
          </w:tcPr>
          <w:p>
            <w:pPr>
              <w:jc w:val="right"/>
              <w:ind w:right="236"/>
              <w:spacing w:after="0"/>
              <w:rPr>
                <w:sz w:val="20"/>
                <w:szCs w:val="20"/>
                <w:color w:val="auto"/>
              </w:rPr>
            </w:pPr>
            <w:r>
              <w:rPr>
                <w:rFonts w:ascii="Arial" w:cs="Arial" w:eastAsia="Arial" w:hAnsi="Arial"/>
                <w:sz w:val="14"/>
                <w:szCs w:val="14"/>
                <w:b w:val="1"/>
                <w:bCs w:val="1"/>
                <w:color w:val="auto"/>
              </w:rPr>
              <w:t>Year Ended December 31,</w:t>
            </w:r>
          </w:p>
        </w:tc>
        <w:tc>
          <w:tcPr>
            <w:tcW w:w="6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69"/>
        </w:trPr>
        <w:tc>
          <w:tcPr>
            <w:tcW w:w="452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2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6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69"/>
        </w:trPr>
        <w:tc>
          <w:tcPr>
            <w:tcW w:w="452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20" w:type="dxa"/>
            <w:vAlign w:val="bottom"/>
          </w:tcPr>
          <w:p>
            <w:pPr>
              <w:jc w:val="right"/>
              <w:ind w:right="51"/>
              <w:spacing w:after="0"/>
              <w:rPr>
                <w:sz w:val="20"/>
                <w:szCs w:val="20"/>
                <w:color w:val="auto"/>
              </w:rPr>
            </w:pPr>
            <w:r>
              <w:rPr>
                <w:rFonts w:ascii="Arial" w:cs="Arial" w:eastAsia="Arial" w:hAnsi="Arial"/>
                <w:sz w:val="14"/>
                <w:szCs w:val="14"/>
                <w:b w:val="1"/>
                <w:bCs w:val="1"/>
                <w:color w:val="auto"/>
              </w:rPr>
              <w:t>(in</w:t>
            </w:r>
          </w:p>
        </w:tc>
        <w:tc>
          <w:tcPr>
            <w:tcW w:w="1240" w:type="dxa"/>
            <w:vAlign w:val="bottom"/>
            <w:gridSpan w:val="2"/>
          </w:tcPr>
          <w:p>
            <w:pPr>
              <w:jc w:val="right"/>
              <w:ind w:right="596"/>
              <w:spacing w:after="0"/>
              <w:rPr>
                <w:sz w:val="20"/>
                <w:szCs w:val="20"/>
                <w:color w:val="auto"/>
              </w:rPr>
            </w:pPr>
            <w:r>
              <w:rPr>
                <w:rFonts w:ascii="Arial" w:cs="Arial" w:eastAsia="Arial" w:hAnsi="Arial"/>
                <w:sz w:val="14"/>
                <w:szCs w:val="14"/>
                <w:b w:val="1"/>
                <w:bCs w:val="1"/>
                <w:color w:val="auto"/>
                <w:w w:val="71"/>
              </w:rPr>
              <w:t>thousands)</w:t>
            </w: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03"/>
        </w:trPr>
        <w:tc>
          <w:tcPr>
            <w:tcW w:w="45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Revenue</w:t>
            </w:r>
          </w:p>
        </w:tc>
        <w:tc>
          <w:tcPr>
            <w:tcW w:w="4160" w:type="dxa"/>
            <w:vAlign w:val="bottom"/>
            <w:gridSpan w:val="2"/>
            <w:shd w:val="clear" w:color="auto" w:fill="CFF0FC"/>
          </w:tcPr>
          <w:p>
            <w:pPr>
              <w:jc w:val="right"/>
              <w:ind w:right="802"/>
              <w:spacing w:after="0" w:line="202" w:lineRule="exact"/>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92"/>
              </w:rPr>
              <w:t>218,336</w:t>
            </w:r>
          </w:p>
        </w:tc>
        <w:tc>
          <w:tcPr>
            <w:tcW w:w="260" w:type="dxa"/>
            <w:vAlign w:val="bottom"/>
            <w:shd w:val="clear" w:color="auto" w:fill="CFF0FC"/>
          </w:tcPr>
          <w:p>
            <w:pPr>
              <w:spacing w:after="0"/>
              <w:rPr>
                <w:sz w:val="17"/>
                <w:szCs w:val="17"/>
                <w:color w:val="auto"/>
              </w:rPr>
            </w:pPr>
          </w:p>
        </w:tc>
        <w:tc>
          <w:tcPr>
            <w:tcW w:w="980" w:type="dxa"/>
            <w:vAlign w:val="bottom"/>
            <w:shd w:val="clear" w:color="auto" w:fill="CFF0FC"/>
          </w:tcPr>
          <w:p>
            <w:pPr>
              <w:jc w:val="right"/>
              <w:ind w:right="796"/>
              <w:spacing w:after="0" w:line="202" w:lineRule="exact"/>
              <w:rPr>
                <w:sz w:val="20"/>
                <w:szCs w:val="20"/>
                <w:color w:val="auto"/>
              </w:rPr>
            </w:pPr>
            <w:r>
              <w:rPr>
                <w:rFonts w:ascii="Arial" w:cs="Arial" w:eastAsia="Arial" w:hAnsi="Arial"/>
                <w:sz w:val="18"/>
                <w:szCs w:val="18"/>
                <w:color w:val="auto"/>
                <w:w w:val="79"/>
              </w:rPr>
              <w:t>$</w:t>
            </w:r>
          </w:p>
        </w:tc>
        <w:tc>
          <w:tcPr>
            <w:tcW w:w="6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89"/>
              </w:rPr>
              <w:t>141,406</w:t>
            </w:r>
          </w:p>
        </w:tc>
        <w:tc>
          <w:tcPr>
            <w:tcW w:w="80" w:type="dxa"/>
            <w:vAlign w:val="bottom"/>
            <w:shd w:val="clear" w:color="auto" w:fill="CFF0FC"/>
          </w:tcPr>
          <w:p>
            <w:pPr>
              <w:spacing w:after="0"/>
              <w:rPr>
                <w:sz w:val="17"/>
                <w:szCs w:val="17"/>
                <w:color w:val="auto"/>
              </w:rPr>
            </w:pPr>
          </w:p>
        </w:tc>
      </w:tr>
      <w:tr>
        <w:trPr>
          <w:trHeight w:val="203"/>
        </w:trPr>
        <w:tc>
          <w:tcPr>
            <w:tcW w:w="4520" w:type="dxa"/>
            <w:vAlign w:val="bottom"/>
          </w:tcPr>
          <w:p>
            <w:pPr>
              <w:ind w:left="20"/>
              <w:spacing w:after="0" w:line="202" w:lineRule="exact"/>
              <w:rPr>
                <w:sz w:val="20"/>
                <w:szCs w:val="20"/>
                <w:color w:val="auto"/>
              </w:rPr>
            </w:pPr>
            <w:r>
              <w:rPr>
                <w:rFonts w:ascii="Arial" w:cs="Arial" w:eastAsia="Arial" w:hAnsi="Arial"/>
                <w:sz w:val="18"/>
                <w:szCs w:val="18"/>
                <w:color w:val="auto"/>
              </w:rPr>
              <w:t>Cost of revenue</w:t>
            </w:r>
          </w:p>
        </w:tc>
        <w:tc>
          <w:tcPr>
            <w:tcW w:w="3160" w:type="dxa"/>
            <w:vAlign w:val="bottom"/>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w w:val="92"/>
              </w:rPr>
              <w:t>161,195</w:t>
            </w:r>
          </w:p>
        </w:tc>
        <w:tc>
          <w:tcPr>
            <w:tcW w:w="260" w:type="dxa"/>
            <w:vAlign w:val="bottom"/>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w w:val="89"/>
              </w:rPr>
              <w:t>108,120</w:t>
            </w:r>
          </w:p>
        </w:tc>
        <w:tc>
          <w:tcPr>
            <w:tcW w:w="80" w:type="dxa"/>
            <w:vAlign w:val="bottom"/>
          </w:tcPr>
          <w:p>
            <w:pPr>
              <w:spacing w:after="0"/>
              <w:rPr>
                <w:sz w:val="17"/>
                <w:szCs w:val="17"/>
                <w:color w:val="auto"/>
              </w:rPr>
            </w:pPr>
          </w:p>
        </w:tc>
      </w:tr>
      <w:tr>
        <w:trPr>
          <w:trHeight w:val="196"/>
        </w:trPr>
        <w:tc>
          <w:tcPr>
            <w:tcW w:w="452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Gross profit</w:t>
            </w:r>
          </w:p>
        </w:tc>
        <w:tc>
          <w:tcPr>
            <w:tcW w:w="316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57,141</w:t>
            </w:r>
          </w:p>
        </w:tc>
        <w:tc>
          <w:tcPr>
            <w:tcW w:w="26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33,286</w:t>
            </w:r>
          </w:p>
        </w:tc>
        <w:tc>
          <w:tcPr>
            <w:tcW w:w="80" w:type="dxa"/>
            <w:vAlign w:val="bottom"/>
            <w:shd w:val="clear" w:color="auto" w:fill="CFF0FC"/>
          </w:tcPr>
          <w:p>
            <w:pPr>
              <w:spacing w:after="0"/>
              <w:rPr>
                <w:sz w:val="17"/>
                <w:szCs w:val="17"/>
                <w:color w:val="auto"/>
              </w:rPr>
            </w:pPr>
          </w:p>
        </w:tc>
      </w:tr>
      <w:tr>
        <w:trPr>
          <w:trHeight w:val="203"/>
        </w:trPr>
        <w:tc>
          <w:tcPr>
            <w:tcW w:w="4520" w:type="dxa"/>
            <w:vAlign w:val="bottom"/>
          </w:tcPr>
          <w:p>
            <w:pPr>
              <w:ind w:left="20"/>
              <w:spacing w:after="0" w:line="202" w:lineRule="exact"/>
              <w:rPr>
                <w:sz w:val="20"/>
                <w:szCs w:val="20"/>
                <w:color w:val="auto"/>
              </w:rPr>
            </w:pPr>
            <w:r>
              <w:rPr>
                <w:rFonts w:ascii="Arial" w:cs="Arial" w:eastAsia="Arial" w:hAnsi="Arial"/>
                <w:sz w:val="18"/>
                <w:szCs w:val="18"/>
                <w:color w:val="auto"/>
              </w:rPr>
              <w:t>Operating expenses:</w:t>
            </w:r>
          </w:p>
        </w:tc>
        <w:tc>
          <w:tcPr>
            <w:tcW w:w="3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452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Sales and marketing</w:t>
            </w:r>
          </w:p>
        </w:tc>
        <w:tc>
          <w:tcPr>
            <w:tcW w:w="316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39,422</w:t>
            </w:r>
          </w:p>
        </w:tc>
        <w:tc>
          <w:tcPr>
            <w:tcW w:w="26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22,567</w:t>
            </w:r>
          </w:p>
        </w:tc>
        <w:tc>
          <w:tcPr>
            <w:tcW w:w="80" w:type="dxa"/>
            <w:vAlign w:val="bottom"/>
            <w:shd w:val="clear" w:color="auto" w:fill="CFF0FC"/>
          </w:tcPr>
          <w:p>
            <w:pPr>
              <w:spacing w:after="0"/>
              <w:rPr>
                <w:sz w:val="17"/>
                <w:szCs w:val="17"/>
                <w:color w:val="auto"/>
              </w:rPr>
            </w:pPr>
          </w:p>
        </w:tc>
      </w:tr>
      <w:tr>
        <w:trPr>
          <w:trHeight w:val="203"/>
        </w:trPr>
        <w:tc>
          <w:tcPr>
            <w:tcW w:w="4520" w:type="dxa"/>
            <w:vAlign w:val="bottom"/>
          </w:tcPr>
          <w:p>
            <w:pPr>
              <w:ind w:left="200"/>
              <w:spacing w:after="0" w:line="202" w:lineRule="exact"/>
              <w:rPr>
                <w:sz w:val="20"/>
                <w:szCs w:val="20"/>
                <w:color w:val="auto"/>
              </w:rPr>
            </w:pPr>
            <w:r>
              <w:rPr>
                <w:rFonts w:ascii="Arial" w:cs="Arial" w:eastAsia="Arial" w:hAnsi="Arial"/>
                <w:sz w:val="18"/>
                <w:szCs w:val="18"/>
                <w:color w:val="auto"/>
              </w:rPr>
              <w:t>Operations and support</w:t>
            </w:r>
          </w:p>
        </w:tc>
        <w:tc>
          <w:tcPr>
            <w:tcW w:w="3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23,683</w:t>
            </w: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14,111</w:t>
            </w:r>
          </w:p>
        </w:tc>
        <w:tc>
          <w:tcPr>
            <w:tcW w:w="80" w:type="dxa"/>
            <w:vAlign w:val="bottom"/>
          </w:tcPr>
          <w:p>
            <w:pPr>
              <w:spacing w:after="0"/>
              <w:rPr>
                <w:sz w:val="17"/>
                <w:szCs w:val="17"/>
                <w:color w:val="auto"/>
              </w:rPr>
            </w:pPr>
          </w:p>
        </w:tc>
      </w:tr>
      <w:tr>
        <w:trPr>
          <w:trHeight w:val="203"/>
        </w:trPr>
        <w:tc>
          <w:tcPr>
            <w:tcW w:w="452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Product development</w:t>
            </w:r>
          </w:p>
        </w:tc>
        <w:tc>
          <w:tcPr>
            <w:tcW w:w="316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17,780</w:t>
            </w:r>
          </w:p>
        </w:tc>
        <w:tc>
          <w:tcPr>
            <w:tcW w:w="26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12,186</w:t>
            </w:r>
          </w:p>
        </w:tc>
        <w:tc>
          <w:tcPr>
            <w:tcW w:w="80" w:type="dxa"/>
            <w:vAlign w:val="bottom"/>
            <w:shd w:val="clear" w:color="auto" w:fill="CFF0FC"/>
          </w:tcPr>
          <w:p>
            <w:pPr>
              <w:spacing w:after="0"/>
              <w:rPr>
                <w:sz w:val="17"/>
                <w:szCs w:val="17"/>
                <w:color w:val="auto"/>
              </w:rPr>
            </w:pPr>
          </w:p>
        </w:tc>
      </w:tr>
      <w:tr>
        <w:trPr>
          <w:trHeight w:val="203"/>
        </w:trPr>
        <w:tc>
          <w:tcPr>
            <w:tcW w:w="4520" w:type="dxa"/>
            <w:vAlign w:val="bottom"/>
          </w:tcPr>
          <w:p>
            <w:pPr>
              <w:ind w:left="200"/>
              <w:spacing w:after="0" w:line="202" w:lineRule="exact"/>
              <w:rPr>
                <w:sz w:val="20"/>
                <w:szCs w:val="20"/>
                <w:color w:val="auto"/>
              </w:rPr>
            </w:pPr>
            <w:r>
              <w:rPr>
                <w:rFonts w:ascii="Arial" w:cs="Arial" w:eastAsia="Arial" w:hAnsi="Arial"/>
                <w:sz w:val="18"/>
                <w:szCs w:val="18"/>
                <w:color w:val="auto"/>
              </w:rPr>
              <w:t>General and administrative</w:t>
            </w:r>
          </w:p>
        </w:tc>
        <w:tc>
          <w:tcPr>
            <w:tcW w:w="3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34,942</w:t>
            </w: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12,046</w:t>
            </w:r>
          </w:p>
        </w:tc>
        <w:tc>
          <w:tcPr>
            <w:tcW w:w="80" w:type="dxa"/>
            <w:vAlign w:val="bottom"/>
          </w:tcPr>
          <w:p>
            <w:pPr>
              <w:spacing w:after="0"/>
              <w:rPr>
                <w:sz w:val="17"/>
                <w:szCs w:val="17"/>
                <w:color w:val="auto"/>
              </w:rPr>
            </w:pPr>
          </w:p>
        </w:tc>
      </w:tr>
      <w:tr>
        <w:trPr>
          <w:trHeight w:val="203"/>
        </w:trPr>
        <w:tc>
          <w:tcPr>
            <w:tcW w:w="452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Impairment of goodwill and intangible assets</w:t>
            </w:r>
          </w:p>
        </w:tc>
        <w:tc>
          <w:tcPr>
            <w:tcW w:w="316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ind w:right="175"/>
              <w:spacing w:after="0" w:line="202" w:lineRule="exact"/>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1,592</w:t>
            </w:r>
          </w:p>
        </w:tc>
        <w:tc>
          <w:tcPr>
            <w:tcW w:w="80" w:type="dxa"/>
            <w:vAlign w:val="bottom"/>
            <w:shd w:val="clear" w:color="auto" w:fill="CFF0FC"/>
          </w:tcPr>
          <w:p>
            <w:pPr>
              <w:spacing w:after="0"/>
              <w:rPr>
                <w:sz w:val="17"/>
                <w:szCs w:val="17"/>
                <w:color w:val="auto"/>
              </w:rPr>
            </w:pPr>
          </w:p>
        </w:tc>
      </w:tr>
      <w:tr>
        <w:trPr>
          <w:trHeight w:val="196"/>
        </w:trPr>
        <w:tc>
          <w:tcPr>
            <w:tcW w:w="4520" w:type="dxa"/>
            <w:vAlign w:val="bottom"/>
            <w:tcBorders>
              <w:top w:val="single" w:sz="8" w:color="CFF0FC"/>
            </w:tcBorders>
          </w:tcPr>
          <w:p>
            <w:pPr>
              <w:ind w:left="380"/>
              <w:spacing w:after="0" w:line="196" w:lineRule="exact"/>
              <w:rPr>
                <w:sz w:val="20"/>
                <w:szCs w:val="20"/>
                <w:color w:val="auto"/>
              </w:rPr>
            </w:pPr>
            <w:r>
              <w:rPr>
                <w:rFonts w:ascii="Arial" w:cs="Arial" w:eastAsia="Arial" w:hAnsi="Arial"/>
                <w:sz w:val="18"/>
                <w:szCs w:val="18"/>
                <w:color w:val="auto"/>
              </w:rPr>
              <w:t>Total operating expenses</w:t>
            </w:r>
          </w:p>
        </w:tc>
        <w:tc>
          <w:tcPr>
            <w:tcW w:w="3160" w:type="dxa"/>
            <w:vAlign w:val="bottom"/>
            <w:tcBorders>
              <w:top w:val="single" w:sz="8" w:color="CFF0FC"/>
            </w:tcBorders>
          </w:tcPr>
          <w:p>
            <w:pPr>
              <w:spacing w:after="0"/>
              <w:rPr>
                <w:sz w:val="17"/>
                <w:szCs w:val="17"/>
                <w:color w:val="auto"/>
              </w:rPr>
            </w:pPr>
          </w:p>
        </w:tc>
        <w:tc>
          <w:tcPr>
            <w:tcW w:w="1000" w:type="dxa"/>
            <w:vAlign w:val="bottom"/>
            <w:tcBorders>
              <w:top w:val="single" w:sz="8" w:color="auto"/>
              <w:bottom w:val="single" w:sz="8" w:color="auto"/>
            </w:tcBorders>
          </w:tcPr>
          <w:p>
            <w:pPr>
              <w:spacing w:after="0"/>
              <w:rPr>
                <w:sz w:val="17"/>
                <w:szCs w:val="17"/>
                <w:color w:val="auto"/>
              </w:rPr>
            </w:pPr>
          </w:p>
        </w:tc>
        <w:tc>
          <w:tcPr>
            <w:tcW w:w="6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2"/>
              </w:rPr>
              <w:t>115,827</w:t>
            </w:r>
          </w:p>
        </w:tc>
        <w:tc>
          <w:tcPr>
            <w:tcW w:w="260" w:type="dxa"/>
            <w:vAlign w:val="bottom"/>
            <w:tcBorders>
              <w:top w:val="single" w:sz="8" w:color="CFF0FC"/>
            </w:tcBorders>
          </w:tcPr>
          <w:p>
            <w:pPr>
              <w:spacing w:after="0"/>
              <w:rPr>
                <w:sz w:val="17"/>
                <w:szCs w:val="17"/>
                <w:color w:val="auto"/>
              </w:rPr>
            </w:pPr>
          </w:p>
        </w:tc>
        <w:tc>
          <w:tcPr>
            <w:tcW w:w="980" w:type="dxa"/>
            <w:vAlign w:val="bottom"/>
            <w:tcBorders>
              <w:top w:val="single" w:sz="8" w:color="auto"/>
              <w:bottom w:val="single" w:sz="8" w:color="auto"/>
            </w:tcBorders>
          </w:tcPr>
          <w:p>
            <w:pPr>
              <w:spacing w:after="0"/>
              <w:rPr>
                <w:sz w:val="17"/>
                <w:szCs w:val="17"/>
                <w:color w:val="auto"/>
              </w:rPr>
            </w:pPr>
          </w:p>
        </w:tc>
        <w:tc>
          <w:tcPr>
            <w:tcW w:w="6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62,502</w:t>
            </w:r>
          </w:p>
        </w:tc>
        <w:tc>
          <w:tcPr>
            <w:tcW w:w="80" w:type="dxa"/>
            <w:vAlign w:val="bottom"/>
            <w:tcBorders>
              <w:top w:val="single" w:sz="8" w:color="CFF0FC"/>
            </w:tcBorders>
          </w:tcPr>
          <w:p>
            <w:pPr>
              <w:spacing w:after="0"/>
              <w:rPr>
                <w:sz w:val="17"/>
                <w:szCs w:val="17"/>
                <w:color w:val="auto"/>
              </w:rPr>
            </w:pPr>
          </w:p>
        </w:tc>
      </w:tr>
      <w:tr>
        <w:trPr>
          <w:trHeight w:val="196"/>
        </w:trPr>
        <w:tc>
          <w:tcPr>
            <w:tcW w:w="452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Loss from operations</w:t>
            </w:r>
          </w:p>
        </w:tc>
        <w:tc>
          <w:tcPr>
            <w:tcW w:w="316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8"/>
              </w:rPr>
              <w:t>(58,686</w:t>
            </w:r>
          </w:p>
        </w:tc>
        <w:tc>
          <w:tcPr>
            <w:tcW w:w="260" w:type="dxa"/>
            <w:vAlign w:val="bottom"/>
            <w:shd w:val="clear" w:color="auto" w:fill="CFF0FC"/>
          </w:tcPr>
          <w:p>
            <w:pPr>
              <w:jc w:val="right"/>
              <w:ind w:right="95"/>
              <w:spacing w:after="0" w:line="196" w:lineRule="exact"/>
              <w:rPr>
                <w:sz w:val="20"/>
                <w:szCs w:val="20"/>
                <w:color w:val="auto"/>
              </w:rPr>
            </w:pPr>
            <w:r>
              <w:rPr>
                <w:rFonts w:ascii="Arial" w:cs="Arial" w:eastAsia="Arial" w:hAnsi="Arial"/>
                <w:sz w:val="18"/>
                <w:szCs w:val="18"/>
                <w:color w:val="auto"/>
                <w:w w:val="99"/>
              </w:rPr>
              <w:t>)</w:t>
            </w:r>
          </w:p>
        </w:tc>
        <w:tc>
          <w:tcPr>
            <w:tcW w:w="98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4"/>
              </w:rPr>
              <w:t>(29,216</w:t>
            </w:r>
          </w:p>
        </w:tc>
        <w:tc>
          <w:tcPr>
            <w:tcW w:w="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r>
      <w:tr>
        <w:trPr>
          <w:trHeight w:val="203"/>
        </w:trPr>
        <w:tc>
          <w:tcPr>
            <w:tcW w:w="4520" w:type="dxa"/>
            <w:vAlign w:val="bottom"/>
          </w:tcPr>
          <w:p>
            <w:pPr>
              <w:ind w:left="20"/>
              <w:spacing w:after="0" w:line="202" w:lineRule="exact"/>
              <w:rPr>
                <w:sz w:val="20"/>
                <w:szCs w:val="20"/>
                <w:color w:val="auto"/>
              </w:rPr>
            </w:pPr>
            <w:r>
              <w:rPr>
                <w:rFonts w:ascii="Arial" w:cs="Arial" w:eastAsia="Arial" w:hAnsi="Arial"/>
                <w:sz w:val="18"/>
                <w:szCs w:val="18"/>
                <w:color w:val="auto"/>
              </w:rPr>
              <w:t>Other (expenses) income:</w:t>
            </w:r>
          </w:p>
        </w:tc>
        <w:tc>
          <w:tcPr>
            <w:tcW w:w="3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452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Interest expense</w:t>
            </w:r>
          </w:p>
        </w:tc>
        <w:tc>
          <w:tcPr>
            <w:tcW w:w="316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ind w:right="95"/>
              <w:spacing w:after="0" w:line="202" w:lineRule="exact"/>
              <w:rPr>
                <w:sz w:val="20"/>
                <w:szCs w:val="20"/>
                <w:color w:val="auto"/>
              </w:rPr>
            </w:pPr>
            <w:r>
              <w:rPr>
                <w:rFonts w:ascii="Arial" w:cs="Arial" w:eastAsia="Arial" w:hAnsi="Arial"/>
                <w:sz w:val="18"/>
                <w:szCs w:val="18"/>
                <w:color w:val="auto"/>
              </w:rPr>
              <w:t>(852 )</w:t>
            </w:r>
          </w:p>
        </w:tc>
        <w:tc>
          <w:tcPr>
            <w:tcW w:w="980" w:type="dxa"/>
            <w:vAlign w:val="bottom"/>
            <w:shd w:val="clear" w:color="auto" w:fill="CFF0FC"/>
          </w:tcPr>
          <w:p>
            <w:pPr>
              <w:spacing w:after="0"/>
              <w:rPr>
                <w:sz w:val="17"/>
                <w:szCs w:val="17"/>
                <w:color w:val="auto"/>
              </w:rPr>
            </w:pPr>
          </w:p>
        </w:tc>
        <w:tc>
          <w:tcPr>
            <w:tcW w:w="70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(1,089 )</w:t>
            </w:r>
          </w:p>
        </w:tc>
      </w:tr>
      <w:tr>
        <w:trPr>
          <w:trHeight w:val="203"/>
        </w:trPr>
        <w:tc>
          <w:tcPr>
            <w:tcW w:w="4520" w:type="dxa"/>
            <w:vAlign w:val="bottom"/>
          </w:tcPr>
          <w:p>
            <w:pPr>
              <w:ind w:left="200"/>
              <w:spacing w:after="0" w:line="202" w:lineRule="exact"/>
              <w:rPr>
                <w:sz w:val="20"/>
                <w:szCs w:val="20"/>
                <w:color w:val="auto"/>
              </w:rPr>
            </w:pPr>
            <w:r>
              <w:rPr>
                <w:rFonts w:ascii="Arial" w:cs="Arial" w:eastAsia="Arial" w:hAnsi="Arial"/>
                <w:sz w:val="18"/>
                <w:szCs w:val="18"/>
                <w:color w:val="auto"/>
              </w:rPr>
              <w:t>Interest and dividend income</w:t>
            </w:r>
          </w:p>
        </w:tc>
        <w:tc>
          <w:tcPr>
            <w:tcW w:w="3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982</w:t>
            </w: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700" w:type="dxa"/>
            <w:vAlign w:val="bottom"/>
            <w:gridSpan w:val="2"/>
          </w:tcPr>
          <w:p>
            <w:pPr>
              <w:jc w:val="right"/>
              <w:ind w:right="10"/>
              <w:spacing w:after="0" w:line="202" w:lineRule="exact"/>
              <w:rPr>
                <w:sz w:val="20"/>
                <w:szCs w:val="20"/>
                <w:color w:val="auto"/>
              </w:rPr>
            </w:pPr>
            <w:r>
              <w:rPr>
                <w:rFonts w:ascii="Arial" w:cs="Arial" w:eastAsia="Arial" w:hAnsi="Arial"/>
                <w:sz w:val="18"/>
                <w:szCs w:val="18"/>
                <w:color w:val="auto"/>
              </w:rPr>
              <w:t>—</w:t>
            </w:r>
          </w:p>
        </w:tc>
      </w:tr>
      <w:tr>
        <w:trPr>
          <w:trHeight w:val="203"/>
        </w:trPr>
        <w:tc>
          <w:tcPr>
            <w:tcW w:w="452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Other expenses</w:t>
            </w:r>
          </w:p>
        </w:tc>
        <w:tc>
          <w:tcPr>
            <w:tcW w:w="316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ind w:right="95"/>
              <w:spacing w:after="0" w:line="202" w:lineRule="exact"/>
              <w:rPr>
                <w:sz w:val="20"/>
                <w:szCs w:val="20"/>
                <w:color w:val="auto"/>
              </w:rPr>
            </w:pPr>
            <w:r>
              <w:rPr>
                <w:rFonts w:ascii="Arial" w:cs="Arial" w:eastAsia="Arial" w:hAnsi="Arial"/>
                <w:sz w:val="18"/>
                <w:szCs w:val="18"/>
                <w:color w:val="auto"/>
              </w:rPr>
              <w:t>(2,866 )</w:t>
            </w:r>
          </w:p>
        </w:tc>
        <w:tc>
          <w:tcPr>
            <w:tcW w:w="980" w:type="dxa"/>
            <w:vAlign w:val="bottom"/>
            <w:shd w:val="clear" w:color="auto" w:fill="CFF0FC"/>
          </w:tcPr>
          <w:p>
            <w:pPr>
              <w:spacing w:after="0"/>
              <w:rPr>
                <w:sz w:val="17"/>
                <w:szCs w:val="17"/>
                <w:color w:val="auto"/>
              </w:rPr>
            </w:pPr>
          </w:p>
        </w:tc>
        <w:tc>
          <w:tcPr>
            <w:tcW w:w="70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(780 )</w:t>
            </w:r>
          </w:p>
        </w:tc>
      </w:tr>
      <w:tr>
        <w:trPr>
          <w:trHeight w:val="203"/>
        </w:trPr>
        <w:tc>
          <w:tcPr>
            <w:tcW w:w="4520" w:type="dxa"/>
            <w:vAlign w:val="bottom"/>
          </w:tcPr>
          <w:p>
            <w:pPr>
              <w:ind w:left="200"/>
              <w:spacing w:after="0" w:line="202" w:lineRule="exact"/>
              <w:rPr>
                <w:sz w:val="20"/>
                <w:szCs w:val="20"/>
                <w:color w:val="auto"/>
              </w:rPr>
            </w:pPr>
            <w:r>
              <w:rPr>
                <w:rFonts w:ascii="Arial" w:cs="Arial" w:eastAsia="Arial" w:hAnsi="Arial"/>
                <w:sz w:val="18"/>
                <w:szCs w:val="18"/>
                <w:color w:val="auto"/>
              </w:rPr>
              <w:t>Income from unconsolidated joint venture</w:t>
            </w:r>
          </w:p>
        </w:tc>
        <w:tc>
          <w:tcPr>
            <w:tcW w:w="3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41</w:t>
            </w: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700" w:type="dxa"/>
            <w:vAlign w:val="bottom"/>
            <w:gridSpan w:val="2"/>
          </w:tcPr>
          <w:p>
            <w:pPr>
              <w:jc w:val="right"/>
              <w:ind w:right="10"/>
              <w:spacing w:after="0" w:line="202" w:lineRule="exact"/>
              <w:rPr>
                <w:sz w:val="20"/>
                <w:szCs w:val="20"/>
                <w:color w:val="auto"/>
              </w:rPr>
            </w:pPr>
            <w:r>
              <w:rPr>
                <w:rFonts w:ascii="Arial" w:cs="Arial" w:eastAsia="Arial" w:hAnsi="Arial"/>
                <w:sz w:val="18"/>
                <w:szCs w:val="18"/>
                <w:color w:val="auto"/>
              </w:rPr>
              <w:t>—</w:t>
            </w:r>
          </w:p>
        </w:tc>
      </w:tr>
      <w:tr>
        <w:trPr>
          <w:trHeight w:val="196"/>
        </w:trPr>
        <w:tc>
          <w:tcPr>
            <w:tcW w:w="4520" w:type="dxa"/>
            <w:vAlign w:val="bottom"/>
            <w:tcBorders>
              <w:bottom w:val="single" w:sz="8" w:color="CFF0FC"/>
            </w:tcBorders>
            <w:shd w:val="clear" w:color="auto" w:fill="CFF0FC"/>
          </w:tcPr>
          <w:p>
            <w:pPr>
              <w:ind w:left="380"/>
              <w:spacing w:after="0" w:line="196" w:lineRule="exact"/>
              <w:rPr>
                <w:sz w:val="20"/>
                <w:szCs w:val="20"/>
                <w:color w:val="auto"/>
              </w:rPr>
            </w:pPr>
            <w:r>
              <w:rPr>
                <w:rFonts w:ascii="Arial" w:cs="Arial" w:eastAsia="Arial" w:hAnsi="Arial"/>
                <w:sz w:val="18"/>
                <w:szCs w:val="18"/>
                <w:color w:val="auto"/>
              </w:rPr>
              <w:t>Total other expenses</w:t>
            </w:r>
          </w:p>
        </w:tc>
        <w:tc>
          <w:tcPr>
            <w:tcW w:w="3160" w:type="dxa"/>
            <w:vAlign w:val="bottom"/>
            <w:tcBorders>
              <w:bottom w:val="single" w:sz="8" w:color="CFF0FC"/>
            </w:tcBorders>
            <w:shd w:val="clear" w:color="auto" w:fill="CFF0FC"/>
          </w:tcPr>
          <w:p>
            <w:pPr>
              <w:spacing w:after="0"/>
              <w:rPr>
                <w:sz w:val="17"/>
                <w:szCs w:val="17"/>
                <w:color w:val="auto"/>
              </w:rPr>
            </w:pPr>
          </w:p>
        </w:tc>
        <w:tc>
          <w:tcPr>
            <w:tcW w:w="1000" w:type="dxa"/>
            <w:vAlign w:val="bottom"/>
            <w:tcBorders>
              <w:top w:val="single" w:sz="8" w:color="auto"/>
              <w:bottom w:val="single" w:sz="8" w:color="auto"/>
            </w:tcBorders>
            <w:shd w:val="clear" w:color="auto" w:fill="CFF0FC"/>
          </w:tcPr>
          <w:p>
            <w:pPr>
              <w:spacing w:after="0"/>
              <w:rPr>
                <w:sz w:val="17"/>
                <w:szCs w:val="17"/>
                <w:color w:val="auto"/>
              </w:rPr>
            </w:pPr>
          </w:p>
        </w:tc>
        <w:tc>
          <w:tcPr>
            <w:tcW w:w="6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(2,695</w:t>
            </w:r>
          </w:p>
        </w:tc>
        <w:tc>
          <w:tcPr>
            <w:tcW w:w="260" w:type="dxa"/>
            <w:vAlign w:val="bottom"/>
            <w:tcBorders>
              <w:bottom w:val="single" w:sz="8" w:color="CFF0FC"/>
            </w:tcBorders>
            <w:shd w:val="clear" w:color="auto" w:fill="CFF0FC"/>
          </w:tcPr>
          <w:p>
            <w:pPr>
              <w:jc w:val="right"/>
              <w:ind w:right="95"/>
              <w:spacing w:after="0" w:line="196" w:lineRule="exact"/>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shd w:val="clear" w:color="auto" w:fill="CFF0FC"/>
          </w:tcPr>
          <w:p>
            <w:pPr>
              <w:spacing w:after="0"/>
              <w:rPr>
                <w:sz w:val="17"/>
                <w:szCs w:val="17"/>
                <w:color w:val="auto"/>
              </w:rPr>
            </w:pPr>
          </w:p>
        </w:tc>
        <w:tc>
          <w:tcPr>
            <w:tcW w:w="6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(1,869</w:t>
            </w:r>
          </w:p>
        </w:tc>
        <w:tc>
          <w:tcPr>
            <w:tcW w:w="80" w:type="dxa"/>
            <w:vAlign w:val="bottom"/>
            <w:tcBorders>
              <w:bottom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r>
      <w:tr>
        <w:trPr>
          <w:trHeight w:val="196"/>
        </w:trPr>
        <w:tc>
          <w:tcPr>
            <w:tcW w:w="4520" w:type="dxa"/>
            <w:vAlign w:val="bottom"/>
          </w:tcPr>
          <w:p>
            <w:pPr>
              <w:ind w:left="20"/>
              <w:spacing w:after="0" w:line="196" w:lineRule="exact"/>
              <w:rPr>
                <w:sz w:val="20"/>
                <w:szCs w:val="20"/>
                <w:color w:val="auto"/>
              </w:rPr>
            </w:pPr>
            <w:r>
              <w:rPr>
                <w:rFonts w:ascii="Arial" w:cs="Arial" w:eastAsia="Arial" w:hAnsi="Arial"/>
                <w:sz w:val="18"/>
                <w:szCs w:val="18"/>
                <w:color w:val="auto"/>
              </w:rPr>
              <w:t>Net loss</w:t>
            </w:r>
          </w:p>
        </w:tc>
        <w:tc>
          <w:tcPr>
            <w:tcW w:w="3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80" w:type="dxa"/>
            <w:vAlign w:val="bottom"/>
            <w:gridSpan w:val="2"/>
          </w:tcPr>
          <w:p>
            <w:pPr>
              <w:jc w:val="right"/>
              <w:ind w:right="95"/>
              <w:spacing w:after="0" w:line="196" w:lineRule="exact"/>
              <w:rPr>
                <w:sz w:val="20"/>
                <w:szCs w:val="20"/>
                <w:color w:val="auto"/>
              </w:rPr>
            </w:pPr>
            <w:r>
              <w:rPr>
                <w:rFonts w:ascii="Arial" w:cs="Arial" w:eastAsia="Arial" w:hAnsi="Arial"/>
                <w:sz w:val="18"/>
                <w:szCs w:val="18"/>
                <w:color w:val="auto"/>
                <w:w w:val="94"/>
              </w:rPr>
              <w:t>(61,381 )</w:t>
            </w:r>
          </w:p>
        </w:tc>
        <w:tc>
          <w:tcPr>
            <w:tcW w:w="980" w:type="dxa"/>
            <w:vAlign w:val="bottom"/>
          </w:tcPr>
          <w:p>
            <w:pPr>
              <w:spacing w:after="0"/>
              <w:rPr>
                <w:sz w:val="17"/>
                <w:szCs w:val="17"/>
                <w:color w:val="auto"/>
              </w:rPr>
            </w:pPr>
          </w:p>
        </w:tc>
        <w:tc>
          <w:tcPr>
            <w:tcW w:w="700" w:type="dxa"/>
            <w:vAlign w:val="bottom"/>
            <w:gridSpan w:val="2"/>
          </w:tcPr>
          <w:p>
            <w:pPr>
              <w:jc w:val="right"/>
              <w:spacing w:after="0" w:line="196" w:lineRule="exact"/>
              <w:rPr>
                <w:sz w:val="20"/>
                <w:szCs w:val="20"/>
                <w:color w:val="auto"/>
              </w:rPr>
            </w:pPr>
            <w:r>
              <w:rPr>
                <w:rFonts w:ascii="Arial" w:cs="Arial" w:eastAsia="Arial" w:hAnsi="Arial"/>
                <w:sz w:val="18"/>
                <w:szCs w:val="18"/>
                <w:color w:val="auto"/>
                <w:w w:val="94"/>
              </w:rPr>
              <w:t>(31,085 )</w:t>
            </w:r>
          </w:p>
        </w:tc>
      </w:tr>
      <w:tr>
        <w:trPr>
          <w:trHeight w:val="203"/>
        </w:trPr>
        <w:tc>
          <w:tcPr>
            <w:tcW w:w="452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Deemed dividend to preferred stockholders</w:t>
            </w:r>
          </w:p>
        </w:tc>
        <w:tc>
          <w:tcPr>
            <w:tcW w:w="316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ind w:right="175"/>
              <w:spacing w:after="0" w:line="202" w:lineRule="exact"/>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spacing w:after="0"/>
              <w:rPr>
                <w:sz w:val="17"/>
                <w:szCs w:val="17"/>
                <w:color w:val="auto"/>
              </w:rPr>
            </w:pPr>
          </w:p>
        </w:tc>
        <w:tc>
          <w:tcPr>
            <w:tcW w:w="70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(8,801 )</w:t>
            </w:r>
          </w:p>
        </w:tc>
      </w:tr>
      <w:tr>
        <w:trPr>
          <w:trHeight w:val="203"/>
        </w:trPr>
        <w:tc>
          <w:tcPr>
            <w:tcW w:w="4520" w:type="dxa"/>
            <w:vAlign w:val="bottom"/>
          </w:tcPr>
          <w:p>
            <w:pPr>
              <w:ind w:left="200"/>
              <w:spacing w:after="0" w:line="202" w:lineRule="exact"/>
              <w:rPr>
                <w:sz w:val="20"/>
                <w:szCs w:val="20"/>
                <w:color w:val="auto"/>
              </w:rPr>
            </w:pPr>
            <w:r>
              <w:rPr>
                <w:rFonts w:ascii="Arial" w:cs="Arial" w:eastAsia="Arial" w:hAnsi="Arial"/>
                <w:sz w:val="18"/>
                <w:szCs w:val="18"/>
                <w:color w:val="auto"/>
              </w:rPr>
              <w:t>Net loss attributable to noncontrolling interest</w:t>
            </w:r>
          </w:p>
        </w:tc>
        <w:tc>
          <w:tcPr>
            <w:tcW w:w="3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2</w:t>
            </w: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700" w:type="dxa"/>
            <w:vAlign w:val="bottom"/>
            <w:gridSpan w:val="2"/>
          </w:tcPr>
          <w:p>
            <w:pPr>
              <w:jc w:val="right"/>
              <w:ind w:right="10"/>
              <w:spacing w:after="0" w:line="202" w:lineRule="exact"/>
              <w:rPr>
                <w:sz w:val="20"/>
                <w:szCs w:val="20"/>
                <w:color w:val="auto"/>
              </w:rPr>
            </w:pPr>
            <w:r>
              <w:rPr>
                <w:rFonts w:ascii="Arial" w:cs="Arial" w:eastAsia="Arial" w:hAnsi="Arial"/>
                <w:sz w:val="18"/>
                <w:szCs w:val="18"/>
                <w:color w:val="auto"/>
              </w:rPr>
              <w:t>—</w:t>
            </w:r>
          </w:p>
        </w:tc>
      </w:tr>
      <w:tr>
        <w:trPr>
          <w:trHeight w:val="236"/>
        </w:trPr>
        <w:tc>
          <w:tcPr>
            <w:tcW w:w="452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Net loss attributable to common stockholders</w:t>
            </w:r>
          </w:p>
        </w:tc>
        <w:tc>
          <w:tcPr>
            <w:tcW w:w="3160" w:type="dxa"/>
            <w:vAlign w:val="bottom"/>
            <w:tcBorders>
              <w:bottom w:val="single" w:sz="8" w:color="CFF0FC"/>
            </w:tcBorders>
            <w:shd w:val="clear" w:color="auto" w:fill="CFF0FC"/>
          </w:tcPr>
          <w:p>
            <w:pPr>
              <w:spacing w:after="0"/>
              <w:rPr>
                <w:sz w:val="20"/>
                <w:szCs w:val="20"/>
                <w:color w:val="auto"/>
              </w:rPr>
            </w:pPr>
          </w:p>
        </w:tc>
        <w:tc>
          <w:tcPr>
            <w:tcW w:w="1000" w:type="dxa"/>
            <w:vAlign w:val="bottom"/>
            <w:tcBorders>
              <w:top w:val="single" w:sz="8" w:color="auto"/>
              <w:bottom w:val="single" w:sz="8" w:color="auto"/>
            </w:tcBorders>
            <w:shd w:val="clear" w:color="auto" w:fill="CFF0FC"/>
          </w:tcPr>
          <w:p>
            <w:pPr>
              <w:jc w:val="right"/>
              <w:ind w:right="802"/>
              <w:spacing w:after="0" w:line="196" w:lineRule="exact"/>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8"/>
              </w:rPr>
              <w:t>(61,379</w:t>
            </w:r>
          </w:p>
        </w:tc>
        <w:tc>
          <w:tcPr>
            <w:tcW w:w="260" w:type="dxa"/>
            <w:vAlign w:val="bottom"/>
            <w:tcBorders>
              <w:bottom w:val="single" w:sz="8" w:color="CFF0FC"/>
            </w:tcBorders>
            <w:shd w:val="clear" w:color="auto" w:fill="CFF0FC"/>
          </w:tcPr>
          <w:p>
            <w:pPr>
              <w:jc w:val="right"/>
              <w:ind w:right="95"/>
              <w:spacing w:after="0" w:line="196" w:lineRule="exact"/>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shd w:val="clear" w:color="auto" w:fill="CFF0FC"/>
          </w:tcPr>
          <w:p>
            <w:pPr>
              <w:jc w:val="right"/>
              <w:ind w:right="796"/>
              <w:spacing w:after="0" w:line="196" w:lineRule="exact"/>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4"/>
              </w:rPr>
              <w:t>(39,886</w:t>
            </w:r>
          </w:p>
        </w:tc>
        <w:tc>
          <w:tcPr>
            <w:tcW w:w="80" w:type="dxa"/>
            <w:vAlign w:val="bottom"/>
            <w:tcBorders>
              <w:bottom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r>
      <w:tr>
        <w:trPr>
          <w:trHeight w:val="399"/>
        </w:trPr>
        <w:tc>
          <w:tcPr>
            <w:tcW w:w="4520" w:type="dxa"/>
            <w:vAlign w:val="bottom"/>
          </w:tcPr>
          <w:p>
            <w:pPr>
              <w:spacing w:after="0"/>
              <w:rPr>
                <w:sz w:val="24"/>
                <w:szCs w:val="24"/>
                <w:color w:val="auto"/>
              </w:rPr>
            </w:pPr>
          </w:p>
        </w:tc>
        <w:tc>
          <w:tcPr>
            <w:tcW w:w="3160" w:type="dxa"/>
            <w:vAlign w:val="bottom"/>
          </w:tcPr>
          <w:p>
            <w:pPr>
              <w:jc w:val="right"/>
              <w:ind w:right="1870"/>
              <w:spacing w:after="0"/>
              <w:rPr>
                <w:sz w:val="20"/>
                <w:szCs w:val="20"/>
                <w:color w:val="auto"/>
              </w:rPr>
            </w:pPr>
            <w:r>
              <w:rPr>
                <w:rFonts w:ascii="Arial" w:cs="Arial" w:eastAsia="Arial" w:hAnsi="Arial"/>
                <w:sz w:val="18"/>
                <w:szCs w:val="18"/>
                <w:color w:val="auto"/>
              </w:rPr>
              <w:t>50</w:t>
            </w:r>
          </w:p>
        </w:tc>
        <w:tc>
          <w:tcPr>
            <w:tcW w:w="10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01"/>
        </w:trPr>
        <w:tc>
          <w:tcPr>
            <w:tcW w:w="4520" w:type="dxa"/>
            <w:vAlign w:val="bottom"/>
            <w:tcBorders>
              <w:bottom w:val="single" w:sz="8" w:color="9A9A9A"/>
            </w:tcBorders>
          </w:tcPr>
          <w:p>
            <w:pPr>
              <w:spacing w:after="0"/>
              <w:rPr>
                <w:sz w:val="8"/>
                <w:szCs w:val="8"/>
                <w:color w:val="auto"/>
              </w:rPr>
            </w:pPr>
          </w:p>
        </w:tc>
        <w:tc>
          <w:tcPr>
            <w:tcW w:w="3160" w:type="dxa"/>
            <w:vAlign w:val="bottom"/>
            <w:tcBorders>
              <w:bottom w:val="single" w:sz="8" w:color="9A9A9A"/>
            </w:tcBorders>
          </w:tcPr>
          <w:p>
            <w:pPr>
              <w:spacing w:after="0"/>
              <w:rPr>
                <w:sz w:val="8"/>
                <w:szCs w:val="8"/>
                <w:color w:val="auto"/>
              </w:rPr>
            </w:pPr>
          </w:p>
        </w:tc>
        <w:tc>
          <w:tcPr>
            <w:tcW w:w="1000" w:type="dxa"/>
            <w:vAlign w:val="bottom"/>
            <w:tcBorders>
              <w:bottom w:val="single" w:sz="8" w:color="9A9A9A"/>
            </w:tcBorders>
          </w:tcPr>
          <w:p>
            <w:pPr>
              <w:spacing w:after="0"/>
              <w:rPr>
                <w:sz w:val="8"/>
                <w:szCs w:val="8"/>
                <w:color w:val="auto"/>
              </w:rPr>
            </w:pPr>
          </w:p>
        </w:tc>
        <w:tc>
          <w:tcPr>
            <w:tcW w:w="62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980" w:type="dxa"/>
            <w:vAlign w:val="bottom"/>
            <w:tcBorders>
              <w:bottom w:val="single" w:sz="8" w:color="9A9A9A"/>
            </w:tcBorders>
          </w:tcPr>
          <w:p>
            <w:pPr>
              <w:spacing w:after="0"/>
              <w:rPr>
                <w:sz w:val="8"/>
                <w:szCs w:val="8"/>
                <w:color w:val="auto"/>
              </w:rPr>
            </w:pPr>
          </w:p>
        </w:tc>
        <w:tc>
          <w:tcPr>
            <w:tcW w:w="62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-1950720</wp:posOffset>
            </wp:positionV>
            <wp:extent cx="51435" cy="571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-1950720</wp:posOffset>
            </wp:positionV>
            <wp:extent cx="51435" cy="571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-896620</wp:posOffset>
            </wp:positionV>
            <wp:extent cx="51435" cy="571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-896620</wp:posOffset>
            </wp:positionV>
            <wp:extent cx="51435" cy="571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-367665</wp:posOffset>
            </wp:positionV>
            <wp:extent cx="5143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-350520</wp:posOffset>
            </wp:positionV>
            <wp:extent cx="5143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-367665</wp:posOffset>
            </wp:positionV>
            <wp:extent cx="5143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-350520</wp:posOffset>
            </wp:positionV>
            <wp:extent cx="5143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53" w:name="page54"/>
    <w:bookmarkEnd w:id="53"/>
    <w:p>
      <w:pPr>
        <w:ind w:left="640"/>
        <w:spacing w:after="0"/>
        <w:rPr>
          <w:sz w:val="20"/>
          <w:szCs w:val="20"/>
          <w:color w:val="auto"/>
        </w:rPr>
      </w:pPr>
      <w:r>
        <w:rPr>
          <w:rFonts w:ascii="Arial" w:cs="Arial" w:eastAsia="Arial" w:hAnsi="Arial"/>
          <w:sz w:val="18"/>
          <w:szCs w:val="18"/>
          <w:color w:val="auto"/>
        </w:rPr>
        <w:t>The following table sets forth our statement of operations data expressed as a percentage of total revenue for the years indicated:</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660" w:type="dxa"/>
            <w:vAlign w:val="bottom"/>
          </w:tcPr>
          <w:p>
            <w:pPr>
              <w:spacing w:after="0"/>
              <w:rPr>
                <w:sz w:val="16"/>
                <w:szCs w:val="16"/>
                <w:color w:val="auto"/>
              </w:rPr>
            </w:pPr>
          </w:p>
        </w:tc>
        <w:tc>
          <w:tcPr>
            <w:tcW w:w="2440" w:type="dxa"/>
            <w:vAlign w:val="bottom"/>
            <w:tcBorders>
              <w:bottom w:val="single" w:sz="8" w:color="auto"/>
            </w:tcBorders>
            <w:gridSpan w:val="3"/>
          </w:tcPr>
          <w:p>
            <w:pPr>
              <w:ind w:left="840"/>
              <w:spacing w:after="0"/>
              <w:rPr>
                <w:sz w:val="20"/>
                <w:szCs w:val="20"/>
                <w:color w:val="auto"/>
              </w:rPr>
            </w:pPr>
            <w:r>
              <w:rPr>
                <w:rFonts w:ascii="Arial" w:cs="Arial" w:eastAsia="Arial" w:hAnsi="Arial"/>
                <w:sz w:val="14"/>
                <w:szCs w:val="14"/>
                <w:b w:val="1"/>
                <w:bCs w:val="1"/>
                <w:color w:val="auto"/>
                <w:w w:val="91"/>
              </w:rPr>
              <w:t>Year Ended December 31,</w:t>
            </w:r>
          </w:p>
        </w:tc>
        <w:tc>
          <w:tcPr>
            <w:tcW w:w="820" w:type="dxa"/>
            <w:vAlign w:val="bottom"/>
            <w:tcBorders>
              <w:bottom w:val="single" w:sz="8" w:color="auto"/>
            </w:tcBorders>
          </w:tcPr>
          <w:p>
            <w:pPr>
              <w:spacing w:after="0"/>
              <w:rPr>
                <w:sz w:val="16"/>
                <w:szCs w:val="16"/>
                <w:color w:val="auto"/>
              </w:rPr>
            </w:pPr>
          </w:p>
        </w:tc>
        <w:tc>
          <w:tcPr>
            <w:tcW w:w="320" w:type="dxa"/>
            <w:vAlign w:val="bottom"/>
          </w:tcPr>
          <w:p>
            <w:pPr>
              <w:spacing w:after="0"/>
              <w:rPr>
                <w:sz w:val="16"/>
                <w:szCs w:val="16"/>
                <w:color w:val="auto"/>
              </w:rPr>
            </w:pPr>
          </w:p>
        </w:tc>
      </w:tr>
      <w:tr>
        <w:trPr>
          <w:trHeight w:val="169"/>
        </w:trPr>
        <w:tc>
          <w:tcPr>
            <w:tcW w:w="7660" w:type="dxa"/>
            <w:vAlign w:val="bottom"/>
          </w:tcPr>
          <w:p>
            <w:pPr>
              <w:spacing w:after="0"/>
              <w:rPr>
                <w:sz w:val="14"/>
                <w:szCs w:val="14"/>
                <w:color w:val="auto"/>
              </w:rPr>
            </w:pPr>
          </w:p>
        </w:tc>
        <w:tc>
          <w:tcPr>
            <w:tcW w:w="140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2021</w:t>
            </w:r>
          </w:p>
        </w:tc>
        <w:tc>
          <w:tcPr>
            <w:tcW w:w="50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w w:val="83"/>
              </w:rPr>
              <w:t>2020</w:t>
            </w:r>
          </w:p>
        </w:tc>
        <w:tc>
          <w:tcPr>
            <w:tcW w:w="320" w:type="dxa"/>
            <w:vAlign w:val="bottom"/>
          </w:tcPr>
          <w:p>
            <w:pPr>
              <w:spacing w:after="0"/>
              <w:rPr>
                <w:sz w:val="14"/>
                <w:szCs w:val="14"/>
                <w:color w:val="auto"/>
              </w:rPr>
            </w:pPr>
          </w:p>
        </w:tc>
      </w:tr>
      <w:tr>
        <w:trPr>
          <w:trHeight w:val="169"/>
        </w:trPr>
        <w:tc>
          <w:tcPr>
            <w:tcW w:w="766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Arial" w:cs="Arial" w:eastAsia="Arial" w:hAnsi="Arial"/>
                <w:sz w:val="14"/>
                <w:szCs w:val="14"/>
                <w:b w:val="1"/>
                <w:bCs w:val="1"/>
                <w:color w:val="auto"/>
              </w:rPr>
              <w:t>(in</w:t>
            </w:r>
          </w:p>
        </w:tc>
        <w:tc>
          <w:tcPr>
            <w:tcW w:w="1040" w:type="dxa"/>
            <w:vAlign w:val="bottom"/>
            <w:gridSpan w:val="2"/>
          </w:tcPr>
          <w:p>
            <w:pPr>
              <w:spacing w:after="0"/>
              <w:rPr>
                <w:sz w:val="20"/>
                <w:szCs w:val="20"/>
                <w:color w:val="auto"/>
              </w:rPr>
            </w:pPr>
            <w:r>
              <w:rPr>
                <w:rFonts w:ascii="Arial" w:cs="Arial" w:eastAsia="Arial" w:hAnsi="Arial"/>
                <w:sz w:val="14"/>
                <w:szCs w:val="14"/>
                <w:b w:val="1"/>
                <w:bCs w:val="1"/>
                <w:color w:val="auto"/>
              </w:rPr>
              <w:t>thousands)</w:t>
            </w: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r>
      <w:tr>
        <w:trPr>
          <w:trHeight w:val="203"/>
        </w:trPr>
        <w:tc>
          <w:tcPr>
            <w:tcW w:w="76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Revenue</w:t>
            </w:r>
          </w:p>
        </w:tc>
        <w:tc>
          <w:tcPr>
            <w:tcW w:w="1900" w:type="dxa"/>
            <w:vAlign w:val="bottom"/>
            <w:gridSpan w:val="2"/>
            <w:shd w:val="clear" w:color="auto" w:fill="CFF0FC"/>
          </w:tcPr>
          <w:p>
            <w:pPr>
              <w:jc w:val="right"/>
              <w:ind w:right="234"/>
              <w:spacing w:after="0" w:line="202" w:lineRule="exact"/>
              <w:rPr>
                <w:sz w:val="20"/>
                <w:szCs w:val="20"/>
                <w:color w:val="auto"/>
              </w:rPr>
            </w:pPr>
            <w:r>
              <w:rPr>
                <w:rFonts w:ascii="Arial" w:cs="Arial" w:eastAsia="Arial" w:hAnsi="Arial"/>
                <w:sz w:val="18"/>
                <w:szCs w:val="18"/>
                <w:color w:val="auto"/>
              </w:rPr>
              <w:t>100.0 %</w:t>
            </w:r>
          </w:p>
        </w:tc>
        <w:tc>
          <w:tcPr>
            <w:tcW w:w="54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rPr>
              <w:t>100.0 %</w:t>
            </w:r>
          </w:p>
        </w:tc>
      </w:tr>
      <w:tr>
        <w:trPr>
          <w:trHeight w:val="203"/>
        </w:trPr>
        <w:tc>
          <w:tcPr>
            <w:tcW w:w="7660" w:type="dxa"/>
            <w:vAlign w:val="bottom"/>
          </w:tcPr>
          <w:p>
            <w:pPr>
              <w:ind w:left="20"/>
              <w:spacing w:after="0" w:line="202" w:lineRule="exact"/>
              <w:rPr>
                <w:sz w:val="20"/>
                <w:szCs w:val="20"/>
                <w:color w:val="auto"/>
              </w:rPr>
            </w:pPr>
            <w:r>
              <w:rPr>
                <w:rFonts w:ascii="Arial" w:cs="Arial" w:eastAsia="Arial" w:hAnsi="Arial"/>
                <w:sz w:val="18"/>
                <w:szCs w:val="18"/>
                <w:color w:val="auto"/>
              </w:rPr>
              <w:t>Cost of revenue</w:t>
            </w:r>
          </w:p>
        </w:tc>
        <w:tc>
          <w:tcPr>
            <w:tcW w:w="1900" w:type="dxa"/>
            <w:vAlign w:val="bottom"/>
            <w:gridSpan w:val="2"/>
          </w:tcPr>
          <w:p>
            <w:pPr>
              <w:jc w:val="right"/>
              <w:ind w:right="234"/>
              <w:spacing w:after="0" w:line="202" w:lineRule="exact"/>
              <w:rPr>
                <w:sz w:val="20"/>
                <w:szCs w:val="20"/>
                <w:color w:val="auto"/>
              </w:rPr>
            </w:pPr>
            <w:r>
              <w:rPr>
                <w:rFonts w:ascii="Arial" w:cs="Arial" w:eastAsia="Arial" w:hAnsi="Arial"/>
                <w:sz w:val="18"/>
                <w:szCs w:val="18"/>
                <w:color w:val="auto"/>
              </w:rPr>
              <w:t>73.8 %</w:t>
            </w:r>
          </w:p>
        </w:tc>
        <w:tc>
          <w:tcPr>
            <w:tcW w:w="540" w:type="dxa"/>
            <w:vAlign w:val="bottom"/>
          </w:tcPr>
          <w:p>
            <w:pPr>
              <w:spacing w:after="0"/>
              <w:rPr>
                <w:sz w:val="17"/>
                <w:szCs w:val="17"/>
                <w:color w:val="auto"/>
              </w:rPr>
            </w:pPr>
          </w:p>
        </w:tc>
        <w:tc>
          <w:tcPr>
            <w:tcW w:w="1140" w:type="dxa"/>
            <w:vAlign w:val="bottom"/>
            <w:gridSpan w:val="2"/>
          </w:tcPr>
          <w:p>
            <w:pPr>
              <w:jc w:val="right"/>
              <w:ind w:right="50"/>
              <w:spacing w:after="0" w:line="202" w:lineRule="exact"/>
              <w:rPr>
                <w:sz w:val="20"/>
                <w:szCs w:val="20"/>
                <w:color w:val="auto"/>
              </w:rPr>
            </w:pPr>
            <w:r>
              <w:rPr>
                <w:rFonts w:ascii="Arial" w:cs="Arial" w:eastAsia="Arial" w:hAnsi="Arial"/>
                <w:sz w:val="18"/>
                <w:szCs w:val="18"/>
                <w:color w:val="auto"/>
              </w:rPr>
              <w:t>76.5 %</w:t>
            </w:r>
          </w:p>
        </w:tc>
      </w:tr>
      <w:tr>
        <w:trPr>
          <w:trHeight w:val="196"/>
        </w:trPr>
        <w:tc>
          <w:tcPr>
            <w:tcW w:w="766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Gross profit</w:t>
            </w:r>
          </w:p>
        </w:tc>
        <w:tc>
          <w:tcPr>
            <w:tcW w:w="140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26.2</w:t>
            </w:r>
          </w:p>
        </w:tc>
        <w:tc>
          <w:tcPr>
            <w:tcW w:w="500" w:type="dxa"/>
            <w:vAlign w:val="bottom"/>
            <w:tcBorders>
              <w:bottom w:val="single" w:sz="8" w:color="CFF0FC"/>
            </w:tcBorders>
            <w:shd w:val="clear" w:color="auto" w:fill="CFF0FC"/>
          </w:tcPr>
          <w:p>
            <w:pPr>
              <w:jc w:val="right"/>
              <w:ind w:right="234"/>
              <w:spacing w:after="0" w:line="196" w:lineRule="exact"/>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bottom w:val="single" w:sz="8" w:color="auto"/>
            </w:tcBorders>
            <w:shd w:val="clear" w:color="auto" w:fill="CFF0FC"/>
          </w:tcPr>
          <w:p>
            <w:pPr>
              <w:spacing w:after="0"/>
              <w:rPr>
                <w:sz w:val="17"/>
                <w:szCs w:val="17"/>
                <w:color w:val="auto"/>
              </w:rPr>
            </w:pPr>
          </w:p>
        </w:tc>
        <w:tc>
          <w:tcPr>
            <w:tcW w:w="8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23.5</w:t>
            </w:r>
          </w:p>
        </w:tc>
        <w:tc>
          <w:tcPr>
            <w:tcW w:w="320" w:type="dxa"/>
            <w:vAlign w:val="bottom"/>
            <w:tcBorders>
              <w:bottom w:val="single" w:sz="8" w:color="CFF0FC"/>
            </w:tcBorders>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99"/>
              </w:rPr>
              <w:t>%</w:t>
            </w:r>
          </w:p>
        </w:tc>
      </w:tr>
      <w:tr>
        <w:trPr>
          <w:trHeight w:val="196"/>
        </w:trPr>
        <w:tc>
          <w:tcPr>
            <w:tcW w:w="7660" w:type="dxa"/>
            <w:vAlign w:val="bottom"/>
          </w:tcPr>
          <w:p>
            <w:pPr>
              <w:ind w:left="20"/>
              <w:spacing w:after="0" w:line="196" w:lineRule="exact"/>
              <w:rPr>
                <w:sz w:val="20"/>
                <w:szCs w:val="20"/>
                <w:color w:val="auto"/>
              </w:rPr>
            </w:pPr>
            <w:r>
              <w:rPr>
                <w:rFonts w:ascii="Arial" w:cs="Arial" w:eastAsia="Arial" w:hAnsi="Arial"/>
                <w:sz w:val="18"/>
                <w:szCs w:val="18"/>
                <w:color w:val="auto"/>
              </w:rPr>
              <w:t>Operating expenses:</w:t>
            </w:r>
          </w:p>
        </w:tc>
        <w:tc>
          <w:tcPr>
            <w:tcW w:w="14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r>
      <w:tr>
        <w:trPr>
          <w:trHeight w:val="203"/>
        </w:trPr>
        <w:tc>
          <w:tcPr>
            <w:tcW w:w="766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Sales and marketing</w:t>
            </w:r>
          </w:p>
        </w:tc>
        <w:tc>
          <w:tcPr>
            <w:tcW w:w="1900" w:type="dxa"/>
            <w:vAlign w:val="bottom"/>
            <w:gridSpan w:val="2"/>
            <w:shd w:val="clear" w:color="auto" w:fill="CFF0FC"/>
          </w:tcPr>
          <w:p>
            <w:pPr>
              <w:jc w:val="right"/>
              <w:ind w:right="234"/>
              <w:spacing w:after="0" w:line="202" w:lineRule="exact"/>
              <w:rPr>
                <w:sz w:val="20"/>
                <w:szCs w:val="20"/>
                <w:color w:val="auto"/>
              </w:rPr>
            </w:pPr>
            <w:r>
              <w:rPr>
                <w:rFonts w:ascii="Arial" w:cs="Arial" w:eastAsia="Arial" w:hAnsi="Arial"/>
                <w:sz w:val="18"/>
                <w:szCs w:val="18"/>
                <w:color w:val="auto"/>
              </w:rPr>
              <w:t>18.1 %</w:t>
            </w:r>
          </w:p>
        </w:tc>
        <w:tc>
          <w:tcPr>
            <w:tcW w:w="54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rPr>
              <w:t>16.0 %</w:t>
            </w:r>
          </w:p>
        </w:tc>
      </w:tr>
      <w:tr>
        <w:trPr>
          <w:trHeight w:val="203"/>
        </w:trPr>
        <w:tc>
          <w:tcPr>
            <w:tcW w:w="7660" w:type="dxa"/>
            <w:vAlign w:val="bottom"/>
          </w:tcPr>
          <w:p>
            <w:pPr>
              <w:ind w:left="200"/>
              <w:spacing w:after="0" w:line="202" w:lineRule="exact"/>
              <w:rPr>
                <w:sz w:val="20"/>
                <w:szCs w:val="20"/>
                <w:color w:val="auto"/>
              </w:rPr>
            </w:pPr>
            <w:r>
              <w:rPr>
                <w:rFonts w:ascii="Arial" w:cs="Arial" w:eastAsia="Arial" w:hAnsi="Arial"/>
                <w:sz w:val="18"/>
                <w:szCs w:val="18"/>
                <w:color w:val="auto"/>
              </w:rPr>
              <w:t>Operations and support</w:t>
            </w:r>
          </w:p>
        </w:tc>
        <w:tc>
          <w:tcPr>
            <w:tcW w:w="1900" w:type="dxa"/>
            <w:vAlign w:val="bottom"/>
            <w:gridSpan w:val="2"/>
          </w:tcPr>
          <w:p>
            <w:pPr>
              <w:jc w:val="right"/>
              <w:ind w:right="234"/>
              <w:spacing w:after="0" w:line="202" w:lineRule="exact"/>
              <w:rPr>
                <w:sz w:val="20"/>
                <w:szCs w:val="20"/>
                <w:color w:val="auto"/>
              </w:rPr>
            </w:pPr>
            <w:r>
              <w:rPr>
                <w:rFonts w:ascii="Arial" w:cs="Arial" w:eastAsia="Arial" w:hAnsi="Arial"/>
                <w:sz w:val="18"/>
                <w:szCs w:val="18"/>
                <w:color w:val="auto"/>
              </w:rPr>
              <w:t>10.8 %</w:t>
            </w:r>
          </w:p>
        </w:tc>
        <w:tc>
          <w:tcPr>
            <w:tcW w:w="540" w:type="dxa"/>
            <w:vAlign w:val="bottom"/>
          </w:tcPr>
          <w:p>
            <w:pPr>
              <w:spacing w:after="0"/>
              <w:rPr>
                <w:sz w:val="17"/>
                <w:szCs w:val="17"/>
                <w:color w:val="auto"/>
              </w:rPr>
            </w:pPr>
          </w:p>
        </w:tc>
        <w:tc>
          <w:tcPr>
            <w:tcW w:w="1140" w:type="dxa"/>
            <w:vAlign w:val="bottom"/>
            <w:gridSpan w:val="2"/>
          </w:tcPr>
          <w:p>
            <w:pPr>
              <w:jc w:val="right"/>
              <w:ind w:right="50"/>
              <w:spacing w:after="0" w:line="202" w:lineRule="exact"/>
              <w:rPr>
                <w:sz w:val="20"/>
                <w:szCs w:val="20"/>
                <w:color w:val="auto"/>
              </w:rPr>
            </w:pPr>
            <w:r>
              <w:rPr>
                <w:rFonts w:ascii="Arial" w:cs="Arial" w:eastAsia="Arial" w:hAnsi="Arial"/>
                <w:sz w:val="18"/>
                <w:szCs w:val="18"/>
                <w:color w:val="auto"/>
              </w:rPr>
              <w:t>10.0 %</w:t>
            </w:r>
          </w:p>
        </w:tc>
      </w:tr>
      <w:tr>
        <w:trPr>
          <w:trHeight w:val="203"/>
        </w:trPr>
        <w:tc>
          <w:tcPr>
            <w:tcW w:w="766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Product development</w:t>
            </w:r>
          </w:p>
        </w:tc>
        <w:tc>
          <w:tcPr>
            <w:tcW w:w="1900" w:type="dxa"/>
            <w:vAlign w:val="bottom"/>
            <w:gridSpan w:val="2"/>
            <w:shd w:val="clear" w:color="auto" w:fill="CFF0FC"/>
          </w:tcPr>
          <w:p>
            <w:pPr>
              <w:jc w:val="right"/>
              <w:ind w:right="234"/>
              <w:spacing w:after="0" w:line="202" w:lineRule="exact"/>
              <w:rPr>
                <w:sz w:val="20"/>
                <w:szCs w:val="20"/>
                <w:color w:val="auto"/>
              </w:rPr>
            </w:pPr>
            <w:r>
              <w:rPr>
                <w:rFonts w:ascii="Arial" w:cs="Arial" w:eastAsia="Arial" w:hAnsi="Arial"/>
                <w:sz w:val="18"/>
                <w:szCs w:val="18"/>
                <w:color w:val="auto"/>
              </w:rPr>
              <w:t>8.1 %</w:t>
            </w:r>
          </w:p>
        </w:tc>
        <w:tc>
          <w:tcPr>
            <w:tcW w:w="54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rPr>
              <w:t>8.6 %</w:t>
            </w:r>
          </w:p>
        </w:tc>
      </w:tr>
      <w:tr>
        <w:trPr>
          <w:trHeight w:val="203"/>
        </w:trPr>
        <w:tc>
          <w:tcPr>
            <w:tcW w:w="7660" w:type="dxa"/>
            <w:vAlign w:val="bottom"/>
          </w:tcPr>
          <w:p>
            <w:pPr>
              <w:ind w:left="200"/>
              <w:spacing w:after="0" w:line="202" w:lineRule="exact"/>
              <w:rPr>
                <w:sz w:val="20"/>
                <w:szCs w:val="20"/>
                <w:color w:val="auto"/>
              </w:rPr>
            </w:pPr>
            <w:r>
              <w:rPr>
                <w:rFonts w:ascii="Arial" w:cs="Arial" w:eastAsia="Arial" w:hAnsi="Arial"/>
                <w:sz w:val="18"/>
                <w:szCs w:val="18"/>
                <w:color w:val="auto"/>
              </w:rPr>
              <w:t>General and administrative</w:t>
            </w:r>
          </w:p>
        </w:tc>
        <w:tc>
          <w:tcPr>
            <w:tcW w:w="1900" w:type="dxa"/>
            <w:vAlign w:val="bottom"/>
            <w:gridSpan w:val="2"/>
          </w:tcPr>
          <w:p>
            <w:pPr>
              <w:jc w:val="right"/>
              <w:ind w:right="234"/>
              <w:spacing w:after="0" w:line="202" w:lineRule="exact"/>
              <w:rPr>
                <w:sz w:val="20"/>
                <w:szCs w:val="20"/>
                <w:color w:val="auto"/>
              </w:rPr>
            </w:pPr>
            <w:r>
              <w:rPr>
                <w:rFonts w:ascii="Arial" w:cs="Arial" w:eastAsia="Arial" w:hAnsi="Arial"/>
                <w:sz w:val="18"/>
                <w:szCs w:val="18"/>
                <w:color w:val="auto"/>
              </w:rPr>
              <w:t>16.0 %</w:t>
            </w:r>
          </w:p>
        </w:tc>
        <w:tc>
          <w:tcPr>
            <w:tcW w:w="540" w:type="dxa"/>
            <w:vAlign w:val="bottom"/>
          </w:tcPr>
          <w:p>
            <w:pPr>
              <w:spacing w:after="0"/>
              <w:rPr>
                <w:sz w:val="17"/>
                <w:szCs w:val="17"/>
                <w:color w:val="auto"/>
              </w:rPr>
            </w:pPr>
          </w:p>
        </w:tc>
        <w:tc>
          <w:tcPr>
            <w:tcW w:w="1140" w:type="dxa"/>
            <w:vAlign w:val="bottom"/>
            <w:gridSpan w:val="2"/>
          </w:tcPr>
          <w:p>
            <w:pPr>
              <w:jc w:val="right"/>
              <w:ind w:right="50"/>
              <w:spacing w:after="0" w:line="202" w:lineRule="exact"/>
              <w:rPr>
                <w:sz w:val="20"/>
                <w:szCs w:val="20"/>
                <w:color w:val="auto"/>
              </w:rPr>
            </w:pPr>
            <w:r>
              <w:rPr>
                <w:rFonts w:ascii="Arial" w:cs="Arial" w:eastAsia="Arial" w:hAnsi="Arial"/>
                <w:sz w:val="18"/>
                <w:szCs w:val="18"/>
                <w:color w:val="auto"/>
              </w:rPr>
              <w:t>8.5 %</w:t>
            </w:r>
          </w:p>
        </w:tc>
      </w:tr>
      <w:tr>
        <w:trPr>
          <w:trHeight w:val="203"/>
        </w:trPr>
        <w:tc>
          <w:tcPr>
            <w:tcW w:w="766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Impairment of goodwill and intangible assets</w:t>
            </w:r>
          </w:p>
        </w:tc>
        <w:tc>
          <w:tcPr>
            <w:tcW w:w="1900" w:type="dxa"/>
            <w:vAlign w:val="bottom"/>
            <w:gridSpan w:val="2"/>
            <w:shd w:val="clear" w:color="auto" w:fill="CFF0FC"/>
          </w:tcPr>
          <w:p>
            <w:pPr>
              <w:jc w:val="right"/>
              <w:ind w:right="234"/>
              <w:spacing w:after="0" w:line="202" w:lineRule="exact"/>
              <w:rPr>
                <w:sz w:val="20"/>
                <w:szCs w:val="20"/>
                <w:color w:val="auto"/>
              </w:rPr>
            </w:pPr>
            <w:r>
              <w:rPr>
                <w:rFonts w:ascii="Arial" w:cs="Arial" w:eastAsia="Arial" w:hAnsi="Arial"/>
                <w:sz w:val="18"/>
                <w:szCs w:val="18"/>
                <w:color w:val="auto"/>
              </w:rPr>
              <w:t>0.0 %</w:t>
            </w:r>
          </w:p>
        </w:tc>
        <w:tc>
          <w:tcPr>
            <w:tcW w:w="54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rPr>
              <w:t>1.1 %</w:t>
            </w:r>
          </w:p>
        </w:tc>
      </w:tr>
      <w:tr>
        <w:trPr>
          <w:trHeight w:val="20"/>
        </w:trPr>
        <w:tc>
          <w:tcPr>
            <w:tcW w:w="7660" w:type="dxa"/>
            <w:vAlign w:val="bottom"/>
            <w:shd w:val="clear" w:color="auto" w:fill="CFF0FC"/>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500" w:type="dxa"/>
            <w:vAlign w:val="bottom"/>
            <w:shd w:val="clear" w:color="auto" w:fill="CFF0FC"/>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r>
      <w:tr>
        <w:trPr>
          <w:trHeight w:val="196"/>
        </w:trPr>
        <w:tc>
          <w:tcPr>
            <w:tcW w:w="7660" w:type="dxa"/>
            <w:vAlign w:val="bottom"/>
          </w:tcPr>
          <w:p>
            <w:pPr>
              <w:ind w:left="380"/>
              <w:spacing w:after="0" w:line="196" w:lineRule="exact"/>
              <w:rPr>
                <w:sz w:val="20"/>
                <w:szCs w:val="20"/>
                <w:color w:val="auto"/>
              </w:rPr>
            </w:pPr>
            <w:r>
              <w:rPr>
                <w:rFonts w:ascii="Arial" w:cs="Arial" w:eastAsia="Arial" w:hAnsi="Arial"/>
                <w:sz w:val="18"/>
                <w:szCs w:val="18"/>
                <w:color w:val="auto"/>
              </w:rPr>
              <w:t>Total operating expenses</w:t>
            </w:r>
          </w:p>
        </w:tc>
        <w:tc>
          <w:tcPr>
            <w:tcW w:w="1900" w:type="dxa"/>
            <w:vAlign w:val="bottom"/>
            <w:gridSpan w:val="2"/>
          </w:tcPr>
          <w:p>
            <w:pPr>
              <w:jc w:val="right"/>
              <w:ind w:right="234"/>
              <w:spacing w:after="0" w:line="196" w:lineRule="exact"/>
              <w:rPr>
                <w:sz w:val="20"/>
                <w:szCs w:val="20"/>
                <w:color w:val="auto"/>
              </w:rPr>
            </w:pPr>
            <w:r>
              <w:rPr>
                <w:rFonts w:ascii="Arial" w:cs="Arial" w:eastAsia="Arial" w:hAnsi="Arial"/>
                <w:sz w:val="18"/>
                <w:szCs w:val="18"/>
                <w:color w:val="auto"/>
              </w:rPr>
              <w:t>53.0 %</w:t>
            </w:r>
          </w:p>
        </w:tc>
        <w:tc>
          <w:tcPr>
            <w:tcW w:w="540" w:type="dxa"/>
            <w:vAlign w:val="bottom"/>
          </w:tcPr>
          <w:p>
            <w:pPr>
              <w:spacing w:after="0"/>
              <w:rPr>
                <w:sz w:val="17"/>
                <w:szCs w:val="17"/>
                <w:color w:val="auto"/>
              </w:rPr>
            </w:pPr>
          </w:p>
        </w:tc>
        <w:tc>
          <w:tcPr>
            <w:tcW w:w="1140" w:type="dxa"/>
            <w:vAlign w:val="bottom"/>
            <w:gridSpan w:val="2"/>
          </w:tcPr>
          <w:p>
            <w:pPr>
              <w:jc w:val="right"/>
              <w:ind w:right="50"/>
              <w:spacing w:after="0" w:line="196" w:lineRule="exact"/>
              <w:rPr>
                <w:sz w:val="20"/>
                <w:szCs w:val="20"/>
                <w:color w:val="auto"/>
              </w:rPr>
            </w:pPr>
            <w:r>
              <w:rPr>
                <w:rFonts w:ascii="Arial" w:cs="Arial" w:eastAsia="Arial" w:hAnsi="Arial"/>
                <w:sz w:val="18"/>
                <w:szCs w:val="18"/>
                <w:color w:val="auto"/>
              </w:rPr>
              <w:t>44.2 %</w:t>
            </w:r>
          </w:p>
        </w:tc>
      </w:tr>
      <w:tr>
        <w:trPr>
          <w:trHeight w:val="196"/>
        </w:trPr>
        <w:tc>
          <w:tcPr>
            <w:tcW w:w="766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Loss from operations</w:t>
            </w:r>
          </w:p>
        </w:tc>
        <w:tc>
          <w:tcPr>
            <w:tcW w:w="14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(26.8</w:t>
            </w:r>
          </w:p>
        </w:tc>
        <w:tc>
          <w:tcPr>
            <w:tcW w:w="500" w:type="dxa"/>
            <w:vAlign w:val="bottom"/>
            <w:shd w:val="clear" w:color="auto" w:fill="CFF0FC"/>
          </w:tcPr>
          <w:p>
            <w:pPr>
              <w:jc w:val="right"/>
              <w:ind w:right="194"/>
              <w:spacing w:after="0" w:line="196" w:lineRule="exact"/>
              <w:rPr>
                <w:sz w:val="20"/>
                <w:szCs w:val="20"/>
                <w:color w:val="auto"/>
              </w:rPr>
            </w:pPr>
            <w:r>
              <w:rPr>
                <w:rFonts w:ascii="Arial" w:cs="Arial" w:eastAsia="Arial" w:hAnsi="Arial"/>
                <w:sz w:val="18"/>
                <w:szCs w:val="18"/>
                <w:color w:val="auto"/>
                <w:w w:val="90"/>
              </w:rPr>
              <w:t>)%</w:t>
            </w:r>
          </w:p>
        </w:tc>
        <w:tc>
          <w:tcPr>
            <w:tcW w:w="540" w:type="dxa"/>
            <w:vAlign w:val="bottom"/>
            <w:tcBorders>
              <w:top w:val="single" w:sz="8" w:color="auto"/>
            </w:tcBorders>
            <w:shd w:val="clear" w:color="auto" w:fill="CFF0FC"/>
          </w:tcPr>
          <w:p>
            <w:pPr>
              <w:spacing w:after="0"/>
              <w:rPr>
                <w:sz w:val="17"/>
                <w:szCs w:val="17"/>
                <w:color w:val="auto"/>
              </w:rPr>
            </w:pPr>
          </w:p>
        </w:tc>
        <w:tc>
          <w:tcPr>
            <w:tcW w:w="8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(20.7</w:t>
            </w:r>
          </w:p>
        </w:tc>
        <w:tc>
          <w:tcPr>
            <w:tcW w:w="3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r>
      <w:tr>
        <w:trPr>
          <w:trHeight w:val="203"/>
        </w:trPr>
        <w:tc>
          <w:tcPr>
            <w:tcW w:w="7660" w:type="dxa"/>
            <w:vAlign w:val="bottom"/>
          </w:tcPr>
          <w:p>
            <w:pPr>
              <w:ind w:left="20"/>
              <w:spacing w:after="0" w:line="202" w:lineRule="exact"/>
              <w:rPr>
                <w:sz w:val="20"/>
                <w:szCs w:val="20"/>
                <w:color w:val="auto"/>
              </w:rPr>
            </w:pPr>
            <w:r>
              <w:rPr>
                <w:rFonts w:ascii="Arial" w:cs="Arial" w:eastAsia="Arial" w:hAnsi="Arial"/>
                <w:sz w:val="18"/>
                <w:szCs w:val="18"/>
                <w:color w:val="auto"/>
              </w:rPr>
              <w:t>Other (expenses) income:</w:t>
            </w:r>
          </w:p>
        </w:tc>
        <w:tc>
          <w:tcPr>
            <w:tcW w:w="14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r>
      <w:tr>
        <w:trPr>
          <w:trHeight w:val="203"/>
        </w:trPr>
        <w:tc>
          <w:tcPr>
            <w:tcW w:w="766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Interest expense</w:t>
            </w:r>
          </w:p>
        </w:tc>
        <w:tc>
          <w:tcPr>
            <w:tcW w:w="1900" w:type="dxa"/>
            <w:vAlign w:val="bottom"/>
            <w:gridSpan w:val="2"/>
            <w:shd w:val="clear" w:color="auto" w:fill="CFF0FC"/>
          </w:tcPr>
          <w:p>
            <w:pPr>
              <w:jc w:val="right"/>
              <w:ind w:right="194"/>
              <w:spacing w:after="0" w:line="202" w:lineRule="exact"/>
              <w:rPr>
                <w:sz w:val="20"/>
                <w:szCs w:val="20"/>
                <w:color w:val="auto"/>
              </w:rPr>
            </w:pPr>
            <w:r>
              <w:rPr>
                <w:rFonts w:ascii="Arial" w:cs="Arial" w:eastAsia="Arial" w:hAnsi="Arial"/>
                <w:sz w:val="18"/>
                <w:szCs w:val="18"/>
                <w:color w:val="auto"/>
              </w:rPr>
              <w:t>(0.4 )%</w:t>
            </w:r>
          </w:p>
        </w:tc>
        <w:tc>
          <w:tcPr>
            <w:tcW w:w="54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(0.8 )%</w:t>
            </w:r>
          </w:p>
        </w:tc>
      </w:tr>
      <w:tr>
        <w:trPr>
          <w:trHeight w:val="203"/>
        </w:trPr>
        <w:tc>
          <w:tcPr>
            <w:tcW w:w="7660" w:type="dxa"/>
            <w:vAlign w:val="bottom"/>
          </w:tcPr>
          <w:p>
            <w:pPr>
              <w:ind w:left="200"/>
              <w:spacing w:after="0" w:line="202" w:lineRule="exact"/>
              <w:rPr>
                <w:sz w:val="20"/>
                <w:szCs w:val="20"/>
                <w:color w:val="auto"/>
              </w:rPr>
            </w:pPr>
            <w:r>
              <w:rPr>
                <w:rFonts w:ascii="Arial" w:cs="Arial" w:eastAsia="Arial" w:hAnsi="Arial"/>
                <w:sz w:val="18"/>
                <w:szCs w:val="18"/>
                <w:color w:val="auto"/>
              </w:rPr>
              <w:t>Interest and dividend income</w:t>
            </w:r>
          </w:p>
        </w:tc>
        <w:tc>
          <w:tcPr>
            <w:tcW w:w="1900" w:type="dxa"/>
            <w:vAlign w:val="bottom"/>
            <w:gridSpan w:val="2"/>
          </w:tcPr>
          <w:p>
            <w:pPr>
              <w:jc w:val="right"/>
              <w:ind w:right="234"/>
              <w:spacing w:after="0" w:line="202" w:lineRule="exact"/>
              <w:rPr>
                <w:sz w:val="20"/>
                <w:szCs w:val="20"/>
                <w:color w:val="auto"/>
              </w:rPr>
            </w:pPr>
            <w:r>
              <w:rPr>
                <w:rFonts w:ascii="Arial" w:cs="Arial" w:eastAsia="Arial" w:hAnsi="Arial"/>
                <w:sz w:val="18"/>
                <w:szCs w:val="18"/>
                <w:color w:val="auto"/>
              </w:rPr>
              <w:t>0.4 %</w:t>
            </w:r>
          </w:p>
        </w:tc>
        <w:tc>
          <w:tcPr>
            <w:tcW w:w="540" w:type="dxa"/>
            <w:vAlign w:val="bottom"/>
          </w:tcPr>
          <w:p>
            <w:pPr>
              <w:spacing w:after="0"/>
              <w:rPr>
                <w:sz w:val="17"/>
                <w:szCs w:val="17"/>
                <w:color w:val="auto"/>
              </w:rPr>
            </w:pPr>
          </w:p>
        </w:tc>
        <w:tc>
          <w:tcPr>
            <w:tcW w:w="1140" w:type="dxa"/>
            <w:vAlign w:val="bottom"/>
            <w:gridSpan w:val="2"/>
          </w:tcPr>
          <w:p>
            <w:pPr>
              <w:jc w:val="right"/>
              <w:ind w:right="50"/>
              <w:spacing w:after="0" w:line="202" w:lineRule="exact"/>
              <w:rPr>
                <w:sz w:val="20"/>
                <w:szCs w:val="20"/>
                <w:color w:val="auto"/>
              </w:rPr>
            </w:pPr>
            <w:r>
              <w:rPr>
                <w:rFonts w:ascii="Arial" w:cs="Arial" w:eastAsia="Arial" w:hAnsi="Arial"/>
                <w:sz w:val="18"/>
                <w:szCs w:val="18"/>
                <w:color w:val="auto"/>
              </w:rPr>
              <w:t>— %</w:t>
            </w:r>
          </w:p>
        </w:tc>
      </w:tr>
      <w:tr>
        <w:trPr>
          <w:trHeight w:val="203"/>
        </w:trPr>
        <w:tc>
          <w:tcPr>
            <w:tcW w:w="766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Other expenses</w:t>
            </w:r>
          </w:p>
        </w:tc>
        <w:tc>
          <w:tcPr>
            <w:tcW w:w="1900" w:type="dxa"/>
            <w:vAlign w:val="bottom"/>
            <w:gridSpan w:val="2"/>
            <w:shd w:val="clear" w:color="auto" w:fill="CFF0FC"/>
          </w:tcPr>
          <w:p>
            <w:pPr>
              <w:jc w:val="right"/>
              <w:ind w:right="194"/>
              <w:spacing w:after="0" w:line="202" w:lineRule="exact"/>
              <w:rPr>
                <w:sz w:val="20"/>
                <w:szCs w:val="20"/>
                <w:color w:val="auto"/>
              </w:rPr>
            </w:pPr>
            <w:r>
              <w:rPr>
                <w:rFonts w:ascii="Arial" w:cs="Arial" w:eastAsia="Arial" w:hAnsi="Arial"/>
                <w:sz w:val="18"/>
                <w:szCs w:val="18"/>
                <w:color w:val="auto"/>
              </w:rPr>
              <w:t>(1.3 )%</w:t>
            </w:r>
          </w:p>
        </w:tc>
        <w:tc>
          <w:tcPr>
            <w:tcW w:w="54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(0.6 )%</w:t>
            </w:r>
          </w:p>
        </w:tc>
      </w:tr>
      <w:tr>
        <w:trPr>
          <w:trHeight w:val="203"/>
        </w:trPr>
        <w:tc>
          <w:tcPr>
            <w:tcW w:w="7660" w:type="dxa"/>
            <w:vAlign w:val="bottom"/>
          </w:tcPr>
          <w:p>
            <w:pPr>
              <w:ind w:left="200"/>
              <w:spacing w:after="0" w:line="202" w:lineRule="exact"/>
              <w:rPr>
                <w:sz w:val="20"/>
                <w:szCs w:val="20"/>
                <w:color w:val="auto"/>
              </w:rPr>
            </w:pPr>
            <w:r>
              <w:rPr>
                <w:rFonts w:ascii="Arial" w:cs="Arial" w:eastAsia="Arial" w:hAnsi="Arial"/>
                <w:sz w:val="18"/>
                <w:szCs w:val="18"/>
                <w:color w:val="auto"/>
              </w:rPr>
              <w:t>Income from unconsolidated joint venture</w:t>
            </w:r>
          </w:p>
        </w:tc>
        <w:tc>
          <w:tcPr>
            <w:tcW w:w="2440" w:type="dxa"/>
            <w:vAlign w:val="bottom"/>
            <w:gridSpan w:val="3"/>
          </w:tcPr>
          <w:p>
            <w:pPr>
              <w:jc w:val="right"/>
              <w:ind w:right="860"/>
              <w:spacing w:after="0" w:line="202" w:lineRule="exact"/>
              <w:rPr>
                <w:sz w:val="20"/>
                <w:szCs w:val="20"/>
                <w:color w:val="auto"/>
              </w:rPr>
            </w:pPr>
            <w:r>
              <w:rPr>
                <w:rFonts w:ascii="Arial" w:cs="Arial" w:eastAsia="Arial" w:hAnsi="Arial"/>
                <w:sz w:val="18"/>
                <w:szCs w:val="18"/>
                <w:color w:val="auto"/>
              </w:rPr>
              <w:t>— %</w:t>
            </w:r>
          </w:p>
        </w:tc>
        <w:tc>
          <w:tcPr>
            <w:tcW w:w="1140" w:type="dxa"/>
            <w:vAlign w:val="bottom"/>
            <w:gridSpan w:val="2"/>
          </w:tcPr>
          <w:p>
            <w:pPr>
              <w:jc w:val="right"/>
              <w:ind w:right="50"/>
              <w:spacing w:after="0" w:line="202" w:lineRule="exact"/>
              <w:rPr>
                <w:sz w:val="20"/>
                <w:szCs w:val="20"/>
                <w:color w:val="auto"/>
              </w:rPr>
            </w:pPr>
            <w:r>
              <w:rPr>
                <w:rFonts w:ascii="Arial" w:cs="Arial" w:eastAsia="Arial" w:hAnsi="Arial"/>
                <w:sz w:val="18"/>
                <w:szCs w:val="18"/>
                <w:color w:val="auto"/>
              </w:rPr>
              <w:t>— %</w:t>
            </w:r>
          </w:p>
        </w:tc>
      </w:tr>
      <w:tr>
        <w:trPr>
          <w:trHeight w:val="196"/>
        </w:trPr>
        <w:tc>
          <w:tcPr>
            <w:tcW w:w="7660" w:type="dxa"/>
            <w:vAlign w:val="bottom"/>
            <w:tcBorders>
              <w:bottom w:val="single" w:sz="8" w:color="CFF0FC"/>
            </w:tcBorders>
            <w:shd w:val="clear" w:color="auto" w:fill="CFF0FC"/>
          </w:tcPr>
          <w:p>
            <w:pPr>
              <w:ind w:left="380"/>
              <w:spacing w:after="0" w:line="196" w:lineRule="exact"/>
              <w:rPr>
                <w:sz w:val="20"/>
                <w:szCs w:val="20"/>
                <w:color w:val="auto"/>
              </w:rPr>
            </w:pPr>
            <w:r>
              <w:rPr>
                <w:rFonts w:ascii="Arial" w:cs="Arial" w:eastAsia="Arial" w:hAnsi="Arial"/>
                <w:sz w:val="18"/>
                <w:szCs w:val="18"/>
                <w:color w:val="auto"/>
              </w:rPr>
              <w:t>Total other expenses</w:t>
            </w:r>
          </w:p>
        </w:tc>
        <w:tc>
          <w:tcPr>
            <w:tcW w:w="140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(1.3</w:t>
            </w:r>
          </w:p>
        </w:tc>
        <w:tc>
          <w:tcPr>
            <w:tcW w:w="500" w:type="dxa"/>
            <w:vAlign w:val="bottom"/>
            <w:tcBorders>
              <w:bottom w:val="single" w:sz="8" w:color="CFF0FC"/>
            </w:tcBorders>
            <w:shd w:val="clear" w:color="auto" w:fill="CFF0FC"/>
          </w:tcPr>
          <w:p>
            <w:pPr>
              <w:jc w:val="right"/>
              <w:ind w:right="194"/>
              <w:spacing w:after="0" w:line="196" w:lineRule="exact"/>
              <w:rPr>
                <w:sz w:val="20"/>
                <w:szCs w:val="20"/>
                <w:color w:val="auto"/>
              </w:rPr>
            </w:pPr>
            <w:r>
              <w:rPr>
                <w:rFonts w:ascii="Arial" w:cs="Arial" w:eastAsia="Arial" w:hAnsi="Arial"/>
                <w:sz w:val="18"/>
                <w:szCs w:val="18"/>
                <w:color w:val="auto"/>
                <w:w w:val="90"/>
              </w:rPr>
              <w:t>)%</w:t>
            </w:r>
          </w:p>
        </w:tc>
        <w:tc>
          <w:tcPr>
            <w:tcW w:w="540" w:type="dxa"/>
            <w:vAlign w:val="bottom"/>
            <w:tcBorders>
              <w:top w:val="single" w:sz="8" w:color="auto"/>
              <w:bottom w:val="single" w:sz="8" w:color="auto"/>
            </w:tcBorders>
            <w:shd w:val="clear" w:color="auto" w:fill="CFF0FC"/>
          </w:tcPr>
          <w:p>
            <w:pPr>
              <w:spacing w:after="0"/>
              <w:rPr>
                <w:sz w:val="17"/>
                <w:szCs w:val="17"/>
                <w:color w:val="auto"/>
              </w:rPr>
            </w:pPr>
          </w:p>
        </w:tc>
        <w:tc>
          <w:tcPr>
            <w:tcW w:w="8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(1.4</w:t>
            </w:r>
          </w:p>
        </w:tc>
        <w:tc>
          <w:tcPr>
            <w:tcW w:w="320" w:type="dxa"/>
            <w:vAlign w:val="bottom"/>
            <w:tcBorders>
              <w:bottom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r>
      <w:tr>
        <w:trPr>
          <w:trHeight w:val="196"/>
        </w:trPr>
        <w:tc>
          <w:tcPr>
            <w:tcW w:w="7660" w:type="dxa"/>
            <w:vAlign w:val="bottom"/>
          </w:tcPr>
          <w:p>
            <w:pPr>
              <w:ind w:left="20"/>
              <w:spacing w:after="0" w:line="196" w:lineRule="exact"/>
              <w:rPr>
                <w:sz w:val="20"/>
                <w:szCs w:val="20"/>
                <w:color w:val="auto"/>
              </w:rPr>
            </w:pPr>
            <w:r>
              <w:rPr>
                <w:rFonts w:ascii="Arial" w:cs="Arial" w:eastAsia="Arial" w:hAnsi="Arial"/>
                <w:sz w:val="18"/>
                <w:szCs w:val="18"/>
                <w:color w:val="auto"/>
              </w:rPr>
              <w:t>Net loss</w:t>
            </w:r>
          </w:p>
        </w:tc>
        <w:tc>
          <w:tcPr>
            <w:tcW w:w="1900" w:type="dxa"/>
            <w:vAlign w:val="bottom"/>
            <w:gridSpan w:val="2"/>
          </w:tcPr>
          <w:p>
            <w:pPr>
              <w:jc w:val="right"/>
              <w:ind w:right="194"/>
              <w:spacing w:after="0" w:line="196" w:lineRule="exact"/>
              <w:rPr>
                <w:sz w:val="20"/>
                <w:szCs w:val="20"/>
                <w:color w:val="auto"/>
              </w:rPr>
            </w:pPr>
            <w:r>
              <w:rPr>
                <w:rFonts w:ascii="Arial" w:cs="Arial" w:eastAsia="Arial" w:hAnsi="Arial"/>
                <w:sz w:val="18"/>
                <w:szCs w:val="18"/>
                <w:color w:val="auto"/>
              </w:rPr>
              <w:t>(28.1 )%</w:t>
            </w:r>
          </w:p>
        </w:tc>
        <w:tc>
          <w:tcPr>
            <w:tcW w:w="540" w:type="dxa"/>
            <w:vAlign w:val="bottom"/>
          </w:tcPr>
          <w:p>
            <w:pPr>
              <w:spacing w:after="0"/>
              <w:rPr>
                <w:sz w:val="17"/>
                <w:szCs w:val="17"/>
                <w:color w:val="auto"/>
              </w:rPr>
            </w:pPr>
          </w:p>
        </w:tc>
        <w:tc>
          <w:tcPr>
            <w:tcW w:w="11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(22.1 )%</w:t>
            </w:r>
          </w:p>
        </w:tc>
      </w:tr>
      <w:tr>
        <w:trPr>
          <w:trHeight w:val="203"/>
        </w:trPr>
        <w:tc>
          <w:tcPr>
            <w:tcW w:w="766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Deemed dividend to preferred stockholders</w:t>
            </w:r>
          </w:p>
        </w:tc>
        <w:tc>
          <w:tcPr>
            <w:tcW w:w="2440" w:type="dxa"/>
            <w:vAlign w:val="bottom"/>
            <w:gridSpan w:val="3"/>
            <w:shd w:val="clear" w:color="auto" w:fill="CFF0FC"/>
          </w:tcPr>
          <w:p>
            <w:pPr>
              <w:jc w:val="right"/>
              <w:ind w:right="860"/>
              <w:spacing w:after="0" w:line="202" w:lineRule="exact"/>
              <w:rPr>
                <w:sz w:val="20"/>
                <w:szCs w:val="20"/>
                <w:color w:val="auto"/>
              </w:rPr>
            </w:pPr>
            <w:r>
              <w:rPr>
                <w:rFonts w:ascii="Arial" w:cs="Arial" w:eastAsia="Arial" w:hAnsi="Arial"/>
                <w:sz w:val="18"/>
                <w:szCs w:val="18"/>
                <w:color w:val="auto"/>
              </w:rPr>
              <w:t>— %</w:t>
            </w:r>
          </w:p>
        </w:tc>
        <w:tc>
          <w:tcPr>
            <w:tcW w:w="114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(6.2 )%</w:t>
            </w:r>
          </w:p>
        </w:tc>
      </w:tr>
      <w:tr>
        <w:trPr>
          <w:trHeight w:val="203"/>
        </w:trPr>
        <w:tc>
          <w:tcPr>
            <w:tcW w:w="7660" w:type="dxa"/>
            <w:vAlign w:val="bottom"/>
          </w:tcPr>
          <w:p>
            <w:pPr>
              <w:ind w:left="200"/>
              <w:spacing w:after="0" w:line="202" w:lineRule="exact"/>
              <w:rPr>
                <w:sz w:val="20"/>
                <w:szCs w:val="20"/>
                <w:color w:val="auto"/>
              </w:rPr>
            </w:pPr>
            <w:r>
              <w:rPr>
                <w:rFonts w:ascii="Arial" w:cs="Arial" w:eastAsia="Arial" w:hAnsi="Arial"/>
                <w:sz w:val="18"/>
                <w:szCs w:val="18"/>
                <w:color w:val="auto"/>
              </w:rPr>
              <w:t>Net loss attributable to noncontrolling interest</w:t>
            </w:r>
          </w:p>
        </w:tc>
        <w:tc>
          <w:tcPr>
            <w:tcW w:w="2440" w:type="dxa"/>
            <w:vAlign w:val="bottom"/>
            <w:gridSpan w:val="3"/>
          </w:tcPr>
          <w:p>
            <w:pPr>
              <w:jc w:val="right"/>
              <w:ind w:right="860"/>
              <w:spacing w:after="0" w:line="202" w:lineRule="exact"/>
              <w:rPr>
                <w:sz w:val="20"/>
                <w:szCs w:val="20"/>
                <w:color w:val="auto"/>
              </w:rPr>
            </w:pPr>
            <w:r>
              <w:rPr>
                <w:rFonts w:ascii="Arial" w:cs="Arial" w:eastAsia="Arial" w:hAnsi="Arial"/>
                <w:sz w:val="18"/>
                <w:szCs w:val="18"/>
                <w:color w:val="auto"/>
              </w:rPr>
              <w:t>— %</w:t>
            </w:r>
          </w:p>
        </w:tc>
        <w:tc>
          <w:tcPr>
            <w:tcW w:w="1140" w:type="dxa"/>
            <w:vAlign w:val="bottom"/>
            <w:gridSpan w:val="2"/>
          </w:tcPr>
          <w:p>
            <w:pPr>
              <w:jc w:val="right"/>
              <w:ind w:right="50"/>
              <w:spacing w:after="0" w:line="202" w:lineRule="exact"/>
              <w:rPr>
                <w:sz w:val="20"/>
                <w:szCs w:val="20"/>
                <w:color w:val="auto"/>
              </w:rPr>
            </w:pPr>
            <w:r>
              <w:rPr>
                <w:rFonts w:ascii="Arial" w:cs="Arial" w:eastAsia="Arial" w:hAnsi="Arial"/>
                <w:sz w:val="18"/>
                <w:szCs w:val="18"/>
                <w:color w:val="auto"/>
              </w:rPr>
              <w:t>— %</w:t>
            </w:r>
          </w:p>
        </w:tc>
      </w:tr>
      <w:tr>
        <w:trPr>
          <w:trHeight w:val="236"/>
        </w:trPr>
        <w:tc>
          <w:tcPr>
            <w:tcW w:w="766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Net loss attributable to common stockholders</w:t>
            </w:r>
          </w:p>
        </w:tc>
        <w:tc>
          <w:tcPr>
            <w:tcW w:w="140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(28.1</w:t>
            </w:r>
          </w:p>
        </w:tc>
        <w:tc>
          <w:tcPr>
            <w:tcW w:w="500" w:type="dxa"/>
            <w:vAlign w:val="bottom"/>
            <w:tcBorders>
              <w:bottom w:val="single" w:sz="8" w:color="CFF0FC"/>
            </w:tcBorders>
            <w:shd w:val="clear" w:color="auto" w:fill="CFF0FC"/>
          </w:tcPr>
          <w:p>
            <w:pPr>
              <w:jc w:val="right"/>
              <w:ind w:right="194"/>
              <w:spacing w:after="0" w:line="196" w:lineRule="exact"/>
              <w:rPr>
                <w:sz w:val="20"/>
                <w:szCs w:val="20"/>
                <w:color w:val="auto"/>
              </w:rPr>
            </w:pPr>
            <w:r>
              <w:rPr>
                <w:rFonts w:ascii="Arial" w:cs="Arial" w:eastAsia="Arial" w:hAnsi="Arial"/>
                <w:sz w:val="18"/>
                <w:szCs w:val="18"/>
                <w:color w:val="auto"/>
                <w:w w:val="90"/>
              </w:rPr>
              <w:t>)%</w:t>
            </w:r>
          </w:p>
        </w:tc>
        <w:tc>
          <w:tcPr>
            <w:tcW w:w="540" w:type="dxa"/>
            <w:vAlign w:val="bottom"/>
            <w:tcBorders>
              <w:top w:val="single" w:sz="8" w:color="auto"/>
              <w:bottom w:val="single" w:sz="8" w:color="auto"/>
            </w:tcBorders>
            <w:shd w:val="clear" w:color="auto" w:fill="CFF0FC"/>
          </w:tcPr>
          <w:p>
            <w:pPr>
              <w:spacing w:after="0"/>
              <w:rPr>
                <w:sz w:val="20"/>
                <w:szCs w:val="20"/>
                <w:color w:val="auto"/>
              </w:rPr>
            </w:pPr>
          </w:p>
        </w:tc>
        <w:tc>
          <w:tcPr>
            <w:tcW w:w="8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(28.3</w:t>
            </w:r>
          </w:p>
        </w:tc>
        <w:tc>
          <w:tcPr>
            <w:tcW w:w="320" w:type="dxa"/>
            <w:vAlign w:val="bottom"/>
            <w:tcBorders>
              <w:bottom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5756910</wp:posOffset>
            </wp:positionH>
            <wp:positionV relativeFrom="paragraph">
              <wp:posOffset>-2388235</wp:posOffset>
            </wp:positionV>
            <wp:extent cx="196850" cy="571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196850" cy="5715"/>
                    </a:xfrm>
                    <a:prstGeom prst="rect">
                      <a:avLst/>
                    </a:prstGeom>
                    <a:noFill/>
                  </pic:spPr>
                </pic:pic>
              </a:graphicData>
            </a:graphic>
          </wp:anchor>
        </w:drawing>
        <w:drawing>
          <wp:anchor simplePos="0" relativeHeight="251657728" behindDoc="1" locked="0" layoutInCell="0" allowOverlap="1">
            <wp:simplePos x="0" y="0"/>
            <wp:positionH relativeFrom="column">
              <wp:posOffset>6939915</wp:posOffset>
            </wp:positionH>
            <wp:positionV relativeFrom="paragraph">
              <wp:posOffset>-2388235</wp:posOffset>
            </wp:positionV>
            <wp:extent cx="197485" cy="571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7">
                      <a:extLst>
                        <a:ext uri="{28A0092B-C50C-407E-A947-70E740481C1C}"/>
                      </a:extLst>
                    </a:blip>
                    <a:srcRect/>
                    <a:stretch>
                      <a:fillRect/>
                    </a:stretch>
                  </pic:blipFill>
                  <pic:spPr bwMode="auto">
                    <a:xfrm>
                      <a:off x="0" y="0"/>
                      <a:ext cx="197485" cy="571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-1607820</wp:posOffset>
            </wp:positionV>
            <wp:extent cx="196850" cy="571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8">
                      <a:extLst>
                        <a:ext uri="{28A0092B-C50C-407E-A947-70E740481C1C}"/>
                      </a:extLst>
                    </a:blip>
                    <a:srcRect/>
                    <a:stretch>
                      <a:fillRect/>
                    </a:stretch>
                  </pic:blipFill>
                  <pic:spPr bwMode="auto">
                    <a:xfrm>
                      <a:off x="0" y="0"/>
                      <a:ext cx="196850" cy="5715"/>
                    </a:xfrm>
                    <a:prstGeom prst="rect">
                      <a:avLst/>
                    </a:prstGeom>
                    <a:noFill/>
                  </pic:spPr>
                </pic:pic>
              </a:graphicData>
            </a:graphic>
          </wp:anchor>
        </w:drawing>
        <w:drawing>
          <wp:anchor simplePos="0" relativeHeight="251657728" behindDoc="1" locked="0" layoutInCell="0" allowOverlap="1">
            <wp:simplePos x="0" y="0"/>
            <wp:positionH relativeFrom="column">
              <wp:posOffset>6939915</wp:posOffset>
            </wp:positionH>
            <wp:positionV relativeFrom="paragraph">
              <wp:posOffset>-1607820</wp:posOffset>
            </wp:positionV>
            <wp:extent cx="197485" cy="571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9">
                      <a:extLst>
                        <a:ext uri="{28A0092B-C50C-407E-A947-70E740481C1C}"/>
                      </a:extLst>
                    </a:blip>
                    <a:srcRect/>
                    <a:stretch>
                      <a:fillRect/>
                    </a:stretch>
                  </pic:blipFill>
                  <pic:spPr bwMode="auto">
                    <a:xfrm>
                      <a:off x="0" y="0"/>
                      <a:ext cx="197485" cy="571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-553720</wp:posOffset>
            </wp:positionV>
            <wp:extent cx="196850" cy="571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0">
                      <a:extLst>
                        <a:ext uri="{28A0092B-C50C-407E-A947-70E740481C1C}"/>
                      </a:extLst>
                    </a:blip>
                    <a:srcRect/>
                    <a:stretch>
                      <a:fillRect/>
                    </a:stretch>
                  </pic:blipFill>
                  <pic:spPr bwMode="auto">
                    <a:xfrm>
                      <a:off x="0" y="0"/>
                      <a:ext cx="196850" cy="5715"/>
                    </a:xfrm>
                    <a:prstGeom prst="rect">
                      <a:avLst/>
                    </a:prstGeom>
                    <a:noFill/>
                  </pic:spPr>
                </pic:pic>
              </a:graphicData>
            </a:graphic>
          </wp:anchor>
        </w:drawing>
        <w:drawing>
          <wp:anchor simplePos="0" relativeHeight="251657728" behindDoc="1" locked="0" layoutInCell="0" allowOverlap="1">
            <wp:simplePos x="0" y="0"/>
            <wp:positionH relativeFrom="column">
              <wp:posOffset>6939915</wp:posOffset>
            </wp:positionH>
            <wp:positionV relativeFrom="paragraph">
              <wp:posOffset>-553720</wp:posOffset>
            </wp:positionV>
            <wp:extent cx="197485" cy="571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1">
                      <a:extLst>
                        <a:ext uri="{28A0092B-C50C-407E-A947-70E740481C1C}"/>
                      </a:extLst>
                    </a:blip>
                    <a:srcRect/>
                    <a:stretch>
                      <a:fillRect/>
                    </a:stretch>
                  </pic:blipFill>
                  <pic:spPr bwMode="auto">
                    <a:xfrm>
                      <a:off x="0" y="0"/>
                      <a:ext cx="197485" cy="571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-24765</wp:posOffset>
            </wp:positionV>
            <wp:extent cx="19685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2">
                      <a:extLst>
                        <a:ext uri="{28A0092B-C50C-407E-A947-70E740481C1C}"/>
                      </a:extLst>
                    </a:blip>
                    <a:srcRect/>
                    <a:stretch>
                      <a:fillRect/>
                    </a:stretch>
                  </pic:blipFill>
                  <pic:spPr bwMode="auto">
                    <a:xfrm>
                      <a:off x="0" y="0"/>
                      <a:ext cx="196850"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-7620</wp:posOffset>
            </wp:positionV>
            <wp:extent cx="19685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3">
                      <a:extLst>
                        <a:ext uri="{28A0092B-C50C-407E-A947-70E740481C1C}"/>
                      </a:extLst>
                    </a:blip>
                    <a:srcRect/>
                    <a:stretch>
                      <a:fillRect/>
                    </a:stretch>
                  </pic:blipFill>
                  <pic:spPr bwMode="auto">
                    <a:xfrm>
                      <a:off x="0" y="0"/>
                      <a:ext cx="196850" cy="8255"/>
                    </a:xfrm>
                    <a:prstGeom prst="rect">
                      <a:avLst/>
                    </a:prstGeom>
                    <a:noFill/>
                  </pic:spPr>
                </pic:pic>
              </a:graphicData>
            </a:graphic>
          </wp:anchor>
        </w:drawing>
        <w:drawing>
          <wp:anchor simplePos="0" relativeHeight="251657728" behindDoc="1" locked="0" layoutInCell="0" allowOverlap="1">
            <wp:simplePos x="0" y="0"/>
            <wp:positionH relativeFrom="column">
              <wp:posOffset>6939915</wp:posOffset>
            </wp:positionH>
            <wp:positionV relativeFrom="paragraph">
              <wp:posOffset>-24765</wp:posOffset>
            </wp:positionV>
            <wp:extent cx="19748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4">
                      <a:extLst>
                        <a:ext uri="{28A0092B-C50C-407E-A947-70E740481C1C}"/>
                      </a:extLst>
                    </a:blip>
                    <a:srcRect/>
                    <a:stretch>
                      <a:fillRect/>
                    </a:stretch>
                  </pic:blipFill>
                  <pic:spPr bwMode="auto">
                    <a:xfrm>
                      <a:off x="0" y="0"/>
                      <a:ext cx="197485" cy="8255"/>
                    </a:xfrm>
                    <a:prstGeom prst="rect">
                      <a:avLst/>
                    </a:prstGeom>
                    <a:noFill/>
                  </pic:spPr>
                </pic:pic>
              </a:graphicData>
            </a:graphic>
          </wp:anchor>
        </w:drawing>
        <w:drawing>
          <wp:anchor simplePos="0" relativeHeight="251657728" behindDoc="1" locked="0" layoutInCell="0" allowOverlap="1">
            <wp:simplePos x="0" y="0"/>
            <wp:positionH relativeFrom="column">
              <wp:posOffset>6939915</wp:posOffset>
            </wp:positionH>
            <wp:positionV relativeFrom="paragraph">
              <wp:posOffset>-7620</wp:posOffset>
            </wp:positionV>
            <wp:extent cx="19748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5">
                      <a:extLst>
                        <a:ext uri="{28A0092B-C50C-407E-A947-70E740481C1C}"/>
                      </a:extLst>
                    </a:blip>
                    <a:srcRect/>
                    <a:stretch>
                      <a:fillRect/>
                    </a:stretch>
                  </pic:blipFill>
                  <pic:spPr bwMode="auto">
                    <a:xfrm>
                      <a:off x="0" y="0"/>
                      <a:ext cx="197485" cy="8255"/>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Comparison of the Years Ended December 31, 2021 and 2020</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04" w:lineRule="exact"/>
        <w:rPr>
          <w:sz w:val="20"/>
          <w:szCs w:val="20"/>
          <w:color w:val="auto"/>
        </w:rPr>
      </w:pPr>
    </w:p>
    <w:p>
      <w:pPr>
        <w:ind w:right="160" w:firstLine="636"/>
        <w:spacing w:after="0" w:line="248" w:lineRule="auto"/>
        <w:rPr>
          <w:sz w:val="20"/>
          <w:szCs w:val="20"/>
          <w:color w:val="auto"/>
        </w:rPr>
      </w:pPr>
      <w:r>
        <w:rPr>
          <w:rFonts w:ascii="Arial" w:cs="Arial" w:eastAsia="Arial" w:hAnsi="Arial"/>
          <w:sz w:val="18"/>
          <w:szCs w:val="18"/>
          <w:color w:val="auto"/>
        </w:rPr>
        <w:t>Total revenue increased $76.9 million, or 54%, from $141.4 million for the year ended December 31, 2020 to $218.3 million for year ended December 31, 2021. This increase was primarily the result of a 49% increase in active buyers resulting from investment in sales and marketing, as well as existing buyers increasing their spend on the platform from the prior year.</w:t>
      </w:r>
    </w:p>
    <w:p>
      <w:pPr>
        <w:spacing w:after="0" w:line="141" w:lineRule="exact"/>
        <w:rPr>
          <w:sz w:val="20"/>
          <w:szCs w:val="20"/>
          <w:color w:val="auto"/>
        </w:rPr>
      </w:pPr>
    </w:p>
    <w:p>
      <w:pPr>
        <w:ind w:right="480" w:firstLine="644"/>
        <w:spacing w:after="0" w:line="261" w:lineRule="auto"/>
        <w:rPr>
          <w:sz w:val="20"/>
          <w:szCs w:val="20"/>
          <w:color w:val="auto"/>
        </w:rPr>
      </w:pPr>
      <w:r>
        <w:rPr>
          <w:rFonts w:ascii="Arial" w:cs="Arial" w:eastAsia="Arial" w:hAnsi="Arial"/>
          <w:sz w:val="18"/>
          <w:szCs w:val="18"/>
          <w:color w:val="auto"/>
        </w:rPr>
        <w:t>Total revenue from our U.S. and International operating segments for the years ended December 31, 2021 and 2020, was $202.0 million and $138.3 million, respectively, for the U.S., and $16.3 million and $3.1 million, respectively, for International.</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w:t>
      </w:r>
    </w:p>
    <w:p>
      <w:pPr>
        <w:spacing w:after="0" w:line="104" w:lineRule="exact"/>
        <w:rPr>
          <w:sz w:val="20"/>
          <w:szCs w:val="20"/>
          <w:color w:val="auto"/>
        </w:rPr>
      </w:pPr>
    </w:p>
    <w:p>
      <w:pPr>
        <w:jc w:val="both"/>
        <w:ind w:right="120" w:firstLine="636"/>
        <w:spacing w:after="0" w:line="248" w:lineRule="auto"/>
        <w:rPr>
          <w:sz w:val="20"/>
          <w:szCs w:val="20"/>
          <w:color w:val="auto"/>
        </w:rPr>
      </w:pPr>
      <w:r>
        <w:rPr>
          <w:rFonts w:ascii="Arial" w:cs="Arial" w:eastAsia="Arial" w:hAnsi="Arial"/>
          <w:sz w:val="18"/>
          <w:szCs w:val="18"/>
          <w:color w:val="auto"/>
        </w:rPr>
        <w:t>Total cost of revenue increased $53.1 million, or 49%, from $108.1 million for the year ended December 31, 2020 to $161.2 million for the year ended December 31, 2021. This increase was primarily the result of an increase in payments to sellers on our platform due to the growth in our buyer base and increased activity by existing accounts on our marketplace.</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Profit and Margin</w:t>
      </w:r>
    </w:p>
    <w:p>
      <w:pPr>
        <w:spacing w:after="0" w:line="104" w:lineRule="exact"/>
        <w:rPr>
          <w:sz w:val="20"/>
          <w:szCs w:val="20"/>
          <w:color w:val="auto"/>
        </w:rPr>
      </w:pPr>
    </w:p>
    <w:p>
      <w:pPr>
        <w:ind w:right="560" w:firstLine="636"/>
        <w:spacing w:after="0" w:line="261" w:lineRule="auto"/>
        <w:rPr>
          <w:sz w:val="20"/>
          <w:szCs w:val="20"/>
          <w:color w:val="auto"/>
        </w:rPr>
      </w:pPr>
      <w:r>
        <w:rPr>
          <w:rFonts w:ascii="Arial" w:cs="Arial" w:eastAsia="Arial" w:hAnsi="Arial"/>
          <w:sz w:val="18"/>
          <w:szCs w:val="18"/>
          <w:color w:val="auto"/>
        </w:rPr>
        <w:t>Gross profit increased $23.9 million, or 72%, from $33.3 million for the year ended December 31, 2020 to $57.1 million for the year ended December 31, 2021. The increase in gross profit was due primarily to the increase in revenue described above.</w:t>
      </w:r>
    </w:p>
    <w:p>
      <w:pPr>
        <w:spacing w:after="0" w:line="130" w:lineRule="exact"/>
        <w:rPr>
          <w:sz w:val="20"/>
          <w:szCs w:val="20"/>
          <w:color w:val="auto"/>
        </w:rPr>
      </w:pPr>
    </w:p>
    <w:p>
      <w:pPr>
        <w:ind w:right="460" w:firstLine="644"/>
        <w:spacing w:after="0"/>
        <w:rPr>
          <w:sz w:val="20"/>
          <w:szCs w:val="20"/>
          <w:color w:val="auto"/>
        </w:rPr>
      </w:pPr>
      <w:r>
        <w:rPr>
          <w:rFonts w:ascii="Arial" w:cs="Arial" w:eastAsia="Arial" w:hAnsi="Arial"/>
          <w:sz w:val="18"/>
          <w:szCs w:val="18"/>
          <w:color w:val="auto"/>
        </w:rPr>
        <w:t>Gross margin increased to 26.2% for the year ended December 31, 2021 from 23.5% for the year ended December 31, 2020. Our AI-driven platform pricing has become more efficient due to the increased number of orders, improving the data set and thus making our pricing decisions more accurate. Additionally, we continue to grow our active sellers resulting in a lower cost of revenue.</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87" w:right="33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and Marketing</w:t>
      </w:r>
    </w:p>
    <w:p>
      <w:pPr>
        <w:spacing w:after="0" w:line="104" w:lineRule="exact"/>
        <w:rPr>
          <w:sz w:val="20"/>
          <w:szCs w:val="20"/>
          <w:color w:val="auto"/>
        </w:rPr>
      </w:pPr>
    </w:p>
    <w:p>
      <w:pPr>
        <w:ind w:right="140" w:firstLine="644"/>
        <w:spacing w:after="0" w:line="284" w:lineRule="auto"/>
        <w:rPr>
          <w:sz w:val="20"/>
          <w:szCs w:val="20"/>
          <w:color w:val="auto"/>
        </w:rPr>
      </w:pPr>
      <w:r>
        <w:rPr>
          <w:rFonts w:ascii="Arial" w:cs="Arial" w:eastAsia="Arial" w:hAnsi="Arial"/>
          <w:sz w:val="16"/>
          <w:szCs w:val="16"/>
          <w:color w:val="auto"/>
        </w:rPr>
        <w:t>Sales and marketing expense increased $16.9 million, or 75%, from $22.6 million for the year ended December 31, 2020 to $39.4 million for the year ended December 31, 2021, a result of continued investment to drive revenue growth, additional employees and increased compensation-related expenses including stock based compensation primarily related to options granted in 2021, as compared to the prior year. As a percent of total revenue, sales and marketing expenses increased to 18% for the year ended December 31, 2021 from 16% for the year ended December 31, 2020.</w:t>
      </w:r>
    </w:p>
    <w:p>
      <w:pPr>
        <w:spacing w:after="0" w:line="128" w:lineRule="exact"/>
        <w:rPr>
          <w:sz w:val="20"/>
          <w:szCs w:val="20"/>
          <w:color w:val="auto"/>
        </w:rPr>
      </w:pPr>
    </w:p>
    <w:p>
      <w:pPr>
        <w:ind w:right="20" w:firstLine="636"/>
        <w:spacing w:after="0" w:line="248" w:lineRule="auto"/>
        <w:rPr>
          <w:sz w:val="20"/>
          <w:szCs w:val="20"/>
          <w:color w:val="auto"/>
        </w:rPr>
      </w:pPr>
      <w:r>
        <w:rPr>
          <w:rFonts w:ascii="Arial" w:cs="Arial" w:eastAsia="Arial" w:hAnsi="Arial"/>
          <w:sz w:val="18"/>
          <w:szCs w:val="18"/>
          <w:color w:val="auto"/>
        </w:rPr>
        <w:t>For the years ended December 31, 2021 and 2020, stock based compensation expense recorded in sales and marketing was $1.2 million and $0.2 million, respectively. Excluding stock based compensation, sales and marketing would be 17.5% and 15.8% of revenue as of December 31, 2021 and 2020, respectively.</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Operations and Support</w:t>
      </w:r>
    </w:p>
    <w:p>
      <w:pPr>
        <w:spacing w:after="0" w:line="104" w:lineRule="exact"/>
        <w:rPr>
          <w:sz w:val="20"/>
          <w:szCs w:val="20"/>
          <w:color w:val="auto"/>
        </w:rPr>
      </w:pPr>
    </w:p>
    <w:p>
      <w:pPr>
        <w:ind w:right="300" w:firstLine="636"/>
        <w:spacing w:after="0" w:line="284" w:lineRule="auto"/>
        <w:rPr>
          <w:sz w:val="20"/>
          <w:szCs w:val="20"/>
          <w:color w:val="auto"/>
        </w:rPr>
      </w:pPr>
      <w:r>
        <w:rPr>
          <w:rFonts w:ascii="Arial" w:cs="Arial" w:eastAsia="Arial" w:hAnsi="Arial"/>
          <w:sz w:val="16"/>
          <w:szCs w:val="16"/>
          <w:color w:val="auto"/>
        </w:rPr>
        <w:t>Operations and support increased $9.6 million, or 68%, from $14.1 million for the year ended December 31, 2020 to $23.7 million for the year ended December 31, 2021, primarily as a result of additional employees hired to support the growth of buyer and seller activity on our platform, and increased stock based compensation expense primarily related to options granted in 2021, as compared to the prior year. As a percent of total revenue, operations and support expenses remained relatively flat at approximately 10% for the years ended December 31, 2021 and 2020.</w:t>
      </w:r>
    </w:p>
    <w:p>
      <w:pPr>
        <w:spacing w:after="0" w:line="115" w:lineRule="exact"/>
        <w:rPr>
          <w:sz w:val="20"/>
          <w:szCs w:val="20"/>
          <w:color w:val="auto"/>
        </w:rPr>
      </w:pPr>
    </w:p>
    <w:p>
      <w:pPr>
        <w:ind w:left="640"/>
        <w:spacing w:after="0"/>
        <w:rPr>
          <w:sz w:val="20"/>
          <w:szCs w:val="20"/>
          <w:color w:val="auto"/>
        </w:rPr>
      </w:pPr>
      <w:r>
        <w:rPr>
          <w:rFonts w:ascii="Arial" w:cs="Arial" w:eastAsia="Arial" w:hAnsi="Arial"/>
          <w:sz w:val="16"/>
          <w:szCs w:val="16"/>
          <w:color w:val="auto"/>
        </w:rPr>
        <w:t>For the years ended December 31, 2021 and 2020, stock based compensation expense recorded in operations and support was $2.7 million and</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$0.3 million, respectively. Excluding stock based compensation, operations and support would be 9.6% and 9.8% of revenue as of December 31, 2021 and</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2020, respectively.</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Development</w:t>
      </w:r>
    </w:p>
    <w:p>
      <w:pPr>
        <w:spacing w:after="0" w:line="104" w:lineRule="exact"/>
        <w:rPr>
          <w:sz w:val="20"/>
          <w:szCs w:val="20"/>
          <w:color w:val="auto"/>
        </w:rPr>
      </w:pPr>
    </w:p>
    <w:p>
      <w:pPr>
        <w:jc w:val="both"/>
        <w:ind w:right="160" w:firstLine="636"/>
        <w:spacing w:after="0" w:line="243" w:lineRule="auto"/>
        <w:rPr>
          <w:sz w:val="20"/>
          <w:szCs w:val="20"/>
          <w:color w:val="auto"/>
        </w:rPr>
      </w:pPr>
      <w:r>
        <w:rPr>
          <w:rFonts w:ascii="Arial" w:cs="Arial" w:eastAsia="Arial" w:hAnsi="Arial"/>
          <w:sz w:val="18"/>
          <w:szCs w:val="18"/>
          <w:color w:val="auto"/>
        </w:rPr>
        <w:t>Product development expense increased $5.6 million, or 46%, from $12.2 million for the year ended December 31, 2020 to $17.8 million for the year ended December 31, 2021, a result of additional employees and increased stock based compensation expense primarily related to options granted in 2021, as compared to the prior year. As a percent of total revenue, product development expenses decreased to 8% for the year ended December 31, 2021 from 9% for the year ended December 31, 2020.</w:t>
      </w:r>
    </w:p>
    <w:p>
      <w:pPr>
        <w:spacing w:after="0" w:line="147" w:lineRule="exact"/>
        <w:rPr>
          <w:sz w:val="20"/>
          <w:szCs w:val="20"/>
          <w:color w:val="auto"/>
        </w:rPr>
      </w:pPr>
    </w:p>
    <w:p>
      <w:pPr>
        <w:jc w:val="both"/>
        <w:ind w:right="60" w:firstLine="644"/>
        <w:spacing w:after="0" w:line="248" w:lineRule="auto"/>
        <w:rPr>
          <w:sz w:val="20"/>
          <w:szCs w:val="20"/>
          <w:color w:val="auto"/>
        </w:rPr>
      </w:pPr>
      <w:r>
        <w:rPr>
          <w:rFonts w:ascii="Arial" w:cs="Arial" w:eastAsia="Arial" w:hAnsi="Arial"/>
          <w:sz w:val="18"/>
          <w:szCs w:val="18"/>
          <w:color w:val="auto"/>
        </w:rPr>
        <w:t>For the years ended December 31, 2021 and 2020, stock based compensation expense recorded in product development was $1.7 million and $0.4 million, respectively. Excluding stock based compensation, product development would be 7.3% and 8.4% of revenue as of December 31, 2021 and 2020, respectively.</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104" w:lineRule="exact"/>
        <w:rPr>
          <w:sz w:val="20"/>
          <w:szCs w:val="20"/>
          <w:color w:val="auto"/>
        </w:rPr>
      </w:pPr>
    </w:p>
    <w:p>
      <w:pPr>
        <w:ind w:firstLine="636"/>
        <w:spacing w:after="0" w:line="276" w:lineRule="auto"/>
        <w:rPr>
          <w:sz w:val="20"/>
          <w:szCs w:val="20"/>
          <w:color w:val="auto"/>
        </w:rPr>
      </w:pPr>
      <w:r>
        <w:rPr>
          <w:rFonts w:ascii="Arial" w:cs="Arial" w:eastAsia="Arial" w:hAnsi="Arial"/>
          <w:sz w:val="16"/>
          <w:szCs w:val="16"/>
          <w:color w:val="auto"/>
        </w:rPr>
        <w:t>General and administrative expense increased $22.9 million, or 190%, from $12.0 million for the year ended December 31, 2020 to $34.9 million for the year ended December 31, 2021, primarily as a result of an increase in compensation-related expenses, including stock based compensation, additional legal, accounting and finance headcount and third party expenses due to becoming a public company in July 2021, as well as additional overhead expenses to support the growth of our business operations. During 2021, the Company also made charitable contributions of $2.2 million and incurred transaction costs of $5.7 million resulting from the acquisition of Big Blue Saw, FactoryFour and Thomas. As a percent of total revenue, general and administrative expenses increased to 16% for year ended December 31, 2021 from 9% for the year ended December 31, 2020.</w:t>
      </w:r>
    </w:p>
    <w:p>
      <w:pPr>
        <w:spacing w:after="0" w:line="134" w:lineRule="exact"/>
        <w:rPr>
          <w:sz w:val="20"/>
          <w:szCs w:val="20"/>
          <w:color w:val="auto"/>
        </w:rPr>
      </w:pPr>
    </w:p>
    <w:p>
      <w:pPr>
        <w:jc w:val="both"/>
        <w:ind w:right="20" w:firstLine="644"/>
        <w:spacing w:after="0" w:line="248" w:lineRule="auto"/>
        <w:rPr>
          <w:sz w:val="20"/>
          <w:szCs w:val="20"/>
          <w:color w:val="auto"/>
        </w:rPr>
      </w:pPr>
      <w:r>
        <w:rPr>
          <w:rFonts w:ascii="Arial" w:cs="Arial" w:eastAsia="Arial" w:hAnsi="Arial"/>
          <w:sz w:val="18"/>
          <w:szCs w:val="18"/>
          <w:color w:val="auto"/>
        </w:rPr>
        <w:t>For the years ended December 31, 2021 and 2020, stock based compensation expense recorded in general and administrative was $1.8 million and $0.2 million, respectively. Excluding stock based compensation, general and administrative would be 15.2% and 8.4% of revenue as of December 31, 2021 and 2020, respectively.</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(Expenses) Income</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04" w:lineRule="exact"/>
        <w:rPr>
          <w:sz w:val="20"/>
          <w:szCs w:val="20"/>
          <w:color w:val="auto"/>
        </w:rPr>
      </w:pPr>
    </w:p>
    <w:p>
      <w:pPr>
        <w:ind w:right="260" w:firstLine="636"/>
        <w:spacing w:after="0" w:line="261" w:lineRule="auto"/>
        <w:rPr>
          <w:sz w:val="20"/>
          <w:szCs w:val="20"/>
          <w:color w:val="auto"/>
        </w:rPr>
      </w:pPr>
      <w:r>
        <w:rPr>
          <w:rFonts w:ascii="Arial" w:cs="Arial" w:eastAsia="Arial" w:hAnsi="Arial"/>
          <w:sz w:val="18"/>
          <w:szCs w:val="18"/>
          <w:color w:val="auto"/>
        </w:rPr>
        <w:t>Interest expense decreased by $0.2 million, or 22%, from $1.1 million for the year ended December 31, 2020 to $0.9 million for the year ended December 31, 2021, as a result of repaying our outstanding borrowings under our term loan in July 2021.</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and dividend income</w:t>
      </w:r>
    </w:p>
    <w:p>
      <w:pPr>
        <w:spacing w:after="0" w:line="10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Interest and dividend income increased by $1.0 million, primarily as a result of interest and dividend on marketable securities in 2021.</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Expenses</w:t>
      </w:r>
    </w:p>
    <w:p>
      <w:pPr>
        <w:spacing w:after="0" w:line="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03" w:right="359" w:bottom="1440" w:gutter="0" w:footer="0" w:header="0"/>
        </w:sectPr>
      </w:pPr>
    </w:p>
    <w:bookmarkStart w:id="55" w:name="page56"/>
    <w:bookmarkEnd w:id="55"/>
    <w:p>
      <w:pPr>
        <w:ind w:right="280" w:firstLine="636"/>
        <w:spacing w:after="0" w:line="248" w:lineRule="auto"/>
        <w:rPr>
          <w:sz w:val="20"/>
          <w:szCs w:val="20"/>
          <w:color w:val="auto"/>
        </w:rPr>
      </w:pPr>
      <w:r>
        <w:rPr>
          <w:rFonts w:ascii="Arial" w:cs="Arial" w:eastAsia="Arial" w:hAnsi="Arial"/>
          <w:sz w:val="18"/>
          <w:szCs w:val="18"/>
          <w:color w:val="auto"/>
        </w:rPr>
        <w:t>Other expenses increased by $2.1 million, or 267%, from $0.8 million for the year ended December 31, 2020 to $2.9 million for the year ended December 31, 2021, as a result of a $0.3 million loss on extinguishment of debt from the repayment of the term loan in July 2021, $1.9 million of unrealized loss on marketable securities and $0.7 million of other expenses.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Additional Segment Considerations</w:t>
      </w:r>
    </w:p>
    <w:p>
      <w:pPr>
        <w:spacing w:after="0" w:line="104" w:lineRule="exact"/>
        <w:rPr>
          <w:sz w:val="20"/>
          <w:szCs w:val="20"/>
          <w:color w:val="auto"/>
        </w:rPr>
      </w:pPr>
    </w:p>
    <w:p>
      <w:pPr>
        <w:ind w:right="320" w:firstLine="636"/>
        <w:spacing w:after="0" w:line="248" w:lineRule="auto"/>
        <w:rPr>
          <w:sz w:val="20"/>
          <w:szCs w:val="20"/>
          <w:color w:val="auto"/>
        </w:rPr>
      </w:pPr>
      <w:r>
        <w:rPr>
          <w:rFonts w:ascii="Arial" w:cs="Arial" w:eastAsia="Arial" w:hAnsi="Arial"/>
          <w:sz w:val="18"/>
          <w:szCs w:val="18"/>
          <w:color w:val="auto"/>
        </w:rPr>
        <w:t>Total segment loss from our U.S. operating segment for the year ended December 31, 2021 and 2020, was $51.2 million and $22.1 million, respectively. Total segment loss from our International operating segment for the year ended December 31, 2021 and 2020, was $10.2 million and $9.0 million, respectively.</w:t>
      </w:r>
    </w:p>
    <w:p>
      <w:pPr>
        <w:spacing w:after="0" w:line="35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Liquidity and Capital Resources</w:t>
      </w:r>
    </w:p>
    <w:p>
      <w:pPr>
        <w:spacing w:after="0" w:line="216" w:lineRule="exact"/>
        <w:rPr>
          <w:sz w:val="20"/>
          <w:szCs w:val="20"/>
          <w:color w:val="auto"/>
        </w:rPr>
      </w:pPr>
    </w:p>
    <w:p>
      <w:pPr>
        <w:ind w:right="180" w:firstLine="644"/>
        <w:spacing w:after="0"/>
        <w:rPr>
          <w:sz w:val="20"/>
          <w:szCs w:val="20"/>
          <w:color w:val="auto"/>
        </w:rPr>
      </w:pPr>
      <w:r>
        <w:rPr>
          <w:rFonts w:ascii="Arial" w:cs="Arial" w:eastAsia="Arial" w:hAnsi="Arial"/>
          <w:sz w:val="18"/>
          <w:szCs w:val="18"/>
          <w:color w:val="auto"/>
        </w:rPr>
        <w:t>We have financed our operations primarily through sales of our equity securities, convertible debt securities and borrowings under our term loan facility. As of December 31, 2021, our cash and cash equivalents, and marketable securities totaled $116.7 million, compared with $59.9 million as of December 31, 2020. We believe our existing cash and cash equivalents will be sufficient to support our working capital and capital expenditure requirements for at least the next twelve months. Our future capital requirements will depend on many factors, including our revenue growth rate, receivable and payable cycles, the timing and extent of investments in product development, sales and marketing, operations and support and general and administrative expenses.</w:t>
      </w:r>
    </w:p>
    <w:p>
      <w:pPr>
        <w:spacing w:after="0" w:line="149" w:lineRule="exact"/>
        <w:rPr>
          <w:sz w:val="20"/>
          <w:szCs w:val="20"/>
          <w:color w:val="auto"/>
        </w:rPr>
      </w:pPr>
    </w:p>
    <w:p>
      <w:pPr>
        <w:ind w:right="20" w:firstLine="644"/>
        <w:spacing w:after="0" w:line="239" w:lineRule="auto"/>
        <w:rPr>
          <w:sz w:val="20"/>
          <w:szCs w:val="20"/>
          <w:color w:val="auto"/>
        </w:rPr>
      </w:pPr>
      <w:r>
        <w:rPr>
          <w:rFonts w:ascii="Arial" w:cs="Arial" w:eastAsia="Arial" w:hAnsi="Arial"/>
          <w:sz w:val="18"/>
          <w:szCs w:val="18"/>
          <w:color w:val="auto"/>
        </w:rPr>
        <w:t>On July 2, 2021, we closed our planned initial public offering ("IPO"), in which we issued and sold 7,906,250 shares of our Class A common stock. The initial offering price was $44.00 per share. We received net proceeds of approximately $325.3 million from the IPO after deducting underwriting discounts and commissions of $22.6 million. The Company also incurred approximately $3.7 million of other offering costs in connection with its IPO. In August 2021, we invested approximately $266.6 million of proceeds from our IPO in marketable securities. We consider marketable securities as available for use in current operations, and therefore classify these securities as current assets on the Consolidated Balance Sheets. As of December 31, 2021, the Company held $30.5 million of marketable securities. In February 2022, we issued $287.5 million aggregate principal amount of 1.00% Convertible Senior Notes due 2027.</w:t>
      </w:r>
    </w:p>
    <w:p>
      <w:pPr>
        <w:spacing w:after="0" w:line="164" w:lineRule="exact"/>
        <w:rPr>
          <w:sz w:val="20"/>
          <w:szCs w:val="20"/>
          <w:color w:val="auto"/>
        </w:rPr>
      </w:pPr>
    </w:p>
    <w:p>
      <w:pPr>
        <w:ind w:right="20" w:firstLine="644"/>
        <w:spacing w:after="0" w:line="261" w:lineRule="auto"/>
        <w:rPr>
          <w:sz w:val="20"/>
          <w:szCs w:val="20"/>
          <w:color w:val="auto"/>
        </w:rPr>
      </w:pPr>
      <w:r>
        <w:rPr>
          <w:rFonts w:ascii="Arial" w:cs="Arial" w:eastAsia="Arial" w:hAnsi="Arial"/>
          <w:sz w:val="18"/>
          <w:szCs w:val="18"/>
          <w:color w:val="auto"/>
        </w:rPr>
        <w:t>Our capital expenditures consist primarily of internal-use software costs, manufacturing equipment, computers and peripheral equipment, furniture and fixtures and leasehold improvements and patents.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5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280" w:type="dxa"/>
            <w:vAlign w:val="bottom"/>
            <w:gridSpan w:val="5"/>
          </w:tcPr>
          <w:p>
            <w:pPr>
              <w:jc w:val="right"/>
              <w:ind w:right="1080"/>
              <w:spacing w:after="0"/>
              <w:rPr>
                <w:sz w:val="20"/>
                <w:szCs w:val="20"/>
                <w:color w:val="auto"/>
              </w:rPr>
            </w:pPr>
            <w:r>
              <w:rPr>
                <w:rFonts w:ascii="Arial" w:cs="Arial" w:eastAsia="Arial" w:hAnsi="Arial"/>
                <w:sz w:val="14"/>
                <w:szCs w:val="14"/>
                <w:b w:val="1"/>
                <w:bCs w:val="1"/>
                <w:color w:val="auto"/>
              </w:rPr>
              <w:t>Year Ended December 31,</w:t>
            </w:r>
          </w:p>
        </w:tc>
      </w:tr>
      <w:tr>
        <w:trPr>
          <w:trHeight w:val="169"/>
        </w:trPr>
        <w:tc>
          <w:tcPr>
            <w:tcW w:w="7580" w:type="dxa"/>
            <w:vAlign w:val="bottom"/>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220" w:type="dxa"/>
            <w:vAlign w:val="bottom"/>
            <w:tcBorders>
              <w:top w:val="single" w:sz="8" w:color="auto"/>
              <w:bottom w:val="single" w:sz="8" w:color="auto"/>
            </w:tcBorders>
          </w:tcPr>
          <w:p>
            <w:pPr>
              <w:jc w:val="right"/>
              <w:ind w:right="579"/>
              <w:spacing w:after="0"/>
              <w:rPr>
                <w:sz w:val="20"/>
                <w:szCs w:val="20"/>
                <w:color w:val="auto"/>
              </w:rPr>
            </w:pPr>
            <w:r>
              <w:rPr>
                <w:rFonts w:ascii="Arial" w:cs="Arial" w:eastAsia="Arial" w:hAnsi="Arial"/>
                <w:sz w:val="14"/>
                <w:szCs w:val="14"/>
                <w:b w:val="1"/>
                <w:bCs w:val="1"/>
                <w:color w:val="auto"/>
              </w:rPr>
              <w:t>2021</w:t>
            </w:r>
          </w:p>
        </w:tc>
        <w:tc>
          <w:tcPr>
            <w:tcW w:w="260" w:type="dxa"/>
            <w:vAlign w:val="bottom"/>
            <w:tcBorders>
              <w:top w:val="single" w:sz="8" w:color="auto"/>
            </w:tcBorders>
          </w:tcPr>
          <w:p>
            <w:pPr>
              <w:spacing w:after="0"/>
              <w:rPr>
                <w:sz w:val="14"/>
                <w:szCs w:val="14"/>
                <w:color w:val="auto"/>
              </w:rPr>
            </w:pPr>
          </w:p>
        </w:tc>
        <w:tc>
          <w:tcPr>
            <w:tcW w:w="540" w:type="dxa"/>
            <w:vAlign w:val="bottom"/>
            <w:tcBorders>
              <w:top w:val="single" w:sz="8" w:color="auto"/>
              <w:bottom w:val="single" w:sz="8" w:color="auto"/>
            </w:tcBorders>
          </w:tcPr>
          <w:p>
            <w:pPr>
              <w:spacing w:after="0"/>
              <w:rPr>
                <w:sz w:val="14"/>
                <w:szCs w:val="14"/>
                <w:color w:val="auto"/>
              </w:rPr>
            </w:pPr>
          </w:p>
        </w:tc>
        <w:tc>
          <w:tcPr>
            <w:tcW w:w="1180" w:type="dxa"/>
            <w:vAlign w:val="bottom"/>
            <w:tcBorders>
              <w:top w:val="single" w:sz="8" w:color="auto"/>
              <w:bottom w:val="single" w:sz="8" w:color="auto"/>
            </w:tcBorders>
          </w:tcPr>
          <w:p>
            <w:pPr>
              <w:jc w:val="right"/>
              <w:ind w:right="635"/>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4"/>
                <w:szCs w:val="14"/>
                <w:color w:val="auto"/>
              </w:rPr>
            </w:pPr>
          </w:p>
        </w:tc>
      </w:tr>
      <w:tr>
        <w:trPr>
          <w:trHeight w:val="169"/>
        </w:trPr>
        <w:tc>
          <w:tcPr>
            <w:tcW w:w="75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4"/>
                <w:szCs w:val="14"/>
                <w:b w:val="1"/>
                <w:bCs w:val="1"/>
                <w:color w:val="auto"/>
              </w:rPr>
              <w:t>(in</w:t>
            </w:r>
          </w:p>
        </w:tc>
        <w:tc>
          <w:tcPr>
            <w:tcW w:w="80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79"/>
              </w:rPr>
              <w:t>thousands)</w:t>
            </w: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03"/>
        </w:trPr>
        <w:tc>
          <w:tcPr>
            <w:tcW w:w="75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Net cash (used in) operating activities</w:t>
            </w:r>
          </w:p>
        </w:tc>
        <w:tc>
          <w:tcPr>
            <w:tcW w:w="380" w:type="dxa"/>
            <w:vAlign w:val="bottom"/>
            <w:shd w:val="clear" w:color="auto" w:fill="CFF0FC"/>
          </w:tcPr>
          <w:p>
            <w:pPr>
              <w:jc w:val="right"/>
              <w:ind w:right="190"/>
              <w:spacing w:after="0" w:line="202" w:lineRule="exact"/>
              <w:rPr>
                <w:sz w:val="20"/>
                <w:szCs w:val="20"/>
                <w:color w:val="auto"/>
              </w:rPr>
            </w:pPr>
            <w:r>
              <w:rPr>
                <w:rFonts w:ascii="Arial" w:cs="Arial" w:eastAsia="Arial" w:hAnsi="Arial"/>
                <w:sz w:val="18"/>
                <w:szCs w:val="18"/>
                <w:color w:val="auto"/>
                <w:w w:val="79"/>
              </w:rPr>
              <w:t>$</w:t>
            </w:r>
          </w:p>
        </w:tc>
        <w:tc>
          <w:tcPr>
            <w:tcW w:w="2020" w:type="dxa"/>
            <w:vAlign w:val="bottom"/>
            <w:gridSpan w:val="3"/>
            <w:shd w:val="clear" w:color="auto" w:fill="CFF0FC"/>
          </w:tcPr>
          <w:p>
            <w:pPr>
              <w:jc w:val="right"/>
              <w:ind w:right="440"/>
              <w:spacing w:after="0" w:line="202" w:lineRule="exact"/>
              <w:rPr>
                <w:sz w:val="20"/>
                <w:szCs w:val="20"/>
                <w:color w:val="auto"/>
              </w:rPr>
            </w:pPr>
            <w:r>
              <w:rPr>
                <w:rFonts w:ascii="Arial" w:cs="Arial" w:eastAsia="Arial" w:hAnsi="Arial"/>
                <w:sz w:val="18"/>
                <w:szCs w:val="18"/>
                <w:color w:val="auto"/>
              </w:rPr>
              <w:t>(68,571 )  $</w:t>
            </w:r>
          </w:p>
        </w:tc>
        <w:tc>
          <w:tcPr>
            <w:tcW w:w="126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(22,049 )</w:t>
            </w:r>
          </w:p>
        </w:tc>
      </w:tr>
      <w:tr>
        <w:trPr>
          <w:trHeight w:val="203"/>
        </w:trPr>
        <w:tc>
          <w:tcPr>
            <w:tcW w:w="7580" w:type="dxa"/>
            <w:vAlign w:val="bottom"/>
          </w:tcPr>
          <w:p>
            <w:pPr>
              <w:ind w:left="20"/>
              <w:spacing w:after="0" w:line="202" w:lineRule="exact"/>
              <w:rPr>
                <w:sz w:val="20"/>
                <w:szCs w:val="20"/>
                <w:color w:val="auto"/>
              </w:rPr>
            </w:pPr>
            <w:r>
              <w:rPr>
                <w:rFonts w:ascii="Arial" w:cs="Arial" w:eastAsia="Arial" w:hAnsi="Arial"/>
                <w:sz w:val="18"/>
                <w:szCs w:val="18"/>
                <w:color w:val="auto"/>
              </w:rPr>
              <w:t>Net cash (used in) provided by investing activities</w:t>
            </w:r>
          </w:p>
        </w:tc>
        <w:tc>
          <w:tcPr>
            <w:tcW w:w="380" w:type="dxa"/>
            <w:vAlign w:val="bottom"/>
          </w:tcPr>
          <w:p>
            <w:pPr>
              <w:spacing w:after="0"/>
              <w:rPr>
                <w:sz w:val="17"/>
                <w:szCs w:val="17"/>
                <w:color w:val="auto"/>
              </w:rPr>
            </w:pPr>
          </w:p>
        </w:tc>
        <w:tc>
          <w:tcPr>
            <w:tcW w:w="1480" w:type="dxa"/>
            <w:vAlign w:val="bottom"/>
            <w:gridSpan w:val="2"/>
          </w:tcPr>
          <w:p>
            <w:pPr>
              <w:jc w:val="right"/>
              <w:ind w:right="128"/>
              <w:spacing w:after="0" w:line="202" w:lineRule="exact"/>
              <w:rPr>
                <w:sz w:val="20"/>
                <w:szCs w:val="20"/>
                <w:color w:val="auto"/>
              </w:rPr>
            </w:pPr>
            <w:r>
              <w:rPr>
                <w:rFonts w:ascii="Arial" w:cs="Arial" w:eastAsia="Arial" w:hAnsi="Arial"/>
                <w:sz w:val="18"/>
                <w:szCs w:val="18"/>
                <w:color w:val="auto"/>
              </w:rPr>
              <w:t>(212,748 )</w:t>
            </w:r>
          </w:p>
        </w:tc>
        <w:tc>
          <w:tcPr>
            <w:tcW w:w="54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6,670</w:t>
            </w:r>
          </w:p>
        </w:tc>
        <w:tc>
          <w:tcPr>
            <w:tcW w:w="80" w:type="dxa"/>
            <w:vAlign w:val="bottom"/>
          </w:tcPr>
          <w:p>
            <w:pPr>
              <w:spacing w:after="0"/>
              <w:rPr>
                <w:sz w:val="17"/>
                <w:szCs w:val="17"/>
                <w:color w:val="auto"/>
              </w:rPr>
            </w:pPr>
          </w:p>
        </w:tc>
      </w:tr>
      <w:tr>
        <w:trPr>
          <w:trHeight w:val="203"/>
        </w:trPr>
        <w:tc>
          <w:tcPr>
            <w:tcW w:w="75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Net cash provided by financing activities</w:t>
            </w:r>
          </w:p>
        </w:tc>
        <w:tc>
          <w:tcPr>
            <w:tcW w:w="38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307,768</w:t>
            </w:r>
          </w:p>
        </w:tc>
        <w:tc>
          <w:tcPr>
            <w:tcW w:w="26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35,261</w:t>
            </w:r>
          </w:p>
        </w:tc>
        <w:tc>
          <w:tcPr>
            <w:tcW w:w="80" w:type="dxa"/>
            <w:vAlign w:val="bottom"/>
            <w:shd w:val="clear" w:color="auto" w:fill="CFF0FC"/>
          </w:tcPr>
          <w:p>
            <w:pPr>
              <w:spacing w:after="0"/>
              <w:rPr>
                <w:sz w:val="17"/>
                <w:szCs w:val="17"/>
                <w:color w:val="auto"/>
              </w:rPr>
            </w:pPr>
          </w:p>
        </w:tc>
      </w:tr>
    </w:tbl>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04" w:lineRule="exact"/>
        <w:rPr>
          <w:sz w:val="20"/>
          <w:szCs w:val="20"/>
          <w:color w:val="auto"/>
        </w:rPr>
      </w:pPr>
    </w:p>
    <w:p>
      <w:pPr>
        <w:ind w:right="240" w:firstLine="636"/>
        <w:spacing w:after="0" w:line="257" w:lineRule="auto"/>
        <w:rPr>
          <w:sz w:val="20"/>
          <w:szCs w:val="20"/>
          <w:color w:val="auto"/>
        </w:rPr>
      </w:pPr>
      <w:r>
        <w:rPr>
          <w:rFonts w:ascii="Arial" w:cs="Arial" w:eastAsia="Arial" w:hAnsi="Arial"/>
          <w:sz w:val="17"/>
          <w:szCs w:val="17"/>
          <w:color w:val="auto"/>
        </w:rPr>
        <w:t>For the year ended December 31, 2021, net cash used in operating activities was $68.6 million, primarily due to a net loss of $(61.4) million adjusted for non-cash charges of $16.5 million and a net decrease in our operating assets and liabilities of $23.6 million. The non-cash adjustments primarily relate to stock-based compensation of $7.4 million, depreciation and amortization of $3.6 million, donated common stock of $2.2 million and unrealized loss on marketable securities of $2.0 million. The net decrease in operating assets and liabilities is primarily driven by an increase in accounts receivable of $11.1 million and prepaid expenses of $4.0 million and a decrease in accrued expenses of $12.0 million and contract liabilities of $1.6 million. These decreases are partially offset by increases in accounts payable of $5.2 million.</w:t>
      </w:r>
    </w:p>
    <w:p>
      <w:pPr>
        <w:spacing w:after="0" w:line="135" w:lineRule="exact"/>
        <w:rPr>
          <w:sz w:val="20"/>
          <w:szCs w:val="20"/>
          <w:color w:val="auto"/>
        </w:rPr>
      </w:pPr>
    </w:p>
    <w:p>
      <w:pPr>
        <w:ind w:firstLine="636"/>
        <w:spacing w:after="0" w:line="237" w:lineRule="auto"/>
        <w:rPr>
          <w:sz w:val="20"/>
          <w:szCs w:val="20"/>
          <w:color w:val="auto"/>
        </w:rPr>
      </w:pPr>
      <w:r>
        <w:rPr>
          <w:rFonts w:ascii="Arial" w:cs="Arial" w:eastAsia="Arial" w:hAnsi="Arial"/>
          <w:sz w:val="18"/>
          <w:szCs w:val="18"/>
          <w:color w:val="auto"/>
        </w:rPr>
        <w:t>For the year ended December 31, 2020, net cash used in operating activities was $22.0 million, primarily due to a net loss of $(31.1) million adjusted for non-cash charges of $7.1 million offset by a net increase in our operating assets and liabilities of $2.0 million. The non-cash adjustments primarily relate to stock-based compensation of $1.0 million, impairment of goodwill and intangible assets of $1.6 million, reduction in carrying amount of right of use asset of $1.0 million and depreciation and amortization of $3.1 million. The net increase in operating assets and liabilities is primarily driven by an increase in accrued expenses of $8.6 million. This increase is offset by a decrease in accounts receivable of $2.1 million, accounts payable of $2.4 million and lease liabilities of $1.0 million.</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04" w:lineRule="exact"/>
        <w:rPr>
          <w:sz w:val="20"/>
          <w:szCs w:val="20"/>
          <w:color w:val="auto"/>
        </w:rPr>
      </w:pPr>
    </w:p>
    <w:p>
      <w:pPr>
        <w:ind w:right="40" w:firstLine="636"/>
        <w:spacing w:after="0" w:line="248" w:lineRule="auto"/>
        <w:rPr>
          <w:sz w:val="20"/>
          <w:szCs w:val="20"/>
          <w:color w:val="auto"/>
        </w:rPr>
      </w:pPr>
      <w:r>
        <w:rPr>
          <w:rFonts w:ascii="Arial" w:cs="Arial" w:eastAsia="Arial" w:hAnsi="Arial"/>
          <w:sz w:val="18"/>
          <w:szCs w:val="18"/>
          <w:color w:val="auto"/>
        </w:rPr>
        <w:t>Cash used by investing activities was $212.7 million during the year ended December 31, 2021 primarily due to three business acquisitions completed during 2021 for an aggregate of $174.6 million and the purchase of $267.5 million of marketable securities offset by proceeds from the issuance of $235.0 million of marketable securities.</w:t>
      </w:r>
    </w:p>
    <w:p>
      <w:pPr>
        <w:spacing w:after="0" w:line="155" w:lineRule="exact"/>
        <w:rPr>
          <w:sz w:val="20"/>
          <w:szCs w:val="20"/>
          <w:color w:val="auto"/>
        </w:rPr>
      </w:pPr>
    </w:p>
    <w:p>
      <w:pPr>
        <w:ind w:right="700" w:firstLine="636"/>
        <w:spacing w:after="0" w:line="261" w:lineRule="auto"/>
        <w:rPr>
          <w:sz w:val="20"/>
          <w:szCs w:val="20"/>
          <w:color w:val="auto"/>
        </w:rPr>
      </w:pPr>
      <w:r>
        <w:rPr>
          <w:rFonts w:ascii="Arial" w:cs="Arial" w:eastAsia="Arial" w:hAnsi="Arial"/>
          <w:sz w:val="18"/>
          <w:szCs w:val="18"/>
          <w:color w:val="auto"/>
        </w:rPr>
        <w:t>Cash provided in investing activities was $6.7 million during the year ended December 31, 2020, primarily due to $28.6 million from the settlement of short-term investments partially offset by the purchase of short-term investments of $17.7 million.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04" w:lineRule="exact"/>
        <w:rPr>
          <w:sz w:val="20"/>
          <w:szCs w:val="20"/>
          <w:color w:val="auto"/>
        </w:rPr>
      </w:pPr>
    </w:p>
    <w:p>
      <w:pPr>
        <w:ind w:right="340" w:firstLine="636"/>
        <w:spacing w:after="0" w:line="261" w:lineRule="auto"/>
        <w:rPr>
          <w:sz w:val="20"/>
          <w:szCs w:val="20"/>
          <w:color w:val="auto"/>
        </w:rPr>
      </w:pPr>
      <w:r>
        <w:rPr>
          <w:rFonts w:ascii="Arial" w:cs="Arial" w:eastAsia="Arial" w:hAnsi="Arial"/>
          <w:sz w:val="18"/>
          <w:szCs w:val="18"/>
          <w:color w:val="auto"/>
        </w:rPr>
        <w:t>Cash provided by financing activities was $307.8 million during the year ended December 31, 2021, primarily from the proceeds of our initial public offering of $325.3 million, partially offset by the repayment of term-loan of $16.1 million.</w:t>
      </w:r>
    </w:p>
    <w:p>
      <w:pPr>
        <w:spacing w:after="0" w:line="130" w:lineRule="exact"/>
        <w:rPr>
          <w:sz w:val="20"/>
          <w:szCs w:val="20"/>
          <w:color w:val="auto"/>
        </w:rPr>
      </w:pPr>
    </w:p>
    <w:p>
      <w:pPr>
        <w:ind w:right="140" w:firstLine="636"/>
        <w:spacing w:after="0" w:line="248" w:lineRule="auto"/>
        <w:rPr>
          <w:sz w:val="20"/>
          <w:szCs w:val="20"/>
          <w:color w:val="auto"/>
        </w:rPr>
      </w:pPr>
      <w:r>
        <w:rPr>
          <w:rFonts w:ascii="Arial" w:cs="Arial" w:eastAsia="Arial" w:hAnsi="Arial"/>
          <w:sz w:val="18"/>
          <w:szCs w:val="18"/>
          <w:color w:val="auto"/>
        </w:rPr>
        <w:t>Cash provided by financing activities was $35.3 million during the year ended December 31, 2020, reflecting $39.6 million of proceeds from the issuance of convertible preferred stock, net of cost and $4.0 million of proceeds from the term loan facility, partially offset by an $8.8 million deemed dividend to certain preferred stockholders.</w:t>
      </w:r>
    </w:p>
    <w:p>
      <w:pPr>
        <w:spacing w:after="0" w:line="286"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Critical Accounting Estimates</w:t>
      </w:r>
    </w:p>
    <w:p>
      <w:pPr>
        <w:spacing w:after="0" w:line="216" w:lineRule="exact"/>
        <w:rPr>
          <w:sz w:val="20"/>
          <w:szCs w:val="20"/>
          <w:color w:val="auto"/>
        </w:rPr>
      </w:pPr>
    </w:p>
    <w:p>
      <w:pPr>
        <w:ind w:firstLine="636"/>
        <w:spacing w:after="0" w:line="284" w:lineRule="auto"/>
        <w:rPr>
          <w:sz w:val="20"/>
          <w:szCs w:val="20"/>
          <w:color w:val="auto"/>
        </w:rPr>
      </w:pPr>
      <w:r>
        <w:rPr>
          <w:rFonts w:ascii="Arial" w:cs="Arial" w:eastAsia="Arial" w:hAnsi="Arial"/>
          <w:sz w:val="16"/>
          <w:szCs w:val="16"/>
          <w:color w:val="auto"/>
        </w:rPr>
        <w:t>Our discussion and analysis of financial condition and results of operations are based upon our financial statements included elsewhere in this Annual Report on Form 10-K. The preparation of our financial statements in accordance with GAAP requires us to make estimates and assumptions that affect the reported amounts of assets, liabilities, revenue, and expenses. We base our estimates on past experience and other assumptions that we believe are reasonable under the circumstances, and we evaluate these estimates on an ongoing basis. Actual results may differ from those estimates.</w:t>
      </w:r>
    </w:p>
    <w:p>
      <w:pPr>
        <w:spacing w:after="0" w:line="128" w:lineRule="exact"/>
        <w:rPr>
          <w:sz w:val="20"/>
          <w:szCs w:val="20"/>
          <w:color w:val="auto"/>
        </w:rPr>
      </w:pPr>
    </w:p>
    <w:p>
      <w:pPr>
        <w:ind w:firstLine="636"/>
        <w:spacing w:after="0" w:line="241" w:lineRule="auto"/>
        <w:rPr>
          <w:sz w:val="20"/>
          <w:szCs w:val="20"/>
          <w:color w:val="auto"/>
        </w:rPr>
      </w:pPr>
      <w:r>
        <w:rPr>
          <w:rFonts w:ascii="Arial" w:cs="Arial" w:eastAsia="Arial" w:hAnsi="Arial"/>
          <w:sz w:val="18"/>
          <w:szCs w:val="18"/>
          <w:color w:val="auto"/>
        </w:rPr>
        <w:t>Our critical accounting estimates are those that materially affect our financial statements and involve difficult, subjective or complex judgments by management. A thorough understanding of these critical accounting estimates is essential when reviewing our financial statements. We believe that the critical accounting estimates listed below are the most difficult management decisions as they involve the use of significant estimates and assumptions as described above. Historically, our assumptions, judgments and estimates relative to our critical accounting estimates have not differed materially from actual results.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171" w:lineRule="exact"/>
        <w:rPr>
          <w:sz w:val="20"/>
          <w:szCs w:val="20"/>
          <w:color w:val="auto"/>
        </w:rPr>
      </w:pPr>
    </w:p>
    <w:p>
      <w:pPr>
        <w:ind w:firstLine="636"/>
        <w:spacing w:after="0" w:line="239" w:lineRule="auto"/>
        <w:rPr>
          <w:sz w:val="20"/>
          <w:szCs w:val="20"/>
          <w:color w:val="auto"/>
        </w:rPr>
      </w:pPr>
      <w:r>
        <w:rPr>
          <w:rFonts w:ascii="Arial" w:cs="Arial" w:eastAsia="Arial" w:hAnsi="Arial"/>
          <w:sz w:val="18"/>
          <w:szCs w:val="18"/>
          <w:color w:val="auto"/>
        </w:rPr>
        <w:t>During the fourth quarter of 2021, we acquired three businesses that we accounted for as business combinations. Accounting for business combinations requires us to make significant estimates and assumptions, especially at the acquisition date with respect to tangible and intangible assets acquired and liabilities assumed. We use our best estimates and assumptions to accurately assign fair value to the tangible and intangible assets acquired and liabilities assumed at the acquisition date as well as the useful lives of those acquired intangible assets. Examples of critical estimates in valuing certain of the intangible assets and goodwill acquired include but are not limited to future (i) expected cash flows from acquired customer relationships, (ii) attrition, (iii) gross profit and (iv) discount rate. To the extent our estimates and assumptions change during the measurement period, the fair value of the acquired intangible asset and goodwill could change materially.</w:t>
      </w: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Emerging Growth Company Status</w:t>
      </w:r>
    </w:p>
    <w:p>
      <w:pPr>
        <w:spacing w:after="0" w:line="216" w:lineRule="exact"/>
        <w:rPr>
          <w:sz w:val="20"/>
          <w:szCs w:val="20"/>
          <w:color w:val="auto"/>
        </w:rPr>
      </w:pPr>
    </w:p>
    <w:p>
      <w:pPr>
        <w:ind w:firstLine="636"/>
        <w:spacing w:after="0"/>
        <w:rPr>
          <w:sz w:val="20"/>
          <w:szCs w:val="20"/>
          <w:color w:val="auto"/>
        </w:rPr>
      </w:pPr>
      <w:r>
        <w:rPr>
          <w:rFonts w:ascii="Arial" w:cs="Arial" w:eastAsia="Arial" w:hAnsi="Arial"/>
          <w:sz w:val="18"/>
          <w:szCs w:val="18"/>
          <w:color w:val="auto"/>
        </w:rPr>
        <w:t>We qualify as an “emerging growth company” pursuant to the provisions of the Jumpstart Our Business Startups Act of 2012, or the JOBS Act. For as long as we are an “emerging growth company,” we may take advantage of certain exemptions from various reporting requirements that are applicable to other public companies that are not “emerging growth companies,” including, but not limited to, not being required to comply with the auditor attestation requirements of Section 404(b) of the Sarbanes-Oxley Act, reduced disclosure obligations regarding executive compensation in our periodic reports and proxy statements, exemptions from the requirements of holding advisory “say-on-pay” votes on executive compensation, and stockholder advisory votes on golden parachute compensation.</w:t>
      </w:r>
    </w:p>
    <w:p>
      <w:pPr>
        <w:spacing w:after="0" w:line="162" w:lineRule="exact"/>
        <w:rPr>
          <w:sz w:val="20"/>
          <w:szCs w:val="20"/>
          <w:color w:val="auto"/>
        </w:rPr>
      </w:pPr>
    </w:p>
    <w:p>
      <w:pPr>
        <w:ind w:right="20" w:firstLine="636"/>
        <w:spacing w:after="0" w:line="239" w:lineRule="auto"/>
        <w:rPr>
          <w:sz w:val="20"/>
          <w:szCs w:val="20"/>
          <w:color w:val="auto"/>
        </w:rPr>
      </w:pPr>
      <w:r>
        <w:rPr>
          <w:rFonts w:ascii="Arial" w:cs="Arial" w:eastAsia="Arial" w:hAnsi="Arial"/>
          <w:sz w:val="18"/>
          <w:szCs w:val="18"/>
          <w:color w:val="auto"/>
        </w:rPr>
        <w:t>The JOBS Act also permits an emerging growth company like us to take advantage of an extended transition period to comply with new or revised accounting standards applicable to public companies. We have elected to “opt-in” to this extended transition period for complying with new or revised accounting standards and, therefore, we will not be subject to the same new or revised accounting standards as other public companies that comply with such new or revised accounting standards on a non-delayed basis.</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03" w:right="359" w:bottom="144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32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216" w:lineRule="exact"/>
        <w:rPr>
          <w:sz w:val="20"/>
          <w:szCs w:val="20"/>
          <w:color w:val="auto"/>
        </w:rPr>
      </w:pPr>
    </w:p>
    <w:p>
      <w:pPr>
        <w:ind w:right="180" w:firstLine="644"/>
        <w:spacing w:after="0" w:line="243" w:lineRule="auto"/>
        <w:rPr>
          <w:sz w:val="20"/>
          <w:szCs w:val="20"/>
          <w:color w:val="auto"/>
        </w:rPr>
      </w:pPr>
      <w:r>
        <w:rPr>
          <w:rFonts w:ascii="Arial" w:cs="Arial" w:eastAsia="Arial" w:hAnsi="Arial"/>
          <w:sz w:val="18"/>
          <w:szCs w:val="18"/>
          <w:color w:val="auto"/>
        </w:rPr>
        <w:t>We are exposed to market risks in the ordinary course of our business. Market risk represents the risk of loss that may impact our financial position due to adverse changes in financial market prices and rates. Our market risk exposure is primarily a result of exposure to potential changes in interest rates. We do not enter into investments for trading or speculative purposes and have not used any derivative financial instruments to manage our interest rate risk exposure.</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104" w:lineRule="exact"/>
        <w:rPr>
          <w:sz w:val="20"/>
          <w:szCs w:val="20"/>
          <w:color w:val="auto"/>
        </w:rPr>
      </w:pPr>
    </w:p>
    <w:p>
      <w:pPr>
        <w:ind w:right="280" w:firstLine="636"/>
        <w:spacing w:after="0" w:line="248" w:lineRule="auto"/>
        <w:rPr>
          <w:sz w:val="20"/>
          <w:szCs w:val="20"/>
          <w:color w:val="auto"/>
        </w:rPr>
      </w:pPr>
      <w:r>
        <w:rPr>
          <w:rFonts w:ascii="Arial" w:cs="Arial" w:eastAsia="Arial" w:hAnsi="Arial"/>
          <w:sz w:val="18"/>
          <w:szCs w:val="18"/>
          <w:color w:val="auto"/>
        </w:rPr>
        <w:t>Our revenue and costs are principally denominated in U.S. dollars and are not subject to foreign currency exchange risk. Our International operating segment generates revenue outside of the United States that is denominated in currencies other than the U.S. dollar. Our results of operations could be impacted by changes in exchange rates.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Inflation Risk</w:t>
      </w:r>
    </w:p>
    <w:p>
      <w:pPr>
        <w:spacing w:after="0" w:line="104" w:lineRule="exact"/>
        <w:rPr>
          <w:sz w:val="20"/>
          <w:szCs w:val="20"/>
          <w:color w:val="auto"/>
        </w:rPr>
      </w:pPr>
    </w:p>
    <w:p>
      <w:pPr>
        <w:ind w:firstLine="636"/>
        <w:spacing w:after="0" w:line="255" w:lineRule="auto"/>
        <w:rPr>
          <w:sz w:val="20"/>
          <w:szCs w:val="20"/>
          <w:color w:val="auto"/>
        </w:rPr>
      </w:pPr>
      <w:r>
        <w:rPr>
          <w:rFonts w:ascii="Arial" w:cs="Arial" w:eastAsia="Arial" w:hAnsi="Arial"/>
          <w:sz w:val="17"/>
          <w:szCs w:val="17"/>
          <w:color w:val="auto"/>
        </w:rPr>
        <w:t>We do not believe that inflation has had a material effect on our business, results of operations, or financial condition. If our costs were to become subject to significant inflationary pressures such as those caused by the conflict in Ukraine, we may not be able to fully offset such higher costs through price increases. Our inability or failure to do so could harm our business, results of operations and financial condition.</w:t>
      </w:r>
    </w:p>
    <w:p>
      <w:pPr>
        <w:jc w:val="center"/>
        <w:ind w:right="-9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499" w:right="439" w:bottom="1440"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XOMETRY, INC. AND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Financial Statements</w:t>
      </w:r>
    </w:p>
    <w:p>
      <w:pPr>
        <w:spacing w:after="0" w:line="30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54" w:lineRule="exact"/>
        <w:rPr>
          <w:sz w:val="20"/>
          <w:szCs w:val="20"/>
          <w:color w:val="auto"/>
        </w:rPr>
      </w:pPr>
    </w:p>
    <w:tbl>
      <w:tblPr>
        <w:tblLayout w:type="fixed"/>
        <w:tblInd w:w="10" w:type="dxa"/>
        <w:tblCellMar>
          <w:top w:w="0" w:type="dxa"/>
          <w:left w:w="0" w:type="dxa"/>
          <w:bottom w:w="0" w:type="dxa"/>
          <w:right w:w="0" w:type="dxa"/>
        </w:tblCellMar>
      </w:tblPr>
      <w:tr>
        <w:trPr>
          <w:trHeight w:val="167"/>
        </w:trPr>
        <w:tc>
          <w:tcPr>
            <w:tcW w:w="48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920" w:type="dxa"/>
            <w:vAlign w:val="bottom"/>
            <w:tcBorders>
              <w:bottom w:val="single" w:sz="8" w:color="auto"/>
            </w:tcBorders>
          </w:tcPr>
          <w:p>
            <w:pPr>
              <w:ind w:left="240"/>
              <w:spacing w:after="0"/>
              <w:rPr>
                <w:sz w:val="20"/>
                <w:szCs w:val="20"/>
                <w:color w:val="auto"/>
              </w:rPr>
            </w:pPr>
            <w:r>
              <w:rPr>
                <w:rFonts w:ascii="Arial" w:cs="Arial" w:eastAsia="Arial" w:hAnsi="Arial"/>
                <w:sz w:val="14"/>
                <w:szCs w:val="14"/>
                <w:color w:val="auto"/>
              </w:rPr>
              <w:t>Page(s)</w:t>
            </w:r>
          </w:p>
        </w:tc>
        <w:tc>
          <w:tcPr>
            <w:tcW w:w="20" w:type="dxa"/>
            <w:vAlign w:val="bottom"/>
          </w:tcPr>
          <w:p>
            <w:pPr>
              <w:spacing w:after="0"/>
              <w:rPr>
                <w:sz w:val="14"/>
                <w:szCs w:val="14"/>
                <w:color w:val="auto"/>
              </w:rPr>
            </w:pPr>
          </w:p>
        </w:tc>
      </w:tr>
      <w:tr>
        <w:trPr>
          <w:trHeight w:val="331"/>
        </w:trPr>
        <w:tc>
          <w:tcPr>
            <w:tcW w:w="4280" w:type="dxa"/>
            <w:vAlign w:val="bottom"/>
            <w:tcBorders>
              <w:bottom w:val="single" w:sz="8" w:color="0000EE"/>
            </w:tcBorders>
            <w:gridSpan w:val="6"/>
          </w:tcPr>
          <w:p>
            <w:pPr>
              <w:ind w:left="20"/>
              <w:spacing w:after="0"/>
              <w:rPr>
                <w:rFonts w:ascii="Arial" w:cs="Arial" w:eastAsia="Arial" w:hAnsi="Arial"/>
                <w:sz w:val="18"/>
                <w:szCs w:val="18"/>
                <w:color w:val="0000FF"/>
                <w:w w:val="92"/>
              </w:rPr>
            </w:pPr>
            <w:hyperlink w:anchor="page60">
              <w:r>
                <w:rPr>
                  <w:rFonts w:ascii="Arial" w:cs="Arial" w:eastAsia="Arial" w:hAnsi="Arial"/>
                  <w:sz w:val="18"/>
                  <w:szCs w:val="18"/>
                  <w:color w:val="0000FF"/>
                  <w:w w:val="92"/>
                </w:rPr>
                <w:t>Report of Independent Registered Public Accounting Firm</w:t>
              </w:r>
            </w:hyperlink>
          </w:p>
        </w:tc>
        <w:tc>
          <w:tcPr>
            <w:tcW w:w="6020" w:type="dxa"/>
            <w:vAlign w:val="bottom"/>
            <w:gridSpan w:val="3"/>
          </w:tcPr>
          <w:p>
            <w:pPr>
              <w:spacing w:after="0"/>
              <w:rPr>
                <w:sz w:val="24"/>
                <w:szCs w:val="24"/>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57</w:t>
            </w:r>
          </w:p>
        </w:tc>
      </w:tr>
      <w:tr>
        <w:trPr>
          <w:trHeight w:val="344"/>
        </w:trPr>
        <w:tc>
          <w:tcPr>
            <w:tcW w:w="10300" w:type="dxa"/>
            <w:vAlign w:val="bottom"/>
            <w:gridSpan w:val="9"/>
          </w:tcPr>
          <w:p>
            <w:pPr>
              <w:ind w:left="20"/>
              <w:spacing w:after="0"/>
              <w:rPr>
                <w:sz w:val="20"/>
                <w:szCs w:val="20"/>
                <w:color w:val="auto"/>
              </w:rPr>
            </w:pPr>
            <w:r>
              <w:rPr>
                <w:rFonts w:ascii="Arial" w:cs="Arial" w:eastAsia="Arial" w:hAnsi="Arial"/>
                <w:sz w:val="18"/>
                <w:szCs w:val="18"/>
                <w:color w:val="auto"/>
              </w:rPr>
              <w:t>Consolidated Financial Statements:</w:t>
            </w: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70"/>
        </w:trPr>
        <w:tc>
          <w:tcPr>
            <w:tcW w:w="480" w:type="dxa"/>
            <w:vAlign w:val="bottom"/>
          </w:tcPr>
          <w:p>
            <w:pPr>
              <w:spacing w:after="0"/>
              <w:rPr>
                <w:sz w:val="23"/>
                <w:szCs w:val="23"/>
                <w:color w:val="auto"/>
              </w:rPr>
            </w:pPr>
          </w:p>
        </w:tc>
        <w:tc>
          <w:tcPr>
            <w:tcW w:w="9820" w:type="dxa"/>
            <w:vAlign w:val="bottom"/>
            <w:gridSpan w:val="8"/>
          </w:tcPr>
          <w:p>
            <w:pPr>
              <w:spacing w:after="0"/>
              <w:rPr>
                <w:rFonts w:ascii="Arial" w:cs="Arial" w:eastAsia="Arial" w:hAnsi="Arial"/>
                <w:sz w:val="18"/>
                <w:szCs w:val="18"/>
                <w:color w:val="0000FF"/>
              </w:rPr>
            </w:pPr>
            <w:hyperlink w:anchor="page61">
              <w:r>
                <w:rPr>
                  <w:rFonts w:ascii="Arial" w:cs="Arial" w:eastAsia="Arial" w:hAnsi="Arial"/>
                  <w:sz w:val="18"/>
                  <w:szCs w:val="18"/>
                  <w:color w:val="0000FF"/>
                </w:rPr>
                <w:t>Consolidated Balance Sheets</w:t>
              </w:r>
            </w:hyperlink>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58</w:t>
            </w:r>
          </w:p>
        </w:tc>
      </w:tr>
      <w:tr>
        <w:trPr>
          <w:trHeight w:val="20"/>
        </w:trPr>
        <w:tc>
          <w:tcPr>
            <w:tcW w:w="480" w:type="dxa"/>
            <w:vAlign w:val="bottom"/>
            <w:tcBorders>
              <w:right w:val="single" w:sz="8" w:color="0000EE"/>
            </w:tcBorders>
          </w:tcPr>
          <w:p>
            <w:pPr>
              <w:spacing w:after="0" w:line="20" w:lineRule="exact"/>
              <w:rPr>
                <w:sz w:val="1"/>
                <w:szCs w:val="1"/>
                <w:color w:val="auto"/>
              </w:rPr>
            </w:pPr>
          </w:p>
        </w:tc>
        <w:tc>
          <w:tcPr>
            <w:tcW w:w="2080" w:type="dxa"/>
            <w:vAlign w:val="bottom"/>
            <w:tcBorders>
              <w:right w:val="single" w:sz="8" w:color="0000EE"/>
            </w:tcBorders>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r>
      <w:tr>
        <w:trPr>
          <w:trHeight w:val="304"/>
        </w:trPr>
        <w:tc>
          <w:tcPr>
            <w:tcW w:w="480" w:type="dxa"/>
            <w:vAlign w:val="bottom"/>
          </w:tcPr>
          <w:p>
            <w:pPr>
              <w:spacing w:after="0"/>
              <w:rPr>
                <w:sz w:val="24"/>
                <w:szCs w:val="24"/>
                <w:color w:val="auto"/>
              </w:rPr>
            </w:pPr>
          </w:p>
        </w:tc>
        <w:tc>
          <w:tcPr>
            <w:tcW w:w="9820" w:type="dxa"/>
            <w:vAlign w:val="bottom"/>
            <w:gridSpan w:val="8"/>
          </w:tcPr>
          <w:p>
            <w:pPr>
              <w:spacing w:after="0"/>
              <w:rPr>
                <w:rFonts w:ascii="Arial" w:cs="Arial" w:eastAsia="Arial" w:hAnsi="Arial"/>
                <w:sz w:val="18"/>
                <w:szCs w:val="18"/>
                <w:color w:val="0000FF"/>
              </w:rPr>
            </w:pPr>
            <w:hyperlink w:anchor="page62">
              <w:r>
                <w:rPr>
                  <w:rFonts w:ascii="Arial" w:cs="Arial" w:eastAsia="Arial" w:hAnsi="Arial"/>
                  <w:sz w:val="18"/>
                  <w:szCs w:val="18"/>
                  <w:color w:val="0000FF"/>
                </w:rPr>
                <w:t>Consolidated Statements of Operations and Comprehensive Loss</w:t>
              </w:r>
            </w:hyperlink>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59</w:t>
            </w:r>
          </w:p>
        </w:tc>
      </w:tr>
      <w:tr>
        <w:trPr>
          <w:trHeight w:val="20"/>
        </w:trPr>
        <w:tc>
          <w:tcPr>
            <w:tcW w:w="480" w:type="dxa"/>
            <w:vAlign w:val="bottom"/>
            <w:tcBorders>
              <w:right w:val="single" w:sz="8" w:color="0000FF"/>
            </w:tcBorders>
          </w:tcPr>
          <w:p>
            <w:pPr>
              <w:spacing w:after="0" w:line="20" w:lineRule="exact"/>
              <w:rPr>
                <w:sz w:val="1"/>
                <w:szCs w:val="1"/>
                <w:color w:val="auto"/>
              </w:rPr>
            </w:pPr>
          </w:p>
        </w:tc>
        <w:tc>
          <w:tcPr>
            <w:tcW w:w="2700" w:type="dxa"/>
            <w:vAlign w:val="bottom"/>
            <w:tcBorders>
              <w:right w:val="single" w:sz="8" w:color="0000EE"/>
            </w:tcBorders>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r>
      <w:tr>
        <w:trPr>
          <w:trHeight w:val="304"/>
        </w:trPr>
        <w:tc>
          <w:tcPr>
            <w:tcW w:w="480" w:type="dxa"/>
            <w:vAlign w:val="bottom"/>
          </w:tcPr>
          <w:p>
            <w:pPr>
              <w:spacing w:after="0"/>
              <w:rPr>
                <w:sz w:val="24"/>
                <w:szCs w:val="24"/>
                <w:color w:val="auto"/>
              </w:rPr>
            </w:pPr>
          </w:p>
        </w:tc>
        <w:tc>
          <w:tcPr>
            <w:tcW w:w="9820" w:type="dxa"/>
            <w:vAlign w:val="bottom"/>
            <w:gridSpan w:val="8"/>
          </w:tcPr>
          <w:p>
            <w:pPr>
              <w:spacing w:after="0"/>
              <w:rPr>
                <w:rFonts w:ascii="Arial" w:cs="Arial" w:eastAsia="Arial" w:hAnsi="Arial"/>
                <w:sz w:val="18"/>
                <w:szCs w:val="18"/>
                <w:color w:val="0000FF"/>
              </w:rPr>
            </w:pPr>
            <w:hyperlink w:anchor="page63">
              <w:r>
                <w:rPr>
                  <w:rFonts w:ascii="Arial" w:cs="Arial" w:eastAsia="Arial" w:hAnsi="Arial"/>
                  <w:sz w:val="18"/>
                  <w:szCs w:val="18"/>
                  <w:color w:val="0000FF"/>
                </w:rPr>
                <w:t>Consolidated Statements of Changes in Convertible Preferred Stock and Stockholders’ Equity (Deficit)</w:t>
              </w:r>
            </w:hyperlink>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60</w:t>
            </w:r>
          </w:p>
        </w:tc>
      </w:tr>
      <w:tr>
        <w:trPr>
          <w:trHeight w:val="20"/>
        </w:trPr>
        <w:tc>
          <w:tcPr>
            <w:tcW w:w="480" w:type="dxa"/>
            <w:vAlign w:val="bottom"/>
            <w:tcBorders>
              <w:right w:val="single" w:sz="8" w:color="0000EE"/>
            </w:tcBorders>
          </w:tcPr>
          <w:p>
            <w:pPr>
              <w:spacing w:after="0" w:line="20" w:lineRule="exact"/>
              <w:rPr>
                <w:sz w:val="1"/>
                <w:szCs w:val="1"/>
                <w:color w:val="auto"/>
              </w:rPr>
            </w:pPr>
          </w:p>
        </w:tc>
        <w:tc>
          <w:tcPr>
            <w:tcW w:w="2700" w:type="dxa"/>
            <w:vAlign w:val="bottom"/>
            <w:tcBorders>
              <w:right w:val="single" w:sz="8" w:color="0000FF"/>
            </w:tcBorders>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340" w:type="dxa"/>
            <w:vAlign w:val="bottom"/>
            <w:gridSpan w:val="3"/>
            <w:shd w:val="clear" w:color="auto" w:fill="0000FF"/>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r>
      <w:tr>
        <w:trPr>
          <w:trHeight w:val="304"/>
        </w:trPr>
        <w:tc>
          <w:tcPr>
            <w:tcW w:w="480" w:type="dxa"/>
            <w:vAlign w:val="bottom"/>
          </w:tcPr>
          <w:p>
            <w:pPr>
              <w:spacing w:after="0"/>
              <w:rPr>
                <w:sz w:val="24"/>
                <w:szCs w:val="24"/>
                <w:color w:val="auto"/>
              </w:rPr>
            </w:pPr>
          </w:p>
        </w:tc>
        <w:tc>
          <w:tcPr>
            <w:tcW w:w="9820" w:type="dxa"/>
            <w:vAlign w:val="bottom"/>
            <w:gridSpan w:val="8"/>
          </w:tcPr>
          <w:p>
            <w:pPr>
              <w:spacing w:after="0"/>
              <w:rPr>
                <w:rFonts w:ascii="Arial" w:cs="Arial" w:eastAsia="Arial" w:hAnsi="Arial"/>
                <w:sz w:val="18"/>
                <w:szCs w:val="18"/>
                <w:color w:val="0000FF"/>
              </w:rPr>
            </w:pPr>
            <w:hyperlink w:anchor="page64">
              <w:r>
                <w:rPr>
                  <w:rFonts w:ascii="Arial" w:cs="Arial" w:eastAsia="Arial" w:hAnsi="Arial"/>
                  <w:sz w:val="18"/>
                  <w:szCs w:val="18"/>
                  <w:color w:val="0000FF"/>
                </w:rPr>
                <w:t>Consolidated Statements of Cash Flows</w:t>
              </w:r>
            </w:hyperlink>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61</w:t>
            </w:r>
          </w:p>
        </w:tc>
      </w:tr>
      <w:tr>
        <w:trPr>
          <w:trHeight w:val="20"/>
        </w:trPr>
        <w:tc>
          <w:tcPr>
            <w:tcW w:w="480" w:type="dxa"/>
            <w:vAlign w:val="bottom"/>
          </w:tcPr>
          <w:p>
            <w:pPr>
              <w:spacing w:after="0" w:line="20" w:lineRule="exact"/>
              <w:rPr>
                <w:sz w:val="1"/>
                <w:szCs w:val="1"/>
                <w:color w:val="auto"/>
              </w:rPr>
            </w:pPr>
          </w:p>
        </w:tc>
        <w:tc>
          <w:tcPr>
            <w:tcW w:w="2700" w:type="dxa"/>
            <w:vAlign w:val="bottom"/>
            <w:tcBorders>
              <w:right w:val="single" w:sz="8" w:color="0000FF"/>
            </w:tcBorders>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760" w:type="dxa"/>
            <w:vAlign w:val="bottom"/>
            <w:gridSpan w:val="4"/>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r>
      <w:tr>
        <w:trPr>
          <w:trHeight w:val="304"/>
        </w:trPr>
        <w:tc>
          <w:tcPr>
            <w:tcW w:w="10300" w:type="dxa"/>
            <w:vAlign w:val="bottom"/>
            <w:gridSpan w:val="9"/>
          </w:tcPr>
          <w:p>
            <w:pPr>
              <w:ind w:left="20"/>
              <w:spacing w:after="0"/>
              <w:rPr>
                <w:rFonts w:ascii="Arial" w:cs="Arial" w:eastAsia="Arial" w:hAnsi="Arial"/>
                <w:sz w:val="18"/>
                <w:szCs w:val="18"/>
                <w:color w:val="0000FF"/>
              </w:rPr>
            </w:pPr>
            <w:hyperlink w:anchor="page65">
              <w:r>
                <w:rPr>
                  <w:rFonts w:ascii="Arial" w:cs="Arial" w:eastAsia="Arial" w:hAnsi="Arial"/>
                  <w:sz w:val="18"/>
                  <w:szCs w:val="18"/>
                  <w:color w:val="0000FF"/>
                </w:rPr>
                <w:t>Notes to Consolidated Financial Statements</w:t>
              </w:r>
            </w:hyperlink>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62</w:t>
            </w:r>
          </w:p>
        </w:tc>
      </w:tr>
      <w:tr>
        <w:trPr>
          <w:trHeight w:val="20"/>
        </w:trPr>
        <w:tc>
          <w:tcPr>
            <w:tcW w:w="3180" w:type="dxa"/>
            <w:vAlign w:val="bottom"/>
            <w:tcBorders>
              <w:left w:val="single" w:sz="8" w:color="0000EE"/>
              <w:right w:val="single" w:sz="8" w:color="0000EE"/>
            </w:tcBorders>
            <w:gridSpan w:val="3"/>
            <w:shd w:val="clear" w:color="auto" w:fill="0000FF"/>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6760" w:type="dxa"/>
            <w:vAlign w:val="bottom"/>
            <w:gridSpan w:val="4"/>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r>
      <w:tr>
        <w:trPr>
          <w:trHeight w:val="196"/>
        </w:trPr>
        <w:tc>
          <w:tcPr>
            <w:tcW w:w="3540" w:type="dxa"/>
            <w:vAlign w:val="bottom"/>
            <w:tcBorders>
              <w:bottom w:val="single" w:sz="8" w:color="0000FF"/>
            </w:tcBorders>
            <w:gridSpan w:val="5"/>
          </w:tcPr>
          <w:p>
            <w:pPr>
              <w:ind w:left="20"/>
              <w:spacing w:after="0" w:line="196" w:lineRule="exact"/>
              <w:rPr>
                <w:rFonts w:ascii="Arial" w:cs="Arial" w:eastAsia="Arial" w:hAnsi="Arial"/>
                <w:sz w:val="18"/>
                <w:szCs w:val="18"/>
                <w:color w:val="0000FF"/>
                <w:w w:val="92"/>
              </w:rPr>
            </w:pPr>
            <w:hyperlink w:anchor="page90">
              <w:r>
                <w:rPr>
                  <w:rFonts w:ascii="Arial" w:cs="Arial" w:eastAsia="Arial" w:hAnsi="Arial"/>
                  <w:sz w:val="18"/>
                  <w:szCs w:val="18"/>
                  <w:color w:val="0000FF"/>
                  <w:w w:val="92"/>
                </w:rPr>
                <w:t>Schedule II - Valuation and Qualifying Accounts</w:t>
              </w:r>
            </w:hyperlink>
          </w:p>
        </w:tc>
        <w:tc>
          <w:tcPr>
            <w:tcW w:w="6760" w:type="dxa"/>
            <w:vAlign w:val="bottom"/>
            <w:gridSpan w:val="4"/>
          </w:tcPr>
          <w:p>
            <w:pPr>
              <w:spacing w:after="0"/>
              <w:rPr>
                <w:sz w:val="17"/>
                <w:szCs w:val="17"/>
                <w:color w:val="auto"/>
              </w:rPr>
            </w:pPr>
          </w:p>
        </w:tc>
        <w:tc>
          <w:tcPr>
            <w:tcW w:w="9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87</w:t>
            </w:r>
          </w:p>
        </w:tc>
      </w:tr>
      <w:tr>
        <w:trPr>
          <w:trHeight w:val="871"/>
        </w:trPr>
        <w:tc>
          <w:tcPr>
            <w:tcW w:w="7880" w:type="dxa"/>
            <w:vAlign w:val="bottom"/>
            <w:gridSpan w:val="8"/>
          </w:tcPr>
          <w:p>
            <w:pPr>
              <w:ind w:left="5540"/>
              <w:spacing w:after="0"/>
              <w:rPr>
                <w:sz w:val="20"/>
                <w:szCs w:val="20"/>
                <w:color w:val="auto"/>
              </w:rPr>
            </w:pPr>
            <w:r>
              <w:rPr>
                <w:rFonts w:ascii="Arial" w:cs="Arial" w:eastAsia="Arial" w:hAnsi="Arial"/>
                <w:sz w:val="18"/>
                <w:szCs w:val="18"/>
                <w:color w:val="auto"/>
              </w:rPr>
              <w:t>56</w:t>
            </w:r>
          </w:p>
        </w:tc>
        <w:tc>
          <w:tcPr>
            <w:tcW w:w="24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01"/>
        </w:trPr>
        <w:tc>
          <w:tcPr>
            <w:tcW w:w="480" w:type="dxa"/>
            <w:vAlign w:val="bottom"/>
            <w:tcBorders>
              <w:bottom w:val="single" w:sz="8" w:color="9A9A9A"/>
            </w:tcBorders>
          </w:tcPr>
          <w:p>
            <w:pPr>
              <w:spacing w:after="0"/>
              <w:rPr>
                <w:sz w:val="8"/>
                <w:szCs w:val="8"/>
                <w:color w:val="auto"/>
              </w:rPr>
            </w:pPr>
          </w:p>
        </w:tc>
        <w:tc>
          <w:tcPr>
            <w:tcW w:w="2080" w:type="dxa"/>
            <w:vAlign w:val="bottom"/>
            <w:tcBorders>
              <w:bottom w:val="single" w:sz="8" w:color="9A9A9A"/>
            </w:tcBorders>
          </w:tcPr>
          <w:p>
            <w:pPr>
              <w:spacing w:after="0"/>
              <w:rPr>
                <w:sz w:val="8"/>
                <w:szCs w:val="8"/>
                <w:color w:val="auto"/>
              </w:rPr>
            </w:pPr>
          </w:p>
        </w:tc>
        <w:tc>
          <w:tcPr>
            <w:tcW w:w="62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740" w:type="dxa"/>
            <w:vAlign w:val="bottom"/>
            <w:tcBorders>
              <w:bottom w:val="single" w:sz="8" w:color="9A9A9A"/>
            </w:tcBorders>
          </w:tcPr>
          <w:p>
            <w:pPr>
              <w:spacing w:after="0"/>
              <w:rPr>
                <w:sz w:val="8"/>
                <w:szCs w:val="8"/>
                <w:color w:val="auto"/>
              </w:rPr>
            </w:pPr>
          </w:p>
        </w:tc>
        <w:tc>
          <w:tcPr>
            <w:tcW w:w="900" w:type="dxa"/>
            <w:vAlign w:val="bottom"/>
            <w:tcBorders>
              <w:bottom w:val="single" w:sz="8" w:color="9A9A9A"/>
            </w:tcBorders>
          </w:tcPr>
          <w:p>
            <w:pPr>
              <w:spacing w:after="0"/>
              <w:rPr>
                <w:sz w:val="8"/>
                <w:szCs w:val="8"/>
                <w:color w:val="auto"/>
              </w:rPr>
            </w:pPr>
          </w:p>
        </w:tc>
        <w:tc>
          <w:tcPr>
            <w:tcW w:w="2700" w:type="dxa"/>
            <w:vAlign w:val="bottom"/>
            <w:tcBorders>
              <w:bottom w:val="single" w:sz="8" w:color="9A9A9A"/>
            </w:tcBorders>
          </w:tcPr>
          <w:p>
            <w:pPr>
              <w:spacing w:after="0"/>
              <w:rPr>
                <w:sz w:val="8"/>
                <w:szCs w:val="8"/>
                <w:color w:val="auto"/>
              </w:rPr>
            </w:pPr>
          </w:p>
        </w:tc>
        <w:tc>
          <w:tcPr>
            <w:tcW w:w="2420" w:type="dxa"/>
            <w:vAlign w:val="bottom"/>
            <w:tcBorders>
              <w:bottom w:val="single" w:sz="8" w:color="9A9A9A"/>
            </w:tcBorders>
          </w:tcPr>
          <w:p>
            <w:pPr>
              <w:spacing w:after="0"/>
              <w:rPr>
                <w:sz w:val="8"/>
                <w:szCs w:val="8"/>
                <w:color w:val="auto"/>
              </w:rPr>
            </w:pPr>
          </w:p>
        </w:tc>
        <w:tc>
          <w:tcPr>
            <w:tcW w:w="9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59" w:name="page60"/>
    <w:bookmarkEnd w:id="59"/>
    <w:p>
      <w:pPr>
        <w:jc w:val="center"/>
        <w:ind w:right="2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Board of Directors</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Xometry, Inc.:</w:t>
      </w: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Opinion on the Consolidated Financial Statements</w:t>
      </w:r>
    </w:p>
    <w:p>
      <w:pPr>
        <w:spacing w:after="0" w:line="104" w:lineRule="exact"/>
        <w:rPr>
          <w:sz w:val="20"/>
          <w:szCs w:val="20"/>
          <w:color w:val="auto"/>
        </w:rPr>
      </w:pPr>
    </w:p>
    <w:p>
      <w:pPr>
        <w:spacing w:after="0" w:line="276" w:lineRule="auto"/>
        <w:rPr>
          <w:sz w:val="20"/>
          <w:szCs w:val="20"/>
          <w:color w:val="auto"/>
        </w:rPr>
      </w:pPr>
      <w:r>
        <w:rPr>
          <w:rFonts w:ascii="Arial" w:cs="Arial" w:eastAsia="Arial" w:hAnsi="Arial"/>
          <w:sz w:val="16"/>
          <w:szCs w:val="16"/>
          <w:color w:val="auto"/>
        </w:rPr>
        <w:t>We have audited the accompanying consolidated balance sheets of Xometry, Inc. and subsidiaries (the Company) as of December 31, 2021 and 2020, the related consolidated statements of operations and comprehensive loss, changes in convertible preferred stock and stockholders’ equity (deficit), and cash flows for each of the years in the three-year period ended December 31, 2021, and the related notes and financial statement schedule, Schedule II - Valuation and Qualifying Accounts, (collectively, the consolidated financial statements). In our opinion, the consolidated financial statements present fairly, in all material respects, the financial position of the Company as of December 31, 2021 and 2020, and the results of its operations and its cash flows for each of the years in the three-year period ended December 31, 2021, in conformity with U.S. generally accepted accounting principles.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for Opinion</w:t>
      </w:r>
    </w:p>
    <w:p>
      <w:pPr>
        <w:spacing w:after="0" w:line="104" w:lineRule="exact"/>
        <w:rPr>
          <w:sz w:val="20"/>
          <w:szCs w:val="20"/>
          <w:color w:val="auto"/>
        </w:rPr>
      </w:pPr>
    </w:p>
    <w:p>
      <w:pPr>
        <w:ind w:right="220"/>
        <w:spacing w:after="0" w:line="262" w:lineRule="auto"/>
        <w:rPr>
          <w:sz w:val="20"/>
          <w:szCs w:val="20"/>
          <w:color w:val="auto"/>
        </w:rPr>
      </w:pPr>
      <w:r>
        <w:rPr>
          <w:rFonts w:ascii="Arial" w:cs="Arial" w:eastAsia="Arial" w:hAnsi="Arial"/>
          <w:sz w:val="17"/>
          <w:szCs w:val="17"/>
          <w:color w:val="auto"/>
        </w:rPr>
        <w:t>These consolidated financial statements are the responsibility of the Company’s management. Our responsibility is to express an opinion on these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64" w:lineRule="exact"/>
        <w:rPr>
          <w:sz w:val="20"/>
          <w:szCs w:val="20"/>
          <w:color w:val="auto"/>
        </w:rPr>
      </w:pPr>
    </w:p>
    <w:p>
      <w:pPr>
        <w:ind w:right="100"/>
        <w:spacing w:after="0" w:line="276" w:lineRule="auto"/>
        <w:rPr>
          <w:sz w:val="20"/>
          <w:szCs w:val="20"/>
          <w:color w:val="auto"/>
        </w:rPr>
      </w:pPr>
      <w:r>
        <w:rPr>
          <w:rFonts w:ascii="Arial" w:cs="Arial" w:eastAsia="Arial" w:hAnsi="Arial"/>
          <w:sz w:val="16"/>
          <w:szCs w:val="16"/>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2015.</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McLean, Virginia</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March 18, 2022</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4" w:right="359" w:bottom="1440" w:gutter="0" w:footer="0" w:header="0"/>
        </w:sectPr>
      </w:pPr>
    </w:p>
    <w:bookmarkStart w:id="60" w:name="page61"/>
    <w:bookmarkEnd w:id="60"/>
    <w:p>
      <w:pPr>
        <w:jc w:val="center"/>
        <w:spacing w:after="0"/>
        <w:rPr>
          <w:sz w:val="20"/>
          <w:szCs w:val="20"/>
          <w:color w:val="auto"/>
        </w:rPr>
      </w:pPr>
      <w:r>
        <w:rPr>
          <w:rFonts w:ascii="Arial" w:cs="Arial" w:eastAsia="Arial" w:hAnsi="Arial"/>
          <w:sz w:val="18"/>
          <w:szCs w:val="18"/>
          <w:b w:val="1"/>
          <w:bCs w:val="1"/>
          <w:color w:val="auto"/>
        </w:rPr>
        <w:t>XOMETRY, INC. AND SUBSIDIARIES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Balance Sheets</w:t>
      </w:r>
    </w:p>
    <w:p>
      <w:pPr>
        <w:jc w:val="center"/>
        <w:spacing w:after="0"/>
        <w:rPr>
          <w:sz w:val="20"/>
          <w:szCs w:val="20"/>
          <w:color w:val="auto"/>
        </w:rPr>
      </w:pPr>
      <w:r>
        <w:rPr>
          <w:rFonts w:ascii="Arial" w:cs="Arial" w:eastAsia="Arial" w:hAnsi="Arial"/>
          <w:sz w:val="18"/>
          <w:szCs w:val="18"/>
          <w:color w:val="auto"/>
        </w:rPr>
        <w:t>(In thousands, except share and per share data)</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7700" w:type="dxa"/>
            <w:vAlign w:val="bottom"/>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3"/>
          </w:tcPr>
          <w:p>
            <w:pPr>
              <w:jc w:val="right"/>
              <w:ind w:right="108"/>
              <w:spacing w:after="0"/>
              <w:rPr>
                <w:sz w:val="20"/>
                <w:szCs w:val="20"/>
                <w:color w:val="auto"/>
              </w:rPr>
            </w:pPr>
            <w:r>
              <w:rPr>
                <w:rFonts w:ascii="Arial" w:cs="Arial" w:eastAsia="Arial" w:hAnsi="Arial"/>
                <w:sz w:val="14"/>
                <w:szCs w:val="14"/>
                <w:b w:val="1"/>
                <w:bCs w:val="1"/>
                <w:color w:val="auto"/>
              </w:rPr>
              <w:t>December 31,</w:t>
            </w:r>
          </w:p>
        </w:tc>
        <w:tc>
          <w:tcPr>
            <w:tcW w:w="12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7700" w:type="dxa"/>
            <w:vAlign w:val="bottom"/>
          </w:tcPr>
          <w:p>
            <w:pPr>
              <w:spacing w:after="0"/>
              <w:rPr>
                <w:sz w:val="14"/>
                <w:szCs w:val="14"/>
                <w:color w:val="auto"/>
              </w:rPr>
            </w:pPr>
          </w:p>
        </w:tc>
        <w:tc>
          <w:tcPr>
            <w:tcW w:w="10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2021</w:t>
            </w:r>
          </w:p>
        </w:tc>
        <w:tc>
          <w:tcPr>
            <w:tcW w:w="6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648"/>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42"/>
        </w:trPr>
        <w:tc>
          <w:tcPr>
            <w:tcW w:w="77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770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Assets</w:t>
            </w:r>
          </w:p>
        </w:tc>
        <w:tc>
          <w:tcPr>
            <w:tcW w:w="104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1200" w:type="dxa"/>
            <w:vAlign w:val="bottom"/>
            <w:tcBorders>
              <w:right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700" w:type="dxa"/>
            <w:vAlign w:val="bottom"/>
          </w:tcPr>
          <w:p>
            <w:pPr>
              <w:ind w:left="20"/>
              <w:spacing w:after="0"/>
              <w:rPr>
                <w:sz w:val="20"/>
                <w:szCs w:val="20"/>
                <w:color w:val="auto"/>
              </w:rPr>
            </w:pPr>
            <w:r>
              <w:rPr>
                <w:rFonts w:ascii="Arial" w:cs="Arial" w:eastAsia="Arial" w:hAnsi="Arial"/>
                <w:sz w:val="14"/>
                <w:szCs w:val="14"/>
                <w:b w:val="1"/>
                <w:bCs w:val="1"/>
                <w:color w:val="auto"/>
              </w:rPr>
              <w:t>Current assets:</w:t>
            </w:r>
          </w:p>
        </w:tc>
        <w:tc>
          <w:tcPr>
            <w:tcW w:w="10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700" w:type="dxa"/>
            <w:vAlign w:val="bottom"/>
            <w:shd w:val="clear" w:color="auto" w:fill="CFF0FC"/>
          </w:tcPr>
          <w:p>
            <w:pPr>
              <w:ind w:left="200"/>
              <w:spacing w:after="0"/>
              <w:rPr>
                <w:sz w:val="20"/>
                <w:szCs w:val="20"/>
                <w:color w:val="auto"/>
              </w:rPr>
            </w:pPr>
            <w:r>
              <w:rPr>
                <w:rFonts w:ascii="Arial" w:cs="Arial" w:eastAsia="Arial" w:hAnsi="Arial"/>
                <w:sz w:val="14"/>
                <w:szCs w:val="14"/>
                <w:color w:val="auto"/>
              </w:rPr>
              <w:t>Cash and cash equivalents</w:t>
            </w:r>
          </w:p>
        </w:tc>
        <w:tc>
          <w:tcPr>
            <w:tcW w:w="1040" w:type="dxa"/>
            <w:vAlign w:val="bottom"/>
            <w:shd w:val="clear" w:color="auto" w:fill="CFF0FC"/>
          </w:tcPr>
          <w:p>
            <w:pPr>
              <w:jc w:val="right"/>
              <w:ind w:right="888"/>
              <w:spacing w:after="0"/>
              <w:rPr>
                <w:sz w:val="20"/>
                <w:szCs w:val="20"/>
                <w:color w:val="auto"/>
              </w:rPr>
            </w:pPr>
            <w:r>
              <w:rPr>
                <w:rFonts w:ascii="Arial" w:cs="Arial" w:eastAsia="Arial" w:hAnsi="Arial"/>
                <w:sz w:val="14"/>
                <w:szCs w:val="14"/>
                <w:color w:val="auto"/>
                <w:w w:val="76"/>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86,262</w:t>
            </w:r>
          </w:p>
        </w:tc>
        <w:tc>
          <w:tcPr>
            <w:tcW w:w="220" w:type="dxa"/>
            <w:vAlign w:val="bottom"/>
            <w:shd w:val="clear" w:color="auto" w:fill="CFF0FC"/>
          </w:tcPr>
          <w:p>
            <w:pPr>
              <w:spacing w:after="0"/>
              <w:rPr>
                <w:sz w:val="15"/>
                <w:szCs w:val="15"/>
                <w:color w:val="auto"/>
              </w:rPr>
            </w:pPr>
          </w:p>
        </w:tc>
        <w:tc>
          <w:tcPr>
            <w:tcW w:w="480" w:type="dxa"/>
            <w:vAlign w:val="bottom"/>
            <w:shd w:val="clear" w:color="auto" w:fill="CFF0FC"/>
          </w:tcPr>
          <w:p>
            <w:pPr>
              <w:jc w:val="right"/>
              <w:ind w:right="308"/>
              <w:spacing w:after="0"/>
              <w:rPr>
                <w:sz w:val="20"/>
                <w:szCs w:val="20"/>
                <w:color w:val="auto"/>
              </w:rPr>
            </w:pPr>
            <w:r>
              <w:rPr>
                <w:rFonts w:ascii="Arial" w:cs="Arial" w:eastAsia="Arial" w:hAnsi="Arial"/>
                <w:sz w:val="14"/>
                <w:szCs w:val="14"/>
                <w:color w:val="auto"/>
              </w:rPr>
              <w:t>$</w:t>
            </w:r>
          </w:p>
        </w:tc>
        <w:tc>
          <w:tcPr>
            <w:tcW w:w="1200" w:type="dxa"/>
            <w:vAlign w:val="bottom"/>
            <w:tcBorders>
              <w:right w:val="single" w:sz="8" w:color="CFF0FC"/>
            </w:tcBorders>
            <w:shd w:val="clear" w:color="auto" w:fill="CFF0FC"/>
          </w:tcPr>
          <w:p>
            <w:pPr>
              <w:jc w:val="right"/>
              <w:ind w:right="8"/>
              <w:spacing w:after="0"/>
              <w:rPr>
                <w:sz w:val="20"/>
                <w:szCs w:val="20"/>
                <w:color w:val="auto"/>
              </w:rPr>
            </w:pPr>
            <w:r>
              <w:rPr>
                <w:rFonts w:ascii="Arial" w:cs="Arial" w:eastAsia="Arial" w:hAnsi="Arial"/>
                <w:sz w:val="14"/>
                <w:szCs w:val="14"/>
                <w:color w:val="auto"/>
              </w:rPr>
              <w:t>59,874</w:t>
            </w:r>
          </w:p>
        </w:tc>
        <w:tc>
          <w:tcPr>
            <w:tcW w:w="0" w:type="dxa"/>
            <w:vAlign w:val="bottom"/>
          </w:tcPr>
          <w:p>
            <w:pPr>
              <w:spacing w:after="0"/>
              <w:rPr>
                <w:sz w:val="1"/>
                <w:szCs w:val="1"/>
                <w:color w:val="auto"/>
              </w:rPr>
            </w:pPr>
          </w:p>
        </w:tc>
      </w:tr>
      <w:tr>
        <w:trPr>
          <w:trHeight w:val="176"/>
        </w:trPr>
        <w:tc>
          <w:tcPr>
            <w:tcW w:w="7700" w:type="dxa"/>
            <w:vAlign w:val="bottom"/>
          </w:tcPr>
          <w:p>
            <w:pPr>
              <w:ind w:left="200"/>
              <w:spacing w:after="0"/>
              <w:rPr>
                <w:sz w:val="20"/>
                <w:szCs w:val="20"/>
                <w:color w:val="auto"/>
              </w:rPr>
            </w:pPr>
            <w:r>
              <w:rPr>
                <w:rFonts w:ascii="Arial" w:cs="Arial" w:eastAsia="Arial" w:hAnsi="Arial"/>
                <w:sz w:val="14"/>
                <w:szCs w:val="14"/>
                <w:color w:val="auto"/>
              </w:rPr>
              <w:t>Marketable securities</w:t>
            </w:r>
          </w:p>
        </w:tc>
        <w:tc>
          <w:tcPr>
            <w:tcW w:w="10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30,465</w:t>
            </w:r>
          </w:p>
        </w:tc>
        <w:tc>
          <w:tcPr>
            <w:tcW w:w="2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3"/>
        </w:trPr>
        <w:tc>
          <w:tcPr>
            <w:tcW w:w="7700" w:type="dxa"/>
            <w:vAlign w:val="bottom"/>
            <w:shd w:val="clear" w:color="auto" w:fill="CFF0FC"/>
          </w:tcPr>
          <w:p>
            <w:pPr>
              <w:ind w:left="200"/>
              <w:spacing w:after="0" w:line="143" w:lineRule="exact"/>
              <w:rPr>
                <w:sz w:val="20"/>
                <w:szCs w:val="20"/>
                <w:color w:val="auto"/>
              </w:rPr>
            </w:pPr>
            <w:r>
              <w:rPr>
                <w:rFonts w:ascii="Arial" w:cs="Arial" w:eastAsia="Arial" w:hAnsi="Arial"/>
                <w:sz w:val="14"/>
                <w:szCs w:val="14"/>
                <w:color w:val="auto"/>
                <w:w w:val="96"/>
              </w:rPr>
              <w:t>Accounts receivable, less allowance for doubtful accounts of $0.8 million and $0.6 million as of December 31, 2021 and 2020,</w:t>
            </w:r>
          </w:p>
        </w:tc>
        <w:tc>
          <w:tcPr>
            <w:tcW w:w="104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1200" w:type="dxa"/>
            <w:vAlign w:val="bottom"/>
            <w:tcBorders>
              <w:right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7700" w:type="dxa"/>
            <w:vAlign w:val="bottom"/>
            <w:shd w:val="clear" w:color="auto" w:fill="CFF0FC"/>
          </w:tcPr>
          <w:p>
            <w:pPr>
              <w:ind w:left="200"/>
              <w:spacing w:after="0"/>
              <w:rPr>
                <w:sz w:val="20"/>
                <w:szCs w:val="20"/>
                <w:color w:val="auto"/>
              </w:rPr>
            </w:pPr>
            <w:r>
              <w:rPr>
                <w:rFonts w:ascii="Arial" w:cs="Arial" w:eastAsia="Arial" w:hAnsi="Arial"/>
                <w:sz w:val="14"/>
                <w:szCs w:val="14"/>
                <w:color w:val="auto"/>
              </w:rPr>
              <w:t>respectively</w:t>
            </w:r>
          </w:p>
        </w:tc>
        <w:tc>
          <w:tcPr>
            <w:tcW w:w="104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32,427</w:t>
            </w:r>
          </w:p>
        </w:tc>
        <w:tc>
          <w:tcPr>
            <w:tcW w:w="22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1200" w:type="dxa"/>
            <w:vAlign w:val="bottom"/>
            <w:tcBorders>
              <w:right w:val="single" w:sz="8" w:color="CFF0FC"/>
            </w:tcBorders>
            <w:shd w:val="clear" w:color="auto" w:fill="CFF0FC"/>
          </w:tcPr>
          <w:p>
            <w:pPr>
              <w:jc w:val="right"/>
              <w:ind w:right="8"/>
              <w:spacing w:after="0"/>
              <w:rPr>
                <w:sz w:val="20"/>
                <w:szCs w:val="20"/>
                <w:color w:val="auto"/>
              </w:rPr>
            </w:pPr>
            <w:r>
              <w:rPr>
                <w:rFonts w:ascii="Arial" w:cs="Arial" w:eastAsia="Arial" w:hAnsi="Arial"/>
                <w:sz w:val="14"/>
                <w:szCs w:val="14"/>
                <w:color w:val="auto"/>
              </w:rPr>
              <w:t>14,574</w:t>
            </w:r>
          </w:p>
        </w:tc>
        <w:tc>
          <w:tcPr>
            <w:tcW w:w="0" w:type="dxa"/>
            <w:vAlign w:val="bottom"/>
          </w:tcPr>
          <w:p>
            <w:pPr>
              <w:spacing w:after="0"/>
              <w:rPr>
                <w:sz w:val="1"/>
                <w:szCs w:val="1"/>
                <w:color w:val="auto"/>
              </w:rPr>
            </w:pPr>
          </w:p>
        </w:tc>
      </w:tr>
      <w:tr>
        <w:trPr>
          <w:trHeight w:val="175"/>
        </w:trPr>
        <w:tc>
          <w:tcPr>
            <w:tcW w:w="7700" w:type="dxa"/>
            <w:vAlign w:val="bottom"/>
          </w:tcPr>
          <w:p>
            <w:pPr>
              <w:ind w:left="200"/>
              <w:spacing w:after="0"/>
              <w:rPr>
                <w:sz w:val="20"/>
                <w:szCs w:val="20"/>
                <w:color w:val="auto"/>
              </w:rPr>
            </w:pPr>
            <w:r>
              <w:rPr>
                <w:rFonts w:ascii="Arial" w:cs="Arial" w:eastAsia="Arial" w:hAnsi="Arial"/>
                <w:sz w:val="14"/>
                <w:szCs w:val="14"/>
                <w:color w:val="auto"/>
              </w:rPr>
              <w:t>Inventory</w:t>
            </w:r>
          </w:p>
        </w:tc>
        <w:tc>
          <w:tcPr>
            <w:tcW w:w="10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2,033</w:t>
            </w:r>
          </w:p>
        </w:tc>
        <w:tc>
          <w:tcPr>
            <w:tcW w:w="2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0" w:type="dxa"/>
            <w:vAlign w:val="bottom"/>
          </w:tcPr>
          <w:p>
            <w:pPr>
              <w:jc w:val="right"/>
              <w:ind w:right="8"/>
              <w:spacing w:after="0"/>
              <w:rPr>
                <w:sz w:val="20"/>
                <w:szCs w:val="20"/>
                <w:color w:val="auto"/>
              </w:rPr>
            </w:pPr>
            <w:r>
              <w:rPr>
                <w:rFonts w:ascii="Arial" w:cs="Arial" w:eastAsia="Arial" w:hAnsi="Arial"/>
                <w:sz w:val="14"/>
                <w:szCs w:val="14"/>
                <w:color w:val="auto"/>
              </w:rPr>
              <w:t>2,294</w:t>
            </w:r>
          </w:p>
        </w:tc>
        <w:tc>
          <w:tcPr>
            <w:tcW w:w="0" w:type="dxa"/>
            <w:vAlign w:val="bottom"/>
          </w:tcPr>
          <w:p>
            <w:pPr>
              <w:spacing w:after="0"/>
              <w:rPr>
                <w:sz w:val="1"/>
                <w:szCs w:val="1"/>
                <w:color w:val="auto"/>
              </w:rPr>
            </w:pPr>
          </w:p>
        </w:tc>
      </w:tr>
      <w:tr>
        <w:trPr>
          <w:trHeight w:val="176"/>
        </w:trPr>
        <w:tc>
          <w:tcPr>
            <w:tcW w:w="7700" w:type="dxa"/>
            <w:vAlign w:val="bottom"/>
            <w:shd w:val="clear" w:color="auto" w:fill="CFF0FC"/>
          </w:tcPr>
          <w:p>
            <w:pPr>
              <w:ind w:left="200"/>
              <w:spacing w:after="0"/>
              <w:rPr>
                <w:sz w:val="20"/>
                <w:szCs w:val="20"/>
                <w:color w:val="auto"/>
              </w:rPr>
            </w:pPr>
            <w:r>
              <w:rPr>
                <w:rFonts w:ascii="Arial" w:cs="Arial" w:eastAsia="Arial" w:hAnsi="Arial"/>
                <w:sz w:val="14"/>
                <w:szCs w:val="14"/>
                <w:color w:val="auto"/>
              </w:rPr>
              <w:t>Prepaid expenses</w:t>
            </w:r>
          </w:p>
        </w:tc>
        <w:tc>
          <w:tcPr>
            <w:tcW w:w="104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6,664</w:t>
            </w:r>
          </w:p>
        </w:tc>
        <w:tc>
          <w:tcPr>
            <w:tcW w:w="22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1200" w:type="dxa"/>
            <w:vAlign w:val="bottom"/>
            <w:tcBorders>
              <w:right w:val="single" w:sz="8" w:color="CFF0FC"/>
            </w:tcBorders>
            <w:shd w:val="clear" w:color="auto" w:fill="CFF0FC"/>
          </w:tcPr>
          <w:p>
            <w:pPr>
              <w:jc w:val="right"/>
              <w:ind w:right="8"/>
              <w:spacing w:after="0"/>
              <w:rPr>
                <w:sz w:val="20"/>
                <w:szCs w:val="20"/>
                <w:color w:val="auto"/>
              </w:rPr>
            </w:pPr>
            <w:r>
              <w:rPr>
                <w:rFonts w:ascii="Arial" w:cs="Arial" w:eastAsia="Arial" w:hAnsi="Arial"/>
                <w:sz w:val="14"/>
                <w:szCs w:val="14"/>
                <w:color w:val="auto"/>
              </w:rPr>
              <w:t>913</w:t>
            </w:r>
          </w:p>
        </w:tc>
        <w:tc>
          <w:tcPr>
            <w:tcW w:w="0" w:type="dxa"/>
            <w:vAlign w:val="bottom"/>
          </w:tcPr>
          <w:p>
            <w:pPr>
              <w:spacing w:after="0"/>
              <w:rPr>
                <w:sz w:val="1"/>
                <w:szCs w:val="1"/>
                <w:color w:val="auto"/>
              </w:rPr>
            </w:pPr>
          </w:p>
        </w:tc>
      </w:tr>
      <w:tr>
        <w:trPr>
          <w:trHeight w:val="175"/>
        </w:trPr>
        <w:tc>
          <w:tcPr>
            <w:tcW w:w="7700" w:type="dxa"/>
            <w:vAlign w:val="bottom"/>
          </w:tcPr>
          <w:p>
            <w:pPr>
              <w:ind w:left="200"/>
              <w:spacing w:after="0"/>
              <w:rPr>
                <w:sz w:val="20"/>
                <w:szCs w:val="20"/>
                <w:color w:val="auto"/>
              </w:rPr>
            </w:pPr>
            <w:r>
              <w:rPr>
                <w:rFonts w:ascii="Arial" w:cs="Arial" w:eastAsia="Arial" w:hAnsi="Arial"/>
                <w:sz w:val="14"/>
                <w:szCs w:val="14"/>
                <w:color w:val="auto"/>
              </w:rPr>
              <w:t>Deferred sales commissions</w:t>
            </w:r>
          </w:p>
        </w:tc>
        <w:tc>
          <w:tcPr>
            <w:tcW w:w="10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5,283</w:t>
            </w:r>
          </w:p>
        </w:tc>
        <w:tc>
          <w:tcPr>
            <w:tcW w:w="2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7700" w:type="dxa"/>
            <w:vAlign w:val="bottom"/>
            <w:shd w:val="clear" w:color="auto" w:fill="CFF0FC"/>
          </w:tcPr>
          <w:p>
            <w:pPr>
              <w:ind w:left="200"/>
              <w:spacing w:after="0"/>
              <w:rPr>
                <w:sz w:val="20"/>
                <w:szCs w:val="20"/>
                <w:color w:val="auto"/>
              </w:rPr>
            </w:pPr>
            <w:r>
              <w:rPr>
                <w:rFonts w:ascii="Arial" w:cs="Arial" w:eastAsia="Arial" w:hAnsi="Arial"/>
                <w:sz w:val="14"/>
                <w:szCs w:val="14"/>
                <w:color w:val="auto"/>
              </w:rPr>
              <w:t>Other current assets</w:t>
            </w:r>
          </w:p>
        </w:tc>
        <w:tc>
          <w:tcPr>
            <w:tcW w:w="104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297</w:t>
            </w:r>
          </w:p>
        </w:tc>
        <w:tc>
          <w:tcPr>
            <w:tcW w:w="22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1200" w:type="dxa"/>
            <w:vAlign w:val="bottom"/>
            <w:tcBorders>
              <w:right w:val="single" w:sz="8" w:color="CFF0FC"/>
            </w:tcBorders>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9"/>
        </w:trPr>
        <w:tc>
          <w:tcPr>
            <w:tcW w:w="7700" w:type="dxa"/>
            <w:vAlign w:val="bottom"/>
            <w:tcBorders>
              <w:top w:val="single" w:sz="8" w:color="CFF0FC"/>
            </w:tcBorders>
          </w:tcPr>
          <w:p>
            <w:pPr>
              <w:ind w:left="380"/>
              <w:spacing w:after="0"/>
              <w:rPr>
                <w:sz w:val="20"/>
                <w:szCs w:val="20"/>
                <w:color w:val="auto"/>
              </w:rPr>
            </w:pPr>
            <w:r>
              <w:rPr>
                <w:rFonts w:ascii="Arial" w:cs="Arial" w:eastAsia="Arial" w:hAnsi="Arial"/>
                <w:sz w:val="14"/>
                <w:szCs w:val="14"/>
                <w:b w:val="1"/>
                <w:bCs w:val="1"/>
                <w:color w:val="auto"/>
              </w:rPr>
              <w:t>Total current assets</w:t>
            </w:r>
          </w:p>
        </w:tc>
        <w:tc>
          <w:tcPr>
            <w:tcW w:w="104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163,431</w:t>
            </w:r>
          </w:p>
        </w:tc>
        <w:tc>
          <w:tcPr>
            <w:tcW w:w="220" w:type="dxa"/>
            <w:vAlign w:val="bottom"/>
            <w:tcBorders>
              <w:top w:val="single" w:sz="8" w:color="CFF0FC"/>
            </w:tcBorders>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77,655</w:t>
            </w:r>
          </w:p>
        </w:tc>
        <w:tc>
          <w:tcPr>
            <w:tcW w:w="0" w:type="dxa"/>
            <w:vAlign w:val="bottom"/>
          </w:tcPr>
          <w:p>
            <w:pPr>
              <w:spacing w:after="0"/>
              <w:rPr>
                <w:sz w:val="1"/>
                <w:szCs w:val="1"/>
                <w:color w:val="auto"/>
              </w:rPr>
            </w:pPr>
          </w:p>
        </w:tc>
      </w:tr>
      <w:tr>
        <w:trPr>
          <w:trHeight w:val="175"/>
        </w:trPr>
        <w:tc>
          <w:tcPr>
            <w:tcW w:w="7700" w:type="dxa"/>
            <w:vAlign w:val="bottom"/>
            <w:shd w:val="clear" w:color="auto" w:fill="CFF0FC"/>
          </w:tcPr>
          <w:p>
            <w:pPr>
              <w:ind w:left="200"/>
              <w:spacing w:after="0"/>
              <w:rPr>
                <w:sz w:val="20"/>
                <w:szCs w:val="20"/>
                <w:color w:val="auto"/>
              </w:rPr>
            </w:pPr>
            <w:r>
              <w:rPr>
                <w:rFonts w:ascii="Arial" w:cs="Arial" w:eastAsia="Arial" w:hAnsi="Arial"/>
                <w:sz w:val="14"/>
                <w:szCs w:val="14"/>
                <w:color w:val="auto"/>
              </w:rPr>
              <w:t>Property and equipment, net</w:t>
            </w:r>
          </w:p>
        </w:tc>
        <w:tc>
          <w:tcPr>
            <w:tcW w:w="104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10,287</w:t>
            </w:r>
          </w:p>
        </w:tc>
        <w:tc>
          <w:tcPr>
            <w:tcW w:w="22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1200" w:type="dxa"/>
            <w:vAlign w:val="bottom"/>
            <w:tcBorders>
              <w:right w:val="single" w:sz="8" w:color="CFF0FC"/>
            </w:tcBorders>
            <w:shd w:val="clear" w:color="auto" w:fill="CFF0FC"/>
          </w:tcPr>
          <w:p>
            <w:pPr>
              <w:jc w:val="right"/>
              <w:ind w:right="8"/>
              <w:spacing w:after="0"/>
              <w:rPr>
                <w:sz w:val="20"/>
                <w:szCs w:val="20"/>
                <w:color w:val="auto"/>
              </w:rPr>
            </w:pPr>
            <w:r>
              <w:rPr>
                <w:rFonts w:ascii="Arial" w:cs="Arial" w:eastAsia="Arial" w:hAnsi="Arial"/>
                <w:sz w:val="14"/>
                <w:szCs w:val="14"/>
                <w:color w:val="auto"/>
              </w:rPr>
              <w:t>6,113</w:t>
            </w:r>
          </w:p>
        </w:tc>
        <w:tc>
          <w:tcPr>
            <w:tcW w:w="0" w:type="dxa"/>
            <w:vAlign w:val="bottom"/>
          </w:tcPr>
          <w:p>
            <w:pPr>
              <w:spacing w:after="0"/>
              <w:rPr>
                <w:sz w:val="1"/>
                <w:szCs w:val="1"/>
                <w:color w:val="auto"/>
              </w:rPr>
            </w:pPr>
          </w:p>
        </w:tc>
      </w:tr>
      <w:tr>
        <w:trPr>
          <w:trHeight w:val="176"/>
        </w:trPr>
        <w:tc>
          <w:tcPr>
            <w:tcW w:w="7700" w:type="dxa"/>
            <w:vAlign w:val="bottom"/>
          </w:tcPr>
          <w:p>
            <w:pPr>
              <w:ind w:left="200"/>
              <w:spacing w:after="0"/>
              <w:rPr>
                <w:sz w:val="20"/>
                <w:szCs w:val="20"/>
                <w:color w:val="auto"/>
              </w:rPr>
            </w:pPr>
            <w:r>
              <w:rPr>
                <w:rFonts w:ascii="Arial" w:cs="Arial" w:eastAsia="Arial" w:hAnsi="Arial"/>
                <w:sz w:val="14"/>
                <w:szCs w:val="14"/>
                <w:color w:val="auto"/>
              </w:rPr>
              <w:t>Operating lease right-of-use assets</w:t>
            </w:r>
          </w:p>
        </w:tc>
        <w:tc>
          <w:tcPr>
            <w:tcW w:w="10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27,489</w:t>
            </w:r>
          </w:p>
        </w:tc>
        <w:tc>
          <w:tcPr>
            <w:tcW w:w="2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0" w:type="dxa"/>
            <w:vAlign w:val="bottom"/>
          </w:tcPr>
          <w:p>
            <w:pPr>
              <w:jc w:val="right"/>
              <w:ind w:right="8"/>
              <w:spacing w:after="0"/>
              <w:rPr>
                <w:sz w:val="20"/>
                <w:szCs w:val="20"/>
                <w:color w:val="auto"/>
              </w:rPr>
            </w:pPr>
            <w:r>
              <w:rPr>
                <w:rFonts w:ascii="Arial" w:cs="Arial" w:eastAsia="Arial" w:hAnsi="Arial"/>
                <w:sz w:val="14"/>
                <w:szCs w:val="14"/>
                <w:color w:val="auto"/>
              </w:rPr>
              <w:t>1,922</w:t>
            </w:r>
          </w:p>
        </w:tc>
        <w:tc>
          <w:tcPr>
            <w:tcW w:w="0" w:type="dxa"/>
            <w:vAlign w:val="bottom"/>
          </w:tcPr>
          <w:p>
            <w:pPr>
              <w:spacing w:after="0"/>
              <w:rPr>
                <w:sz w:val="1"/>
                <w:szCs w:val="1"/>
                <w:color w:val="auto"/>
              </w:rPr>
            </w:pPr>
          </w:p>
        </w:tc>
      </w:tr>
      <w:tr>
        <w:trPr>
          <w:trHeight w:val="175"/>
        </w:trPr>
        <w:tc>
          <w:tcPr>
            <w:tcW w:w="7700" w:type="dxa"/>
            <w:vAlign w:val="bottom"/>
            <w:shd w:val="clear" w:color="auto" w:fill="CFF0FC"/>
          </w:tcPr>
          <w:p>
            <w:pPr>
              <w:ind w:left="200"/>
              <w:spacing w:after="0"/>
              <w:rPr>
                <w:sz w:val="20"/>
                <w:szCs w:val="20"/>
                <w:color w:val="auto"/>
              </w:rPr>
            </w:pPr>
            <w:r>
              <w:rPr>
                <w:rFonts w:ascii="Arial" w:cs="Arial" w:eastAsia="Arial" w:hAnsi="Arial"/>
                <w:sz w:val="14"/>
                <w:szCs w:val="14"/>
                <w:color w:val="auto"/>
              </w:rPr>
              <w:t>Investment in unconsolidated joint venture</w:t>
            </w:r>
          </w:p>
        </w:tc>
        <w:tc>
          <w:tcPr>
            <w:tcW w:w="104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4,198</w:t>
            </w:r>
          </w:p>
        </w:tc>
        <w:tc>
          <w:tcPr>
            <w:tcW w:w="22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1200" w:type="dxa"/>
            <w:vAlign w:val="bottom"/>
            <w:tcBorders>
              <w:right w:val="single" w:sz="8" w:color="CFF0FC"/>
            </w:tcBorders>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7700" w:type="dxa"/>
            <w:vAlign w:val="bottom"/>
          </w:tcPr>
          <w:p>
            <w:pPr>
              <w:ind w:left="200"/>
              <w:spacing w:after="0"/>
              <w:rPr>
                <w:sz w:val="20"/>
                <w:szCs w:val="20"/>
                <w:color w:val="auto"/>
              </w:rPr>
            </w:pPr>
            <w:r>
              <w:rPr>
                <w:rFonts w:ascii="Arial" w:cs="Arial" w:eastAsia="Arial" w:hAnsi="Arial"/>
                <w:sz w:val="14"/>
                <w:szCs w:val="14"/>
                <w:color w:val="auto"/>
              </w:rPr>
              <w:t>Intangible assets, net</w:t>
            </w:r>
          </w:p>
        </w:tc>
        <w:tc>
          <w:tcPr>
            <w:tcW w:w="10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41,736</w:t>
            </w:r>
          </w:p>
        </w:tc>
        <w:tc>
          <w:tcPr>
            <w:tcW w:w="2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0" w:type="dxa"/>
            <w:vAlign w:val="bottom"/>
          </w:tcPr>
          <w:p>
            <w:pPr>
              <w:jc w:val="right"/>
              <w:ind w:right="8"/>
              <w:spacing w:after="0"/>
              <w:rPr>
                <w:sz w:val="20"/>
                <w:szCs w:val="20"/>
                <w:color w:val="auto"/>
              </w:rPr>
            </w:pPr>
            <w:r>
              <w:rPr>
                <w:rFonts w:ascii="Arial" w:cs="Arial" w:eastAsia="Arial" w:hAnsi="Arial"/>
                <w:sz w:val="14"/>
                <w:szCs w:val="14"/>
                <w:color w:val="auto"/>
              </w:rPr>
              <w:t>1,652</w:t>
            </w:r>
          </w:p>
        </w:tc>
        <w:tc>
          <w:tcPr>
            <w:tcW w:w="0" w:type="dxa"/>
            <w:vAlign w:val="bottom"/>
          </w:tcPr>
          <w:p>
            <w:pPr>
              <w:spacing w:after="0"/>
              <w:rPr>
                <w:sz w:val="1"/>
                <w:szCs w:val="1"/>
                <w:color w:val="auto"/>
              </w:rPr>
            </w:pPr>
          </w:p>
        </w:tc>
      </w:tr>
      <w:tr>
        <w:trPr>
          <w:trHeight w:val="176"/>
        </w:trPr>
        <w:tc>
          <w:tcPr>
            <w:tcW w:w="7700" w:type="dxa"/>
            <w:vAlign w:val="bottom"/>
            <w:shd w:val="clear" w:color="auto" w:fill="CFF0FC"/>
          </w:tcPr>
          <w:p>
            <w:pPr>
              <w:ind w:left="200"/>
              <w:spacing w:after="0"/>
              <w:rPr>
                <w:sz w:val="20"/>
                <w:szCs w:val="20"/>
                <w:color w:val="auto"/>
              </w:rPr>
            </w:pPr>
            <w:r>
              <w:rPr>
                <w:rFonts w:ascii="Arial" w:cs="Arial" w:eastAsia="Arial" w:hAnsi="Arial"/>
                <w:sz w:val="14"/>
                <w:szCs w:val="14"/>
                <w:color w:val="auto"/>
              </w:rPr>
              <w:t>Goodwill</w:t>
            </w:r>
          </w:p>
        </w:tc>
        <w:tc>
          <w:tcPr>
            <w:tcW w:w="104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254,672</w:t>
            </w:r>
          </w:p>
        </w:tc>
        <w:tc>
          <w:tcPr>
            <w:tcW w:w="22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1200" w:type="dxa"/>
            <w:vAlign w:val="bottom"/>
            <w:tcBorders>
              <w:right w:val="single" w:sz="8" w:color="CFF0FC"/>
            </w:tcBorders>
            <w:shd w:val="clear" w:color="auto" w:fill="CFF0FC"/>
          </w:tcPr>
          <w:p>
            <w:pPr>
              <w:jc w:val="right"/>
              <w:ind w:right="8"/>
              <w:spacing w:after="0"/>
              <w:rPr>
                <w:sz w:val="20"/>
                <w:szCs w:val="20"/>
                <w:color w:val="auto"/>
              </w:rPr>
            </w:pPr>
            <w:r>
              <w:rPr>
                <w:rFonts w:ascii="Arial" w:cs="Arial" w:eastAsia="Arial" w:hAnsi="Arial"/>
                <w:sz w:val="14"/>
                <w:szCs w:val="14"/>
                <w:color w:val="auto"/>
              </w:rPr>
              <w:t>833</w:t>
            </w:r>
          </w:p>
        </w:tc>
        <w:tc>
          <w:tcPr>
            <w:tcW w:w="0" w:type="dxa"/>
            <w:vAlign w:val="bottom"/>
          </w:tcPr>
          <w:p>
            <w:pPr>
              <w:spacing w:after="0"/>
              <w:rPr>
                <w:sz w:val="1"/>
                <w:szCs w:val="1"/>
                <w:color w:val="auto"/>
              </w:rPr>
            </w:pPr>
          </w:p>
        </w:tc>
      </w:tr>
      <w:tr>
        <w:trPr>
          <w:trHeight w:val="175"/>
        </w:trPr>
        <w:tc>
          <w:tcPr>
            <w:tcW w:w="7700" w:type="dxa"/>
            <w:vAlign w:val="bottom"/>
          </w:tcPr>
          <w:p>
            <w:pPr>
              <w:ind w:left="200"/>
              <w:spacing w:after="0"/>
              <w:rPr>
                <w:sz w:val="20"/>
                <w:szCs w:val="20"/>
                <w:color w:val="auto"/>
              </w:rPr>
            </w:pPr>
            <w:r>
              <w:rPr>
                <w:rFonts w:ascii="Arial" w:cs="Arial" w:eastAsia="Arial" w:hAnsi="Arial"/>
                <w:sz w:val="14"/>
                <w:szCs w:val="14"/>
                <w:color w:val="auto"/>
              </w:rPr>
              <w:t>Other assets</w:t>
            </w:r>
          </w:p>
        </w:tc>
        <w:tc>
          <w:tcPr>
            <w:tcW w:w="104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773</w:t>
            </w:r>
          </w:p>
        </w:tc>
        <w:tc>
          <w:tcPr>
            <w:tcW w:w="220" w:type="dxa"/>
            <w:vAlign w:val="bottom"/>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788</w:t>
            </w:r>
          </w:p>
        </w:tc>
        <w:tc>
          <w:tcPr>
            <w:tcW w:w="0" w:type="dxa"/>
            <w:vAlign w:val="bottom"/>
          </w:tcPr>
          <w:p>
            <w:pPr>
              <w:spacing w:after="0"/>
              <w:rPr>
                <w:sz w:val="1"/>
                <w:szCs w:val="1"/>
                <w:color w:val="auto"/>
              </w:rPr>
            </w:pPr>
          </w:p>
        </w:tc>
      </w:tr>
      <w:tr>
        <w:trPr>
          <w:trHeight w:val="209"/>
        </w:trPr>
        <w:tc>
          <w:tcPr>
            <w:tcW w:w="770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4"/>
                <w:szCs w:val="14"/>
                <w:b w:val="1"/>
                <w:bCs w:val="1"/>
                <w:color w:val="auto"/>
              </w:rPr>
              <w:t>Total assets</w:t>
            </w:r>
          </w:p>
        </w:tc>
        <w:tc>
          <w:tcPr>
            <w:tcW w:w="1040" w:type="dxa"/>
            <w:vAlign w:val="bottom"/>
            <w:tcBorders>
              <w:bottom w:val="single" w:sz="8" w:color="auto"/>
            </w:tcBorders>
            <w:shd w:val="clear" w:color="auto" w:fill="CFF0FC"/>
          </w:tcPr>
          <w:p>
            <w:pPr>
              <w:jc w:val="right"/>
              <w:ind w:right="888"/>
              <w:spacing w:after="0"/>
              <w:rPr>
                <w:sz w:val="20"/>
                <w:szCs w:val="20"/>
                <w:color w:val="auto"/>
              </w:rPr>
            </w:pPr>
            <w:r>
              <w:rPr>
                <w:rFonts w:ascii="Arial" w:cs="Arial" w:eastAsia="Arial" w:hAnsi="Arial"/>
                <w:sz w:val="14"/>
                <w:szCs w:val="14"/>
                <w:color w:val="auto"/>
                <w:w w:val="76"/>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502,586</w:t>
            </w:r>
          </w:p>
        </w:tc>
        <w:tc>
          <w:tcPr>
            <w:tcW w:w="220" w:type="dxa"/>
            <w:vAlign w:val="bottom"/>
            <w:tcBorders>
              <w:bottom w:val="single" w:sz="8" w:color="CFF0FC"/>
            </w:tcBorders>
            <w:shd w:val="clear" w:color="auto" w:fill="CFF0FC"/>
          </w:tcPr>
          <w:p>
            <w:pPr>
              <w:spacing w:after="0"/>
              <w:rPr>
                <w:sz w:val="18"/>
                <w:szCs w:val="18"/>
                <w:color w:val="auto"/>
              </w:rPr>
            </w:pPr>
          </w:p>
        </w:tc>
        <w:tc>
          <w:tcPr>
            <w:tcW w:w="480" w:type="dxa"/>
            <w:vAlign w:val="bottom"/>
            <w:tcBorders>
              <w:bottom w:val="single" w:sz="8" w:color="auto"/>
            </w:tcBorders>
            <w:shd w:val="clear" w:color="auto" w:fill="CFF0FC"/>
          </w:tcPr>
          <w:p>
            <w:pPr>
              <w:jc w:val="right"/>
              <w:ind w:right="30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right w:val="single" w:sz="8" w:color="CFF0FC"/>
            </w:tcBorders>
            <w:shd w:val="clear" w:color="auto" w:fill="CFF0FC"/>
          </w:tcPr>
          <w:p>
            <w:pPr>
              <w:jc w:val="right"/>
              <w:ind w:right="8"/>
              <w:spacing w:after="0"/>
              <w:rPr>
                <w:sz w:val="20"/>
                <w:szCs w:val="20"/>
                <w:color w:val="auto"/>
              </w:rPr>
            </w:pPr>
            <w:r>
              <w:rPr>
                <w:rFonts w:ascii="Arial" w:cs="Arial" w:eastAsia="Arial" w:hAnsi="Arial"/>
                <w:sz w:val="14"/>
                <w:szCs w:val="14"/>
                <w:color w:val="auto"/>
              </w:rPr>
              <w:t>88,963</w:t>
            </w:r>
          </w:p>
        </w:tc>
        <w:tc>
          <w:tcPr>
            <w:tcW w:w="0" w:type="dxa"/>
            <w:vAlign w:val="bottom"/>
          </w:tcPr>
          <w:p>
            <w:pPr>
              <w:spacing w:after="0"/>
              <w:rPr>
                <w:sz w:val="1"/>
                <w:szCs w:val="1"/>
                <w:color w:val="auto"/>
              </w:rPr>
            </w:pPr>
          </w:p>
        </w:tc>
      </w:tr>
      <w:tr>
        <w:trPr>
          <w:trHeight w:val="156"/>
        </w:trPr>
        <w:tc>
          <w:tcPr>
            <w:tcW w:w="7700" w:type="dxa"/>
            <w:vAlign w:val="bottom"/>
          </w:tcPr>
          <w:p>
            <w:pPr>
              <w:ind w:left="20"/>
              <w:spacing w:after="0" w:line="156" w:lineRule="exact"/>
              <w:rPr>
                <w:sz w:val="20"/>
                <w:szCs w:val="20"/>
                <w:color w:val="auto"/>
              </w:rPr>
            </w:pPr>
            <w:r>
              <w:rPr>
                <w:rFonts w:ascii="Arial" w:cs="Arial" w:eastAsia="Arial" w:hAnsi="Arial"/>
                <w:sz w:val="14"/>
                <w:szCs w:val="14"/>
                <w:b w:val="1"/>
                <w:bCs w:val="1"/>
                <w:color w:val="auto"/>
              </w:rPr>
              <w:t>Liabilities, convertible preferred stock and stockholders’ equity</w:t>
            </w:r>
          </w:p>
        </w:tc>
        <w:tc>
          <w:tcPr>
            <w:tcW w:w="10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770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Current liabilities:</w:t>
            </w:r>
          </w:p>
        </w:tc>
        <w:tc>
          <w:tcPr>
            <w:tcW w:w="104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1200" w:type="dxa"/>
            <w:vAlign w:val="bottom"/>
            <w:tcBorders>
              <w:right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700" w:type="dxa"/>
            <w:vAlign w:val="bottom"/>
          </w:tcPr>
          <w:p>
            <w:pPr>
              <w:ind w:left="200"/>
              <w:spacing w:after="0"/>
              <w:rPr>
                <w:sz w:val="20"/>
                <w:szCs w:val="20"/>
                <w:color w:val="auto"/>
              </w:rPr>
            </w:pPr>
            <w:r>
              <w:rPr>
                <w:rFonts w:ascii="Arial" w:cs="Arial" w:eastAsia="Arial" w:hAnsi="Arial"/>
                <w:sz w:val="14"/>
                <w:szCs w:val="14"/>
                <w:color w:val="auto"/>
              </w:rPr>
              <w:t>Accounts payable</w:t>
            </w:r>
          </w:p>
        </w:tc>
        <w:tc>
          <w:tcPr>
            <w:tcW w:w="1040" w:type="dxa"/>
            <w:vAlign w:val="bottom"/>
          </w:tcPr>
          <w:p>
            <w:pPr>
              <w:jc w:val="right"/>
              <w:ind w:right="888"/>
              <w:spacing w:after="0"/>
              <w:rPr>
                <w:sz w:val="20"/>
                <w:szCs w:val="20"/>
                <w:color w:val="auto"/>
              </w:rPr>
            </w:pPr>
            <w:r>
              <w:rPr>
                <w:rFonts w:ascii="Arial" w:cs="Arial" w:eastAsia="Arial" w:hAnsi="Arial"/>
                <w:sz w:val="14"/>
                <w:szCs w:val="14"/>
                <w:color w:val="auto"/>
                <w:w w:val="76"/>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12,718</w:t>
            </w:r>
          </w:p>
        </w:tc>
        <w:tc>
          <w:tcPr>
            <w:tcW w:w="220" w:type="dxa"/>
            <w:vAlign w:val="bottom"/>
          </w:tcPr>
          <w:p>
            <w:pPr>
              <w:spacing w:after="0"/>
              <w:rPr>
                <w:sz w:val="15"/>
                <w:szCs w:val="15"/>
                <w:color w:val="auto"/>
              </w:rPr>
            </w:pPr>
          </w:p>
        </w:tc>
        <w:tc>
          <w:tcPr>
            <w:tcW w:w="48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8"/>
              <w:spacing w:after="0"/>
              <w:rPr>
                <w:sz w:val="20"/>
                <w:szCs w:val="20"/>
                <w:color w:val="auto"/>
              </w:rPr>
            </w:pPr>
            <w:r>
              <w:rPr>
                <w:rFonts w:ascii="Arial" w:cs="Arial" w:eastAsia="Arial" w:hAnsi="Arial"/>
                <w:sz w:val="14"/>
                <w:szCs w:val="14"/>
                <w:color w:val="auto"/>
              </w:rPr>
              <w:t>5,640</w:t>
            </w:r>
          </w:p>
        </w:tc>
        <w:tc>
          <w:tcPr>
            <w:tcW w:w="0" w:type="dxa"/>
            <w:vAlign w:val="bottom"/>
          </w:tcPr>
          <w:p>
            <w:pPr>
              <w:spacing w:after="0"/>
              <w:rPr>
                <w:sz w:val="1"/>
                <w:szCs w:val="1"/>
                <w:color w:val="auto"/>
              </w:rPr>
            </w:pPr>
          </w:p>
        </w:tc>
      </w:tr>
      <w:tr>
        <w:trPr>
          <w:trHeight w:val="176"/>
        </w:trPr>
        <w:tc>
          <w:tcPr>
            <w:tcW w:w="7700" w:type="dxa"/>
            <w:vAlign w:val="bottom"/>
            <w:shd w:val="clear" w:color="auto" w:fill="CFF0FC"/>
          </w:tcPr>
          <w:p>
            <w:pPr>
              <w:ind w:left="200"/>
              <w:spacing w:after="0"/>
              <w:rPr>
                <w:sz w:val="20"/>
                <w:szCs w:val="20"/>
                <w:color w:val="auto"/>
              </w:rPr>
            </w:pPr>
            <w:r>
              <w:rPr>
                <w:rFonts w:ascii="Arial" w:cs="Arial" w:eastAsia="Arial" w:hAnsi="Arial"/>
                <w:sz w:val="14"/>
                <w:szCs w:val="14"/>
                <w:color w:val="auto"/>
              </w:rPr>
              <w:t>Accrued expenses</w:t>
            </w:r>
          </w:p>
        </w:tc>
        <w:tc>
          <w:tcPr>
            <w:tcW w:w="104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30,905</w:t>
            </w:r>
          </w:p>
        </w:tc>
        <w:tc>
          <w:tcPr>
            <w:tcW w:w="22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1200" w:type="dxa"/>
            <w:vAlign w:val="bottom"/>
            <w:tcBorders>
              <w:right w:val="single" w:sz="8" w:color="CFF0FC"/>
            </w:tcBorders>
            <w:shd w:val="clear" w:color="auto" w:fill="CFF0FC"/>
          </w:tcPr>
          <w:p>
            <w:pPr>
              <w:jc w:val="right"/>
              <w:ind w:right="8"/>
              <w:spacing w:after="0"/>
              <w:rPr>
                <w:sz w:val="20"/>
                <w:szCs w:val="20"/>
                <w:color w:val="auto"/>
              </w:rPr>
            </w:pPr>
            <w:r>
              <w:rPr>
                <w:rFonts w:ascii="Arial" w:cs="Arial" w:eastAsia="Arial" w:hAnsi="Arial"/>
                <w:sz w:val="14"/>
                <w:szCs w:val="14"/>
                <w:color w:val="auto"/>
              </w:rPr>
              <w:t>13,606</w:t>
            </w:r>
          </w:p>
        </w:tc>
        <w:tc>
          <w:tcPr>
            <w:tcW w:w="0" w:type="dxa"/>
            <w:vAlign w:val="bottom"/>
          </w:tcPr>
          <w:p>
            <w:pPr>
              <w:spacing w:after="0"/>
              <w:rPr>
                <w:sz w:val="1"/>
                <w:szCs w:val="1"/>
                <w:color w:val="auto"/>
              </w:rPr>
            </w:pPr>
          </w:p>
        </w:tc>
      </w:tr>
      <w:tr>
        <w:trPr>
          <w:trHeight w:val="176"/>
        </w:trPr>
        <w:tc>
          <w:tcPr>
            <w:tcW w:w="7700" w:type="dxa"/>
            <w:vAlign w:val="bottom"/>
          </w:tcPr>
          <w:p>
            <w:pPr>
              <w:ind w:left="200"/>
              <w:spacing w:after="0"/>
              <w:rPr>
                <w:sz w:val="20"/>
                <w:szCs w:val="20"/>
                <w:color w:val="auto"/>
              </w:rPr>
            </w:pPr>
            <w:r>
              <w:rPr>
                <w:rFonts w:ascii="Arial" w:cs="Arial" w:eastAsia="Arial" w:hAnsi="Arial"/>
                <w:sz w:val="14"/>
                <w:szCs w:val="14"/>
                <w:color w:val="auto"/>
              </w:rPr>
              <w:t>Contract liabilities</w:t>
            </w:r>
          </w:p>
        </w:tc>
        <w:tc>
          <w:tcPr>
            <w:tcW w:w="10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7,863</w:t>
            </w:r>
          </w:p>
        </w:tc>
        <w:tc>
          <w:tcPr>
            <w:tcW w:w="2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0" w:type="dxa"/>
            <w:vAlign w:val="bottom"/>
          </w:tcPr>
          <w:p>
            <w:pPr>
              <w:jc w:val="right"/>
              <w:ind w:right="8"/>
              <w:spacing w:after="0"/>
              <w:rPr>
                <w:sz w:val="20"/>
                <w:szCs w:val="20"/>
                <w:color w:val="auto"/>
              </w:rPr>
            </w:pPr>
            <w:r>
              <w:rPr>
                <w:rFonts w:ascii="Arial" w:cs="Arial" w:eastAsia="Arial" w:hAnsi="Arial"/>
                <w:sz w:val="14"/>
                <w:szCs w:val="14"/>
                <w:color w:val="auto"/>
              </w:rPr>
              <w:t>2,355</w:t>
            </w:r>
          </w:p>
        </w:tc>
        <w:tc>
          <w:tcPr>
            <w:tcW w:w="0" w:type="dxa"/>
            <w:vAlign w:val="bottom"/>
          </w:tcPr>
          <w:p>
            <w:pPr>
              <w:spacing w:after="0"/>
              <w:rPr>
                <w:sz w:val="1"/>
                <w:szCs w:val="1"/>
                <w:color w:val="auto"/>
              </w:rPr>
            </w:pPr>
          </w:p>
        </w:tc>
      </w:tr>
      <w:tr>
        <w:trPr>
          <w:trHeight w:val="175"/>
        </w:trPr>
        <w:tc>
          <w:tcPr>
            <w:tcW w:w="7700" w:type="dxa"/>
            <w:vAlign w:val="bottom"/>
            <w:shd w:val="clear" w:color="auto" w:fill="CFF0FC"/>
          </w:tcPr>
          <w:p>
            <w:pPr>
              <w:ind w:left="200"/>
              <w:spacing w:after="0"/>
              <w:rPr>
                <w:sz w:val="20"/>
                <w:szCs w:val="20"/>
                <w:color w:val="auto"/>
              </w:rPr>
            </w:pPr>
            <w:r>
              <w:rPr>
                <w:rFonts w:ascii="Arial" w:cs="Arial" w:eastAsia="Arial" w:hAnsi="Arial"/>
                <w:sz w:val="14"/>
                <w:szCs w:val="14"/>
                <w:color w:val="auto"/>
              </w:rPr>
              <w:t>Operating lease liabilities, current portion</w:t>
            </w:r>
          </w:p>
        </w:tc>
        <w:tc>
          <w:tcPr>
            <w:tcW w:w="104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5,549</w:t>
            </w:r>
          </w:p>
        </w:tc>
        <w:tc>
          <w:tcPr>
            <w:tcW w:w="22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1200" w:type="dxa"/>
            <w:vAlign w:val="bottom"/>
            <w:tcBorders>
              <w:right w:val="single" w:sz="8" w:color="CFF0FC"/>
            </w:tcBorders>
            <w:shd w:val="clear" w:color="auto" w:fill="CFF0FC"/>
          </w:tcPr>
          <w:p>
            <w:pPr>
              <w:jc w:val="right"/>
              <w:ind w:right="8"/>
              <w:spacing w:after="0"/>
              <w:rPr>
                <w:sz w:val="20"/>
                <w:szCs w:val="20"/>
                <w:color w:val="auto"/>
              </w:rPr>
            </w:pPr>
            <w:r>
              <w:rPr>
                <w:rFonts w:ascii="Arial" w:cs="Arial" w:eastAsia="Arial" w:hAnsi="Arial"/>
                <w:sz w:val="14"/>
                <w:szCs w:val="14"/>
                <w:color w:val="auto"/>
              </w:rPr>
              <w:t>1,013</w:t>
            </w:r>
          </w:p>
        </w:tc>
        <w:tc>
          <w:tcPr>
            <w:tcW w:w="0" w:type="dxa"/>
            <w:vAlign w:val="bottom"/>
          </w:tcPr>
          <w:p>
            <w:pPr>
              <w:spacing w:after="0"/>
              <w:rPr>
                <w:sz w:val="1"/>
                <w:szCs w:val="1"/>
                <w:color w:val="auto"/>
              </w:rPr>
            </w:pPr>
          </w:p>
        </w:tc>
      </w:tr>
      <w:tr>
        <w:trPr>
          <w:trHeight w:val="176"/>
        </w:trPr>
        <w:tc>
          <w:tcPr>
            <w:tcW w:w="7700" w:type="dxa"/>
            <w:vAlign w:val="bottom"/>
          </w:tcPr>
          <w:p>
            <w:pPr>
              <w:ind w:left="200"/>
              <w:spacing w:after="0"/>
              <w:rPr>
                <w:sz w:val="20"/>
                <w:szCs w:val="20"/>
                <w:color w:val="auto"/>
              </w:rPr>
            </w:pPr>
            <w:r>
              <w:rPr>
                <w:rFonts w:ascii="Arial" w:cs="Arial" w:eastAsia="Arial" w:hAnsi="Arial"/>
                <w:sz w:val="14"/>
                <w:szCs w:val="14"/>
                <w:color w:val="auto"/>
              </w:rPr>
              <w:t>Finance lease liabilities, current portion</w:t>
            </w:r>
          </w:p>
        </w:tc>
        <w:tc>
          <w:tcPr>
            <w:tcW w:w="10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w:t>
            </w:r>
          </w:p>
        </w:tc>
        <w:tc>
          <w:tcPr>
            <w:tcW w:w="2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0" w:type="dxa"/>
            <w:vAlign w:val="bottom"/>
          </w:tcPr>
          <w:p>
            <w:pPr>
              <w:jc w:val="right"/>
              <w:ind w:right="8"/>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175"/>
        </w:trPr>
        <w:tc>
          <w:tcPr>
            <w:tcW w:w="7700" w:type="dxa"/>
            <w:vAlign w:val="bottom"/>
            <w:shd w:val="clear" w:color="auto" w:fill="CFF0FC"/>
          </w:tcPr>
          <w:p>
            <w:pPr>
              <w:ind w:left="200"/>
              <w:spacing w:after="0"/>
              <w:rPr>
                <w:sz w:val="20"/>
                <w:szCs w:val="20"/>
                <w:color w:val="auto"/>
              </w:rPr>
            </w:pPr>
            <w:r>
              <w:rPr>
                <w:rFonts w:ascii="Arial" w:cs="Arial" w:eastAsia="Arial" w:hAnsi="Arial"/>
                <w:sz w:val="14"/>
                <w:szCs w:val="14"/>
                <w:color w:val="auto"/>
              </w:rPr>
              <w:t>Short-term debt</w:t>
            </w:r>
          </w:p>
        </w:tc>
        <w:tc>
          <w:tcPr>
            <w:tcW w:w="1040" w:type="dxa"/>
            <w:vAlign w:val="bottom"/>
            <w:shd w:val="clear" w:color="auto" w:fill="CFF0FC"/>
          </w:tcPr>
          <w:p>
            <w:pPr>
              <w:spacing w:after="0"/>
              <w:rPr>
                <w:sz w:val="15"/>
                <w:szCs w:val="15"/>
                <w:color w:val="auto"/>
              </w:rPr>
            </w:pPr>
          </w:p>
        </w:tc>
        <w:tc>
          <w:tcPr>
            <w:tcW w:w="82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480" w:type="dxa"/>
            <w:vAlign w:val="bottom"/>
            <w:shd w:val="clear" w:color="auto" w:fill="CFF0FC"/>
          </w:tcPr>
          <w:p>
            <w:pPr>
              <w:spacing w:after="0"/>
              <w:rPr>
                <w:sz w:val="15"/>
                <w:szCs w:val="15"/>
                <w:color w:val="auto"/>
              </w:rPr>
            </w:pPr>
          </w:p>
        </w:tc>
        <w:tc>
          <w:tcPr>
            <w:tcW w:w="1200" w:type="dxa"/>
            <w:vAlign w:val="bottom"/>
            <w:tcBorders>
              <w:right w:val="single" w:sz="8" w:color="CFF0FC"/>
            </w:tcBorders>
            <w:shd w:val="clear" w:color="auto" w:fill="CFF0FC"/>
          </w:tcPr>
          <w:p>
            <w:pPr>
              <w:jc w:val="right"/>
              <w:ind w:right="8"/>
              <w:spacing w:after="0"/>
              <w:rPr>
                <w:sz w:val="20"/>
                <w:szCs w:val="20"/>
                <w:color w:val="auto"/>
              </w:rPr>
            </w:pPr>
            <w:r>
              <w:rPr>
                <w:rFonts w:ascii="Arial" w:cs="Arial" w:eastAsia="Arial" w:hAnsi="Arial"/>
                <w:sz w:val="14"/>
                <w:szCs w:val="14"/>
                <w:color w:val="auto"/>
              </w:rPr>
              <w:t>15,753</w:t>
            </w:r>
          </w:p>
        </w:tc>
        <w:tc>
          <w:tcPr>
            <w:tcW w:w="0" w:type="dxa"/>
            <w:vAlign w:val="bottom"/>
          </w:tcPr>
          <w:p>
            <w:pPr>
              <w:spacing w:after="0"/>
              <w:rPr>
                <w:sz w:val="1"/>
                <w:szCs w:val="1"/>
                <w:color w:val="auto"/>
              </w:rPr>
            </w:pPr>
          </w:p>
        </w:tc>
      </w:tr>
      <w:tr>
        <w:trPr>
          <w:trHeight w:val="169"/>
        </w:trPr>
        <w:tc>
          <w:tcPr>
            <w:tcW w:w="7700" w:type="dxa"/>
            <w:vAlign w:val="bottom"/>
            <w:tcBorders>
              <w:top w:val="single" w:sz="8" w:color="CFF0FC"/>
            </w:tcBorders>
          </w:tcPr>
          <w:p>
            <w:pPr>
              <w:ind w:left="380"/>
              <w:spacing w:after="0"/>
              <w:rPr>
                <w:sz w:val="20"/>
                <w:szCs w:val="20"/>
                <w:color w:val="auto"/>
              </w:rPr>
            </w:pPr>
            <w:r>
              <w:rPr>
                <w:rFonts w:ascii="Arial" w:cs="Arial" w:eastAsia="Arial" w:hAnsi="Arial"/>
                <w:sz w:val="14"/>
                <w:szCs w:val="14"/>
                <w:b w:val="1"/>
                <w:bCs w:val="1"/>
                <w:color w:val="auto"/>
              </w:rPr>
              <w:t>Total current liabilities</w:t>
            </w:r>
          </w:p>
        </w:tc>
        <w:tc>
          <w:tcPr>
            <w:tcW w:w="104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57,037</w:t>
            </w:r>
          </w:p>
        </w:tc>
        <w:tc>
          <w:tcPr>
            <w:tcW w:w="220" w:type="dxa"/>
            <w:vAlign w:val="bottom"/>
            <w:tcBorders>
              <w:top w:val="single" w:sz="8" w:color="CFF0FC"/>
            </w:tcBorders>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38,381</w:t>
            </w:r>
          </w:p>
        </w:tc>
        <w:tc>
          <w:tcPr>
            <w:tcW w:w="0" w:type="dxa"/>
            <w:vAlign w:val="bottom"/>
          </w:tcPr>
          <w:p>
            <w:pPr>
              <w:spacing w:after="0"/>
              <w:rPr>
                <w:sz w:val="1"/>
                <w:szCs w:val="1"/>
                <w:color w:val="auto"/>
              </w:rPr>
            </w:pPr>
          </w:p>
        </w:tc>
      </w:tr>
      <w:tr>
        <w:trPr>
          <w:trHeight w:val="176"/>
        </w:trPr>
        <w:tc>
          <w:tcPr>
            <w:tcW w:w="7700" w:type="dxa"/>
            <w:vAlign w:val="bottom"/>
            <w:shd w:val="clear" w:color="auto" w:fill="CFF0FC"/>
          </w:tcPr>
          <w:p>
            <w:pPr>
              <w:ind w:left="200"/>
              <w:spacing w:after="0"/>
              <w:rPr>
                <w:sz w:val="20"/>
                <w:szCs w:val="20"/>
                <w:color w:val="auto"/>
              </w:rPr>
            </w:pPr>
            <w:r>
              <w:rPr>
                <w:rFonts w:ascii="Arial" w:cs="Arial" w:eastAsia="Arial" w:hAnsi="Arial"/>
                <w:sz w:val="14"/>
                <w:szCs w:val="14"/>
                <w:color w:val="auto"/>
              </w:rPr>
              <w:t>Operating lease liabilities, net of current portion</w:t>
            </w:r>
          </w:p>
        </w:tc>
        <w:tc>
          <w:tcPr>
            <w:tcW w:w="104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16,920</w:t>
            </w:r>
          </w:p>
        </w:tc>
        <w:tc>
          <w:tcPr>
            <w:tcW w:w="22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1200" w:type="dxa"/>
            <w:vAlign w:val="bottom"/>
            <w:tcBorders>
              <w:right w:val="single" w:sz="8" w:color="CFF0FC"/>
            </w:tcBorders>
            <w:shd w:val="clear" w:color="auto" w:fill="CFF0FC"/>
          </w:tcPr>
          <w:p>
            <w:pPr>
              <w:jc w:val="right"/>
              <w:ind w:right="8"/>
              <w:spacing w:after="0"/>
              <w:rPr>
                <w:sz w:val="20"/>
                <w:szCs w:val="20"/>
                <w:color w:val="auto"/>
              </w:rPr>
            </w:pPr>
            <w:r>
              <w:rPr>
                <w:rFonts w:ascii="Arial" w:cs="Arial" w:eastAsia="Arial" w:hAnsi="Arial"/>
                <w:sz w:val="14"/>
                <w:szCs w:val="14"/>
                <w:color w:val="auto"/>
              </w:rPr>
              <w:t>1,118</w:t>
            </w:r>
          </w:p>
        </w:tc>
        <w:tc>
          <w:tcPr>
            <w:tcW w:w="0" w:type="dxa"/>
            <w:vAlign w:val="bottom"/>
          </w:tcPr>
          <w:p>
            <w:pPr>
              <w:spacing w:after="0"/>
              <w:rPr>
                <w:sz w:val="1"/>
                <w:szCs w:val="1"/>
                <w:color w:val="auto"/>
              </w:rPr>
            </w:pPr>
          </w:p>
        </w:tc>
      </w:tr>
      <w:tr>
        <w:trPr>
          <w:trHeight w:val="175"/>
        </w:trPr>
        <w:tc>
          <w:tcPr>
            <w:tcW w:w="7700" w:type="dxa"/>
            <w:vAlign w:val="bottom"/>
          </w:tcPr>
          <w:p>
            <w:pPr>
              <w:ind w:left="200"/>
              <w:spacing w:after="0"/>
              <w:rPr>
                <w:sz w:val="20"/>
                <w:szCs w:val="20"/>
                <w:color w:val="auto"/>
              </w:rPr>
            </w:pPr>
            <w:r>
              <w:rPr>
                <w:rFonts w:ascii="Arial" w:cs="Arial" w:eastAsia="Arial" w:hAnsi="Arial"/>
                <w:sz w:val="14"/>
                <w:szCs w:val="14"/>
                <w:color w:val="auto"/>
              </w:rPr>
              <w:t>Income taxes payable</w:t>
            </w:r>
          </w:p>
        </w:tc>
        <w:tc>
          <w:tcPr>
            <w:tcW w:w="10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1,468</w:t>
            </w:r>
          </w:p>
        </w:tc>
        <w:tc>
          <w:tcPr>
            <w:tcW w:w="2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5"/>
        </w:trPr>
        <w:tc>
          <w:tcPr>
            <w:tcW w:w="7700" w:type="dxa"/>
            <w:vAlign w:val="bottom"/>
            <w:shd w:val="clear" w:color="auto" w:fill="CFF0FC"/>
          </w:tcPr>
          <w:p>
            <w:pPr>
              <w:ind w:left="200"/>
              <w:spacing w:after="0"/>
              <w:rPr>
                <w:sz w:val="20"/>
                <w:szCs w:val="20"/>
                <w:color w:val="auto"/>
              </w:rPr>
            </w:pPr>
            <w:r>
              <w:rPr>
                <w:rFonts w:ascii="Arial" w:cs="Arial" w:eastAsia="Arial" w:hAnsi="Arial"/>
                <w:sz w:val="14"/>
                <w:szCs w:val="14"/>
                <w:color w:val="auto"/>
              </w:rPr>
              <w:t>Other liabilities</w:t>
            </w:r>
          </w:p>
        </w:tc>
        <w:tc>
          <w:tcPr>
            <w:tcW w:w="104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1,678</w:t>
            </w:r>
          </w:p>
        </w:tc>
        <w:tc>
          <w:tcPr>
            <w:tcW w:w="22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1200" w:type="dxa"/>
            <w:vAlign w:val="bottom"/>
            <w:tcBorders>
              <w:right w:val="single" w:sz="8" w:color="CFF0FC"/>
            </w:tcBorders>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9"/>
        </w:trPr>
        <w:tc>
          <w:tcPr>
            <w:tcW w:w="7700" w:type="dxa"/>
            <w:vAlign w:val="bottom"/>
            <w:tcBorders>
              <w:top w:val="single" w:sz="8" w:color="CFF0FC"/>
            </w:tcBorders>
          </w:tcPr>
          <w:p>
            <w:pPr>
              <w:ind w:left="380"/>
              <w:spacing w:after="0"/>
              <w:rPr>
                <w:sz w:val="20"/>
                <w:szCs w:val="20"/>
                <w:color w:val="auto"/>
              </w:rPr>
            </w:pPr>
            <w:r>
              <w:rPr>
                <w:rFonts w:ascii="Arial" w:cs="Arial" w:eastAsia="Arial" w:hAnsi="Arial"/>
                <w:sz w:val="14"/>
                <w:szCs w:val="14"/>
                <w:b w:val="1"/>
                <w:bCs w:val="1"/>
                <w:color w:val="auto"/>
              </w:rPr>
              <w:t>Total liabilities</w:t>
            </w:r>
          </w:p>
        </w:tc>
        <w:tc>
          <w:tcPr>
            <w:tcW w:w="1040" w:type="dxa"/>
            <w:vAlign w:val="bottom"/>
            <w:tcBorders>
              <w:top w:val="single" w:sz="8" w:color="auto"/>
              <w:bottom w:val="single" w:sz="8" w:color="auto"/>
            </w:tcBorders>
          </w:tcPr>
          <w:p>
            <w:pPr>
              <w:spacing w:after="0"/>
              <w:rPr>
                <w:sz w:val="14"/>
                <w:szCs w:val="14"/>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77,103</w:t>
            </w:r>
          </w:p>
        </w:tc>
        <w:tc>
          <w:tcPr>
            <w:tcW w:w="220" w:type="dxa"/>
            <w:vAlign w:val="bottom"/>
            <w:tcBorders>
              <w:top w:val="single" w:sz="8" w:color="CFF0FC"/>
            </w:tcBorders>
          </w:tcPr>
          <w:p>
            <w:pPr>
              <w:spacing w:after="0"/>
              <w:rPr>
                <w:sz w:val="14"/>
                <w:szCs w:val="14"/>
                <w:color w:val="auto"/>
              </w:rPr>
            </w:pPr>
          </w:p>
        </w:tc>
        <w:tc>
          <w:tcPr>
            <w:tcW w:w="48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39,499</w:t>
            </w:r>
          </w:p>
        </w:tc>
        <w:tc>
          <w:tcPr>
            <w:tcW w:w="0" w:type="dxa"/>
            <w:vAlign w:val="bottom"/>
          </w:tcPr>
          <w:p>
            <w:pPr>
              <w:spacing w:after="0"/>
              <w:rPr>
                <w:sz w:val="1"/>
                <w:szCs w:val="1"/>
                <w:color w:val="auto"/>
              </w:rPr>
            </w:pPr>
          </w:p>
        </w:tc>
      </w:tr>
      <w:tr>
        <w:trPr>
          <w:trHeight w:val="169"/>
        </w:trPr>
        <w:tc>
          <w:tcPr>
            <w:tcW w:w="770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Commitments and contingencies (Note 12)</w:t>
            </w:r>
          </w:p>
        </w:tc>
        <w:tc>
          <w:tcPr>
            <w:tcW w:w="104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1200" w:type="dxa"/>
            <w:vAlign w:val="bottom"/>
            <w:tcBorders>
              <w:right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7700" w:type="dxa"/>
            <w:vAlign w:val="bottom"/>
          </w:tcPr>
          <w:p>
            <w:pPr>
              <w:ind w:left="20"/>
              <w:spacing w:after="0"/>
              <w:rPr>
                <w:sz w:val="20"/>
                <w:szCs w:val="20"/>
                <w:color w:val="auto"/>
              </w:rPr>
            </w:pPr>
            <w:r>
              <w:rPr>
                <w:rFonts w:ascii="Arial" w:cs="Arial" w:eastAsia="Arial" w:hAnsi="Arial"/>
                <w:sz w:val="14"/>
                <w:szCs w:val="14"/>
                <w:b w:val="1"/>
                <w:bCs w:val="1"/>
                <w:color w:val="auto"/>
              </w:rPr>
              <w:t>Convertible preferred stock</w:t>
            </w:r>
          </w:p>
        </w:tc>
        <w:tc>
          <w:tcPr>
            <w:tcW w:w="10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7700" w:type="dxa"/>
            <w:vAlign w:val="bottom"/>
            <w:shd w:val="clear" w:color="auto" w:fill="CFF0FC"/>
          </w:tcPr>
          <w:p>
            <w:pPr>
              <w:ind w:left="200"/>
              <w:spacing w:after="0" w:line="143" w:lineRule="exact"/>
              <w:rPr>
                <w:sz w:val="20"/>
                <w:szCs w:val="20"/>
                <w:color w:val="auto"/>
              </w:rPr>
            </w:pPr>
            <w:r>
              <w:rPr>
                <w:rFonts w:ascii="Arial" w:cs="Arial" w:eastAsia="Arial" w:hAnsi="Arial"/>
                <w:sz w:val="14"/>
                <w:szCs w:val="14"/>
                <w:color w:val="auto"/>
                <w:w w:val="97"/>
              </w:rPr>
              <w:t>Convertible preferred stock, $0.000001 par value, Seed-1, Seed-2, Series A-1, Series A-2, Series B, Series C, Series D and</w:t>
            </w:r>
          </w:p>
        </w:tc>
        <w:tc>
          <w:tcPr>
            <w:tcW w:w="104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1200" w:type="dxa"/>
            <w:vAlign w:val="bottom"/>
            <w:tcBorders>
              <w:right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700" w:type="dxa"/>
            <w:vAlign w:val="bottom"/>
            <w:shd w:val="clear" w:color="auto" w:fill="CFF0FC"/>
          </w:tcPr>
          <w:p>
            <w:pPr>
              <w:ind w:left="200"/>
              <w:spacing w:after="0" w:line="149" w:lineRule="exact"/>
              <w:rPr>
                <w:sz w:val="20"/>
                <w:szCs w:val="20"/>
                <w:color w:val="auto"/>
              </w:rPr>
            </w:pPr>
            <w:r>
              <w:rPr>
                <w:rFonts w:ascii="Arial" w:cs="Arial" w:eastAsia="Arial" w:hAnsi="Arial"/>
                <w:sz w:val="14"/>
                <w:szCs w:val="14"/>
                <w:color w:val="auto"/>
                <w:w w:val="97"/>
              </w:rPr>
              <w:t>Series E. Authorized; zero shares and 27,970,966 shares, zero shares and 27,758,941 shares issued and outstanding as of</w:t>
            </w:r>
          </w:p>
        </w:tc>
        <w:tc>
          <w:tcPr>
            <w:tcW w:w="1040" w:type="dxa"/>
            <w:vAlign w:val="bottom"/>
            <w:shd w:val="clear" w:color="auto" w:fill="CFF0FC"/>
          </w:tcPr>
          <w:p>
            <w:pPr>
              <w:spacing w:after="0"/>
              <w:rPr>
                <w:sz w:val="12"/>
                <w:szCs w:val="12"/>
                <w:color w:val="auto"/>
              </w:rPr>
            </w:pPr>
          </w:p>
        </w:tc>
        <w:tc>
          <w:tcPr>
            <w:tcW w:w="820" w:type="dxa"/>
            <w:vAlign w:val="bottom"/>
            <w:gridSpan w:val="2"/>
            <w:vMerge w:val="restart"/>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480" w:type="dxa"/>
            <w:vAlign w:val="bottom"/>
            <w:shd w:val="clear" w:color="auto" w:fill="CFF0FC"/>
          </w:tcPr>
          <w:p>
            <w:pPr>
              <w:spacing w:after="0"/>
              <w:rPr>
                <w:sz w:val="12"/>
                <w:szCs w:val="12"/>
                <w:color w:val="auto"/>
              </w:rPr>
            </w:pPr>
          </w:p>
        </w:tc>
        <w:tc>
          <w:tcPr>
            <w:tcW w:w="1200" w:type="dxa"/>
            <w:vAlign w:val="bottom"/>
            <w:tcBorders>
              <w:right w:val="single" w:sz="8" w:color="CFF0FC"/>
            </w:tcBorders>
            <w:vMerge w:val="restart"/>
            <w:shd w:val="clear" w:color="auto" w:fill="CFF0FC"/>
          </w:tcPr>
          <w:p>
            <w:pPr>
              <w:jc w:val="right"/>
              <w:ind w:right="8"/>
              <w:spacing w:after="0"/>
              <w:rPr>
                <w:sz w:val="20"/>
                <w:szCs w:val="20"/>
                <w:color w:val="auto"/>
              </w:rPr>
            </w:pPr>
            <w:r>
              <w:rPr>
                <w:rFonts w:ascii="Arial" w:cs="Arial" w:eastAsia="Arial" w:hAnsi="Arial"/>
                <w:sz w:val="14"/>
                <w:szCs w:val="14"/>
                <w:color w:val="auto"/>
              </w:rPr>
              <w:t>160,713</w:t>
            </w:r>
          </w:p>
        </w:tc>
        <w:tc>
          <w:tcPr>
            <w:tcW w:w="0" w:type="dxa"/>
            <w:vAlign w:val="bottom"/>
          </w:tcPr>
          <w:p>
            <w:pPr>
              <w:spacing w:after="0"/>
              <w:rPr>
                <w:sz w:val="1"/>
                <w:szCs w:val="1"/>
                <w:color w:val="auto"/>
              </w:rPr>
            </w:pPr>
          </w:p>
        </w:tc>
      </w:tr>
      <w:tr>
        <w:trPr>
          <w:trHeight w:val="167"/>
        </w:trPr>
        <w:tc>
          <w:tcPr>
            <w:tcW w:w="7700" w:type="dxa"/>
            <w:vAlign w:val="bottom"/>
            <w:shd w:val="clear" w:color="auto" w:fill="CFF0FC"/>
          </w:tcPr>
          <w:p>
            <w:pPr>
              <w:ind w:left="200"/>
              <w:spacing w:after="0"/>
              <w:rPr>
                <w:sz w:val="20"/>
                <w:szCs w:val="20"/>
                <w:color w:val="auto"/>
              </w:rPr>
            </w:pPr>
            <w:r>
              <w:rPr>
                <w:rFonts w:ascii="Arial" w:cs="Arial" w:eastAsia="Arial" w:hAnsi="Arial"/>
                <w:sz w:val="14"/>
                <w:szCs w:val="14"/>
                <w:color w:val="auto"/>
              </w:rPr>
              <w:t>December 31, 2021 and 2020, respectively</w:t>
            </w:r>
          </w:p>
        </w:tc>
        <w:tc>
          <w:tcPr>
            <w:tcW w:w="1040" w:type="dxa"/>
            <w:vAlign w:val="bottom"/>
            <w:shd w:val="clear" w:color="auto" w:fill="CFF0FC"/>
          </w:tcPr>
          <w:p>
            <w:pPr>
              <w:spacing w:after="0"/>
              <w:rPr>
                <w:sz w:val="14"/>
                <w:szCs w:val="14"/>
                <w:color w:val="auto"/>
              </w:rPr>
            </w:pPr>
          </w:p>
        </w:tc>
        <w:tc>
          <w:tcPr>
            <w:tcW w:w="820" w:type="dxa"/>
            <w:vAlign w:val="bottom"/>
            <w:gridSpan w:val="2"/>
            <w:vMerge w:val="continue"/>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1200" w:type="dxa"/>
            <w:vAlign w:val="bottom"/>
            <w:tcBorders>
              <w:right w:val="single" w:sz="8" w:color="CFF0FC"/>
            </w:tcBorders>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7700" w:type="dxa"/>
            <w:vAlign w:val="bottom"/>
            <w:tcBorders>
              <w:top w:val="single" w:sz="8" w:color="CFF0FC"/>
            </w:tcBorders>
          </w:tcPr>
          <w:p>
            <w:pPr>
              <w:ind w:left="20"/>
              <w:spacing w:after="0"/>
              <w:rPr>
                <w:sz w:val="20"/>
                <w:szCs w:val="20"/>
                <w:color w:val="auto"/>
              </w:rPr>
            </w:pPr>
            <w:r>
              <w:rPr>
                <w:rFonts w:ascii="Arial" w:cs="Arial" w:eastAsia="Arial" w:hAnsi="Arial"/>
                <w:sz w:val="14"/>
                <w:szCs w:val="14"/>
                <w:b w:val="1"/>
                <w:bCs w:val="1"/>
                <w:color w:val="auto"/>
              </w:rPr>
              <w:t>Stockholders’ equity (deficit)</w:t>
            </w:r>
          </w:p>
        </w:tc>
        <w:tc>
          <w:tcPr>
            <w:tcW w:w="104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220" w:type="dxa"/>
            <w:vAlign w:val="bottom"/>
            <w:tcBorders>
              <w:top w:val="single" w:sz="8" w:color="CFF0FC"/>
            </w:tcBorders>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7700" w:type="dxa"/>
            <w:vAlign w:val="bottom"/>
            <w:shd w:val="clear" w:color="auto" w:fill="CFF0FC"/>
          </w:tcPr>
          <w:p>
            <w:pPr>
              <w:ind w:left="200"/>
              <w:spacing w:after="0" w:line="143" w:lineRule="exact"/>
              <w:rPr>
                <w:sz w:val="20"/>
                <w:szCs w:val="20"/>
                <w:color w:val="auto"/>
              </w:rPr>
            </w:pPr>
            <w:r>
              <w:rPr>
                <w:rFonts w:ascii="Arial" w:cs="Arial" w:eastAsia="Arial" w:hAnsi="Arial"/>
                <w:sz w:val="14"/>
                <w:szCs w:val="14"/>
                <w:color w:val="auto"/>
                <w:w w:val="93"/>
              </w:rPr>
              <w:t>Preferred stock, $0.000001 par value. Authorized; 50,000,000 shares and zero shares; zero shares issued and outstanding as of</w:t>
            </w:r>
          </w:p>
        </w:tc>
        <w:tc>
          <w:tcPr>
            <w:tcW w:w="104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1200" w:type="dxa"/>
            <w:vAlign w:val="bottom"/>
            <w:tcBorders>
              <w:right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7700" w:type="dxa"/>
            <w:vAlign w:val="bottom"/>
            <w:shd w:val="clear" w:color="auto" w:fill="CFF0FC"/>
          </w:tcPr>
          <w:p>
            <w:pPr>
              <w:ind w:left="200"/>
              <w:spacing w:after="0"/>
              <w:rPr>
                <w:sz w:val="20"/>
                <w:szCs w:val="20"/>
                <w:color w:val="auto"/>
              </w:rPr>
            </w:pPr>
            <w:r>
              <w:rPr>
                <w:rFonts w:ascii="Arial" w:cs="Arial" w:eastAsia="Arial" w:hAnsi="Arial"/>
                <w:sz w:val="14"/>
                <w:szCs w:val="14"/>
                <w:color w:val="auto"/>
              </w:rPr>
              <w:t>December 31, 2021 and 2020, respectively</w:t>
            </w:r>
          </w:p>
        </w:tc>
        <w:tc>
          <w:tcPr>
            <w:tcW w:w="1040" w:type="dxa"/>
            <w:vAlign w:val="bottom"/>
            <w:shd w:val="clear" w:color="auto" w:fill="CFF0FC"/>
          </w:tcPr>
          <w:p>
            <w:pPr>
              <w:spacing w:after="0"/>
              <w:rPr>
                <w:sz w:val="15"/>
                <w:szCs w:val="15"/>
                <w:color w:val="auto"/>
              </w:rPr>
            </w:pPr>
          </w:p>
        </w:tc>
        <w:tc>
          <w:tcPr>
            <w:tcW w:w="82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480" w:type="dxa"/>
            <w:vAlign w:val="bottom"/>
            <w:shd w:val="clear" w:color="auto" w:fill="CFF0FC"/>
          </w:tcPr>
          <w:p>
            <w:pPr>
              <w:spacing w:after="0"/>
              <w:rPr>
                <w:sz w:val="15"/>
                <w:szCs w:val="15"/>
                <w:color w:val="auto"/>
              </w:rPr>
            </w:pPr>
          </w:p>
        </w:tc>
        <w:tc>
          <w:tcPr>
            <w:tcW w:w="1200" w:type="dxa"/>
            <w:vAlign w:val="bottom"/>
            <w:tcBorders>
              <w:right w:val="single" w:sz="8" w:color="CFF0FC"/>
            </w:tcBorders>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3"/>
        </w:trPr>
        <w:tc>
          <w:tcPr>
            <w:tcW w:w="7700" w:type="dxa"/>
            <w:vAlign w:val="bottom"/>
          </w:tcPr>
          <w:p>
            <w:pPr>
              <w:ind w:left="200"/>
              <w:spacing w:after="0" w:line="143" w:lineRule="exact"/>
              <w:rPr>
                <w:sz w:val="20"/>
                <w:szCs w:val="20"/>
                <w:color w:val="auto"/>
              </w:rPr>
            </w:pPr>
            <w:r>
              <w:rPr>
                <w:rFonts w:ascii="Arial" w:cs="Arial" w:eastAsia="Arial" w:hAnsi="Arial"/>
                <w:sz w:val="14"/>
                <w:szCs w:val="14"/>
                <w:color w:val="auto"/>
                <w:w w:val="93"/>
              </w:rPr>
              <w:t>Common stock, $0.000001 par value. Authorized; zero shares and 42,000,000 shares; zero shares and 7,755,782 shares issued</w:t>
            </w:r>
          </w:p>
        </w:tc>
        <w:tc>
          <w:tcPr>
            <w:tcW w:w="10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7700" w:type="dxa"/>
            <w:vAlign w:val="bottom"/>
          </w:tcPr>
          <w:p>
            <w:pPr>
              <w:ind w:left="200"/>
              <w:spacing w:after="0"/>
              <w:rPr>
                <w:sz w:val="20"/>
                <w:szCs w:val="20"/>
                <w:color w:val="auto"/>
              </w:rPr>
            </w:pPr>
            <w:r>
              <w:rPr>
                <w:rFonts w:ascii="Arial" w:cs="Arial" w:eastAsia="Arial" w:hAnsi="Arial"/>
                <w:sz w:val="14"/>
                <w:szCs w:val="14"/>
                <w:color w:val="auto"/>
              </w:rPr>
              <w:t>and outstanding as of December 31, 2021 and 2020, respectively</w:t>
            </w:r>
          </w:p>
        </w:tc>
        <w:tc>
          <w:tcPr>
            <w:tcW w:w="1040" w:type="dxa"/>
            <w:vAlign w:val="bottom"/>
          </w:tcPr>
          <w:p>
            <w:pPr>
              <w:spacing w:after="0"/>
              <w:rPr>
                <w:sz w:val="15"/>
                <w:szCs w:val="15"/>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5"/>
                <w:szCs w:val="15"/>
                <w:color w:val="auto"/>
              </w:rPr>
            </w:pPr>
          </w:p>
        </w:tc>
        <w:tc>
          <w:tcPr>
            <w:tcW w:w="12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3"/>
        </w:trPr>
        <w:tc>
          <w:tcPr>
            <w:tcW w:w="7700" w:type="dxa"/>
            <w:vAlign w:val="bottom"/>
            <w:shd w:val="clear" w:color="auto" w:fill="CFF0FC"/>
          </w:tcPr>
          <w:p>
            <w:pPr>
              <w:ind w:left="200"/>
              <w:spacing w:after="0" w:line="143" w:lineRule="exact"/>
              <w:rPr>
                <w:sz w:val="20"/>
                <w:szCs w:val="20"/>
                <w:color w:val="auto"/>
              </w:rPr>
            </w:pPr>
            <w:r>
              <w:rPr>
                <w:rFonts w:ascii="Arial" w:cs="Arial" w:eastAsia="Arial" w:hAnsi="Arial"/>
                <w:sz w:val="14"/>
                <w:szCs w:val="14"/>
                <w:color w:val="auto"/>
              </w:rPr>
              <w:t>Class A Common stock, $0.000001 par value. Authorized; 750,000,000 shares and zero shares</w:t>
            </w:r>
          </w:p>
        </w:tc>
        <w:tc>
          <w:tcPr>
            <w:tcW w:w="104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1200" w:type="dxa"/>
            <w:vAlign w:val="bottom"/>
            <w:tcBorders>
              <w:right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7700" w:type="dxa"/>
            <w:vAlign w:val="bottom"/>
            <w:shd w:val="clear" w:color="auto" w:fill="CFF0FC"/>
          </w:tcPr>
          <w:p>
            <w:pPr>
              <w:ind w:left="240"/>
              <w:spacing w:after="0"/>
              <w:rPr>
                <w:sz w:val="20"/>
                <w:szCs w:val="20"/>
                <w:color w:val="auto"/>
              </w:rPr>
            </w:pPr>
            <w:r>
              <w:rPr>
                <w:rFonts w:ascii="Arial" w:cs="Arial" w:eastAsia="Arial" w:hAnsi="Arial"/>
                <w:sz w:val="14"/>
                <w:szCs w:val="14"/>
                <w:color w:val="auto"/>
              </w:rPr>
              <w:t>43,998,404 shares and zero shares issued and outstanding as of December 31, 2021 and 2020, respectively</w:t>
            </w:r>
          </w:p>
        </w:tc>
        <w:tc>
          <w:tcPr>
            <w:tcW w:w="1040" w:type="dxa"/>
            <w:vAlign w:val="bottom"/>
            <w:shd w:val="clear" w:color="auto" w:fill="CFF0FC"/>
          </w:tcPr>
          <w:p>
            <w:pPr>
              <w:spacing w:after="0"/>
              <w:rPr>
                <w:sz w:val="15"/>
                <w:szCs w:val="15"/>
                <w:color w:val="auto"/>
              </w:rPr>
            </w:pPr>
          </w:p>
        </w:tc>
        <w:tc>
          <w:tcPr>
            <w:tcW w:w="82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480" w:type="dxa"/>
            <w:vAlign w:val="bottom"/>
            <w:shd w:val="clear" w:color="auto" w:fill="CFF0FC"/>
          </w:tcPr>
          <w:p>
            <w:pPr>
              <w:spacing w:after="0"/>
              <w:rPr>
                <w:sz w:val="15"/>
                <w:szCs w:val="15"/>
                <w:color w:val="auto"/>
              </w:rPr>
            </w:pPr>
          </w:p>
        </w:tc>
        <w:tc>
          <w:tcPr>
            <w:tcW w:w="1200" w:type="dxa"/>
            <w:vAlign w:val="bottom"/>
            <w:tcBorders>
              <w:right w:val="single" w:sz="8" w:color="CFF0FC"/>
            </w:tcBorders>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3"/>
        </w:trPr>
        <w:tc>
          <w:tcPr>
            <w:tcW w:w="7700" w:type="dxa"/>
            <w:vAlign w:val="bottom"/>
          </w:tcPr>
          <w:p>
            <w:pPr>
              <w:ind w:left="200"/>
              <w:spacing w:after="0" w:line="143" w:lineRule="exact"/>
              <w:rPr>
                <w:sz w:val="20"/>
                <w:szCs w:val="20"/>
                <w:color w:val="auto"/>
              </w:rPr>
            </w:pPr>
            <w:r>
              <w:rPr>
                <w:rFonts w:ascii="Arial" w:cs="Arial" w:eastAsia="Arial" w:hAnsi="Arial"/>
                <w:sz w:val="14"/>
                <w:szCs w:val="14"/>
                <w:color w:val="auto"/>
                <w:w w:val="93"/>
              </w:rPr>
              <w:t>Class B Common stock, $0.000001 par value. Authorized; 5,000,000 shares and zero shares, 2,676,154 shares and zero shares</w:t>
            </w:r>
          </w:p>
        </w:tc>
        <w:tc>
          <w:tcPr>
            <w:tcW w:w="10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7700" w:type="dxa"/>
            <w:vAlign w:val="bottom"/>
          </w:tcPr>
          <w:p>
            <w:pPr>
              <w:ind w:left="200"/>
              <w:spacing w:after="0"/>
              <w:rPr>
                <w:sz w:val="20"/>
                <w:szCs w:val="20"/>
                <w:color w:val="auto"/>
              </w:rPr>
            </w:pPr>
            <w:r>
              <w:rPr>
                <w:rFonts w:ascii="Arial" w:cs="Arial" w:eastAsia="Arial" w:hAnsi="Arial"/>
                <w:sz w:val="14"/>
                <w:szCs w:val="14"/>
                <w:color w:val="auto"/>
              </w:rPr>
              <w:t>issued and outstanding as of December 31, 2021 and 2020, respectively</w:t>
            </w:r>
          </w:p>
        </w:tc>
        <w:tc>
          <w:tcPr>
            <w:tcW w:w="1040" w:type="dxa"/>
            <w:vAlign w:val="bottom"/>
          </w:tcPr>
          <w:p>
            <w:pPr>
              <w:spacing w:after="0"/>
              <w:rPr>
                <w:sz w:val="15"/>
                <w:szCs w:val="15"/>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5"/>
                <w:szCs w:val="15"/>
                <w:color w:val="auto"/>
              </w:rPr>
            </w:pPr>
          </w:p>
        </w:tc>
        <w:tc>
          <w:tcPr>
            <w:tcW w:w="12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5"/>
        </w:trPr>
        <w:tc>
          <w:tcPr>
            <w:tcW w:w="7700" w:type="dxa"/>
            <w:vAlign w:val="bottom"/>
            <w:shd w:val="clear" w:color="auto" w:fill="CFF0FC"/>
          </w:tcPr>
          <w:p>
            <w:pPr>
              <w:ind w:left="200"/>
              <w:spacing w:after="0"/>
              <w:rPr>
                <w:sz w:val="20"/>
                <w:szCs w:val="20"/>
                <w:color w:val="auto"/>
              </w:rPr>
            </w:pPr>
            <w:r>
              <w:rPr>
                <w:rFonts w:ascii="Arial" w:cs="Arial" w:eastAsia="Arial" w:hAnsi="Arial"/>
                <w:sz w:val="14"/>
                <w:szCs w:val="14"/>
                <w:color w:val="auto"/>
              </w:rPr>
              <w:t>Additional paid-in capital</w:t>
            </w:r>
          </w:p>
        </w:tc>
        <w:tc>
          <w:tcPr>
            <w:tcW w:w="104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597,641</w:t>
            </w:r>
          </w:p>
        </w:tc>
        <w:tc>
          <w:tcPr>
            <w:tcW w:w="22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1200" w:type="dxa"/>
            <w:vAlign w:val="bottom"/>
            <w:tcBorders>
              <w:right w:val="single" w:sz="8" w:color="CFF0FC"/>
            </w:tcBorders>
            <w:shd w:val="clear" w:color="auto" w:fill="CFF0FC"/>
          </w:tcPr>
          <w:p>
            <w:pPr>
              <w:jc w:val="right"/>
              <w:ind w:right="8"/>
              <w:spacing w:after="0"/>
              <w:rPr>
                <w:sz w:val="20"/>
                <w:szCs w:val="20"/>
                <w:color w:val="auto"/>
              </w:rPr>
            </w:pPr>
            <w:r>
              <w:rPr>
                <w:rFonts w:ascii="Arial" w:cs="Arial" w:eastAsia="Arial" w:hAnsi="Arial"/>
                <w:sz w:val="14"/>
                <w:szCs w:val="14"/>
                <w:color w:val="auto"/>
              </w:rPr>
              <w:t>503</w:t>
            </w:r>
          </w:p>
        </w:tc>
        <w:tc>
          <w:tcPr>
            <w:tcW w:w="0" w:type="dxa"/>
            <w:vAlign w:val="bottom"/>
          </w:tcPr>
          <w:p>
            <w:pPr>
              <w:spacing w:after="0"/>
              <w:rPr>
                <w:sz w:val="1"/>
                <w:szCs w:val="1"/>
                <w:color w:val="auto"/>
              </w:rPr>
            </w:pPr>
          </w:p>
        </w:tc>
      </w:tr>
      <w:tr>
        <w:trPr>
          <w:trHeight w:val="176"/>
        </w:trPr>
        <w:tc>
          <w:tcPr>
            <w:tcW w:w="7700" w:type="dxa"/>
            <w:vAlign w:val="bottom"/>
          </w:tcPr>
          <w:p>
            <w:pPr>
              <w:ind w:left="200"/>
              <w:spacing w:after="0"/>
              <w:rPr>
                <w:sz w:val="20"/>
                <w:szCs w:val="20"/>
                <w:color w:val="auto"/>
              </w:rPr>
            </w:pPr>
            <w:r>
              <w:rPr>
                <w:rFonts w:ascii="Arial" w:cs="Arial" w:eastAsia="Arial" w:hAnsi="Arial"/>
                <w:sz w:val="14"/>
                <w:szCs w:val="14"/>
                <w:color w:val="auto"/>
              </w:rPr>
              <w:t>Accumulated other comprehensive income</w:t>
            </w:r>
          </w:p>
        </w:tc>
        <w:tc>
          <w:tcPr>
            <w:tcW w:w="10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149</w:t>
            </w:r>
          </w:p>
        </w:tc>
        <w:tc>
          <w:tcPr>
            <w:tcW w:w="2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0" w:type="dxa"/>
            <w:vAlign w:val="bottom"/>
          </w:tcPr>
          <w:p>
            <w:pPr>
              <w:jc w:val="right"/>
              <w:ind w:right="8"/>
              <w:spacing w:after="0"/>
              <w:rPr>
                <w:sz w:val="20"/>
                <w:szCs w:val="20"/>
                <w:color w:val="auto"/>
              </w:rPr>
            </w:pPr>
            <w:r>
              <w:rPr>
                <w:rFonts w:ascii="Arial" w:cs="Arial" w:eastAsia="Arial" w:hAnsi="Arial"/>
                <w:sz w:val="14"/>
                <w:szCs w:val="14"/>
                <w:color w:val="auto"/>
              </w:rPr>
              <w:t>210</w:t>
            </w:r>
          </w:p>
        </w:tc>
        <w:tc>
          <w:tcPr>
            <w:tcW w:w="0" w:type="dxa"/>
            <w:vAlign w:val="bottom"/>
          </w:tcPr>
          <w:p>
            <w:pPr>
              <w:spacing w:after="0"/>
              <w:rPr>
                <w:sz w:val="1"/>
                <w:szCs w:val="1"/>
                <w:color w:val="auto"/>
              </w:rPr>
            </w:pPr>
          </w:p>
        </w:tc>
      </w:tr>
      <w:tr>
        <w:trPr>
          <w:trHeight w:val="175"/>
        </w:trPr>
        <w:tc>
          <w:tcPr>
            <w:tcW w:w="7700" w:type="dxa"/>
            <w:vAlign w:val="bottom"/>
            <w:shd w:val="clear" w:color="auto" w:fill="CFF0FC"/>
          </w:tcPr>
          <w:p>
            <w:pPr>
              <w:ind w:left="200"/>
              <w:spacing w:after="0"/>
              <w:rPr>
                <w:sz w:val="20"/>
                <w:szCs w:val="20"/>
                <w:color w:val="auto"/>
              </w:rPr>
            </w:pPr>
            <w:r>
              <w:rPr>
                <w:rFonts w:ascii="Arial" w:cs="Arial" w:eastAsia="Arial" w:hAnsi="Arial"/>
                <w:sz w:val="14"/>
                <w:szCs w:val="14"/>
                <w:color w:val="auto"/>
              </w:rPr>
              <w:t>Accumulated deficit</w:t>
            </w:r>
          </w:p>
        </w:tc>
        <w:tc>
          <w:tcPr>
            <w:tcW w:w="1040" w:type="dxa"/>
            <w:vAlign w:val="bottom"/>
            <w:shd w:val="clear" w:color="auto" w:fill="CFF0FC"/>
          </w:tcPr>
          <w:p>
            <w:pPr>
              <w:spacing w:after="0"/>
              <w:rPr>
                <w:sz w:val="15"/>
                <w:szCs w:val="15"/>
                <w:color w:val="auto"/>
              </w:rPr>
            </w:pPr>
          </w:p>
        </w:tc>
        <w:tc>
          <w:tcPr>
            <w:tcW w:w="82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(173,341 )</w:t>
            </w:r>
          </w:p>
        </w:tc>
        <w:tc>
          <w:tcPr>
            <w:tcW w:w="480" w:type="dxa"/>
            <w:vAlign w:val="bottom"/>
            <w:shd w:val="clear" w:color="auto" w:fill="CFF0FC"/>
          </w:tcPr>
          <w:p>
            <w:pPr>
              <w:spacing w:after="0"/>
              <w:rPr>
                <w:sz w:val="15"/>
                <w:szCs w:val="15"/>
                <w:color w:val="auto"/>
              </w:rPr>
            </w:pPr>
          </w:p>
        </w:tc>
        <w:tc>
          <w:tcPr>
            <w:tcW w:w="12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(111,962 )</w:t>
            </w:r>
          </w:p>
        </w:tc>
        <w:tc>
          <w:tcPr>
            <w:tcW w:w="0" w:type="dxa"/>
            <w:vAlign w:val="bottom"/>
          </w:tcPr>
          <w:p>
            <w:pPr>
              <w:spacing w:after="0"/>
              <w:rPr>
                <w:sz w:val="1"/>
                <w:szCs w:val="1"/>
                <w:color w:val="auto"/>
              </w:rPr>
            </w:pPr>
          </w:p>
        </w:tc>
      </w:tr>
      <w:tr>
        <w:trPr>
          <w:trHeight w:val="20"/>
        </w:trPr>
        <w:tc>
          <w:tcPr>
            <w:tcW w:w="7700" w:type="dxa"/>
            <w:vAlign w:val="bottom"/>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0" w:type="dxa"/>
            <w:vAlign w:val="bottom"/>
            <w:tcBorders>
              <w:right w:val="single" w:sz="8" w:color="CFF0FC"/>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7700" w:type="dxa"/>
            <w:vAlign w:val="bottom"/>
          </w:tcPr>
          <w:p>
            <w:pPr>
              <w:ind w:left="20"/>
              <w:spacing w:after="0"/>
              <w:rPr>
                <w:sz w:val="20"/>
                <w:szCs w:val="20"/>
                <w:color w:val="auto"/>
              </w:rPr>
            </w:pPr>
            <w:r>
              <w:rPr>
                <w:rFonts w:ascii="Arial" w:cs="Arial" w:eastAsia="Arial" w:hAnsi="Arial"/>
                <w:sz w:val="14"/>
                <w:szCs w:val="14"/>
                <w:b w:val="1"/>
                <w:bCs w:val="1"/>
                <w:color w:val="auto"/>
              </w:rPr>
              <w:t>Total stockholders’ equity (deficit)</w:t>
            </w:r>
          </w:p>
        </w:tc>
        <w:tc>
          <w:tcPr>
            <w:tcW w:w="10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424,449</w:t>
            </w: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(111,249 )</w:t>
            </w:r>
          </w:p>
        </w:tc>
        <w:tc>
          <w:tcPr>
            <w:tcW w:w="0" w:type="dxa"/>
            <w:vAlign w:val="bottom"/>
          </w:tcPr>
          <w:p>
            <w:pPr>
              <w:spacing w:after="0"/>
              <w:rPr>
                <w:sz w:val="1"/>
                <w:szCs w:val="1"/>
                <w:color w:val="auto"/>
              </w:rPr>
            </w:pPr>
          </w:p>
        </w:tc>
      </w:tr>
      <w:tr>
        <w:trPr>
          <w:trHeight w:val="175"/>
        </w:trPr>
        <w:tc>
          <w:tcPr>
            <w:tcW w:w="770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4"/>
                <w:szCs w:val="14"/>
                <w:b w:val="1"/>
                <w:bCs w:val="1"/>
                <w:color w:val="auto"/>
              </w:rPr>
              <w:t>Noncontrolling interest</w:t>
            </w:r>
          </w:p>
        </w:tc>
        <w:tc>
          <w:tcPr>
            <w:tcW w:w="1040" w:type="dxa"/>
            <w:vAlign w:val="bottom"/>
            <w:tcBorders>
              <w:bottom w:val="single" w:sz="8" w:color="auto"/>
            </w:tcBorders>
            <w:shd w:val="clear" w:color="auto" w:fill="CFF0FC"/>
          </w:tcPr>
          <w:p>
            <w:pPr>
              <w:spacing w:after="0"/>
              <w:rPr>
                <w:sz w:val="15"/>
                <w:szCs w:val="15"/>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1,034</w:t>
            </w:r>
          </w:p>
        </w:tc>
        <w:tc>
          <w:tcPr>
            <w:tcW w:w="220" w:type="dxa"/>
            <w:vAlign w:val="bottom"/>
            <w:tcBorders>
              <w:bottom w:val="single" w:sz="8" w:color="CFF0FC"/>
            </w:tcBorders>
            <w:shd w:val="clear" w:color="auto" w:fill="CFF0FC"/>
          </w:tcPr>
          <w:p>
            <w:pPr>
              <w:spacing w:after="0"/>
              <w:rPr>
                <w:sz w:val="15"/>
                <w:szCs w:val="15"/>
                <w:color w:val="auto"/>
              </w:rPr>
            </w:pPr>
          </w:p>
        </w:tc>
        <w:tc>
          <w:tcPr>
            <w:tcW w:w="480" w:type="dxa"/>
            <w:vAlign w:val="bottom"/>
            <w:tcBorders>
              <w:bottom w:val="single" w:sz="8" w:color="auto"/>
            </w:tcBorders>
            <w:shd w:val="clear" w:color="auto" w:fill="CFF0FC"/>
          </w:tcPr>
          <w:p>
            <w:pPr>
              <w:spacing w:after="0"/>
              <w:rPr>
                <w:sz w:val="15"/>
                <w:szCs w:val="15"/>
                <w:color w:val="auto"/>
              </w:rPr>
            </w:pPr>
          </w:p>
        </w:tc>
        <w:tc>
          <w:tcPr>
            <w:tcW w:w="1200" w:type="dxa"/>
            <w:vAlign w:val="bottom"/>
            <w:tcBorders>
              <w:bottom w:val="single" w:sz="8" w:color="auto"/>
              <w:right w:val="single" w:sz="8" w:color="CFF0FC"/>
            </w:tcBorders>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9"/>
        </w:trPr>
        <w:tc>
          <w:tcPr>
            <w:tcW w:w="7700" w:type="dxa"/>
            <w:vAlign w:val="bottom"/>
          </w:tcPr>
          <w:p>
            <w:pPr>
              <w:ind w:left="380"/>
              <w:spacing w:after="0"/>
              <w:rPr>
                <w:sz w:val="20"/>
                <w:szCs w:val="20"/>
                <w:color w:val="auto"/>
              </w:rPr>
            </w:pPr>
            <w:r>
              <w:rPr>
                <w:rFonts w:ascii="Arial" w:cs="Arial" w:eastAsia="Arial" w:hAnsi="Arial"/>
                <w:sz w:val="14"/>
                <w:szCs w:val="14"/>
                <w:b w:val="1"/>
                <w:bCs w:val="1"/>
                <w:color w:val="auto"/>
              </w:rPr>
              <w:t>Total equity (deficit)</w:t>
            </w:r>
          </w:p>
        </w:tc>
        <w:tc>
          <w:tcPr>
            <w:tcW w:w="10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425,483</w:t>
            </w: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(111,249 )</w:t>
            </w:r>
          </w:p>
        </w:tc>
        <w:tc>
          <w:tcPr>
            <w:tcW w:w="0" w:type="dxa"/>
            <w:vAlign w:val="bottom"/>
          </w:tcPr>
          <w:p>
            <w:pPr>
              <w:spacing w:after="0"/>
              <w:rPr>
                <w:sz w:val="1"/>
                <w:szCs w:val="1"/>
                <w:color w:val="auto"/>
              </w:rPr>
            </w:pPr>
          </w:p>
        </w:tc>
      </w:tr>
      <w:tr>
        <w:trPr>
          <w:trHeight w:val="209"/>
        </w:trPr>
        <w:tc>
          <w:tcPr>
            <w:tcW w:w="77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b w:val="1"/>
                <w:bCs w:val="1"/>
                <w:color w:val="auto"/>
              </w:rPr>
              <w:t>Total liabilities, convertible preferred stock and stockholders’ equity</w:t>
            </w:r>
          </w:p>
        </w:tc>
        <w:tc>
          <w:tcPr>
            <w:tcW w:w="1040" w:type="dxa"/>
            <w:vAlign w:val="bottom"/>
            <w:tcBorders>
              <w:top w:val="single" w:sz="8" w:color="auto"/>
              <w:bottom w:val="single" w:sz="8" w:color="auto"/>
            </w:tcBorders>
            <w:shd w:val="clear" w:color="auto" w:fill="CFF0FC"/>
          </w:tcPr>
          <w:p>
            <w:pPr>
              <w:jc w:val="right"/>
              <w:ind w:right="888"/>
              <w:spacing w:after="0"/>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502,586</w:t>
            </w:r>
          </w:p>
        </w:tc>
        <w:tc>
          <w:tcPr>
            <w:tcW w:w="220" w:type="dxa"/>
            <w:vAlign w:val="bottom"/>
            <w:tcBorders>
              <w:bottom w:val="single" w:sz="8" w:color="CFF0FC"/>
            </w:tcBorders>
            <w:shd w:val="clear" w:color="auto" w:fill="CFF0FC"/>
          </w:tcPr>
          <w:p>
            <w:pPr>
              <w:spacing w:after="0"/>
              <w:rPr>
                <w:sz w:val="18"/>
                <w:szCs w:val="18"/>
                <w:color w:val="auto"/>
              </w:rPr>
            </w:pPr>
          </w:p>
        </w:tc>
        <w:tc>
          <w:tcPr>
            <w:tcW w:w="480" w:type="dxa"/>
            <w:vAlign w:val="bottom"/>
            <w:tcBorders>
              <w:top w:val="single" w:sz="8" w:color="auto"/>
              <w:bottom w:val="single" w:sz="8" w:color="auto"/>
            </w:tcBorders>
            <w:shd w:val="clear" w:color="auto" w:fill="CFF0FC"/>
          </w:tcPr>
          <w:p>
            <w:pPr>
              <w:jc w:val="right"/>
              <w:ind w:right="308"/>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bottom w:val="single" w:sz="8" w:color="auto"/>
              <w:right w:val="single" w:sz="8" w:color="CFF0FC"/>
            </w:tcBorders>
            <w:shd w:val="clear" w:color="auto" w:fill="CFF0FC"/>
          </w:tcPr>
          <w:p>
            <w:pPr>
              <w:jc w:val="right"/>
              <w:ind w:right="8"/>
              <w:spacing w:after="0"/>
              <w:rPr>
                <w:sz w:val="20"/>
                <w:szCs w:val="20"/>
                <w:color w:val="auto"/>
              </w:rPr>
            </w:pPr>
            <w:r>
              <w:rPr>
                <w:rFonts w:ascii="Arial" w:cs="Arial" w:eastAsia="Arial" w:hAnsi="Arial"/>
                <w:sz w:val="14"/>
                <w:szCs w:val="14"/>
                <w:color w:val="auto"/>
              </w:rPr>
              <w:t>88,963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5928360</wp:posOffset>
            </wp:positionH>
            <wp:positionV relativeFrom="paragraph">
              <wp:posOffset>-4693920</wp:posOffset>
            </wp:positionV>
            <wp:extent cx="43180" cy="571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4">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-4693920</wp:posOffset>
            </wp:positionV>
            <wp:extent cx="43180" cy="571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5">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-3788410</wp:posOffset>
            </wp:positionV>
            <wp:extent cx="4318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6">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-3771265</wp:posOffset>
            </wp:positionV>
            <wp:extent cx="4318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7">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-3788410</wp:posOffset>
            </wp:positionV>
            <wp:extent cx="4318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8">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-3771265</wp:posOffset>
            </wp:positionV>
            <wp:extent cx="4318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9">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-2868295</wp:posOffset>
            </wp:positionV>
            <wp:extent cx="43180" cy="571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0">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-2868295</wp:posOffset>
            </wp:positionV>
            <wp:extent cx="43180" cy="571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1">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-2413635</wp:posOffset>
            </wp:positionV>
            <wp:extent cx="43180" cy="571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2">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-2413635</wp:posOffset>
            </wp:positionV>
            <wp:extent cx="43180" cy="571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3">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-1771015</wp:posOffset>
            </wp:positionV>
            <wp:extent cx="43180" cy="571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4">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-1771015</wp:posOffset>
            </wp:positionV>
            <wp:extent cx="43180" cy="571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5">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-493395</wp:posOffset>
            </wp:positionV>
            <wp:extent cx="43180" cy="571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6">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-493395</wp:posOffset>
            </wp:positionV>
            <wp:extent cx="43180" cy="571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7">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-262255</wp:posOffset>
            </wp:positionV>
            <wp:extent cx="43180" cy="571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8">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-262255</wp:posOffset>
            </wp:positionV>
            <wp:extent cx="43180" cy="571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9">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-24765</wp:posOffset>
            </wp:positionV>
            <wp:extent cx="4318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0">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-8255</wp:posOffset>
            </wp:positionV>
            <wp:extent cx="4318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1">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-24765</wp:posOffset>
            </wp:positionV>
            <wp:extent cx="4318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2">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-8255</wp:posOffset>
            </wp:positionV>
            <wp:extent cx="4318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3">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jc w:val="center"/>
        <w:spacing w:after="0" w:line="236" w:lineRule="auto"/>
        <w:rPr>
          <w:sz w:val="20"/>
          <w:szCs w:val="20"/>
          <w:color w:val="auto"/>
        </w:rPr>
      </w:pPr>
      <w:r>
        <w:rPr>
          <w:rFonts w:ascii="Arial" w:cs="Arial" w:eastAsia="Arial" w:hAnsi="Arial"/>
          <w:sz w:val="18"/>
          <w:szCs w:val="18"/>
          <w:b w:val="1"/>
          <w:bCs w:val="1"/>
          <w:color w:val="auto"/>
        </w:rPr>
        <w:t>See accompanying notes to the consolidated financial statements.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61" w:name="page62"/>
    <w:bookmarkEnd w:id="61"/>
    <w:p>
      <w:pPr>
        <w:jc w:val="center"/>
        <w:ind w:right="40"/>
        <w:spacing w:after="0"/>
        <w:rPr>
          <w:sz w:val="20"/>
          <w:szCs w:val="20"/>
          <w:color w:val="auto"/>
        </w:rPr>
      </w:pPr>
      <w:r>
        <w:rPr>
          <w:rFonts w:ascii="Arial" w:cs="Arial" w:eastAsia="Arial" w:hAnsi="Arial"/>
          <w:sz w:val="18"/>
          <w:szCs w:val="18"/>
          <w:b w:val="1"/>
          <w:bCs w:val="1"/>
          <w:color w:val="auto"/>
        </w:rPr>
        <w:t>XOMETRY, INC. AND SUBSIDIARIES</w:t>
      </w:r>
    </w:p>
    <w:p>
      <w:pPr>
        <w:spacing w:after="0" w:line="1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Consolidated Statements of Operations and Comprehensive Loss</w:t>
      </w:r>
    </w:p>
    <w:p>
      <w:pPr>
        <w:jc w:val="center"/>
        <w:ind w:right="40"/>
        <w:spacing w:after="0"/>
        <w:rPr>
          <w:sz w:val="20"/>
          <w:szCs w:val="20"/>
          <w:color w:val="auto"/>
        </w:rPr>
      </w:pPr>
      <w:r>
        <w:rPr>
          <w:rFonts w:ascii="Arial" w:cs="Arial" w:eastAsia="Arial" w:hAnsi="Arial"/>
          <w:sz w:val="18"/>
          <w:szCs w:val="18"/>
          <w:color w:val="auto"/>
        </w:rPr>
        <w:t>(In thousands, except share and per share data)</w:t>
      </w:r>
    </w:p>
    <w:p>
      <w:pPr>
        <w:spacing w:after="0" w:line="228" w:lineRule="exact"/>
        <w:rPr>
          <w:sz w:val="20"/>
          <w:szCs w:val="20"/>
          <w:color w:val="auto"/>
        </w:rPr>
      </w:pPr>
    </w:p>
    <w:p>
      <w:pPr>
        <w:jc w:val="center"/>
        <w:ind w:left="6140"/>
        <w:spacing w:after="0"/>
        <w:rPr>
          <w:sz w:val="20"/>
          <w:szCs w:val="20"/>
          <w:color w:val="auto"/>
        </w:rPr>
      </w:pPr>
      <w:r>
        <w:rPr>
          <w:rFonts w:ascii="Arial" w:cs="Arial" w:eastAsia="Arial" w:hAnsi="Arial"/>
          <w:sz w:val="14"/>
          <w:szCs w:val="14"/>
          <w:b w:val="1"/>
          <w:bCs w:val="1"/>
          <w:color w:val="auto"/>
        </w:rPr>
        <w:t>Year Ended</w:t>
      </w:r>
    </w:p>
    <w:p>
      <w:pPr>
        <w:spacing w:after="0" w:line="4" w:lineRule="exact"/>
        <w:rPr>
          <w:sz w:val="20"/>
          <w:szCs w:val="20"/>
          <w:color w:val="auto"/>
        </w:rPr>
      </w:pPr>
    </w:p>
    <w:p>
      <w:pPr>
        <w:jc w:val="center"/>
        <w:ind w:left="614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3956685</wp:posOffset>
            </wp:positionH>
            <wp:positionV relativeFrom="paragraph">
              <wp:posOffset>5080</wp:posOffset>
            </wp:positionV>
            <wp:extent cx="313753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5">
                      <a:extLst>
                        <a:ext uri="{28A0092B-C50C-407E-A947-70E740481C1C}"/>
                      </a:extLst>
                    </a:blip>
                    <a:srcRect/>
                    <a:stretch>
                      <a:fillRect/>
                    </a:stretch>
                  </pic:blipFill>
                  <pic:spPr bwMode="auto">
                    <a:xfrm>
                      <a:off x="0" y="0"/>
                      <a:ext cx="3137535" cy="8255"/>
                    </a:xfrm>
                    <a:prstGeom prst="rect">
                      <a:avLst/>
                    </a:prstGeom>
                    <a:noFill/>
                  </pic:spPr>
                </pic:pic>
              </a:graphicData>
            </a:graphic>
          </wp:anchor>
        </w:drawing>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2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6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62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Revenue</w:t>
            </w:r>
          </w:p>
        </w:tc>
        <w:tc>
          <w:tcPr>
            <w:tcW w:w="340" w:type="dxa"/>
            <w:vAlign w:val="bottom"/>
            <w:tcBorders>
              <w:bottom w:val="single" w:sz="8" w:color="CFF0FC"/>
            </w:tcBorders>
            <w:shd w:val="clear" w:color="auto" w:fill="CFF0FC"/>
          </w:tcPr>
          <w:p>
            <w:pPr>
              <w:jc w:val="right"/>
              <w:ind w:right="188"/>
              <w:spacing w:after="0"/>
              <w:rPr>
                <w:sz w:val="20"/>
                <w:szCs w:val="20"/>
                <w:color w:val="auto"/>
              </w:rPr>
            </w:pPr>
            <w:r>
              <w:rPr>
                <w:rFonts w:ascii="Arial" w:cs="Arial" w:eastAsia="Arial" w:hAnsi="Arial"/>
                <w:sz w:val="14"/>
                <w:szCs w:val="14"/>
                <w:color w:val="auto"/>
                <w:w w:val="76"/>
              </w:rPr>
              <w:t>$</w:t>
            </w:r>
          </w:p>
        </w:tc>
        <w:tc>
          <w:tcPr>
            <w:tcW w:w="11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218,336</w:t>
            </w:r>
          </w:p>
        </w:tc>
        <w:tc>
          <w:tcPr>
            <w:tcW w:w="24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CFF0FC"/>
            </w:tcBorders>
            <w:shd w:val="clear" w:color="auto" w:fill="CFF0FC"/>
          </w:tcPr>
          <w:p>
            <w:pPr>
              <w:jc w:val="right"/>
              <w:ind w:right="188"/>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141,406</w:t>
            </w:r>
          </w:p>
        </w:tc>
        <w:tc>
          <w:tcPr>
            <w:tcW w:w="22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CFF0FC"/>
            </w:tcBorders>
            <w:shd w:val="clear" w:color="auto" w:fill="CFF0FC"/>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80,228</w:t>
            </w:r>
          </w:p>
        </w:tc>
        <w:tc>
          <w:tcPr>
            <w:tcW w:w="6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tcPr>
          <w:p>
            <w:pPr>
              <w:ind w:left="20"/>
              <w:spacing w:after="0"/>
              <w:rPr>
                <w:sz w:val="20"/>
                <w:szCs w:val="20"/>
                <w:color w:val="auto"/>
              </w:rPr>
            </w:pPr>
            <w:r>
              <w:rPr>
                <w:rFonts w:ascii="Arial" w:cs="Arial" w:eastAsia="Arial" w:hAnsi="Arial"/>
                <w:sz w:val="14"/>
                <w:szCs w:val="14"/>
                <w:color w:val="auto"/>
              </w:rPr>
              <w:t>Cost of revenue</w:t>
            </w: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161,195</w:t>
            </w:r>
          </w:p>
        </w:tc>
        <w:tc>
          <w:tcPr>
            <w:tcW w:w="2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108,120</w:t>
            </w:r>
          </w:p>
        </w:tc>
        <w:tc>
          <w:tcPr>
            <w:tcW w:w="2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65,492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624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4"/>
                <w:szCs w:val="14"/>
                <w:b w:val="1"/>
                <w:bCs w:val="1"/>
                <w:color w:val="auto"/>
              </w:rPr>
              <w:t>Gross profit</w:t>
            </w:r>
          </w:p>
        </w:tc>
        <w:tc>
          <w:tcPr>
            <w:tcW w:w="340" w:type="dxa"/>
            <w:vAlign w:val="bottom"/>
            <w:tcBorders>
              <w:bottom w:val="single" w:sz="8" w:color="auto"/>
            </w:tcBorders>
            <w:shd w:val="clear" w:color="auto" w:fill="CFF0FC"/>
          </w:tcPr>
          <w:p>
            <w:pPr>
              <w:spacing w:after="0"/>
              <w:rPr>
                <w:sz w:val="15"/>
                <w:szCs w:val="15"/>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57,141</w:t>
            </w:r>
          </w:p>
        </w:tc>
        <w:tc>
          <w:tcPr>
            <w:tcW w:w="240" w:type="dxa"/>
            <w:vAlign w:val="bottom"/>
            <w:tcBorders>
              <w:bottom w:val="single" w:sz="8" w:color="CFF0FC"/>
            </w:tcBorders>
            <w:shd w:val="clear" w:color="auto" w:fill="CFF0FC"/>
          </w:tcPr>
          <w:p>
            <w:pPr>
              <w:spacing w:after="0"/>
              <w:rPr>
                <w:sz w:val="15"/>
                <w:szCs w:val="15"/>
                <w:color w:val="auto"/>
              </w:rPr>
            </w:pPr>
          </w:p>
        </w:tc>
        <w:tc>
          <w:tcPr>
            <w:tcW w:w="340" w:type="dxa"/>
            <w:vAlign w:val="bottom"/>
            <w:tcBorders>
              <w:bottom w:val="single" w:sz="8" w:color="auto"/>
            </w:tcBorders>
            <w:shd w:val="clear" w:color="auto" w:fill="CFF0FC"/>
          </w:tcPr>
          <w:p>
            <w:pPr>
              <w:spacing w:after="0"/>
              <w:rPr>
                <w:sz w:val="15"/>
                <w:szCs w:val="15"/>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33,286</w:t>
            </w:r>
          </w:p>
        </w:tc>
        <w:tc>
          <w:tcPr>
            <w:tcW w:w="220" w:type="dxa"/>
            <w:vAlign w:val="bottom"/>
            <w:tcBorders>
              <w:bottom w:val="single" w:sz="8" w:color="CFF0FC"/>
            </w:tcBorders>
            <w:shd w:val="clear" w:color="auto" w:fill="CFF0FC"/>
          </w:tcPr>
          <w:p>
            <w:pPr>
              <w:spacing w:after="0"/>
              <w:rPr>
                <w:sz w:val="15"/>
                <w:szCs w:val="15"/>
                <w:color w:val="auto"/>
              </w:rPr>
            </w:pPr>
          </w:p>
        </w:tc>
        <w:tc>
          <w:tcPr>
            <w:tcW w:w="340" w:type="dxa"/>
            <w:vAlign w:val="bottom"/>
            <w:tcBorders>
              <w:bottom w:val="single" w:sz="8" w:color="auto"/>
            </w:tcBorders>
            <w:shd w:val="clear" w:color="auto" w:fill="CFF0FC"/>
          </w:tcPr>
          <w:p>
            <w:pPr>
              <w:spacing w:after="0"/>
              <w:rPr>
                <w:sz w:val="15"/>
                <w:szCs w:val="15"/>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14,736</w:t>
            </w:r>
          </w:p>
        </w:tc>
        <w:tc>
          <w:tcPr>
            <w:tcW w:w="6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240" w:type="dxa"/>
            <w:vAlign w:val="bottom"/>
          </w:tcPr>
          <w:p>
            <w:pPr>
              <w:ind w:left="20"/>
              <w:spacing w:after="0"/>
              <w:rPr>
                <w:sz w:val="20"/>
                <w:szCs w:val="20"/>
                <w:color w:val="auto"/>
              </w:rPr>
            </w:pPr>
            <w:r>
              <w:rPr>
                <w:rFonts w:ascii="Arial" w:cs="Arial" w:eastAsia="Arial" w:hAnsi="Arial"/>
                <w:sz w:val="14"/>
                <w:szCs w:val="14"/>
                <w:color w:val="auto"/>
              </w:rPr>
              <w:t>Sales and marketing</w:t>
            </w:r>
          </w:p>
        </w:tc>
        <w:tc>
          <w:tcPr>
            <w:tcW w:w="340" w:type="dxa"/>
            <w:vAlign w:val="bottom"/>
          </w:tcPr>
          <w:p>
            <w:pPr>
              <w:spacing w:after="0"/>
              <w:rPr>
                <w:sz w:val="15"/>
                <w:szCs w:val="15"/>
                <w:color w:val="auto"/>
              </w:rPr>
            </w:pPr>
          </w:p>
        </w:tc>
        <w:tc>
          <w:tcPr>
            <w:tcW w:w="1160" w:type="dxa"/>
            <w:vAlign w:val="bottom"/>
            <w:vMerge w:val="restart"/>
          </w:tcPr>
          <w:p>
            <w:pPr>
              <w:jc w:val="right"/>
              <w:spacing w:after="0"/>
              <w:rPr>
                <w:sz w:val="20"/>
                <w:szCs w:val="20"/>
                <w:color w:val="auto"/>
              </w:rPr>
            </w:pPr>
            <w:r>
              <w:rPr>
                <w:rFonts w:ascii="Arial" w:cs="Arial" w:eastAsia="Arial" w:hAnsi="Arial"/>
                <w:sz w:val="14"/>
                <w:szCs w:val="14"/>
                <w:color w:val="auto"/>
              </w:rPr>
              <w:t>39,422</w:t>
            </w: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22,567</w:t>
            </w: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vMerge w:val="restart"/>
          </w:tcPr>
          <w:p>
            <w:pPr>
              <w:jc w:val="right"/>
              <w:spacing w:after="0"/>
              <w:rPr>
                <w:sz w:val="20"/>
                <w:szCs w:val="20"/>
                <w:color w:val="auto"/>
              </w:rPr>
            </w:pPr>
            <w:r>
              <w:rPr>
                <w:rFonts w:ascii="Arial" w:cs="Arial" w:eastAsia="Arial" w:hAnsi="Arial"/>
                <w:sz w:val="14"/>
                <w:szCs w:val="14"/>
                <w:color w:val="auto"/>
              </w:rPr>
              <w:t>14,599</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7"/>
        </w:trPr>
        <w:tc>
          <w:tcPr>
            <w:tcW w:w="624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60" w:type="dxa"/>
            <w:vAlign w:val="bottom"/>
            <w:vMerge w:val="continue"/>
          </w:tcPr>
          <w:p>
            <w:pPr>
              <w:spacing w:after="0"/>
              <w:rPr>
                <w:sz w:val="4"/>
                <w:szCs w:val="4"/>
                <w:color w:val="auto"/>
              </w:rPr>
            </w:pPr>
          </w:p>
        </w:tc>
        <w:tc>
          <w:tcPr>
            <w:tcW w:w="24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4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60" w:type="dxa"/>
            <w:vAlign w:val="bottom"/>
            <w:vMerge w:val="continue"/>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0"/>
        </w:trPr>
        <w:tc>
          <w:tcPr>
            <w:tcW w:w="62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Operations and support</w:t>
            </w:r>
          </w:p>
        </w:tc>
        <w:tc>
          <w:tcPr>
            <w:tcW w:w="340" w:type="dxa"/>
            <w:vAlign w:val="bottom"/>
            <w:tcBorders>
              <w:bottom w:val="single" w:sz="8" w:color="CFF0FC"/>
            </w:tcBorders>
            <w:shd w:val="clear" w:color="auto" w:fill="CFF0FC"/>
          </w:tcPr>
          <w:p>
            <w:pPr>
              <w:spacing w:after="0"/>
              <w:rPr>
                <w:sz w:val="18"/>
                <w:szCs w:val="18"/>
                <w:color w:val="auto"/>
              </w:rPr>
            </w:pPr>
          </w:p>
        </w:tc>
        <w:tc>
          <w:tcPr>
            <w:tcW w:w="11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23,683</w:t>
            </w:r>
          </w:p>
        </w:tc>
        <w:tc>
          <w:tcPr>
            <w:tcW w:w="24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CFF0FC"/>
            </w:tcBorders>
            <w:shd w:val="clear" w:color="auto" w:fill="CFF0FC"/>
          </w:tcPr>
          <w:p>
            <w:pPr>
              <w:spacing w:after="0"/>
              <w:rPr>
                <w:sz w:val="18"/>
                <w:szCs w:val="18"/>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14,111</w:t>
            </w:r>
          </w:p>
        </w:tc>
        <w:tc>
          <w:tcPr>
            <w:tcW w:w="22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CFF0FC"/>
            </w:tcBorders>
            <w:shd w:val="clear" w:color="auto" w:fill="CFF0FC"/>
          </w:tcPr>
          <w:p>
            <w:pPr>
              <w:spacing w:after="0"/>
              <w:rPr>
                <w:sz w:val="18"/>
                <w:szCs w:val="18"/>
                <w:color w:val="auto"/>
              </w:rPr>
            </w:pPr>
          </w:p>
        </w:tc>
        <w:tc>
          <w:tcPr>
            <w:tcW w:w="11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10,314</w:t>
            </w:r>
          </w:p>
        </w:tc>
        <w:tc>
          <w:tcPr>
            <w:tcW w:w="6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6240" w:type="dxa"/>
            <w:vAlign w:val="bottom"/>
          </w:tcPr>
          <w:p>
            <w:pPr>
              <w:ind w:left="20"/>
              <w:spacing w:after="0"/>
              <w:rPr>
                <w:sz w:val="20"/>
                <w:szCs w:val="20"/>
                <w:color w:val="auto"/>
              </w:rPr>
            </w:pPr>
            <w:r>
              <w:rPr>
                <w:rFonts w:ascii="Arial" w:cs="Arial" w:eastAsia="Arial" w:hAnsi="Arial"/>
                <w:sz w:val="14"/>
                <w:szCs w:val="14"/>
                <w:color w:val="auto"/>
              </w:rPr>
              <w:t>Product development</w:t>
            </w:r>
          </w:p>
        </w:tc>
        <w:tc>
          <w:tcPr>
            <w:tcW w:w="340" w:type="dxa"/>
            <w:vAlign w:val="bottom"/>
          </w:tcPr>
          <w:p>
            <w:pPr>
              <w:spacing w:after="0"/>
              <w:rPr>
                <w:sz w:val="15"/>
                <w:szCs w:val="15"/>
                <w:color w:val="auto"/>
              </w:rPr>
            </w:pPr>
          </w:p>
        </w:tc>
        <w:tc>
          <w:tcPr>
            <w:tcW w:w="1160" w:type="dxa"/>
            <w:vAlign w:val="bottom"/>
            <w:vMerge w:val="restart"/>
          </w:tcPr>
          <w:p>
            <w:pPr>
              <w:jc w:val="right"/>
              <w:spacing w:after="0"/>
              <w:rPr>
                <w:sz w:val="20"/>
                <w:szCs w:val="20"/>
                <w:color w:val="auto"/>
              </w:rPr>
            </w:pPr>
            <w:r>
              <w:rPr>
                <w:rFonts w:ascii="Arial" w:cs="Arial" w:eastAsia="Arial" w:hAnsi="Arial"/>
                <w:sz w:val="14"/>
                <w:szCs w:val="14"/>
                <w:color w:val="auto"/>
              </w:rPr>
              <w:t>17,780</w:t>
            </w: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12,186</w:t>
            </w: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vMerge w:val="restart"/>
          </w:tcPr>
          <w:p>
            <w:pPr>
              <w:jc w:val="right"/>
              <w:spacing w:after="0"/>
              <w:rPr>
                <w:sz w:val="20"/>
                <w:szCs w:val="20"/>
                <w:color w:val="auto"/>
              </w:rPr>
            </w:pPr>
            <w:r>
              <w:rPr>
                <w:rFonts w:ascii="Arial" w:cs="Arial" w:eastAsia="Arial" w:hAnsi="Arial"/>
                <w:sz w:val="14"/>
                <w:szCs w:val="14"/>
                <w:color w:val="auto"/>
              </w:rPr>
              <w:t>10,637</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7"/>
        </w:trPr>
        <w:tc>
          <w:tcPr>
            <w:tcW w:w="624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60" w:type="dxa"/>
            <w:vAlign w:val="bottom"/>
            <w:vMerge w:val="continue"/>
          </w:tcPr>
          <w:p>
            <w:pPr>
              <w:spacing w:after="0"/>
              <w:rPr>
                <w:sz w:val="4"/>
                <w:szCs w:val="4"/>
                <w:color w:val="auto"/>
              </w:rPr>
            </w:pPr>
          </w:p>
        </w:tc>
        <w:tc>
          <w:tcPr>
            <w:tcW w:w="24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4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60" w:type="dxa"/>
            <w:vAlign w:val="bottom"/>
            <w:vMerge w:val="continue"/>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9"/>
        </w:trPr>
        <w:tc>
          <w:tcPr>
            <w:tcW w:w="62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General and administrative</w:t>
            </w:r>
          </w:p>
        </w:tc>
        <w:tc>
          <w:tcPr>
            <w:tcW w:w="340" w:type="dxa"/>
            <w:vAlign w:val="bottom"/>
            <w:tcBorders>
              <w:bottom w:val="single" w:sz="8" w:color="CFF0FC"/>
            </w:tcBorders>
            <w:shd w:val="clear" w:color="auto" w:fill="CFF0FC"/>
          </w:tcPr>
          <w:p>
            <w:pPr>
              <w:spacing w:after="0"/>
              <w:rPr>
                <w:sz w:val="18"/>
                <w:szCs w:val="18"/>
                <w:color w:val="auto"/>
              </w:rPr>
            </w:pPr>
          </w:p>
        </w:tc>
        <w:tc>
          <w:tcPr>
            <w:tcW w:w="11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34,942</w:t>
            </w:r>
          </w:p>
        </w:tc>
        <w:tc>
          <w:tcPr>
            <w:tcW w:w="24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CFF0FC"/>
            </w:tcBorders>
            <w:shd w:val="clear" w:color="auto" w:fill="CFF0FC"/>
          </w:tcPr>
          <w:p>
            <w:pPr>
              <w:spacing w:after="0"/>
              <w:rPr>
                <w:sz w:val="18"/>
                <w:szCs w:val="18"/>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12,046</w:t>
            </w:r>
          </w:p>
        </w:tc>
        <w:tc>
          <w:tcPr>
            <w:tcW w:w="22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CFF0FC"/>
            </w:tcBorders>
            <w:shd w:val="clear" w:color="auto" w:fill="CFF0FC"/>
          </w:tcPr>
          <w:p>
            <w:pPr>
              <w:spacing w:after="0"/>
              <w:rPr>
                <w:sz w:val="18"/>
                <w:szCs w:val="18"/>
                <w:color w:val="auto"/>
              </w:rPr>
            </w:pPr>
          </w:p>
        </w:tc>
        <w:tc>
          <w:tcPr>
            <w:tcW w:w="11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8,016</w:t>
            </w:r>
          </w:p>
        </w:tc>
        <w:tc>
          <w:tcPr>
            <w:tcW w:w="6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tcPr>
          <w:p>
            <w:pPr>
              <w:ind w:left="20"/>
              <w:spacing w:after="0"/>
              <w:rPr>
                <w:sz w:val="20"/>
                <w:szCs w:val="20"/>
                <w:color w:val="auto"/>
              </w:rPr>
            </w:pPr>
            <w:r>
              <w:rPr>
                <w:rFonts w:ascii="Arial" w:cs="Arial" w:eastAsia="Arial" w:hAnsi="Arial"/>
                <w:sz w:val="14"/>
                <w:szCs w:val="14"/>
                <w:color w:val="auto"/>
              </w:rPr>
              <w:t>Impairment of goodwill and intangible assets</w:t>
            </w:r>
          </w:p>
        </w:tc>
        <w:tc>
          <w:tcPr>
            <w:tcW w:w="340" w:type="dxa"/>
            <w:vAlign w:val="bottom"/>
          </w:tcPr>
          <w:p>
            <w:pPr>
              <w:spacing w:after="0"/>
              <w:rPr>
                <w:sz w:val="18"/>
                <w:szCs w:val="18"/>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1,592</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1,719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2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Total operating expenses</w:t>
            </w:r>
          </w:p>
        </w:tc>
        <w:tc>
          <w:tcPr>
            <w:tcW w:w="340" w:type="dxa"/>
            <w:vAlign w:val="bottom"/>
            <w:tcBorders>
              <w:top w:val="single" w:sz="8" w:color="auto"/>
              <w:bottom w:val="single" w:sz="8" w:color="auto"/>
            </w:tcBorders>
            <w:shd w:val="clear" w:color="auto" w:fill="CFF0FC"/>
          </w:tcPr>
          <w:p>
            <w:pPr>
              <w:spacing w:after="0"/>
              <w:rPr>
                <w:sz w:val="18"/>
                <w:szCs w:val="18"/>
                <w:color w:val="auto"/>
              </w:rPr>
            </w:pP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115,827</w:t>
            </w:r>
          </w:p>
        </w:tc>
        <w:tc>
          <w:tcPr>
            <w:tcW w:w="24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top w:val="single" w:sz="8" w:color="auto"/>
              <w:bottom w:val="single" w:sz="8" w:color="auto"/>
            </w:tcBorders>
            <w:shd w:val="clear" w:color="auto" w:fill="CFF0FC"/>
          </w:tcPr>
          <w:p>
            <w:pPr>
              <w:spacing w:after="0"/>
              <w:rPr>
                <w:sz w:val="18"/>
                <w:szCs w:val="18"/>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62,502</w:t>
            </w:r>
          </w:p>
        </w:tc>
        <w:tc>
          <w:tcPr>
            <w:tcW w:w="22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top w:val="single" w:sz="8" w:color="auto"/>
              <w:bottom w:val="single" w:sz="8" w:color="auto"/>
            </w:tcBorders>
            <w:shd w:val="clear" w:color="auto" w:fill="CFF0FC"/>
          </w:tcPr>
          <w:p>
            <w:pPr>
              <w:spacing w:after="0"/>
              <w:rPr>
                <w:sz w:val="18"/>
                <w:szCs w:val="18"/>
                <w:color w:val="auto"/>
              </w:rPr>
            </w:pP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45,285</w:t>
            </w:r>
          </w:p>
        </w:tc>
        <w:tc>
          <w:tcPr>
            <w:tcW w:w="6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6240" w:type="dxa"/>
            <w:vAlign w:val="bottom"/>
          </w:tcPr>
          <w:p>
            <w:pPr>
              <w:ind w:left="200"/>
              <w:spacing w:after="0"/>
              <w:rPr>
                <w:sz w:val="20"/>
                <w:szCs w:val="20"/>
                <w:color w:val="auto"/>
              </w:rPr>
            </w:pPr>
            <w:r>
              <w:rPr>
                <w:rFonts w:ascii="Arial" w:cs="Arial" w:eastAsia="Arial" w:hAnsi="Arial"/>
                <w:sz w:val="14"/>
                <w:szCs w:val="14"/>
                <w:b w:val="1"/>
                <w:bCs w:val="1"/>
                <w:color w:val="auto"/>
              </w:rPr>
              <w:t>Loss from operations</w:t>
            </w:r>
          </w:p>
        </w:tc>
        <w:tc>
          <w:tcPr>
            <w:tcW w:w="340" w:type="dxa"/>
            <w:vAlign w:val="bottom"/>
          </w:tcPr>
          <w:p>
            <w:pPr>
              <w:spacing w:after="0"/>
              <w:rPr>
                <w:sz w:val="15"/>
                <w:szCs w:val="15"/>
                <w:color w:val="auto"/>
              </w:rPr>
            </w:pPr>
          </w:p>
        </w:tc>
        <w:tc>
          <w:tcPr>
            <w:tcW w:w="140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(58,686 )</w:t>
            </w:r>
          </w:p>
        </w:tc>
        <w:tc>
          <w:tcPr>
            <w:tcW w:w="340" w:type="dxa"/>
            <w:vAlign w:val="bottom"/>
          </w:tcPr>
          <w:p>
            <w:pPr>
              <w:spacing w:after="0"/>
              <w:rPr>
                <w:sz w:val="15"/>
                <w:szCs w:val="15"/>
                <w:color w:val="auto"/>
              </w:rPr>
            </w:pPr>
          </w:p>
        </w:tc>
        <w:tc>
          <w:tcPr>
            <w:tcW w:w="13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(29,216 )</w:t>
            </w:r>
          </w:p>
        </w:tc>
        <w:tc>
          <w:tcPr>
            <w:tcW w:w="340" w:type="dxa"/>
            <w:vAlign w:val="bottom"/>
          </w:tcPr>
          <w:p>
            <w:pPr>
              <w:spacing w:after="0"/>
              <w:rPr>
                <w:sz w:val="15"/>
                <w:szCs w:val="15"/>
                <w:color w:val="auto"/>
              </w:rPr>
            </w:pPr>
          </w:p>
        </w:tc>
        <w:tc>
          <w:tcPr>
            <w:tcW w:w="1220" w:type="dxa"/>
            <w:vAlign w:val="bottom"/>
            <w:gridSpan w:val="2"/>
            <w:vMerge w:val="restart"/>
          </w:tcPr>
          <w:p>
            <w:pPr>
              <w:jc w:val="right"/>
              <w:spacing w:after="0"/>
              <w:rPr>
                <w:sz w:val="20"/>
                <w:szCs w:val="20"/>
                <w:color w:val="auto"/>
              </w:rPr>
            </w:pPr>
            <w:r>
              <w:rPr>
                <w:rFonts w:ascii="Arial" w:cs="Arial" w:eastAsia="Arial" w:hAnsi="Arial"/>
                <w:sz w:val="14"/>
                <w:szCs w:val="14"/>
                <w:color w:val="auto"/>
              </w:rPr>
              <w:t>(30,549 )</w:t>
            </w:r>
          </w:p>
        </w:tc>
        <w:tc>
          <w:tcPr>
            <w:tcW w:w="0" w:type="dxa"/>
            <w:vAlign w:val="bottom"/>
          </w:tcPr>
          <w:p>
            <w:pPr>
              <w:spacing w:after="0"/>
              <w:rPr>
                <w:sz w:val="1"/>
                <w:szCs w:val="1"/>
                <w:color w:val="auto"/>
              </w:rPr>
            </w:pPr>
          </w:p>
        </w:tc>
      </w:tr>
      <w:tr>
        <w:trPr>
          <w:trHeight w:val="43"/>
        </w:trPr>
        <w:tc>
          <w:tcPr>
            <w:tcW w:w="62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0" w:type="dxa"/>
            <w:vAlign w:val="bottom"/>
            <w:gridSpan w:val="2"/>
            <w:vMerge w:val="continue"/>
          </w:tcPr>
          <w:p>
            <w:pPr>
              <w:spacing w:after="0"/>
              <w:rPr>
                <w:sz w:val="3"/>
                <w:szCs w:val="3"/>
                <w:color w:val="auto"/>
              </w:rPr>
            </w:pPr>
          </w:p>
        </w:tc>
        <w:tc>
          <w:tcPr>
            <w:tcW w:w="340" w:type="dxa"/>
            <w:vAlign w:val="bottom"/>
          </w:tcPr>
          <w:p>
            <w:pPr>
              <w:spacing w:after="0"/>
              <w:rPr>
                <w:sz w:val="3"/>
                <w:szCs w:val="3"/>
                <w:color w:val="auto"/>
              </w:rPr>
            </w:pPr>
          </w:p>
        </w:tc>
        <w:tc>
          <w:tcPr>
            <w:tcW w:w="1360" w:type="dxa"/>
            <w:vAlign w:val="bottom"/>
            <w:gridSpan w:val="2"/>
            <w:vMerge w:val="continue"/>
          </w:tcPr>
          <w:p>
            <w:pPr>
              <w:spacing w:after="0"/>
              <w:rPr>
                <w:sz w:val="3"/>
                <w:szCs w:val="3"/>
                <w:color w:val="auto"/>
              </w:rPr>
            </w:pPr>
          </w:p>
        </w:tc>
        <w:tc>
          <w:tcPr>
            <w:tcW w:w="34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09"/>
        </w:trPr>
        <w:tc>
          <w:tcPr>
            <w:tcW w:w="62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b w:val="1"/>
                <w:bCs w:val="1"/>
                <w:color w:val="auto"/>
              </w:rPr>
              <w:t>Other (expenses) income</w:t>
            </w:r>
          </w:p>
        </w:tc>
        <w:tc>
          <w:tcPr>
            <w:tcW w:w="340" w:type="dxa"/>
            <w:vAlign w:val="bottom"/>
            <w:tcBorders>
              <w:bottom w:val="single" w:sz="8" w:color="CFF0FC"/>
            </w:tcBorders>
            <w:shd w:val="clear" w:color="auto" w:fill="CFF0FC"/>
          </w:tcPr>
          <w:p>
            <w:pPr>
              <w:spacing w:after="0"/>
              <w:rPr>
                <w:sz w:val="18"/>
                <w:szCs w:val="18"/>
                <w:color w:val="auto"/>
              </w:rPr>
            </w:pPr>
          </w:p>
        </w:tc>
        <w:tc>
          <w:tcPr>
            <w:tcW w:w="116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CFF0FC"/>
            </w:tcBorders>
            <w:shd w:val="clear" w:color="auto" w:fill="CFF0FC"/>
          </w:tcPr>
          <w:p>
            <w:pPr>
              <w:spacing w:after="0"/>
              <w:rPr>
                <w:sz w:val="18"/>
                <w:szCs w:val="18"/>
                <w:color w:val="auto"/>
              </w:rPr>
            </w:pPr>
          </w:p>
        </w:tc>
        <w:tc>
          <w:tcPr>
            <w:tcW w:w="114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CFF0FC"/>
            </w:tcBorders>
            <w:shd w:val="clear" w:color="auto" w:fill="CFF0FC"/>
          </w:tcPr>
          <w:p>
            <w:pPr>
              <w:spacing w:after="0"/>
              <w:rPr>
                <w:sz w:val="18"/>
                <w:szCs w:val="18"/>
                <w:color w:val="auto"/>
              </w:rPr>
            </w:pPr>
          </w:p>
        </w:tc>
        <w:tc>
          <w:tcPr>
            <w:tcW w:w="1160" w:type="dxa"/>
            <w:vAlign w:val="bottom"/>
            <w:tcBorders>
              <w:bottom w:val="single" w:sz="8" w:color="CFF0FC"/>
            </w:tcBorders>
            <w:shd w:val="clear" w:color="auto" w:fill="CFF0FC"/>
          </w:tcPr>
          <w:p>
            <w:pPr>
              <w:spacing w:after="0"/>
              <w:rPr>
                <w:sz w:val="18"/>
                <w:szCs w:val="18"/>
                <w:color w:val="auto"/>
              </w:rPr>
            </w:pPr>
          </w:p>
        </w:tc>
        <w:tc>
          <w:tcPr>
            <w:tcW w:w="6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6240" w:type="dxa"/>
            <w:vAlign w:val="bottom"/>
          </w:tcPr>
          <w:p>
            <w:pPr>
              <w:ind w:left="20"/>
              <w:spacing w:after="0"/>
              <w:rPr>
                <w:sz w:val="20"/>
                <w:szCs w:val="20"/>
                <w:color w:val="auto"/>
              </w:rPr>
            </w:pPr>
            <w:r>
              <w:rPr>
                <w:rFonts w:ascii="Arial" w:cs="Arial" w:eastAsia="Arial" w:hAnsi="Arial"/>
                <w:sz w:val="14"/>
                <w:szCs w:val="14"/>
                <w:color w:val="auto"/>
              </w:rPr>
              <w:t>Interest expense</w:t>
            </w:r>
          </w:p>
        </w:tc>
        <w:tc>
          <w:tcPr>
            <w:tcW w:w="340" w:type="dxa"/>
            <w:vAlign w:val="bottom"/>
          </w:tcPr>
          <w:p>
            <w:pPr>
              <w:spacing w:after="0"/>
              <w:rPr>
                <w:sz w:val="15"/>
                <w:szCs w:val="15"/>
                <w:color w:val="auto"/>
              </w:rPr>
            </w:pPr>
          </w:p>
        </w:tc>
        <w:tc>
          <w:tcPr>
            <w:tcW w:w="140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(852 )</w:t>
            </w:r>
          </w:p>
        </w:tc>
        <w:tc>
          <w:tcPr>
            <w:tcW w:w="340" w:type="dxa"/>
            <w:vAlign w:val="bottom"/>
          </w:tcPr>
          <w:p>
            <w:pPr>
              <w:spacing w:after="0"/>
              <w:rPr>
                <w:sz w:val="15"/>
                <w:szCs w:val="15"/>
                <w:color w:val="auto"/>
              </w:rPr>
            </w:pPr>
          </w:p>
        </w:tc>
        <w:tc>
          <w:tcPr>
            <w:tcW w:w="13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(1,089 )</w:t>
            </w:r>
          </w:p>
        </w:tc>
        <w:tc>
          <w:tcPr>
            <w:tcW w:w="340" w:type="dxa"/>
            <w:vAlign w:val="bottom"/>
          </w:tcPr>
          <w:p>
            <w:pPr>
              <w:spacing w:after="0"/>
              <w:rPr>
                <w:sz w:val="15"/>
                <w:szCs w:val="15"/>
                <w:color w:val="auto"/>
              </w:rPr>
            </w:pPr>
          </w:p>
        </w:tc>
        <w:tc>
          <w:tcPr>
            <w:tcW w:w="1220" w:type="dxa"/>
            <w:vAlign w:val="bottom"/>
            <w:gridSpan w:val="2"/>
            <w:vMerge w:val="restart"/>
          </w:tcPr>
          <w:p>
            <w:pPr>
              <w:jc w:val="right"/>
              <w:spacing w:after="0"/>
              <w:rPr>
                <w:sz w:val="20"/>
                <w:szCs w:val="20"/>
                <w:color w:val="auto"/>
              </w:rPr>
            </w:pPr>
            <w:r>
              <w:rPr>
                <w:rFonts w:ascii="Arial" w:cs="Arial" w:eastAsia="Arial" w:hAnsi="Arial"/>
                <w:sz w:val="14"/>
                <w:szCs w:val="14"/>
                <w:color w:val="auto"/>
              </w:rPr>
              <w:t>(241 )</w:t>
            </w:r>
          </w:p>
        </w:tc>
        <w:tc>
          <w:tcPr>
            <w:tcW w:w="0" w:type="dxa"/>
            <w:vAlign w:val="bottom"/>
          </w:tcPr>
          <w:p>
            <w:pPr>
              <w:spacing w:after="0"/>
              <w:rPr>
                <w:sz w:val="1"/>
                <w:szCs w:val="1"/>
                <w:color w:val="auto"/>
              </w:rPr>
            </w:pPr>
          </w:p>
        </w:tc>
      </w:tr>
      <w:tr>
        <w:trPr>
          <w:trHeight w:val="47"/>
        </w:trPr>
        <w:tc>
          <w:tcPr>
            <w:tcW w:w="624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00" w:type="dxa"/>
            <w:vAlign w:val="bottom"/>
            <w:gridSpan w:val="2"/>
            <w:vMerge w:val="continue"/>
          </w:tcPr>
          <w:p>
            <w:pPr>
              <w:spacing w:after="0"/>
              <w:rPr>
                <w:sz w:val="4"/>
                <w:szCs w:val="4"/>
                <w:color w:val="auto"/>
              </w:rPr>
            </w:pPr>
          </w:p>
        </w:tc>
        <w:tc>
          <w:tcPr>
            <w:tcW w:w="340" w:type="dxa"/>
            <w:vAlign w:val="bottom"/>
          </w:tcPr>
          <w:p>
            <w:pPr>
              <w:spacing w:after="0"/>
              <w:rPr>
                <w:sz w:val="4"/>
                <w:szCs w:val="4"/>
                <w:color w:val="auto"/>
              </w:rPr>
            </w:pPr>
          </w:p>
        </w:tc>
        <w:tc>
          <w:tcPr>
            <w:tcW w:w="1360" w:type="dxa"/>
            <w:vAlign w:val="bottom"/>
            <w:gridSpan w:val="2"/>
            <w:vMerge w:val="continue"/>
          </w:tcPr>
          <w:p>
            <w:pPr>
              <w:spacing w:after="0"/>
              <w:rPr>
                <w:sz w:val="4"/>
                <w:szCs w:val="4"/>
                <w:color w:val="auto"/>
              </w:rPr>
            </w:pPr>
          </w:p>
        </w:tc>
        <w:tc>
          <w:tcPr>
            <w:tcW w:w="340" w:type="dxa"/>
            <w:vAlign w:val="bottom"/>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0"/>
        </w:trPr>
        <w:tc>
          <w:tcPr>
            <w:tcW w:w="62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Interest and dividend income</w:t>
            </w:r>
          </w:p>
        </w:tc>
        <w:tc>
          <w:tcPr>
            <w:tcW w:w="340" w:type="dxa"/>
            <w:vAlign w:val="bottom"/>
            <w:tcBorders>
              <w:bottom w:val="single" w:sz="8" w:color="CFF0FC"/>
            </w:tcBorders>
            <w:shd w:val="clear" w:color="auto" w:fill="CFF0FC"/>
          </w:tcPr>
          <w:p>
            <w:pPr>
              <w:spacing w:after="0"/>
              <w:rPr>
                <w:sz w:val="18"/>
                <w:szCs w:val="18"/>
                <w:color w:val="auto"/>
              </w:rPr>
            </w:pPr>
          </w:p>
        </w:tc>
        <w:tc>
          <w:tcPr>
            <w:tcW w:w="11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982</w:t>
            </w:r>
          </w:p>
        </w:tc>
        <w:tc>
          <w:tcPr>
            <w:tcW w:w="24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CFF0FC"/>
            </w:tcBorders>
            <w:shd w:val="clear" w:color="auto" w:fill="CFF0FC"/>
          </w:tcPr>
          <w:p>
            <w:pPr>
              <w:spacing w:after="0"/>
              <w:rPr>
                <w:sz w:val="18"/>
                <w:szCs w:val="18"/>
                <w:color w:val="auto"/>
              </w:rPr>
            </w:pPr>
          </w:p>
        </w:tc>
        <w:tc>
          <w:tcPr>
            <w:tcW w:w="1360" w:type="dxa"/>
            <w:vAlign w:val="bottom"/>
            <w:tcBorders>
              <w:bottom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CFF0FC"/>
            </w:tcBorders>
            <w:shd w:val="clear" w:color="auto" w:fill="CFF0FC"/>
          </w:tcPr>
          <w:p>
            <w:pPr>
              <w:spacing w:after="0"/>
              <w:rPr>
                <w:sz w:val="18"/>
                <w:szCs w:val="18"/>
                <w:color w:val="auto"/>
              </w:rPr>
            </w:pPr>
          </w:p>
        </w:tc>
        <w:tc>
          <w:tcPr>
            <w:tcW w:w="1220" w:type="dxa"/>
            <w:vAlign w:val="bottom"/>
            <w:tcBorders>
              <w:bottom w:val="single" w:sz="8" w:color="CFF0FC"/>
            </w:tcBorders>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6240" w:type="dxa"/>
            <w:vAlign w:val="bottom"/>
          </w:tcPr>
          <w:p>
            <w:pPr>
              <w:ind w:left="20"/>
              <w:spacing w:after="0"/>
              <w:rPr>
                <w:sz w:val="20"/>
                <w:szCs w:val="20"/>
                <w:color w:val="auto"/>
              </w:rPr>
            </w:pPr>
            <w:r>
              <w:rPr>
                <w:rFonts w:ascii="Arial" w:cs="Arial" w:eastAsia="Arial" w:hAnsi="Arial"/>
                <w:sz w:val="14"/>
                <w:szCs w:val="14"/>
                <w:color w:val="auto"/>
              </w:rPr>
              <w:t>Other expenses</w:t>
            </w:r>
          </w:p>
        </w:tc>
        <w:tc>
          <w:tcPr>
            <w:tcW w:w="340" w:type="dxa"/>
            <w:vAlign w:val="bottom"/>
          </w:tcPr>
          <w:p>
            <w:pPr>
              <w:spacing w:after="0"/>
              <w:rPr>
                <w:sz w:val="15"/>
                <w:szCs w:val="15"/>
                <w:color w:val="auto"/>
              </w:rPr>
            </w:pPr>
          </w:p>
        </w:tc>
        <w:tc>
          <w:tcPr>
            <w:tcW w:w="140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(2,866 )</w:t>
            </w:r>
          </w:p>
        </w:tc>
        <w:tc>
          <w:tcPr>
            <w:tcW w:w="340" w:type="dxa"/>
            <w:vAlign w:val="bottom"/>
          </w:tcPr>
          <w:p>
            <w:pPr>
              <w:spacing w:after="0"/>
              <w:rPr>
                <w:sz w:val="15"/>
                <w:szCs w:val="15"/>
                <w:color w:val="auto"/>
              </w:rPr>
            </w:pPr>
          </w:p>
        </w:tc>
        <w:tc>
          <w:tcPr>
            <w:tcW w:w="13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(780 )</w:t>
            </w:r>
          </w:p>
        </w:tc>
        <w:tc>
          <w:tcPr>
            <w:tcW w:w="340" w:type="dxa"/>
            <w:vAlign w:val="bottom"/>
          </w:tcPr>
          <w:p>
            <w:pPr>
              <w:spacing w:after="0"/>
              <w:rPr>
                <w:sz w:val="15"/>
                <w:szCs w:val="15"/>
                <w:color w:val="auto"/>
              </w:rPr>
            </w:pPr>
          </w:p>
        </w:tc>
        <w:tc>
          <w:tcPr>
            <w:tcW w:w="1220" w:type="dxa"/>
            <w:vAlign w:val="bottom"/>
            <w:gridSpan w:val="2"/>
            <w:vMerge w:val="restart"/>
          </w:tcPr>
          <w:p>
            <w:pPr>
              <w:jc w:val="right"/>
              <w:spacing w:after="0"/>
              <w:rPr>
                <w:sz w:val="20"/>
                <w:szCs w:val="20"/>
                <w:color w:val="auto"/>
              </w:rPr>
            </w:pPr>
            <w:r>
              <w:rPr>
                <w:rFonts w:ascii="Arial" w:cs="Arial" w:eastAsia="Arial" w:hAnsi="Arial"/>
                <w:sz w:val="14"/>
                <w:szCs w:val="14"/>
                <w:color w:val="auto"/>
              </w:rPr>
              <w:t>(204 )</w:t>
            </w:r>
          </w:p>
        </w:tc>
        <w:tc>
          <w:tcPr>
            <w:tcW w:w="0" w:type="dxa"/>
            <w:vAlign w:val="bottom"/>
          </w:tcPr>
          <w:p>
            <w:pPr>
              <w:spacing w:after="0"/>
              <w:rPr>
                <w:sz w:val="1"/>
                <w:szCs w:val="1"/>
                <w:color w:val="auto"/>
              </w:rPr>
            </w:pPr>
          </w:p>
        </w:tc>
      </w:tr>
      <w:tr>
        <w:trPr>
          <w:trHeight w:val="47"/>
        </w:trPr>
        <w:tc>
          <w:tcPr>
            <w:tcW w:w="624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00" w:type="dxa"/>
            <w:vAlign w:val="bottom"/>
            <w:gridSpan w:val="2"/>
            <w:vMerge w:val="continue"/>
          </w:tcPr>
          <w:p>
            <w:pPr>
              <w:spacing w:after="0"/>
              <w:rPr>
                <w:sz w:val="4"/>
                <w:szCs w:val="4"/>
                <w:color w:val="auto"/>
              </w:rPr>
            </w:pPr>
          </w:p>
        </w:tc>
        <w:tc>
          <w:tcPr>
            <w:tcW w:w="340" w:type="dxa"/>
            <w:vAlign w:val="bottom"/>
          </w:tcPr>
          <w:p>
            <w:pPr>
              <w:spacing w:after="0"/>
              <w:rPr>
                <w:sz w:val="4"/>
                <w:szCs w:val="4"/>
                <w:color w:val="auto"/>
              </w:rPr>
            </w:pPr>
          </w:p>
        </w:tc>
        <w:tc>
          <w:tcPr>
            <w:tcW w:w="1360" w:type="dxa"/>
            <w:vAlign w:val="bottom"/>
            <w:gridSpan w:val="2"/>
            <w:vMerge w:val="continue"/>
          </w:tcPr>
          <w:p>
            <w:pPr>
              <w:spacing w:after="0"/>
              <w:rPr>
                <w:sz w:val="4"/>
                <w:szCs w:val="4"/>
                <w:color w:val="auto"/>
              </w:rPr>
            </w:pPr>
          </w:p>
        </w:tc>
        <w:tc>
          <w:tcPr>
            <w:tcW w:w="340" w:type="dxa"/>
            <w:vAlign w:val="bottom"/>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62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Income from unconsolidated joint venture</w:t>
            </w:r>
          </w:p>
        </w:tc>
        <w:tc>
          <w:tcPr>
            <w:tcW w:w="34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41</w:t>
            </w:r>
          </w:p>
        </w:tc>
        <w:tc>
          <w:tcPr>
            <w:tcW w:w="24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240" w:type="dxa"/>
            <w:vAlign w:val="bottom"/>
          </w:tcPr>
          <w:p>
            <w:pPr>
              <w:ind w:left="20"/>
              <w:spacing w:after="0"/>
              <w:rPr>
                <w:sz w:val="20"/>
                <w:szCs w:val="20"/>
                <w:color w:val="auto"/>
              </w:rPr>
            </w:pPr>
            <w:r>
              <w:rPr>
                <w:rFonts w:ascii="Arial" w:cs="Arial" w:eastAsia="Arial" w:hAnsi="Arial"/>
                <w:sz w:val="14"/>
                <w:szCs w:val="14"/>
                <w:color w:val="auto"/>
              </w:rPr>
              <w:t>Total other expenses</w:t>
            </w:r>
          </w:p>
        </w:tc>
        <w:tc>
          <w:tcPr>
            <w:tcW w:w="34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4"/>
                <w:szCs w:val="14"/>
                <w:color w:val="auto"/>
              </w:rPr>
              <w:t>(2,695 )</w:t>
            </w:r>
          </w:p>
        </w:tc>
        <w:tc>
          <w:tcPr>
            <w:tcW w:w="34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4"/>
                <w:szCs w:val="14"/>
                <w:color w:val="auto"/>
              </w:rPr>
              <w:t>(1,869 )</w:t>
            </w:r>
          </w:p>
        </w:tc>
        <w:tc>
          <w:tcPr>
            <w:tcW w:w="34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Arial" w:cs="Arial" w:eastAsia="Arial" w:hAnsi="Arial"/>
                <w:sz w:val="14"/>
                <w:szCs w:val="14"/>
                <w:color w:val="auto"/>
              </w:rPr>
              <w:t>(445 )</w:t>
            </w:r>
          </w:p>
        </w:tc>
        <w:tc>
          <w:tcPr>
            <w:tcW w:w="0" w:type="dxa"/>
            <w:vAlign w:val="bottom"/>
          </w:tcPr>
          <w:p>
            <w:pPr>
              <w:spacing w:after="0"/>
              <w:rPr>
                <w:sz w:val="1"/>
                <w:szCs w:val="1"/>
                <w:color w:val="auto"/>
              </w:rPr>
            </w:pPr>
          </w:p>
        </w:tc>
      </w:tr>
      <w:tr>
        <w:trPr>
          <w:trHeight w:val="20"/>
        </w:trPr>
        <w:tc>
          <w:tcPr>
            <w:tcW w:w="62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24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4"/>
                <w:szCs w:val="14"/>
                <w:b w:val="1"/>
                <w:bCs w:val="1"/>
                <w:color w:val="auto"/>
              </w:rPr>
              <w:t>Net loss</w:t>
            </w:r>
          </w:p>
        </w:tc>
        <w:tc>
          <w:tcPr>
            <w:tcW w:w="340" w:type="dxa"/>
            <w:vAlign w:val="bottom"/>
            <w:tcBorders>
              <w:bottom w:val="single" w:sz="8" w:color="CFF0FC"/>
            </w:tcBorders>
            <w:shd w:val="clear" w:color="auto" w:fill="CFF0FC"/>
          </w:tcPr>
          <w:p>
            <w:pPr>
              <w:spacing w:after="0"/>
              <w:rPr>
                <w:sz w:val="17"/>
                <w:szCs w:val="17"/>
                <w:color w:val="auto"/>
              </w:rPr>
            </w:pPr>
          </w:p>
        </w:tc>
        <w:tc>
          <w:tcPr>
            <w:tcW w:w="1400" w:type="dxa"/>
            <w:vAlign w:val="bottom"/>
            <w:tcBorders>
              <w:bottom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(61,381 )</w:t>
            </w:r>
          </w:p>
        </w:tc>
        <w:tc>
          <w:tcPr>
            <w:tcW w:w="340" w:type="dxa"/>
            <w:vAlign w:val="bottom"/>
            <w:tcBorders>
              <w:bottom w:val="single" w:sz="8" w:color="CFF0FC"/>
            </w:tcBorders>
            <w:shd w:val="clear" w:color="auto" w:fill="CFF0FC"/>
          </w:tcPr>
          <w:p>
            <w:pPr>
              <w:spacing w:after="0"/>
              <w:rPr>
                <w:sz w:val="17"/>
                <w:szCs w:val="17"/>
                <w:color w:val="auto"/>
              </w:rPr>
            </w:pPr>
          </w:p>
        </w:tc>
        <w:tc>
          <w:tcPr>
            <w:tcW w:w="136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(31,085 )</w:t>
            </w:r>
          </w:p>
        </w:tc>
        <w:tc>
          <w:tcPr>
            <w:tcW w:w="340" w:type="dxa"/>
            <w:vAlign w:val="bottom"/>
            <w:tcBorders>
              <w:bottom w:val="single" w:sz="8" w:color="CFF0FC"/>
            </w:tcBorders>
            <w:shd w:val="clear" w:color="auto" w:fill="CFF0FC"/>
          </w:tcPr>
          <w:p>
            <w:pPr>
              <w:spacing w:after="0"/>
              <w:rPr>
                <w:sz w:val="17"/>
                <w:szCs w:val="17"/>
                <w:color w:val="auto"/>
              </w:rPr>
            </w:pPr>
          </w:p>
        </w:tc>
        <w:tc>
          <w:tcPr>
            <w:tcW w:w="122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4"/>
                <w:szCs w:val="14"/>
                <w:color w:val="auto"/>
              </w:rPr>
              <w:t>(30,994 )</w:t>
            </w:r>
          </w:p>
        </w:tc>
        <w:tc>
          <w:tcPr>
            <w:tcW w:w="0" w:type="dxa"/>
            <w:vAlign w:val="bottom"/>
          </w:tcPr>
          <w:p>
            <w:pPr>
              <w:spacing w:after="0"/>
              <w:rPr>
                <w:sz w:val="1"/>
                <w:szCs w:val="1"/>
                <w:color w:val="auto"/>
              </w:rPr>
            </w:pPr>
          </w:p>
        </w:tc>
      </w:tr>
      <w:tr>
        <w:trPr>
          <w:trHeight w:val="182"/>
        </w:trPr>
        <w:tc>
          <w:tcPr>
            <w:tcW w:w="6240" w:type="dxa"/>
            <w:vAlign w:val="bottom"/>
          </w:tcPr>
          <w:p>
            <w:pPr>
              <w:ind w:left="20"/>
              <w:spacing w:after="0"/>
              <w:rPr>
                <w:sz w:val="20"/>
                <w:szCs w:val="20"/>
                <w:color w:val="auto"/>
              </w:rPr>
            </w:pPr>
            <w:r>
              <w:rPr>
                <w:rFonts w:ascii="Arial" w:cs="Arial" w:eastAsia="Arial" w:hAnsi="Arial"/>
                <w:sz w:val="14"/>
                <w:szCs w:val="14"/>
                <w:color w:val="auto"/>
              </w:rPr>
              <w:t>Deemed dividend to preferred stockholders</w:t>
            </w:r>
          </w:p>
        </w:tc>
        <w:tc>
          <w:tcPr>
            <w:tcW w:w="340" w:type="dxa"/>
            <w:vAlign w:val="bottom"/>
          </w:tcPr>
          <w:p>
            <w:pPr>
              <w:spacing w:after="0"/>
              <w:rPr>
                <w:sz w:val="15"/>
                <w:szCs w:val="15"/>
                <w:color w:val="auto"/>
              </w:rPr>
            </w:pPr>
          </w:p>
        </w:tc>
        <w:tc>
          <w:tcPr>
            <w:tcW w:w="14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5"/>
                <w:szCs w:val="15"/>
                <w:color w:val="auto"/>
              </w:rPr>
            </w:pPr>
          </w:p>
        </w:tc>
        <w:tc>
          <w:tcPr>
            <w:tcW w:w="13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(8,801 )</w:t>
            </w:r>
          </w:p>
        </w:tc>
        <w:tc>
          <w:tcPr>
            <w:tcW w:w="340" w:type="dxa"/>
            <w:vAlign w:val="bottom"/>
          </w:tcPr>
          <w:p>
            <w:pPr>
              <w:spacing w:after="0"/>
              <w:rPr>
                <w:sz w:val="15"/>
                <w:szCs w:val="15"/>
                <w:color w:val="auto"/>
              </w:rPr>
            </w:pPr>
          </w:p>
        </w:tc>
        <w:tc>
          <w:tcPr>
            <w:tcW w:w="1220" w:type="dxa"/>
            <w:vAlign w:val="bottom"/>
            <w:gridSpan w:val="2"/>
            <w:vMerge w:val="restart"/>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47"/>
        </w:trPr>
        <w:tc>
          <w:tcPr>
            <w:tcW w:w="624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00" w:type="dxa"/>
            <w:vAlign w:val="bottom"/>
            <w:gridSpan w:val="2"/>
            <w:vMerge w:val="continue"/>
          </w:tcPr>
          <w:p>
            <w:pPr>
              <w:spacing w:after="0"/>
              <w:rPr>
                <w:sz w:val="4"/>
                <w:szCs w:val="4"/>
                <w:color w:val="auto"/>
              </w:rPr>
            </w:pPr>
          </w:p>
        </w:tc>
        <w:tc>
          <w:tcPr>
            <w:tcW w:w="340" w:type="dxa"/>
            <w:vAlign w:val="bottom"/>
          </w:tcPr>
          <w:p>
            <w:pPr>
              <w:spacing w:after="0"/>
              <w:rPr>
                <w:sz w:val="4"/>
                <w:szCs w:val="4"/>
                <w:color w:val="auto"/>
              </w:rPr>
            </w:pPr>
          </w:p>
        </w:tc>
        <w:tc>
          <w:tcPr>
            <w:tcW w:w="1360" w:type="dxa"/>
            <w:vAlign w:val="bottom"/>
            <w:gridSpan w:val="2"/>
            <w:vMerge w:val="continue"/>
          </w:tcPr>
          <w:p>
            <w:pPr>
              <w:spacing w:after="0"/>
              <w:rPr>
                <w:sz w:val="4"/>
                <w:szCs w:val="4"/>
                <w:color w:val="auto"/>
              </w:rPr>
            </w:pPr>
          </w:p>
        </w:tc>
        <w:tc>
          <w:tcPr>
            <w:tcW w:w="340" w:type="dxa"/>
            <w:vAlign w:val="bottom"/>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62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Net loss attributable to noncontrolling interest</w:t>
            </w:r>
          </w:p>
        </w:tc>
        <w:tc>
          <w:tcPr>
            <w:tcW w:w="34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w:t>
            </w:r>
          </w:p>
        </w:tc>
        <w:tc>
          <w:tcPr>
            <w:tcW w:w="24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6240" w:type="dxa"/>
            <w:vAlign w:val="bottom"/>
          </w:tcPr>
          <w:p>
            <w:pPr>
              <w:ind w:left="200"/>
              <w:spacing w:after="0"/>
              <w:rPr>
                <w:sz w:val="20"/>
                <w:szCs w:val="20"/>
                <w:color w:val="auto"/>
              </w:rPr>
            </w:pPr>
            <w:r>
              <w:rPr>
                <w:rFonts w:ascii="Arial" w:cs="Arial" w:eastAsia="Arial" w:hAnsi="Arial"/>
                <w:sz w:val="14"/>
                <w:szCs w:val="14"/>
                <w:b w:val="1"/>
                <w:bCs w:val="1"/>
                <w:color w:val="auto"/>
              </w:rPr>
              <w:t>Net loss attributable to common stockholders</w:t>
            </w:r>
          </w:p>
        </w:tc>
        <w:tc>
          <w:tcPr>
            <w:tcW w:w="340" w:type="dxa"/>
            <w:vAlign w:val="bottom"/>
          </w:tcPr>
          <w:p>
            <w:pPr>
              <w:jc w:val="right"/>
              <w:ind w:right="188"/>
              <w:spacing w:after="0"/>
              <w:rPr>
                <w:sz w:val="20"/>
                <w:szCs w:val="20"/>
                <w:color w:val="auto"/>
              </w:rPr>
            </w:pPr>
            <w:r>
              <w:rPr>
                <w:rFonts w:ascii="Arial" w:cs="Arial" w:eastAsia="Arial" w:hAnsi="Arial"/>
                <w:sz w:val="14"/>
                <w:szCs w:val="14"/>
                <w:color w:val="auto"/>
                <w:w w:val="76"/>
              </w:rPr>
              <w:t>$</w:t>
            </w:r>
          </w:p>
        </w:tc>
        <w:tc>
          <w:tcPr>
            <w:tcW w:w="1400" w:type="dxa"/>
            <w:vAlign w:val="bottom"/>
            <w:gridSpan w:val="2"/>
          </w:tcPr>
          <w:p>
            <w:pPr>
              <w:jc w:val="right"/>
              <w:ind w:right="180"/>
              <w:spacing w:after="0"/>
              <w:rPr>
                <w:sz w:val="20"/>
                <w:szCs w:val="20"/>
                <w:color w:val="auto"/>
              </w:rPr>
            </w:pPr>
            <w:r>
              <w:rPr>
                <w:rFonts w:ascii="Arial" w:cs="Arial" w:eastAsia="Arial" w:hAnsi="Arial"/>
                <w:sz w:val="14"/>
                <w:szCs w:val="14"/>
                <w:color w:val="auto"/>
              </w:rPr>
              <w:t>(61,379 )</w:t>
            </w:r>
          </w:p>
        </w:tc>
        <w:tc>
          <w:tcPr>
            <w:tcW w:w="340" w:type="dxa"/>
            <w:vAlign w:val="bottom"/>
          </w:tcPr>
          <w:p>
            <w:pPr>
              <w:jc w:val="right"/>
              <w:ind w:right="188"/>
              <w:spacing w:after="0"/>
              <w:rPr>
                <w:sz w:val="20"/>
                <w:szCs w:val="20"/>
                <w:color w:val="auto"/>
              </w:rPr>
            </w:pPr>
            <w:r>
              <w:rPr>
                <w:rFonts w:ascii="Arial" w:cs="Arial" w:eastAsia="Arial" w:hAnsi="Arial"/>
                <w:sz w:val="14"/>
                <w:szCs w:val="14"/>
                <w:color w:val="auto"/>
                <w:w w:val="76"/>
              </w:rPr>
              <w:t>$</w:t>
            </w:r>
          </w:p>
        </w:tc>
        <w:tc>
          <w:tcPr>
            <w:tcW w:w="1360" w:type="dxa"/>
            <w:vAlign w:val="bottom"/>
            <w:gridSpan w:val="2"/>
          </w:tcPr>
          <w:p>
            <w:pPr>
              <w:jc w:val="right"/>
              <w:ind w:right="160"/>
              <w:spacing w:after="0"/>
              <w:rPr>
                <w:sz w:val="20"/>
                <w:szCs w:val="20"/>
                <w:color w:val="auto"/>
              </w:rPr>
            </w:pPr>
            <w:r>
              <w:rPr>
                <w:rFonts w:ascii="Arial" w:cs="Arial" w:eastAsia="Arial" w:hAnsi="Arial"/>
                <w:sz w:val="14"/>
                <w:szCs w:val="14"/>
                <w:color w:val="auto"/>
              </w:rPr>
              <w:t>(39,886 )</w:t>
            </w: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220" w:type="dxa"/>
            <w:vAlign w:val="bottom"/>
            <w:gridSpan w:val="2"/>
          </w:tcPr>
          <w:p>
            <w:pPr>
              <w:jc w:val="right"/>
              <w:spacing w:after="0"/>
              <w:rPr>
                <w:sz w:val="20"/>
                <w:szCs w:val="20"/>
                <w:color w:val="auto"/>
              </w:rPr>
            </w:pPr>
            <w:r>
              <w:rPr>
                <w:rFonts w:ascii="Arial" w:cs="Arial" w:eastAsia="Arial" w:hAnsi="Arial"/>
                <w:sz w:val="14"/>
                <w:szCs w:val="14"/>
                <w:color w:val="auto"/>
              </w:rPr>
              <w:t>(30,994 )</w:t>
            </w:r>
          </w:p>
        </w:tc>
        <w:tc>
          <w:tcPr>
            <w:tcW w:w="0" w:type="dxa"/>
            <w:vAlign w:val="bottom"/>
          </w:tcPr>
          <w:p>
            <w:pPr>
              <w:spacing w:after="0"/>
              <w:rPr>
                <w:sz w:val="1"/>
                <w:szCs w:val="1"/>
                <w:color w:val="auto"/>
              </w:rPr>
            </w:pPr>
          </w:p>
        </w:tc>
      </w:tr>
      <w:tr>
        <w:trPr>
          <w:trHeight w:val="20"/>
        </w:trPr>
        <w:tc>
          <w:tcPr>
            <w:tcW w:w="62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240" w:type="dxa"/>
            <w:vAlign w:val="bottom"/>
            <w:shd w:val="clear" w:color="auto" w:fill="CFF0FC"/>
          </w:tcPr>
          <w:p>
            <w:pPr>
              <w:ind w:left="20"/>
              <w:spacing w:after="0"/>
              <w:rPr>
                <w:sz w:val="20"/>
                <w:szCs w:val="20"/>
                <w:color w:val="auto"/>
              </w:rPr>
            </w:pPr>
            <w:r>
              <w:rPr>
                <w:rFonts w:ascii="Arial" w:cs="Arial" w:eastAsia="Arial" w:hAnsi="Arial"/>
                <w:sz w:val="14"/>
                <w:szCs w:val="14"/>
                <w:color w:val="auto"/>
              </w:rPr>
              <w:t>Net loss per share, basic and diluted</w:t>
            </w:r>
          </w:p>
        </w:tc>
        <w:tc>
          <w:tcPr>
            <w:tcW w:w="340" w:type="dxa"/>
            <w:vAlign w:val="bottom"/>
            <w:shd w:val="clear" w:color="auto" w:fill="CFF0FC"/>
          </w:tcPr>
          <w:p>
            <w:pPr>
              <w:jc w:val="right"/>
              <w:ind w:right="188"/>
              <w:spacing w:after="0"/>
              <w:rPr>
                <w:sz w:val="20"/>
                <w:szCs w:val="20"/>
                <w:color w:val="auto"/>
              </w:rPr>
            </w:pPr>
            <w:r>
              <w:rPr>
                <w:rFonts w:ascii="Arial" w:cs="Arial" w:eastAsia="Arial" w:hAnsi="Arial"/>
                <w:sz w:val="14"/>
                <w:szCs w:val="14"/>
                <w:color w:val="auto"/>
                <w:w w:val="76"/>
              </w:rPr>
              <w:t>$</w:t>
            </w:r>
          </w:p>
        </w:tc>
        <w:tc>
          <w:tcPr>
            <w:tcW w:w="140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(2.33 )</w:t>
            </w:r>
          </w:p>
        </w:tc>
        <w:tc>
          <w:tcPr>
            <w:tcW w:w="340" w:type="dxa"/>
            <w:vAlign w:val="bottom"/>
            <w:shd w:val="clear" w:color="auto" w:fill="CFF0FC"/>
          </w:tcPr>
          <w:p>
            <w:pPr>
              <w:jc w:val="right"/>
              <w:ind w:right="188"/>
              <w:spacing w:after="0"/>
              <w:rPr>
                <w:sz w:val="20"/>
                <w:szCs w:val="20"/>
                <w:color w:val="auto"/>
              </w:rPr>
            </w:pPr>
            <w:r>
              <w:rPr>
                <w:rFonts w:ascii="Arial" w:cs="Arial" w:eastAsia="Arial" w:hAnsi="Arial"/>
                <w:sz w:val="14"/>
                <w:szCs w:val="14"/>
                <w:color w:val="auto"/>
                <w:w w:val="76"/>
              </w:rPr>
              <w:t>$</w:t>
            </w:r>
          </w:p>
        </w:tc>
        <w:tc>
          <w:tcPr>
            <w:tcW w:w="136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(5.32 )</w:t>
            </w:r>
          </w:p>
        </w:tc>
        <w:tc>
          <w:tcPr>
            <w:tcW w:w="340" w:type="dxa"/>
            <w:vAlign w:val="bottom"/>
            <w:shd w:val="clear" w:color="auto" w:fill="CFF0FC"/>
          </w:tcPr>
          <w:p>
            <w:pPr>
              <w:jc w:val="right"/>
              <w:ind w:right="168"/>
              <w:spacing w:after="0"/>
              <w:rPr>
                <w:sz w:val="20"/>
                <w:szCs w:val="20"/>
                <w:color w:val="auto"/>
              </w:rPr>
            </w:pPr>
            <w:r>
              <w:rPr>
                <w:rFonts w:ascii="Arial" w:cs="Arial" w:eastAsia="Arial" w:hAnsi="Arial"/>
                <w:sz w:val="14"/>
                <w:szCs w:val="14"/>
                <w:color w:val="auto"/>
              </w:rPr>
              <w:t>$</w:t>
            </w:r>
          </w:p>
        </w:tc>
        <w:tc>
          <w:tcPr>
            <w:tcW w:w="12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(4.88 )</w:t>
            </w:r>
          </w:p>
        </w:tc>
        <w:tc>
          <w:tcPr>
            <w:tcW w:w="0" w:type="dxa"/>
            <w:vAlign w:val="bottom"/>
          </w:tcPr>
          <w:p>
            <w:pPr>
              <w:spacing w:after="0"/>
              <w:rPr>
                <w:sz w:val="1"/>
                <w:szCs w:val="1"/>
                <w:color w:val="auto"/>
              </w:rPr>
            </w:pPr>
          </w:p>
        </w:tc>
      </w:tr>
      <w:tr>
        <w:trPr>
          <w:trHeight w:val="124"/>
        </w:trPr>
        <w:tc>
          <w:tcPr>
            <w:tcW w:w="6240" w:type="dxa"/>
            <w:vAlign w:val="bottom"/>
            <w:tcBorders>
              <w:top w:val="single" w:sz="8" w:color="CFF0FC"/>
            </w:tcBorders>
          </w:tcPr>
          <w:p>
            <w:pPr>
              <w:ind w:left="20"/>
              <w:spacing w:after="0" w:line="124" w:lineRule="exact"/>
              <w:rPr>
                <w:sz w:val="20"/>
                <w:szCs w:val="20"/>
                <w:color w:val="auto"/>
              </w:rPr>
            </w:pPr>
            <w:r>
              <w:rPr>
                <w:rFonts w:ascii="Arial" w:cs="Arial" w:eastAsia="Arial" w:hAnsi="Arial"/>
                <w:sz w:val="14"/>
                <w:szCs w:val="14"/>
                <w:color w:val="auto"/>
              </w:rPr>
              <w:t>Weighted-average number of shares outstanding used to compute</w:t>
            </w:r>
          </w:p>
        </w:tc>
        <w:tc>
          <w:tcPr>
            <w:tcW w:w="34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26,318,349</w:t>
            </w:r>
          </w:p>
        </w:tc>
        <w:tc>
          <w:tcPr>
            <w:tcW w:w="240" w:type="dxa"/>
            <w:vAlign w:val="bottom"/>
            <w:tcBorders>
              <w:top w:val="single" w:sz="8" w:color="CFF0FC"/>
            </w:tcBorders>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114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7,492,876</w:t>
            </w:r>
          </w:p>
        </w:tc>
        <w:tc>
          <w:tcPr>
            <w:tcW w:w="220" w:type="dxa"/>
            <w:vAlign w:val="bottom"/>
            <w:tcBorders>
              <w:top w:val="single" w:sz="8" w:color="CFF0FC"/>
            </w:tcBorders>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6,345,498</w:t>
            </w:r>
          </w:p>
        </w:tc>
        <w:tc>
          <w:tcPr>
            <w:tcW w:w="60" w:type="dxa"/>
            <w:vAlign w:val="bottom"/>
            <w:tcBorders>
              <w:top w:val="single" w:sz="8" w:color="CFF0FC"/>
            </w:tcBorders>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6240" w:type="dxa"/>
            <w:vAlign w:val="bottom"/>
          </w:tcPr>
          <w:p>
            <w:pPr>
              <w:ind w:left="120"/>
              <w:spacing w:after="0" w:line="121" w:lineRule="exact"/>
              <w:rPr>
                <w:sz w:val="20"/>
                <w:szCs w:val="20"/>
                <w:color w:val="auto"/>
              </w:rPr>
            </w:pPr>
            <w:r>
              <w:rPr>
                <w:rFonts w:ascii="Arial" w:cs="Arial" w:eastAsia="Arial" w:hAnsi="Arial"/>
                <w:sz w:val="13"/>
                <w:szCs w:val="13"/>
                <w:color w:val="auto"/>
              </w:rPr>
              <w:t>net loss per share, basic and diluted</w:t>
            </w:r>
          </w:p>
        </w:tc>
        <w:tc>
          <w:tcPr>
            <w:tcW w:w="34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vMerge w:val="continue"/>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vMerge w:val="continue"/>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vMerge w:val="continue"/>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6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62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Comprehensive loss:</w:t>
            </w:r>
          </w:p>
        </w:tc>
        <w:tc>
          <w:tcPr>
            <w:tcW w:w="340" w:type="dxa"/>
            <w:vAlign w:val="bottom"/>
            <w:tcBorders>
              <w:bottom w:val="single" w:sz="8" w:color="CFF0FC"/>
            </w:tcBorders>
            <w:shd w:val="clear" w:color="auto" w:fill="CFF0FC"/>
          </w:tcPr>
          <w:p>
            <w:pPr>
              <w:spacing w:after="0"/>
              <w:rPr>
                <w:sz w:val="18"/>
                <w:szCs w:val="18"/>
                <w:color w:val="auto"/>
              </w:rPr>
            </w:pPr>
          </w:p>
        </w:tc>
        <w:tc>
          <w:tcPr>
            <w:tcW w:w="116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CFF0FC"/>
            </w:tcBorders>
            <w:shd w:val="clear" w:color="auto" w:fill="CFF0FC"/>
          </w:tcPr>
          <w:p>
            <w:pPr>
              <w:spacing w:after="0"/>
              <w:rPr>
                <w:sz w:val="18"/>
                <w:szCs w:val="18"/>
                <w:color w:val="auto"/>
              </w:rPr>
            </w:pPr>
          </w:p>
        </w:tc>
        <w:tc>
          <w:tcPr>
            <w:tcW w:w="114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CFF0FC"/>
            </w:tcBorders>
            <w:shd w:val="clear" w:color="auto" w:fill="CFF0FC"/>
          </w:tcPr>
          <w:p>
            <w:pPr>
              <w:spacing w:after="0"/>
              <w:rPr>
                <w:sz w:val="18"/>
                <w:szCs w:val="18"/>
                <w:color w:val="auto"/>
              </w:rPr>
            </w:pPr>
          </w:p>
        </w:tc>
        <w:tc>
          <w:tcPr>
            <w:tcW w:w="1160" w:type="dxa"/>
            <w:vAlign w:val="bottom"/>
            <w:tcBorders>
              <w:bottom w:val="single" w:sz="8" w:color="CFF0FC"/>
            </w:tcBorders>
            <w:shd w:val="clear" w:color="auto" w:fill="CFF0FC"/>
          </w:tcPr>
          <w:p>
            <w:pPr>
              <w:spacing w:after="0"/>
              <w:rPr>
                <w:sz w:val="18"/>
                <w:szCs w:val="18"/>
                <w:color w:val="auto"/>
              </w:rPr>
            </w:pPr>
          </w:p>
        </w:tc>
        <w:tc>
          <w:tcPr>
            <w:tcW w:w="6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tcPr>
          <w:p>
            <w:pPr>
              <w:ind w:left="200"/>
              <w:spacing w:after="0"/>
              <w:rPr>
                <w:sz w:val="20"/>
                <w:szCs w:val="20"/>
                <w:color w:val="auto"/>
              </w:rPr>
            </w:pPr>
            <w:r>
              <w:rPr>
                <w:rFonts w:ascii="Arial" w:cs="Arial" w:eastAsia="Arial" w:hAnsi="Arial"/>
                <w:sz w:val="14"/>
                <w:szCs w:val="14"/>
                <w:color w:val="auto"/>
              </w:rPr>
              <w:t>Foreign currency translation</w:t>
            </w:r>
          </w:p>
        </w:tc>
        <w:tc>
          <w:tcPr>
            <w:tcW w:w="340" w:type="dxa"/>
            <w:vAlign w:val="bottom"/>
          </w:tcPr>
          <w:p>
            <w:pPr>
              <w:jc w:val="right"/>
              <w:ind w:right="188"/>
              <w:spacing w:after="0"/>
              <w:rPr>
                <w:sz w:val="20"/>
                <w:szCs w:val="20"/>
                <w:color w:val="auto"/>
              </w:rPr>
            </w:pPr>
            <w:r>
              <w:rPr>
                <w:rFonts w:ascii="Arial" w:cs="Arial" w:eastAsia="Arial" w:hAnsi="Arial"/>
                <w:sz w:val="14"/>
                <w:szCs w:val="14"/>
                <w:color w:val="auto"/>
                <w:w w:val="76"/>
              </w:rPr>
              <w:t>$</w:t>
            </w:r>
          </w:p>
        </w:tc>
        <w:tc>
          <w:tcPr>
            <w:tcW w:w="1400" w:type="dxa"/>
            <w:vAlign w:val="bottom"/>
            <w:gridSpan w:val="2"/>
          </w:tcPr>
          <w:p>
            <w:pPr>
              <w:jc w:val="right"/>
              <w:ind w:right="180"/>
              <w:spacing w:after="0"/>
              <w:rPr>
                <w:sz w:val="20"/>
                <w:szCs w:val="20"/>
                <w:color w:val="auto"/>
              </w:rPr>
            </w:pPr>
            <w:r>
              <w:rPr>
                <w:rFonts w:ascii="Arial" w:cs="Arial" w:eastAsia="Arial" w:hAnsi="Arial"/>
                <w:sz w:val="14"/>
                <w:szCs w:val="14"/>
                <w:color w:val="auto"/>
              </w:rPr>
              <w:t>(61 )</w:t>
            </w:r>
          </w:p>
        </w:tc>
        <w:tc>
          <w:tcPr>
            <w:tcW w:w="340" w:type="dxa"/>
            <w:vAlign w:val="bottom"/>
          </w:tcPr>
          <w:p>
            <w:pPr>
              <w:jc w:val="right"/>
              <w:ind w:right="188"/>
              <w:spacing w:after="0"/>
              <w:rPr>
                <w:sz w:val="20"/>
                <w:szCs w:val="20"/>
                <w:color w:val="auto"/>
              </w:rPr>
            </w:pPr>
            <w:r>
              <w:rPr>
                <w:rFonts w:ascii="Arial" w:cs="Arial" w:eastAsia="Arial" w:hAnsi="Arial"/>
                <w:sz w:val="14"/>
                <w:szCs w:val="14"/>
                <w:color w:val="auto"/>
                <w:w w:val="76"/>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210</w:t>
            </w:r>
          </w:p>
        </w:tc>
        <w:tc>
          <w:tcPr>
            <w:tcW w:w="220" w:type="dxa"/>
            <w:vAlign w:val="bottom"/>
          </w:tcPr>
          <w:p>
            <w:pPr>
              <w:spacing w:after="0"/>
              <w:rPr>
                <w:sz w:val="18"/>
                <w:szCs w:val="18"/>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2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62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240" w:type="dxa"/>
            <w:vAlign w:val="bottom"/>
            <w:shd w:val="clear" w:color="auto" w:fill="CFF0FC"/>
          </w:tcPr>
          <w:p>
            <w:pPr>
              <w:ind w:left="380"/>
              <w:spacing w:after="0"/>
              <w:rPr>
                <w:sz w:val="20"/>
                <w:szCs w:val="20"/>
                <w:color w:val="auto"/>
              </w:rPr>
            </w:pPr>
            <w:r>
              <w:rPr>
                <w:rFonts w:ascii="Arial" w:cs="Arial" w:eastAsia="Arial" w:hAnsi="Arial"/>
                <w:sz w:val="14"/>
                <w:szCs w:val="14"/>
                <w:color w:val="auto"/>
              </w:rPr>
              <w:t>Total other comprehensive (loss) income</w:t>
            </w:r>
          </w:p>
        </w:tc>
        <w:tc>
          <w:tcPr>
            <w:tcW w:w="34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(61 )</w:t>
            </w:r>
          </w:p>
        </w:tc>
        <w:tc>
          <w:tcPr>
            <w:tcW w:w="34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210</w:t>
            </w:r>
          </w:p>
        </w:tc>
        <w:tc>
          <w:tcPr>
            <w:tcW w:w="2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624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6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6240" w:type="dxa"/>
            <w:vAlign w:val="bottom"/>
          </w:tcPr>
          <w:p>
            <w:pPr>
              <w:ind w:left="20"/>
              <w:spacing w:after="0"/>
              <w:rPr>
                <w:sz w:val="20"/>
                <w:szCs w:val="20"/>
                <w:color w:val="auto"/>
              </w:rPr>
            </w:pPr>
            <w:r>
              <w:rPr>
                <w:rFonts w:ascii="Arial" w:cs="Arial" w:eastAsia="Arial" w:hAnsi="Arial"/>
                <w:sz w:val="14"/>
                <w:szCs w:val="14"/>
                <w:b w:val="1"/>
                <w:bCs w:val="1"/>
                <w:color w:val="auto"/>
              </w:rPr>
              <w:t>Net loss</w:t>
            </w:r>
          </w:p>
        </w:tc>
        <w:tc>
          <w:tcPr>
            <w:tcW w:w="340" w:type="dxa"/>
            <w:vAlign w:val="bottom"/>
          </w:tcPr>
          <w:p>
            <w:pPr>
              <w:spacing w:after="0"/>
              <w:rPr>
                <w:sz w:val="15"/>
                <w:szCs w:val="15"/>
                <w:color w:val="auto"/>
              </w:rPr>
            </w:pPr>
          </w:p>
        </w:tc>
        <w:tc>
          <w:tcPr>
            <w:tcW w:w="140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(61,381 )</w:t>
            </w:r>
          </w:p>
        </w:tc>
        <w:tc>
          <w:tcPr>
            <w:tcW w:w="340" w:type="dxa"/>
            <w:vAlign w:val="bottom"/>
          </w:tcPr>
          <w:p>
            <w:pPr>
              <w:spacing w:after="0"/>
              <w:rPr>
                <w:sz w:val="15"/>
                <w:szCs w:val="15"/>
                <w:color w:val="auto"/>
              </w:rPr>
            </w:pPr>
          </w:p>
        </w:tc>
        <w:tc>
          <w:tcPr>
            <w:tcW w:w="13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(31,085 )</w:t>
            </w:r>
          </w:p>
        </w:tc>
        <w:tc>
          <w:tcPr>
            <w:tcW w:w="340" w:type="dxa"/>
            <w:vAlign w:val="bottom"/>
          </w:tcPr>
          <w:p>
            <w:pPr>
              <w:spacing w:after="0"/>
              <w:rPr>
                <w:sz w:val="15"/>
                <w:szCs w:val="15"/>
                <w:color w:val="auto"/>
              </w:rPr>
            </w:pPr>
          </w:p>
        </w:tc>
        <w:tc>
          <w:tcPr>
            <w:tcW w:w="1220" w:type="dxa"/>
            <w:vAlign w:val="bottom"/>
            <w:gridSpan w:val="2"/>
            <w:vMerge w:val="restart"/>
          </w:tcPr>
          <w:p>
            <w:pPr>
              <w:jc w:val="right"/>
              <w:spacing w:after="0"/>
              <w:rPr>
                <w:sz w:val="20"/>
                <w:szCs w:val="20"/>
                <w:color w:val="auto"/>
              </w:rPr>
            </w:pPr>
            <w:r>
              <w:rPr>
                <w:rFonts w:ascii="Arial" w:cs="Arial" w:eastAsia="Arial" w:hAnsi="Arial"/>
                <w:sz w:val="14"/>
                <w:szCs w:val="14"/>
                <w:color w:val="auto"/>
              </w:rPr>
              <w:t>(30,994 )</w:t>
            </w:r>
          </w:p>
        </w:tc>
        <w:tc>
          <w:tcPr>
            <w:tcW w:w="0" w:type="dxa"/>
            <w:vAlign w:val="bottom"/>
          </w:tcPr>
          <w:p>
            <w:pPr>
              <w:spacing w:after="0"/>
              <w:rPr>
                <w:sz w:val="1"/>
                <w:szCs w:val="1"/>
                <w:color w:val="auto"/>
              </w:rPr>
            </w:pPr>
          </w:p>
        </w:tc>
      </w:tr>
      <w:tr>
        <w:trPr>
          <w:trHeight w:val="43"/>
        </w:trPr>
        <w:tc>
          <w:tcPr>
            <w:tcW w:w="62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0" w:type="dxa"/>
            <w:vAlign w:val="bottom"/>
            <w:gridSpan w:val="2"/>
            <w:vMerge w:val="continue"/>
          </w:tcPr>
          <w:p>
            <w:pPr>
              <w:spacing w:after="0"/>
              <w:rPr>
                <w:sz w:val="3"/>
                <w:szCs w:val="3"/>
                <w:color w:val="auto"/>
              </w:rPr>
            </w:pPr>
          </w:p>
        </w:tc>
        <w:tc>
          <w:tcPr>
            <w:tcW w:w="340" w:type="dxa"/>
            <w:vAlign w:val="bottom"/>
          </w:tcPr>
          <w:p>
            <w:pPr>
              <w:spacing w:after="0"/>
              <w:rPr>
                <w:sz w:val="3"/>
                <w:szCs w:val="3"/>
                <w:color w:val="auto"/>
              </w:rPr>
            </w:pPr>
          </w:p>
        </w:tc>
        <w:tc>
          <w:tcPr>
            <w:tcW w:w="1360" w:type="dxa"/>
            <w:vAlign w:val="bottom"/>
            <w:gridSpan w:val="2"/>
            <w:vMerge w:val="continue"/>
          </w:tcPr>
          <w:p>
            <w:pPr>
              <w:spacing w:after="0"/>
              <w:rPr>
                <w:sz w:val="3"/>
                <w:szCs w:val="3"/>
                <w:color w:val="auto"/>
              </w:rPr>
            </w:pPr>
          </w:p>
        </w:tc>
        <w:tc>
          <w:tcPr>
            <w:tcW w:w="34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62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b w:val="1"/>
                <w:bCs w:val="1"/>
                <w:color w:val="auto"/>
              </w:rPr>
              <w:t>Comprehensive loss</w:t>
            </w:r>
          </w:p>
        </w:tc>
        <w:tc>
          <w:tcPr>
            <w:tcW w:w="340" w:type="dxa"/>
            <w:vAlign w:val="bottom"/>
            <w:tcBorders>
              <w:bottom w:val="single" w:sz="8" w:color="CFF0FC"/>
            </w:tcBorders>
            <w:shd w:val="clear" w:color="auto" w:fill="CFF0FC"/>
          </w:tcPr>
          <w:p>
            <w:pPr>
              <w:spacing w:after="0"/>
              <w:rPr>
                <w:sz w:val="18"/>
                <w:szCs w:val="18"/>
                <w:color w:val="auto"/>
              </w:rPr>
            </w:pPr>
          </w:p>
        </w:tc>
        <w:tc>
          <w:tcPr>
            <w:tcW w:w="1400" w:type="dxa"/>
            <w:vAlign w:val="bottom"/>
            <w:tcBorders>
              <w:bottom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(61,442 )</w:t>
            </w:r>
          </w:p>
        </w:tc>
        <w:tc>
          <w:tcPr>
            <w:tcW w:w="340" w:type="dxa"/>
            <w:vAlign w:val="bottom"/>
            <w:tcBorders>
              <w:bottom w:val="single" w:sz="8" w:color="CFF0FC"/>
            </w:tcBorders>
            <w:shd w:val="clear" w:color="auto" w:fill="CFF0FC"/>
          </w:tcPr>
          <w:p>
            <w:pPr>
              <w:spacing w:after="0"/>
              <w:rPr>
                <w:sz w:val="18"/>
                <w:szCs w:val="18"/>
                <w:color w:val="auto"/>
              </w:rPr>
            </w:pPr>
          </w:p>
        </w:tc>
        <w:tc>
          <w:tcPr>
            <w:tcW w:w="136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(30,875 )</w:t>
            </w:r>
          </w:p>
        </w:tc>
        <w:tc>
          <w:tcPr>
            <w:tcW w:w="340" w:type="dxa"/>
            <w:vAlign w:val="bottom"/>
            <w:tcBorders>
              <w:bottom w:val="single" w:sz="8" w:color="CFF0FC"/>
            </w:tcBorders>
            <w:shd w:val="clear" w:color="auto" w:fill="CFF0FC"/>
          </w:tcPr>
          <w:p>
            <w:pPr>
              <w:spacing w:after="0"/>
              <w:rPr>
                <w:sz w:val="18"/>
                <w:szCs w:val="18"/>
                <w:color w:val="auto"/>
              </w:rPr>
            </w:pPr>
          </w:p>
        </w:tc>
        <w:tc>
          <w:tcPr>
            <w:tcW w:w="122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4"/>
                <w:szCs w:val="14"/>
                <w:color w:val="auto"/>
              </w:rPr>
              <w:t>(30,994 )</w:t>
            </w:r>
          </w:p>
        </w:tc>
        <w:tc>
          <w:tcPr>
            <w:tcW w:w="0" w:type="dxa"/>
            <w:vAlign w:val="bottom"/>
          </w:tcPr>
          <w:p>
            <w:pPr>
              <w:spacing w:after="0"/>
              <w:rPr>
                <w:sz w:val="1"/>
                <w:szCs w:val="1"/>
                <w:color w:val="auto"/>
              </w:rPr>
            </w:pPr>
          </w:p>
        </w:tc>
      </w:tr>
      <w:tr>
        <w:trPr>
          <w:trHeight w:val="216"/>
        </w:trPr>
        <w:tc>
          <w:tcPr>
            <w:tcW w:w="6240" w:type="dxa"/>
            <w:vAlign w:val="bottom"/>
          </w:tcPr>
          <w:p>
            <w:pPr>
              <w:ind w:left="20"/>
              <w:spacing w:after="0"/>
              <w:rPr>
                <w:sz w:val="20"/>
                <w:szCs w:val="20"/>
                <w:color w:val="auto"/>
              </w:rPr>
            </w:pPr>
            <w:r>
              <w:rPr>
                <w:rFonts w:ascii="Arial" w:cs="Arial" w:eastAsia="Arial" w:hAnsi="Arial"/>
                <w:sz w:val="14"/>
                <w:szCs w:val="14"/>
                <w:color w:val="auto"/>
              </w:rPr>
              <w:t>Comprehensive loss attributable to noncontrolling interest</w:t>
            </w: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24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Total comprehensive loss attributable to common stockholders</w:t>
            </w:r>
          </w:p>
        </w:tc>
        <w:tc>
          <w:tcPr>
            <w:tcW w:w="340" w:type="dxa"/>
            <w:vAlign w:val="bottom"/>
            <w:shd w:val="clear" w:color="auto" w:fill="CFF0FC"/>
          </w:tcPr>
          <w:p>
            <w:pPr>
              <w:jc w:val="right"/>
              <w:ind w:right="188"/>
              <w:spacing w:after="0"/>
              <w:rPr>
                <w:sz w:val="20"/>
                <w:szCs w:val="20"/>
                <w:color w:val="auto"/>
              </w:rPr>
            </w:pPr>
            <w:r>
              <w:rPr>
                <w:rFonts w:ascii="Arial" w:cs="Arial" w:eastAsia="Arial" w:hAnsi="Arial"/>
                <w:sz w:val="14"/>
                <w:szCs w:val="14"/>
                <w:color w:val="auto"/>
                <w:w w:val="76"/>
              </w:rPr>
              <w:t>$</w:t>
            </w:r>
          </w:p>
        </w:tc>
        <w:tc>
          <w:tcPr>
            <w:tcW w:w="140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(61,442 )</w:t>
            </w:r>
          </w:p>
        </w:tc>
        <w:tc>
          <w:tcPr>
            <w:tcW w:w="340" w:type="dxa"/>
            <w:vAlign w:val="bottom"/>
            <w:shd w:val="clear" w:color="auto" w:fill="CFF0FC"/>
          </w:tcPr>
          <w:p>
            <w:pPr>
              <w:jc w:val="right"/>
              <w:ind w:right="188"/>
              <w:spacing w:after="0"/>
              <w:rPr>
                <w:sz w:val="20"/>
                <w:szCs w:val="20"/>
                <w:color w:val="auto"/>
              </w:rPr>
            </w:pPr>
            <w:r>
              <w:rPr>
                <w:rFonts w:ascii="Arial" w:cs="Arial" w:eastAsia="Arial" w:hAnsi="Arial"/>
                <w:sz w:val="14"/>
                <w:szCs w:val="14"/>
                <w:color w:val="auto"/>
                <w:w w:val="76"/>
              </w:rPr>
              <w:t>$</w:t>
            </w:r>
          </w:p>
        </w:tc>
        <w:tc>
          <w:tcPr>
            <w:tcW w:w="136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(30,875 )</w:t>
            </w:r>
          </w:p>
        </w:tc>
        <w:tc>
          <w:tcPr>
            <w:tcW w:w="340" w:type="dxa"/>
            <w:vAlign w:val="bottom"/>
            <w:shd w:val="clear" w:color="auto" w:fill="CFF0FC"/>
          </w:tcPr>
          <w:p>
            <w:pPr>
              <w:jc w:val="right"/>
              <w:ind w:right="168"/>
              <w:spacing w:after="0"/>
              <w:rPr>
                <w:sz w:val="20"/>
                <w:szCs w:val="20"/>
                <w:color w:val="auto"/>
              </w:rPr>
            </w:pPr>
            <w:r>
              <w:rPr>
                <w:rFonts w:ascii="Arial" w:cs="Arial" w:eastAsia="Arial" w:hAnsi="Arial"/>
                <w:sz w:val="14"/>
                <w:szCs w:val="14"/>
                <w:color w:val="auto"/>
              </w:rPr>
              <w:t>$</w:t>
            </w:r>
          </w:p>
        </w:tc>
        <w:tc>
          <w:tcPr>
            <w:tcW w:w="12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(30,994 )</w:t>
            </w:r>
          </w:p>
        </w:tc>
        <w:tc>
          <w:tcPr>
            <w:tcW w:w="0" w:type="dxa"/>
            <w:vAlign w:val="bottom"/>
          </w:tcPr>
          <w:p>
            <w:pPr>
              <w:spacing w:after="0"/>
              <w:rPr>
                <w:sz w:val="1"/>
                <w:szCs w:val="1"/>
                <w:color w:val="auto"/>
              </w:rPr>
            </w:pPr>
          </w:p>
        </w:tc>
      </w:tr>
      <w:tr>
        <w:trPr>
          <w:trHeight w:val="20"/>
        </w:trPr>
        <w:tc>
          <w:tcPr>
            <w:tcW w:w="624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4916805</wp:posOffset>
            </wp:positionH>
            <wp:positionV relativeFrom="paragraph">
              <wp:posOffset>-4145280</wp:posOffset>
            </wp:positionV>
            <wp:extent cx="43180" cy="571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6">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-4145280</wp:posOffset>
            </wp:positionV>
            <wp:extent cx="43180" cy="571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7">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-4145280</wp:posOffset>
            </wp:positionV>
            <wp:extent cx="43180" cy="571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8">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-3270885</wp:posOffset>
            </wp:positionV>
            <wp:extent cx="43180" cy="571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9">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-3270885</wp:posOffset>
            </wp:positionV>
            <wp:extent cx="43180" cy="571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0">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-3270885</wp:posOffset>
            </wp:positionV>
            <wp:extent cx="43180" cy="571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1">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-2396490</wp:posOffset>
            </wp:positionV>
            <wp:extent cx="43180" cy="571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2">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-2396490</wp:posOffset>
            </wp:positionV>
            <wp:extent cx="43180" cy="571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3">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-2396490</wp:posOffset>
            </wp:positionV>
            <wp:extent cx="43180" cy="571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4">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-1813560</wp:posOffset>
            </wp:positionV>
            <wp:extent cx="43180" cy="571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5">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-1813560</wp:posOffset>
            </wp:positionV>
            <wp:extent cx="43180" cy="571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6">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-1813560</wp:posOffset>
            </wp:positionV>
            <wp:extent cx="43180" cy="571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7">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-1542415</wp:posOffset>
            </wp:positionV>
            <wp:extent cx="4318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8">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-1525270</wp:posOffset>
            </wp:positionV>
            <wp:extent cx="4318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9">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-1542415</wp:posOffset>
            </wp:positionV>
            <wp:extent cx="4318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0">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-1525270</wp:posOffset>
            </wp:positionV>
            <wp:extent cx="4318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1">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-1542415</wp:posOffset>
            </wp:positionV>
            <wp:extent cx="4318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2">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-1525270</wp:posOffset>
            </wp:positionV>
            <wp:extent cx="4318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3">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-588010</wp:posOffset>
            </wp:positionV>
            <wp:extent cx="43180" cy="571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4">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-588010</wp:posOffset>
            </wp:positionV>
            <wp:extent cx="43180" cy="571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5">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-588010</wp:posOffset>
            </wp:positionV>
            <wp:extent cx="43180" cy="571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6">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-24765</wp:posOffset>
            </wp:positionV>
            <wp:extent cx="4318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7">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-8255</wp:posOffset>
            </wp:positionV>
            <wp:extent cx="4318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8">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-24765</wp:posOffset>
            </wp:positionV>
            <wp:extent cx="4318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9">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-8255</wp:posOffset>
            </wp:positionV>
            <wp:extent cx="4318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0">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-24765</wp:posOffset>
            </wp:positionV>
            <wp:extent cx="4318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1">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-8255</wp:posOffset>
            </wp:positionV>
            <wp:extent cx="4318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2">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pacing w:after="0" w:line="17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See accompanying notes to the consolidated financial statements.</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62" w:name="page63"/>
    <w:bookmarkEnd w:id="62"/>
    <w:p>
      <w:pPr>
        <w:jc w:val="center"/>
        <w:ind w:right="40"/>
        <w:spacing w:after="0"/>
        <w:rPr>
          <w:sz w:val="20"/>
          <w:szCs w:val="20"/>
          <w:color w:val="auto"/>
        </w:rPr>
      </w:pPr>
      <w:r>
        <w:rPr>
          <w:rFonts w:ascii="Arial" w:cs="Arial" w:eastAsia="Arial" w:hAnsi="Arial"/>
          <w:sz w:val="18"/>
          <w:szCs w:val="18"/>
          <w:b w:val="1"/>
          <w:bCs w:val="1"/>
          <w:color w:val="auto"/>
        </w:rPr>
        <w:t>XOMETRY, INC. AND SUBSIDIARIES</w:t>
      </w:r>
    </w:p>
    <w:p>
      <w:pPr>
        <w:spacing w:after="0" w:line="1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Consolidated Statements of Changes in Convertible Preferred Stock and Stockholders’ Equity (Deficit)</w:t>
      </w:r>
    </w:p>
    <w:p>
      <w:pPr>
        <w:jc w:val="center"/>
        <w:ind w:right="40"/>
        <w:spacing w:after="0"/>
        <w:rPr>
          <w:sz w:val="20"/>
          <w:szCs w:val="20"/>
          <w:color w:val="auto"/>
        </w:rPr>
      </w:pPr>
      <w:r>
        <w:rPr>
          <w:rFonts w:ascii="Arial" w:cs="Arial" w:eastAsia="Arial" w:hAnsi="Arial"/>
          <w:sz w:val="18"/>
          <w:szCs w:val="18"/>
          <w:color w:val="auto"/>
        </w:rPr>
        <w:t>(In thousands, except share and per share data)</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180" w:type="dxa"/>
            <w:vAlign w:val="bottom"/>
          </w:tcPr>
          <w:p>
            <w:pPr>
              <w:spacing w:after="0"/>
              <w:rPr>
                <w:sz w:val="10"/>
                <w:szCs w:val="10"/>
                <w:color w:val="auto"/>
              </w:rPr>
            </w:pPr>
          </w:p>
        </w:tc>
        <w:tc>
          <w:tcPr>
            <w:tcW w:w="1380" w:type="dxa"/>
            <w:vAlign w:val="bottom"/>
            <w:tcBorders>
              <w:right w:val="single" w:sz="8" w:color="auto"/>
            </w:tcBorders>
            <w:gridSpan w:val="5"/>
          </w:tcPr>
          <w:p>
            <w:pPr>
              <w:jc w:val="center"/>
              <w:ind w:right="160"/>
              <w:spacing w:after="0"/>
              <w:rPr>
                <w:sz w:val="20"/>
                <w:szCs w:val="20"/>
                <w:color w:val="auto"/>
              </w:rPr>
            </w:pPr>
            <w:r>
              <w:rPr>
                <w:rFonts w:ascii="Arial" w:cs="Arial" w:eastAsia="Arial" w:hAnsi="Arial"/>
                <w:sz w:val="11"/>
                <w:szCs w:val="11"/>
                <w:b w:val="1"/>
                <w:bCs w:val="1"/>
                <w:color w:val="auto"/>
                <w:w w:val="90"/>
              </w:rPr>
              <w:t>Convertible Preferred</w:t>
            </w: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180" w:type="dxa"/>
            <w:vAlign w:val="bottom"/>
          </w:tcPr>
          <w:p>
            <w:pPr>
              <w:spacing w:after="0"/>
              <w:rPr>
                <w:sz w:val="11"/>
                <w:szCs w:val="11"/>
                <w:color w:val="auto"/>
              </w:rPr>
            </w:pPr>
          </w:p>
        </w:tc>
        <w:tc>
          <w:tcPr>
            <w:tcW w:w="760" w:type="dxa"/>
            <w:vAlign w:val="bottom"/>
            <w:gridSpan w:val="3"/>
          </w:tcPr>
          <w:p>
            <w:pPr>
              <w:jc w:val="center"/>
              <w:ind w:left="439"/>
              <w:spacing w:after="0"/>
              <w:rPr>
                <w:sz w:val="20"/>
                <w:szCs w:val="20"/>
                <w:color w:val="auto"/>
              </w:rPr>
            </w:pPr>
            <w:r>
              <w:rPr>
                <w:rFonts w:ascii="Arial" w:cs="Arial" w:eastAsia="Arial" w:hAnsi="Arial"/>
                <w:sz w:val="11"/>
                <w:szCs w:val="11"/>
                <w:b w:val="1"/>
                <w:bCs w:val="1"/>
                <w:color w:val="auto"/>
                <w:w w:val="86"/>
              </w:rPr>
              <w:t>Stock</w:t>
            </w:r>
          </w:p>
        </w:tc>
        <w:tc>
          <w:tcPr>
            <w:tcW w:w="50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180" w:type="dxa"/>
            <w:vAlign w:val="bottom"/>
          </w:tcPr>
          <w:p>
            <w:pPr>
              <w:spacing w:after="0"/>
              <w:rPr>
                <w:sz w:val="9"/>
                <w:szCs w:val="9"/>
                <w:color w:val="auto"/>
              </w:rPr>
            </w:pPr>
          </w:p>
        </w:tc>
        <w:tc>
          <w:tcPr>
            <w:tcW w:w="1380" w:type="dxa"/>
            <w:vAlign w:val="bottom"/>
            <w:tcBorders>
              <w:right w:val="single" w:sz="8" w:color="auto"/>
            </w:tcBorders>
            <w:gridSpan w:val="5"/>
          </w:tcPr>
          <w:p>
            <w:pPr>
              <w:jc w:val="center"/>
              <w:ind w:right="120"/>
              <w:spacing w:after="0" w:line="109" w:lineRule="exact"/>
              <w:rPr>
                <w:sz w:val="20"/>
                <w:szCs w:val="20"/>
                <w:color w:val="auto"/>
              </w:rPr>
            </w:pPr>
            <w:r>
              <w:rPr>
                <w:rFonts w:ascii="Arial" w:cs="Arial" w:eastAsia="Arial" w:hAnsi="Arial"/>
                <w:sz w:val="11"/>
                <w:szCs w:val="11"/>
                <w:b w:val="1"/>
                <w:bCs w:val="1"/>
                <w:color w:val="auto"/>
                <w:w w:val="86"/>
              </w:rPr>
              <w:t>Seed-1, Seed-2, Series A-1,</w:t>
            </w:r>
          </w:p>
        </w:tc>
        <w:tc>
          <w:tcPr>
            <w:tcW w:w="46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860" w:type="dxa"/>
            <w:vAlign w:val="bottom"/>
            <w:gridSpan w:val="3"/>
            <w:vMerge w:val="restart"/>
          </w:tcPr>
          <w:p>
            <w:pPr>
              <w:jc w:val="center"/>
              <w:ind w:right="140"/>
              <w:spacing w:after="0"/>
              <w:rPr>
                <w:sz w:val="20"/>
                <w:szCs w:val="20"/>
                <w:color w:val="auto"/>
              </w:rPr>
            </w:pPr>
            <w:r>
              <w:rPr>
                <w:rFonts w:ascii="Arial" w:cs="Arial" w:eastAsia="Arial" w:hAnsi="Arial"/>
                <w:sz w:val="11"/>
                <w:szCs w:val="11"/>
                <w:b w:val="1"/>
                <w:bCs w:val="1"/>
                <w:color w:val="auto"/>
                <w:w w:val="86"/>
              </w:rPr>
              <w:t>Accumulated</w:t>
            </w: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180" w:type="dxa"/>
            <w:vAlign w:val="bottom"/>
          </w:tcPr>
          <w:p>
            <w:pPr>
              <w:spacing w:after="0"/>
              <w:rPr>
                <w:sz w:val="9"/>
                <w:szCs w:val="9"/>
                <w:color w:val="auto"/>
              </w:rPr>
            </w:pPr>
          </w:p>
        </w:tc>
        <w:tc>
          <w:tcPr>
            <w:tcW w:w="1380" w:type="dxa"/>
            <w:vAlign w:val="bottom"/>
            <w:tcBorders>
              <w:right w:val="single" w:sz="8" w:color="auto"/>
            </w:tcBorders>
            <w:gridSpan w:val="5"/>
          </w:tcPr>
          <w:p>
            <w:pPr>
              <w:jc w:val="center"/>
              <w:ind w:right="140"/>
              <w:spacing w:after="0" w:line="108" w:lineRule="exact"/>
              <w:rPr>
                <w:sz w:val="20"/>
                <w:szCs w:val="20"/>
                <w:color w:val="auto"/>
              </w:rPr>
            </w:pPr>
            <w:r>
              <w:rPr>
                <w:rFonts w:ascii="Arial" w:cs="Arial" w:eastAsia="Arial" w:hAnsi="Arial"/>
                <w:sz w:val="11"/>
                <w:szCs w:val="11"/>
                <w:b w:val="1"/>
                <w:bCs w:val="1"/>
                <w:color w:val="auto"/>
                <w:w w:val="85"/>
              </w:rPr>
              <w:t>Series A-2, Series B,</w:t>
            </w:r>
          </w:p>
        </w:tc>
        <w:tc>
          <w:tcPr>
            <w:tcW w:w="46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 w:type="dxa"/>
            <w:vAlign w:val="bottom"/>
          </w:tcPr>
          <w:p>
            <w:pPr>
              <w:spacing w:after="0"/>
              <w:rPr>
                <w:sz w:val="9"/>
                <w:szCs w:val="9"/>
                <w:color w:val="auto"/>
              </w:rPr>
            </w:pPr>
          </w:p>
        </w:tc>
        <w:tc>
          <w:tcPr>
            <w:tcW w:w="1040" w:type="dxa"/>
            <w:vAlign w:val="bottom"/>
            <w:gridSpan w:val="4"/>
            <w:vMerge w:val="restart"/>
          </w:tcPr>
          <w:p>
            <w:pPr>
              <w:jc w:val="center"/>
              <w:spacing w:after="0"/>
              <w:rPr>
                <w:sz w:val="20"/>
                <w:szCs w:val="20"/>
                <w:color w:val="auto"/>
              </w:rPr>
            </w:pPr>
            <w:r>
              <w:rPr>
                <w:rFonts w:ascii="Arial" w:cs="Arial" w:eastAsia="Arial" w:hAnsi="Arial"/>
                <w:sz w:val="11"/>
                <w:szCs w:val="11"/>
                <w:b w:val="1"/>
                <w:bCs w:val="1"/>
                <w:color w:val="auto"/>
                <w:w w:val="87"/>
              </w:rPr>
              <w:t>Class A - Common</w:t>
            </w:r>
          </w:p>
        </w:tc>
        <w:tc>
          <w:tcPr>
            <w:tcW w:w="40" w:type="dxa"/>
            <w:vAlign w:val="bottom"/>
          </w:tcPr>
          <w:p>
            <w:pPr>
              <w:spacing w:after="0"/>
              <w:rPr>
                <w:sz w:val="9"/>
                <w:szCs w:val="9"/>
                <w:color w:val="auto"/>
              </w:rPr>
            </w:pPr>
          </w:p>
        </w:tc>
        <w:tc>
          <w:tcPr>
            <w:tcW w:w="1860" w:type="dxa"/>
            <w:vAlign w:val="bottom"/>
            <w:gridSpan w:val="8"/>
            <w:vMerge w:val="restart"/>
          </w:tcPr>
          <w:p>
            <w:pPr>
              <w:jc w:val="right"/>
              <w:ind w:right="160"/>
              <w:spacing w:after="0"/>
              <w:rPr>
                <w:sz w:val="20"/>
                <w:szCs w:val="20"/>
                <w:color w:val="auto"/>
              </w:rPr>
            </w:pPr>
            <w:r>
              <w:rPr>
                <w:rFonts w:ascii="Arial" w:cs="Arial" w:eastAsia="Arial" w:hAnsi="Arial"/>
                <w:sz w:val="11"/>
                <w:szCs w:val="11"/>
                <w:b w:val="1"/>
                <w:bCs w:val="1"/>
                <w:color w:val="auto"/>
                <w:w w:val="89"/>
              </w:rPr>
              <w:t>Class B - CommonAdditional</w:t>
            </w:r>
          </w:p>
        </w:tc>
        <w:tc>
          <w:tcPr>
            <w:tcW w:w="860" w:type="dxa"/>
            <w:vAlign w:val="bottom"/>
            <w:gridSpan w:val="3"/>
            <w:vMerge w:val="continue"/>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gridSpan w:val="2"/>
            <w:vMerge w:val="restart"/>
          </w:tcPr>
          <w:p>
            <w:pPr>
              <w:jc w:val="center"/>
              <w:ind w:right="200"/>
              <w:spacing w:after="0"/>
              <w:rPr>
                <w:sz w:val="20"/>
                <w:szCs w:val="20"/>
                <w:color w:val="auto"/>
              </w:rPr>
            </w:pPr>
            <w:r>
              <w:rPr>
                <w:rFonts w:ascii="Arial" w:cs="Arial" w:eastAsia="Arial" w:hAnsi="Arial"/>
                <w:sz w:val="11"/>
                <w:szCs w:val="11"/>
                <w:b w:val="1"/>
                <w:bCs w:val="1"/>
                <w:color w:val="auto"/>
                <w:w w:val="91"/>
              </w:rPr>
              <w:t>Total</w:t>
            </w:r>
          </w:p>
        </w:tc>
        <w:tc>
          <w:tcPr>
            <w:tcW w:w="780" w:type="dxa"/>
            <w:vAlign w:val="bottom"/>
            <w:gridSpan w:val="3"/>
            <w:vMerge w:val="restart"/>
          </w:tcPr>
          <w:p>
            <w:pPr>
              <w:jc w:val="center"/>
              <w:ind w:right="160"/>
              <w:spacing w:after="0"/>
              <w:rPr>
                <w:sz w:val="20"/>
                <w:szCs w:val="20"/>
                <w:color w:val="auto"/>
              </w:rPr>
            </w:pPr>
            <w:r>
              <w:rPr>
                <w:rFonts w:ascii="Arial" w:cs="Arial" w:eastAsia="Arial" w:hAnsi="Arial"/>
                <w:sz w:val="11"/>
                <w:szCs w:val="11"/>
                <w:b w:val="1"/>
                <w:bCs w:val="1"/>
                <w:color w:val="auto"/>
                <w:w w:val="89"/>
              </w:rPr>
              <w:t>Noncontrolli</w:t>
            </w: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180" w:type="dxa"/>
            <w:vAlign w:val="bottom"/>
          </w:tcPr>
          <w:p>
            <w:pPr>
              <w:spacing w:after="0"/>
              <w:rPr>
                <w:sz w:val="9"/>
                <w:szCs w:val="9"/>
                <w:color w:val="auto"/>
              </w:rPr>
            </w:pPr>
          </w:p>
        </w:tc>
        <w:tc>
          <w:tcPr>
            <w:tcW w:w="1380" w:type="dxa"/>
            <w:vAlign w:val="bottom"/>
            <w:tcBorders>
              <w:right w:val="single" w:sz="8" w:color="auto"/>
            </w:tcBorders>
            <w:gridSpan w:val="5"/>
          </w:tcPr>
          <w:p>
            <w:pPr>
              <w:jc w:val="center"/>
              <w:ind w:right="160"/>
              <w:spacing w:after="0" w:line="108" w:lineRule="exact"/>
              <w:rPr>
                <w:sz w:val="20"/>
                <w:szCs w:val="20"/>
                <w:color w:val="auto"/>
              </w:rPr>
            </w:pPr>
            <w:r>
              <w:rPr>
                <w:rFonts w:ascii="Arial" w:cs="Arial" w:eastAsia="Arial" w:hAnsi="Arial"/>
                <w:sz w:val="11"/>
                <w:szCs w:val="11"/>
                <w:b w:val="1"/>
                <w:bCs w:val="1"/>
                <w:color w:val="auto"/>
                <w:w w:val="85"/>
              </w:rPr>
              <w:t>Series C, Series D, Series</w:t>
            </w:r>
          </w:p>
        </w:tc>
        <w:tc>
          <w:tcPr>
            <w:tcW w:w="840" w:type="dxa"/>
            <w:vAlign w:val="bottom"/>
            <w:gridSpan w:val="4"/>
            <w:vMerge w:val="restart"/>
          </w:tcPr>
          <w:p>
            <w:pPr>
              <w:ind w:left="40"/>
              <w:spacing w:after="0"/>
              <w:rPr>
                <w:sz w:val="20"/>
                <w:szCs w:val="20"/>
                <w:color w:val="auto"/>
              </w:rPr>
            </w:pPr>
            <w:r>
              <w:rPr>
                <w:rFonts w:ascii="Arial" w:cs="Arial" w:eastAsia="Arial" w:hAnsi="Arial"/>
                <w:sz w:val="11"/>
                <w:szCs w:val="11"/>
                <w:b w:val="1"/>
                <w:bCs w:val="1"/>
                <w:color w:val="auto"/>
                <w:w w:val="96"/>
              </w:rPr>
              <w:t>Common Stock</w:t>
            </w:r>
          </w:p>
        </w:tc>
        <w:tc>
          <w:tcPr>
            <w:tcW w:w="40" w:type="dxa"/>
            <w:vAlign w:val="bottom"/>
          </w:tcPr>
          <w:p>
            <w:pPr>
              <w:spacing w:after="0"/>
              <w:rPr>
                <w:sz w:val="9"/>
                <w:szCs w:val="9"/>
                <w:color w:val="auto"/>
              </w:rPr>
            </w:pPr>
          </w:p>
        </w:tc>
        <w:tc>
          <w:tcPr>
            <w:tcW w:w="1040" w:type="dxa"/>
            <w:vAlign w:val="bottom"/>
            <w:gridSpan w:val="4"/>
            <w:vMerge w:val="continue"/>
          </w:tcPr>
          <w:p>
            <w:pPr>
              <w:spacing w:after="0"/>
              <w:rPr>
                <w:sz w:val="9"/>
                <w:szCs w:val="9"/>
                <w:color w:val="auto"/>
              </w:rPr>
            </w:pPr>
          </w:p>
        </w:tc>
        <w:tc>
          <w:tcPr>
            <w:tcW w:w="40" w:type="dxa"/>
            <w:vAlign w:val="bottom"/>
          </w:tcPr>
          <w:p>
            <w:pPr>
              <w:spacing w:after="0"/>
              <w:rPr>
                <w:sz w:val="9"/>
                <w:szCs w:val="9"/>
                <w:color w:val="auto"/>
              </w:rPr>
            </w:pPr>
          </w:p>
        </w:tc>
        <w:tc>
          <w:tcPr>
            <w:tcW w:w="1860" w:type="dxa"/>
            <w:vAlign w:val="bottom"/>
            <w:gridSpan w:val="8"/>
            <w:vMerge w:val="continue"/>
          </w:tcPr>
          <w:p>
            <w:pPr>
              <w:spacing w:after="0"/>
              <w:rPr>
                <w:sz w:val="9"/>
                <w:szCs w:val="9"/>
                <w:color w:val="auto"/>
              </w:rPr>
            </w:pPr>
          </w:p>
        </w:tc>
        <w:tc>
          <w:tcPr>
            <w:tcW w:w="160" w:type="dxa"/>
            <w:vAlign w:val="bottom"/>
          </w:tcPr>
          <w:p>
            <w:pPr>
              <w:spacing w:after="0"/>
              <w:rPr>
                <w:sz w:val="9"/>
                <w:szCs w:val="9"/>
                <w:color w:val="auto"/>
              </w:rPr>
            </w:pPr>
          </w:p>
        </w:tc>
        <w:tc>
          <w:tcPr>
            <w:tcW w:w="700" w:type="dxa"/>
            <w:vAlign w:val="bottom"/>
            <w:gridSpan w:val="2"/>
          </w:tcPr>
          <w:p>
            <w:pPr>
              <w:jc w:val="center"/>
              <w:ind w:right="300"/>
              <w:spacing w:after="0" w:line="108" w:lineRule="exact"/>
              <w:rPr>
                <w:sz w:val="20"/>
                <w:szCs w:val="20"/>
                <w:color w:val="auto"/>
              </w:rPr>
            </w:pPr>
            <w:r>
              <w:rPr>
                <w:rFonts w:ascii="Arial" w:cs="Arial" w:eastAsia="Arial" w:hAnsi="Arial"/>
                <w:sz w:val="11"/>
                <w:szCs w:val="11"/>
                <w:b w:val="1"/>
                <w:bCs w:val="1"/>
                <w:color w:val="auto"/>
                <w:w w:val="95"/>
              </w:rPr>
              <w:t>Other</w:t>
            </w: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gridSpan w:val="2"/>
            <w:vMerge w:val="continue"/>
          </w:tcPr>
          <w:p>
            <w:pPr>
              <w:spacing w:after="0"/>
              <w:rPr>
                <w:sz w:val="9"/>
                <w:szCs w:val="9"/>
                <w:color w:val="auto"/>
              </w:rPr>
            </w:pPr>
          </w:p>
        </w:tc>
        <w:tc>
          <w:tcPr>
            <w:tcW w:w="780" w:type="dxa"/>
            <w:vAlign w:val="bottom"/>
            <w:gridSpan w:val="3"/>
            <w:vMerge w:val="continue"/>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gridSpan w:val="3"/>
            <w:vMerge w:val="restart"/>
          </w:tcPr>
          <w:p>
            <w:pPr>
              <w:jc w:val="center"/>
              <w:ind w:right="180"/>
              <w:spacing w:after="0"/>
              <w:rPr>
                <w:sz w:val="20"/>
                <w:szCs w:val="20"/>
                <w:color w:val="auto"/>
              </w:rPr>
            </w:pPr>
            <w:r>
              <w:rPr>
                <w:rFonts w:ascii="Arial" w:cs="Arial" w:eastAsia="Arial" w:hAnsi="Arial"/>
                <w:sz w:val="11"/>
                <w:szCs w:val="11"/>
                <w:b w:val="1"/>
                <w:bCs w:val="1"/>
                <w:color w:val="auto"/>
                <w:w w:val="83"/>
              </w:rPr>
              <w:t>Total</w:t>
            </w:r>
          </w:p>
        </w:tc>
        <w:tc>
          <w:tcPr>
            <w:tcW w:w="0" w:type="dxa"/>
            <w:vAlign w:val="bottom"/>
          </w:tcPr>
          <w:p>
            <w:pPr>
              <w:spacing w:after="0"/>
              <w:rPr>
                <w:sz w:val="1"/>
                <w:szCs w:val="1"/>
                <w:color w:val="auto"/>
              </w:rPr>
            </w:pPr>
          </w:p>
        </w:tc>
      </w:tr>
      <w:tr>
        <w:trPr>
          <w:trHeight w:val="135"/>
        </w:trPr>
        <w:tc>
          <w:tcPr>
            <w:tcW w:w="2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gridSpan w:val="2"/>
          </w:tcPr>
          <w:p>
            <w:pPr>
              <w:jc w:val="center"/>
              <w:ind w:right="17"/>
              <w:spacing w:after="0"/>
              <w:rPr>
                <w:sz w:val="20"/>
                <w:szCs w:val="20"/>
                <w:color w:val="auto"/>
              </w:rPr>
            </w:pPr>
            <w:r>
              <w:rPr>
                <w:rFonts w:ascii="Arial" w:cs="Arial" w:eastAsia="Arial" w:hAnsi="Arial"/>
                <w:sz w:val="11"/>
                <w:szCs w:val="11"/>
                <w:b w:val="1"/>
                <w:bCs w:val="1"/>
                <w:color w:val="auto"/>
                <w:w w:val="81"/>
              </w:rPr>
              <w:t>E</w:t>
            </w:r>
          </w:p>
        </w:tc>
        <w:tc>
          <w:tcPr>
            <w:tcW w:w="50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840" w:type="dxa"/>
            <w:vAlign w:val="bottom"/>
            <w:gridSpan w:val="4"/>
            <w:vMerge w:val="continue"/>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jc w:val="center"/>
              <w:ind w:left="298"/>
              <w:spacing w:after="0"/>
              <w:rPr>
                <w:sz w:val="20"/>
                <w:szCs w:val="20"/>
                <w:color w:val="auto"/>
              </w:rPr>
            </w:pPr>
            <w:r>
              <w:rPr>
                <w:rFonts w:ascii="Arial" w:cs="Arial" w:eastAsia="Arial" w:hAnsi="Arial"/>
                <w:sz w:val="11"/>
                <w:szCs w:val="11"/>
                <w:b w:val="1"/>
                <w:bCs w:val="1"/>
                <w:color w:val="auto"/>
                <w:w w:val="86"/>
              </w:rPr>
              <w:t>Stock</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gridSpan w:val="3"/>
          </w:tcPr>
          <w:p>
            <w:pPr>
              <w:jc w:val="right"/>
              <w:ind w:right="102"/>
              <w:spacing w:after="0"/>
              <w:rPr>
                <w:sz w:val="20"/>
                <w:szCs w:val="20"/>
                <w:color w:val="auto"/>
              </w:rPr>
            </w:pPr>
            <w:r>
              <w:rPr>
                <w:rFonts w:ascii="Arial" w:cs="Arial" w:eastAsia="Arial" w:hAnsi="Arial"/>
                <w:sz w:val="11"/>
                <w:szCs w:val="11"/>
                <w:b w:val="1"/>
                <w:bCs w:val="1"/>
                <w:color w:val="auto"/>
              </w:rPr>
              <w:t>Stock</w:t>
            </w: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1"/>
                <w:szCs w:val="11"/>
                <w:b w:val="1"/>
                <w:bCs w:val="1"/>
                <w:color w:val="auto"/>
                <w:w w:val="98"/>
              </w:rPr>
              <w:t>Paid-In</w:t>
            </w:r>
          </w:p>
        </w:tc>
        <w:tc>
          <w:tcPr>
            <w:tcW w:w="860" w:type="dxa"/>
            <w:vAlign w:val="bottom"/>
            <w:gridSpan w:val="3"/>
          </w:tcPr>
          <w:p>
            <w:pPr>
              <w:jc w:val="center"/>
              <w:ind w:right="100"/>
              <w:spacing w:after="0"/>
              <w:rPr>
                <w:sz w:val="20"/>
                <w:szCs w:val="20"/>
                <w:color w:val="auto"/>
              </w:rPr>
            </w:pPr>
            <w:r>
              <w:rPr>
                <w:rFonts w:ascii="Arial" w:cs="Arial" w:eastAsia="Arial" w:hAnsi="Arial"/>
                <w:sz w:val="11"/>
                <w:szCs w:val="11"/>
                <w:b w:val="1"/>
                <w:bCs w:val="1"/>
                <w:color w:val="auto"/>
                <w:w w:val="87"/>
              </w:rPr>
              <w:t>Comprehensive</w:t>
            </w:r>
          </w:p>
        </w:tc>
        <w:tc>
          <w:tcPr>
            <w:tcW w:w="1500" w:type="dxa"/>
            <w:vAlign w:val="bottom"/>
            <w:gridSpan w:val="6"/>
          </w:tcPr>
          <w:p>
            <w:pPr>
              <w:ind w:left="40"/>
              <w:spacing w:after="0"/>
              <w:rPr>
                <w:sz w:val="20"/>
                <w:szCs w:val="20"/>
                <w:color w:val="auto"/>
              </w:rPr>
            </w:pPr>
            <w:r>
              <w:rPr>
                <w:rFonts w:ascii="Arial" w:cs="Arial" w:eastAsia="Arial" w:hAnsi="Arial"/>
                <w:sz w:val="11"/>
                <w:szCs w:val="11"/>
                <w:b w:val="1"/>
                <w:bCs w:val="1"/>
                <w:color w:val="auto"/>
                <w:w w:val="96"/>
              </w:rPr>
              <w:t>Accumulated  Stockholders'</w:t>
            </w:r>
          </w:p>
        </w:tc>
        <w:tc>
          <w:tcPr>
            <w:tcW w:w="100" w:type="dxa"/>
            <w:vAlign w:val="bottom"/>
          </w:tcPr>
          <w:p>
            <w:pPr>
              <w:spacing w:after="0"/>
              <w:rPr>
                <w:sz w:val="11"/>
                <w:szCs w:val="11"/>
                <w:color w:val="auto"/>
              </w:rPr>
            </w:pPr>
          </w:p>
        </w:tc>
        <w:tc>
          <w:tcPr>
            <w:tcW w:w="680" w:type="dxa"/>
            <w:vAlign w:val="bottom"/>
            <w:gridSpan w:val="2"/>
          </w:tcPr>
          <w:p>
            <w:pPr>
              <w:jc w:val="center"/>
              <w:ind w:right="280"/>
              <w:spacing w:after="0"/>
              <w:rPr>
                <w:sz w:val="20"/>
                <w:szCs w:val="20"/>
                <w:color w:val="auto"/>
              </w:rPr>
            </w:pPr>
            <w:r>
              <w:rPr>
                <w:rFonts w:ascii="Arial" w:cs="Arial" w:eastAsia="Arial" w:hAnsi="Arial"/>
                <w:sz w:val="11"/>
                <w:szCs w:val="11"/>
                <w:b w:val="1"/>
                <w:bCs w:val="1"/>
                <w:color w:val="auto"/>
                <w:w w:val="88"/>
              </w:rPr>
              <w:t>ng</w:t>
            </w:r>
          </w:p>
        </w:tc>
        <w:tc>
          <w:tcPr>
            <w:tcW w:w="100" w:type="dxa"/>
            <w:vAlign w:val="bottom"/>
          </w:tcPr>
          <w:p>
            <w:pPr>
              <w:spacing w:after="0"/>
              <w:rPr>
                <w:sz w:val="11"/>
                <w:szCs w:val="11"/>
                <w:color w:val="auto"/>
              </w:rPr>
            </w:pPr>
          </w:p>
        </w:tc>
        <w:tc>
          <w:tcPr>
            <w:tcW w:w="64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180" w:type="dxa"/>
            <w:vAlign w:val="bottom"/>
          </w:tcPr>
          <w:p>
            <w:pPr>
              <w:spacing w:after="0"/>
              <w:rPr>
                <w:sz w:val="9"/>
                <w:szCs w:val="9"/>
                <w:color w:val="auto"/>
              </w:rPr>
            </w:pPr>
          </w:p>
        </w:tc>
        <w:tc>
          <w:tcPr>
            <w:tcW w:w="580" w:type="dxa"/>
            <w:vAlign w:val="bottom"/>
            <w:vMerge w:val="restart"/>
          </w:tcPr>
          <w:p>
            <w:pPr>
              <w:jc w:val="right"/>
              <w:ind w:right="79"/>
              <w:spacing w:after="0"/>
              <w:rPr>
                <w:sz w:val="20"/>
                <w:szCs w:val="20"/>
                <w:color w:val="auto"/>
              </w:rPr>
            </w:pPr>
            <w:r>
              <w:rPr>
                <w:rFonts w:ascii="Arial" w:cs="Arial" w:eastAsia="Arial" w:hAnsi="Arial"/>
                <w:sz w:val="11"/>
                <w:szCs w:val="11"/>
                <w:b w:val="1"/>
                <w:bCs w:val="1"/>
                <w:color w:val="auto"/>
              </w:rPr>
              <w:t>Shares</w:t>
            </w:r>
          </w:p>
        </w:tc>
        <w:tc>
          <w:tcPr>
            <w:tcW w:w="60" w:type="dxa"/>
            <w:vAlign w:val="bottom"/>
            <w:vMerge w:val="restart"/>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vMerge w:val="restart"/>
          </w:tcPr>
          <w:p>
            <w:pPr>
              <w:jc w:val="right"/>
              <w:ind w:right="57"/>
              <w:spacing w:after="0"/>
              <w:rPr>
                <w:sz w:val="20"/>
                <w:szCs w:val="20"/>
                <w:color w:val="auto"/>
              </w:rPr>
            </w:pPr>
            <w:r>
              <w:rPr>
                <w:rFonts w:ascii="Arial" w:cs="Arial" w:eastAsia="Arial" w:hAnsi="Arial"/>
                <w:sz w:val="11"/>
                <w:szCs w:val="11"/>
                <w:b w:val="1"/>
                <w:bCs w:val="1"/>
                <w:color w:val="auto"/>
                <w:w w:val="86"/>
              </w:rPr>
              <w:t>Amount</w:t>
            </w:r>
          </w:p>
        </w:tc>
        <w:tc>
          <w:tcPr>
            <w:tcW w:w="120" w:type="dxa"/>
            <w:vAlign w:val="bottom"/>
            <w:tcBorders>
              <w:right w:val="single" w:sz="8" w:color="auto"/>
            </w:tcBorders>
            <w:vMerge w:val="restart"/>
          </w:tcPr>
          <w:p>
            <w:pPr>
              <w:spacing w:after="0"/>
              <w:rPr>
                <w:sz w:val="9"/>
                <w:szCs w:val="9"/>
                <w:color w:val="auto"/>
              </w:rPr>
            </w:pPr>
          </w:p>
        </w:tc>
        <w:tc>
          <w:tcPr>
            <w:tcW w:w="4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Shares</w:t>
            </w:r>
          </w:p>
        </w:tc>
        <w:tc>
          <w:tcPr>
            <w:tcW w:w="60" w:type="dxa"/>
            <w:vAlign w:val="bottom"/>
            <w:vMerge w:val="restart"/>
          </w:tcPr>
          <w:p>
            <w:pPr>
              <w:spacing w:after="0"/>
              <w:rPr>
                <w:sz w:val="9"/>
                <w:szCs w:val="9"/>
                <w:color w:val="auto"/>
              </w:rPr>
            </w:pPr>
          </w:p>
        </w:tc>
        <w:tc>
          <w:tcPr>
            <w:tcW w:w="320" w:type="dxa"/>
            <w:vAlign w:val="bottom"/>
            <w:gridSpan w:val="2"/>
          </w:tcPr>
          <w:p>
            <w:pPr>
              <w:ind w:left="20"/>
              <w:spacing w:after="0" w:line="109" w:lineRule="exact"/>
              <w:rPr>
                <w:sz w:val="20"/>
                <w:szCs w:val="20"/>
                <w:color w:val="auto"/>
              </w:rPr>
            </w:pPr>
            <w:r>
              <w:rPr>
                <w:rFonts w:ascii="Arial" w:cs="Arial" w:eastAsia="Arial" w:hAnsi="Arial"/>
                <w:sz w:val="11"/>
                <w:szCs w:val="11"/>
                <w:b w:val="1"/>
                <w:bCs w:val="1"/>
                <w:color w:val="auto"/>
                <w:w w:val="89"/>
              </w:rPr>
              <w:t>Amou</w:t>
            </w:r>
          </w:p>
        </w:tc>
        <w:tc>
          <w:tcPr>
            <w:tcW w:w="40" w:type="dxa"/>
            <w:vAlign w:val="bottom"/>
          </w:tcPr>
          <w:p>
            <w:pPr>
              <w:spacing w:after="0"/>
              <w:rPr>
                <w:sz w:val="9"/>
                <w:szCs w:val="9"/>
                <w:color w:val="auto"/>
              </w:rPr>
            </w:pPr>
          </w:p>
        </w:tc>
        <w:tc>
          <w:tcPr>
            <w:tcW w:w="660" w:type="dxa"/>
            <w:vAlign w:val="bottom"/>
            <w:vMerge w:val="restart"/>
          </w:tcPr>
          <w:p>
            <w:pPr>
              <w:jc w:val="right"/>
              <w:ind w:right="118"/>
              <w:spacing w:after="0"/>
              <w:rPr>
                <w:sz w:val="20"/>
                <w:szCs w:val="20"/>
                <w:color w:val="auto"/>
              </w:rPr>
            </w:pPr>
            <w:r>
              <w:rPr>
                <w:rFonts w:ascii="Arial" w:cs="Arial" w:eastAsia="Arial" w:hAnsi="Arial"/>
                <w:sz w:val="11"/>
                <w:szCs w:val="11"/>
                <w:b w:val="1"/>
                <w:bCs w:val="1"/>
                <w:color w:val="auto"/>
              </w:rPr>
              <w:t>Shares</w:t>
            </w:r>
          </w:p>
        </w:tc>
        <w:tc>
          <w:tcPr>
            <w:tcW w:w="40" w:type="dxa"/>
            <w:vAlign w:val="bottom"/>
            <w:vMerge w:val="restart"/>
          </w:tcPr>
          <w:p>
            <w:pPr>
              <w:spacing w:after="0"/>
              <w:rPr>
                <w:sz w:val="9"/>
                <w:szCs w:val="9"/>
                <w:color w:val="auto"/>
              </w:rPr>
            </w:pPr>
          </w:p>
        </w:tc>
        <w:tc>
          <w:tcPr>
            <w:tcW w:w="340" w:type="dxa"/>
            <w:vAlign w:val="bottom"/>
            <w:gridSpan w:val="2"/>
          </w:tcPr>
          <w:p>
            <w:pPr>
              <w:ind w:left="40"/>
              <w:spacing w:after="0" w:line="109" w:lineRule="exact"/>
              <w:rPr>
                <w:sz w:val="20"/>
                <w:szCs w:val="20"/>
                <w:color w:val="auto"/>
              </w:rPr>
            </w:pPr>
            <w:r>
              <w:rPr>
                <w:rFonts w:ascii="Arial" w:cs="Arial" w:eastAsia="Arial" w:hAnsi="Arial"/>
                <w:sz w:val="11"/>
                <w:szCs w:val="11"/>
                <w:b w:val="1"/>
                <w:bCs w:val="1"/>
                <w:color w:val="auto"/>
                <w:w w:val="89"/>
              </w:rPr>
              <w:t>Amou</w:t>
            </w:r>
          </w:p>
        </w:tc>
        <w:tc>
          <w:tcPr>
            <w:tcW w:w="40" w:type="dxa"/>
            <w:vAlign w:val="bottom"/>
          </w:tcPr>
          <w:p>
            <w:pPr>
              <w:spacing w:after="0"/>
              <w:rPr>
                <w:sz w:val="9"/>
                <w:szCs w:val="9"/>
                <w:color w:val="auto"/>
              </w:rPr>
            </w:pPr>
          </w:p>
        </w:tc>
        <w:tc>
          <w:tcPr>
            <w:tcW w:w="600" w:type="dxa"/>
            <w:vAlign w:val="bottom"/>
            <w:vMerge w:val="restart"/>
          </w:tcPr>
          <w:p>
            <w:pPr>
              <w:jc w:val="right"/>
              <w:ind w:right="80"/>
              <w:spacing w:after="0"/>
              <w:rPr>
                <w:sz w:val="20"/>
                <w:szCs w:val="20"/>
                <w:color w:val="auto"/>
              </w:rPr>
            </w:pPr>
            <w:r>
              <w:rPr>
                <w:rFonts w:ascii="Arial" w:cs="Arial" w:eastAsia="Arial" w:hAnsi="Arial"/>
                <w:sz w:val="11"/>
                <w:szCs w:val="11"/>
                <w:b w:val="1"/>
                <w:bCs w:val="1"/>
                <w:color w:val="auto"/>
              </w:rPr>
              <w:t>Shares</w:t>
            </w:r>
          </w:p>
        </w:tc>
        <w:tc>
          <w:tcPr>
            <w:tcW w:w="40" w:type="dxa"/>
            <w:vAlign w:val="bottom"/>
          </w:tcPr>
          <w:p>
            <w:pPr>
              <w:spacing w:after="0"/>
              <w:rPr>
                <w:sz w:val="9"/>
                <w:szCs w:val="9"/>
                <w:color w:val="auto"/>
              </w:rPr>
            </w:pPr>
          </w:p>
        </w:tc>
        <w:tc>
          <w:tcPr>
            <w:tcW w:w="46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w w:val="96"/>
              </w:rPr>
              <w:t>Amount</w:t>
            </w:r>
          </w:p>
        </w:tc>
        <w:tc>
          <w:tcPr>
            <w:tcW w:w="40" w:type="dxa"/>
            <w:vAlign w:val="bottom"/>
            <w:vMerge w:val="restart"/>
          </w:tcPr>
          <w:p>
            <w:pPr>
              <w:spacing w:after="0"/>
              <w:rPr>
                <w:sz w:val="9"/>
                <w:szCs w:val="9"/>
                <w:color w:val="auto"/>
              </w:rPr>
            </w:pPr>
          </w:p>
        </w:tc>
        <w:tc>
          <w:tcPr>
            <w:tcW w:w="120" w:type="dxa"/>
            <w:vAlign w:val="bottom"/>
            <w:vMerge w:val="restart"/>
          </w:tcPr>
          <w:p>
            <w:pPr>
              <w:spacing w:after="0"/>
              <w:rPr>
                <w:sz w:val="9"/>
                <w:szCs w:val="9"/>
                <w:color w:val="auto"/>
              </w:rPr>
            </w:pPr>
          </w:p>
        </w:tc>
        <w:tc>
          <w:tcPr>
            <w:tcW w:w="540" w:type="dxa"/>
            <w:vAlign w:val="bottom"/>
            <w:vMerge w:val="restart"/>
          </w:tcPr>
          <w:p>
            <w:pPr>
              <w:jc w:val="right"/>
              <w:ind w:right="98"/>
              <w:spacing w:after="0"/>
              <w:rPr>
                <w:sz w:val="20"/>
                <w:szCs w:val="20"/>
                <w:color w:val="auto"/>
              </w:rPr>
            </w:pPr>
            <w:r>
              <w:rPr>
                <w:rFonts w:ascii="Arial" w:cs="Arial" w:eastAsia="Arial" w:hAnsi="Arial"/>
                <w:sz w:val="11"/>
                <w:szCs w:val="11"/>
                <w:b w:val="1"/>
                <w:bCs w:val="1"/>
                <w:color w:val="auto"/>
                <w:w w:val="98"/>
              </w:rPr>
              <w:t>Capital</w:t>
            </w:r>
          </w:p>
        </w:tc>
        <w:tc>
          <w:tcPr>
            <w:tcW w:w="60" w:type="dxa"/>
            <w:vAlign w:val="bottom"/>
            <w:vMerge w:val="restart"/>
          </w:tcPr>
          <w:p>
            <w:pPr>
              <w:spacing w:after="0"/>
              <w:rPr>
                <w:sz w:val="9"/>
                <w:szCs w:val="9"/>
                <w:color w:val="auto"/>
              </w:rPr>
            </w:pPr>
          </w:p>
        </w:tc>
        <w:tc>
          <w:tcPr>
            <w:tcW w:w="760" w:type="dxa"/>
            <w:vAlign w:val="bottom"/>
            <w:gridSpan w:val="2"/>
            <w:vMerge w:val="restart"/>
          </w:tcPr>
          <w:p>
            <w:pPr>
              <w:jc w:val="center"/>
              <w:spacing w:after="0"/>
              <w:rPr>
                <w:sz w:val="20"/>
                <w:szCs w:val="20"/>
                <w:color w:val="auto"/>
              </w:rPr>
            </w:pPr>
            <w:r>
              <w:rPr>
                <w:rFonts w:ascii="Arial" w:cs="Arial" w:eastAsia="Arial" w:hAnsi="Arial"/>
                <w:sz w:val="11"/>
                <w:szCs w:val="11"/>
                <w:b w:val="1"/>
                <w:bCs w:val="1"/>
                <w:color w:val="auto"/>
                <w:w w:val="85"/>
              </w:rPr>
              <w:t>Income (Loss)</w:t>
            </w:r>
          </w:p>
        </w:tc>
        <w:tc>
          <w:tcPr>
            <w:tcW w:w="100" w:type="dxa"/>
            <w:vAlign w:val="bottom"/>
            <w:vMerge w:val="restart"/>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vMerge w:val="restart"/>
          </w:tcPr>
          <w:p>
            <w:pPr>
              <w:jc w:val="right"/>
              <w:ind w:right="137"/>
              <w:spacing w:after="0"/>
              <w:rPr>
                <w:sz w:val="20"/>
                <w:szCs w:val="20"/>
                <w:color w:val="auto"/>
              </w:rPr>
            </w:pPr>
            <w:r>
              <w:rPr>
                <w:rFonts w:ascii="Arial" w:cs="Arial" w:eastAsia="Arial" w:hAnsi="Arial"/>
                <w:sz w:val="11"/>
                <w:szCs w:val="11"/>
                <w:b w:val="1"/>
                <w:bCs w:val="1"/>
                <w:color w:val="auto"/>
              </w:rPr>
              <w:t>Deficit</w:t>
            </w:r>
          </w:p>
        </w:tc>
        <w:tc>
          <w:tcPr>
            <w:tcW w:w="40" w:type="dxa"/>
            <w:vAlign w:val="bottom"/>
            <w:vMerge w:val="restart"/>
          </w:tcPr>
          <w:p>
            <w:pPr>
              <w:spacing w:after="0"/>
              <w:rPr>
                <w:sz w:val="9"/>
                <w:szCs w:val="9"/>
                <w:color w:val="auto"/>
              </w:rPr>
            </w:pPr>
          </w:p>
        </w:tc>
        <w:tc>
          <w:tcPr>
            <w:tcW w:w="120" w:type="dxa"/>
            <w:vAlign w:val="bottom"/>
            <w:vMerge w:val="restart"/>
          </w:tcPr>
          <w:p>
            <w:pPr>
              <w:spacing w:after="0"/>
              <w:rPr>
                <w:sz w:val="9"/>
                <w:szCs w:val="9"/>
                <w:color w:val="auto"/>
              </w:rPr>
            </w:pPr>
          </w:p>
        </w:tc>
        <w:tc>
          <w:tcPr>
            <w:tcW w:w="640" w:type="dxa"/>
            <w:vAlign w:val="bottom"/>
            <w:gridSpan w:val="2"/>
          </w:tcPr>
          <w:p>
            <w:pPr>
              <w:jc w:val="center"/>
              <w:ind w:right="220"/>
              <w:spacing w:after="0" w:line="109" w:lineRule="exact"/>
              <w:rPr>
                <w:sz w:val="20"/>
                <w:szCs w:val="20"/>
                <w:color w:val="auto"/>
              </w:rPr>
            </w:pPr>
            <w:r>
              <w:rPr>
                <w:rFonts w:ascii="Arial" w:cs="Arial" w:eastAsia="Arial" w:hAnsi="Arial"/>
                <w:sz w:val="11"/>
                <w:szCs w:val="11"/>
                <w:b w:val="1"/>
                <w:bCs w:val="1"/>
                <w:color w:val="auto"/>
                <w:w w:val="92"/>
              </w:rPr>
              <w:t>(Deficit)</w:t>
            </w:r>
          </w:p>
        </w:tc>
        <w:tc>
          <w:tcPr>
            <w:tcW w:w="100" w:type="dxa"/>
            <w:vAlign w:val="bottom"/>
          </w:tcPr>
          <w:p>
            <w:pPr>
              <w:spacing w:after="0"/>
              <w:rPr>
                <w:sz w:val="9"/>
                <w:szCs w:val="9"/>
                <w:color w:val="auto"/>
              </w:rPr>
            </w:pPr>
          </w:p>
        </w:tc>
        <w:tc>
          <w:tcPr>
            <w:tcW w:w="520" w:type="dxa"/>
            <w:vAlign w:val="bottom"/>
            <w:vMerge w:val="restart"/>
          </w:tcPr>
          <w:p>
            <w:pPr>
              <w:jc w:val="center"/>
              <w:ind w:right="58"/>
              <w:spacing w:after="0"/>
              <w:rPr>
                <w:sz w:val="20"/>
                <w:szCs w:val="20"/>
                <w:color w:val="auto"/>
              </w:rPr>
            </w:pPr>
            <w:r>
              <w:rPr>
                <w:rFonts w:ascii="Arial" w:cs="Arial" w:eastAsia="Arial" w:hAnsi="Arial"/>
                <w:sz w:val="11"/>
                <w:szCs w:val="11"/>
                <w:b w:val="1"/>
                <w:bCs w:val="1"/>
                <w:color w:val="auto"/>
                <w:w w:val="90"/>
              </w:rPr>
              <w:t>Interest</w:t>
            </w:r>
          </w:p>
        </w:tc>
        <w:tc>
          <w:tcPr>
            <w:tcW w:w="160" w:type="dxa"/>
            <w:vAlign w:val="bottom"/>
            <w:vMerge w:val="restart"/>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gridSpan w:val="3"/>
          </w:tcPr>
          <w:p>
            <w:pPr>
              <w:jc w:val="center"/>
              <w:ind w:right="220"/>
              <w:spacing w:after="0" w:line="109" w:lineRule="exact"/>
              <w:rPr>
                <w:sz w:val="20"/>
                <w:szCs w:val="20"/>
                <w:color w:val="auto"/>
              </w:rPr>
            </w:pPr>
            <w:r>
              <w:rPr>
                <w:rFonts w:ascii="Arial" w:cs="Arial" w:eastAsia="Arial" w:hAnsi="Arial"/>
                <w:sz w:val="11"/>
                <w:szCs w:val="11"/>
                <w:b w:val="1"/>
                <w:bCs w:val="1"/>
                <w:color w:val="auto"/>
                <w:w w:val="92"/>
              </w:rPr>
              <w:t>(Deficit)</w:t>
            </w:r>
          </w:p>
        </w:tc>
        <w:tc>
          <w:tcPr>
            <w:tcW w:w="0" w:type="dxa"/>
            <w:vAlign w:val="bottom"/>
          </w:tcPr>
          <w:p>
            <w:pPr>
              <w:spacing w:after="0"/>
              <w:rPr>
                <w:sz w:val="1"/>
                <w:szCs w:val="1"/>
                <w:color w:val="auto"/>
              </w:rPr>
            </w:pPr>
          </w:p>
        </w:tc>
      </w:tr>
      <w:tr>
        <w:trPr>
          <w:trHeight w:val="142"/>
        </w:trPr>
        <w:tc>
          <w:tcPr>
            <w:tcW w:w="2180" w:type="dxa"/>
            <w:vAlign w:val="bottom"/>
          </w:tcPr>
          <w:p>
            <w:pPr>
              <w:spacing w:after="0"/>
              <w:rPr>
                <w:sz w:val="12"/>
                <w:szCs w:val="12"/>
                <w:color w:val="auto"/>
              </w:rPr>
            </w:pPr>
          </w:p>
        </w:tc>
        <w:tc>
          <w:tcPr>
            <w:tcW w:w="580" w:type="dxa"/>
            <w:vAlign w:val="bottom"/>
            <w:tcBorders>
              <w:bottom w:val="single" w:sz="8" w:color="auto"/>
            </w:tcBorders>
            <w:vMerge w:val="continue"/>
          </w:tcPr>
          <w:p>
            <w:pPr>
              <w:spacing w:after="0"/>
              <w:rPr>
                <w:sz w:val="12"/>
                <w:szCs w:val="12"/>
                <w:color w:val="auto"/>
              </w:rPr>
            </w:pPr>
          </w:p>
        </w:tc>
        <w:tc>
          <w:tcPr>
            <w:tcW w:w="60" w:type="dxa"/>
            <w:vAlign w:val="bottom"/>
            <w:vMerge w:val="continue"/>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vMerge w:val="continue"/>
          </w:tcPr>
          <w:p>
            <w:pPr>
              <w:spacing w:after="0"/>
              <w:rPr>
                <w:sz w:val="12"/>
                <w:szCs w:val="12"/>
                <w:color w:val="auto"/>
              </w:rPr>
            </w:pPr>
          </w:p>
        </w:tc>
        <w:tc>
          <w:tcPr>
            <w:tcW w:w="120" w:type="dxa"/>
            <w:vAlign w:val="bottom"/>
            <w:tcBorders>
              <w:right w:val="single" w:sz="8" w:color="auto"/>
            </w:tcBorders>
            <w:vMerge w:val="continue"/>
          </w:tcPr>
          <w:p>
            <w:pPr>
              <w:spacing w:after="0"/>
              <w:rPr>
                <w:sz w:val="12"/>
                <w:szCs w:val="12"/>
                <w:color w:val="auto"/>
              </w:rPr>
            </w:pPr>
          </w:p>
        </w:tc>
        <w:tc>
          <w:tcPr>
            <w:tcW w:w="460" w:type="dxa"/>
            <w:vAlign w:val="bottom"/>
            <w:tcBorders>
              <w:bottom w:val="single" w:sz="8" w:color="auto"/>
            </w:tcBorders>
            <w:vMerge w:val="continue"/>
          </w:tcPr>
          <w:p>
            <w:pPr>
              <w:spacing w:after="0"/>
              <w:rPr>
                <w:sz w:val="12"/>
                <w:szCs w:val="12"/>
                <w:color w:val="auto"/>
              </w:rPr>
            </w:pPr>
          </w:p>
        </w:tc>
        <w:tc>
          <w:tcPr>
            <w:tcW w:w="60" w:type="dxa"/>
            <w:vAlign w:val="bottom"/>
            <w:vMerge w:val="continue"/>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ind w:left="20"/>
              <w:spacing w:after="0"/>
              <w:rPr>
                <w:sz w:val="20"/>
                <w:szCs w:val="20"/>
                <w:color w:val="auto"/>
              </w:rPr>
            </w:pPr>
            <w:r>
              <w:rPr>
                <w:rFonts w:ascii="Arial" w:cs="Arial" w:eastAsia="Arial" w:hAnsi="Arial"/>
                <w:sz w:val="11"/>
                <w:szCs w:val="11"/>
                <w:b w:val="1"/>
                <w:bCs w:val="1"/>
                <w:color w:val="auto"/>
              </w:rPr>
              <w:t>nt</w:t>
            </w:r>
          </w:p>
        </w:tc>
        <w:tc>
          <w:tcPr>
            <w:tcW w:w="40" w:type="dxa"/>
            <w:vAlign w:val="bottom"/>
          </w:tcPr>
          <w:p>
            <w:pPr>
              <w:spacing w:after="0"/>
              <w:rPr>
                <w:sz w:val="12"/>
                <w:szCs w:val="12"/>
                <w:color w:val="auto"/>
              </w:rPr>
            </w:pPr>
          </w:p>
        </w:tc>
        <w:tc>
          <w:tcPr>
            <w:tcW w:w="660" w:type="dxa"/>
            <w:vAlign w:val="bottom"/>
            <w:tcBorders>
              <w:bottom w:val="single" w:sz="8" w:color="auto"/>
            </w:tcBorders>
            <w:vMerge w:val="continue"/>
          </w:tcPr>
          <w:p>
            <w:pPr>
              <w:spacing w:after="0"/>
              <w:rPr>
                <w:sz w:val="12"/>
                <w:szCs w:val="12"/>
                <w:color w:val="auto"/>
              </w:rPr>
            </w:pPr>
          </w:p>
        </w:tc>
        <w:tc>
          <w:tcPr>
            <w:tcW w:w="40" w:type="dxa"/>
            <w:vAlign w:val="bottom"/>
            <w:vMerge w:val="continue"/>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ind w:left="20"/>
              <w:spacing w:after="0"/>
              <w:rPr>
                <w:sz w:val="20"/>
                <w:szCs w:val="20"/>
                <w:color w:val="auto"/>
              </w:rPr>
            </w:pPr>
            <w:r>
              <w:rPr>
                <w:rFonts w:ascii="Arial" w:cs="Arial" w:eastAsia="Arial" w:hAnsi="Arial"/>
                <w:sz w:val="11"/>
                <w:szCs w:val="11"/>
                <w:b w:val="1"/>
                <w:bCs w:val="1"/>
                <w:color w:val="auto"/>
              </w:rPr>
              <w:t>nt</w:t>
            </w:r>
          </w:p>
        </w:tc>
        <w:tc>
          <w:tcPr>
            <w:tcW w:w="40" w:type="dxa"/>
            <w:vAlign w:val="bottom"/>
          </w:tcPr>
          <w:p>
            <w:pPr>
              <w:spacing w:after="0"/>
              <w:rPr>
                <w:sz w:val="12"/>
                <w:szCs w:val="12"/>
                <w:color w:val="auto"/>
              </w:rPr>
            </w:pPr>
          </w:p>
        </w:tc>
        <w:tc>
          <w:tcPr>
            <w:tcW w:w="600" w:type="dxa"/>
            <w:vAlign w:val="bottom"/>
            <w:tcBorders>
              <w:bottom w:val="single" w:sz="8" w:color="auto"/>
            </w:tcBorders>
            <w:vMerge w:val="continue"/>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Borders>
              <w:bottom w:val="single" w:sz="8" w:color="auto"/>
            </w:tcBorders>
            <w:gridSpan w:val="2"/>
            <w:vMerge w:val="continue"/>
          </w:tcPr>
          <w:p>
            <w:pPr>
              <w:spacing w:after="0"/>
              <w:rPr>
                <w:sz w:val="12"/>
                <w:szCs w:val="12"/>
                <w:color w:val="auto"/>
              </w:rPr>
            </w:pPr>
          </w:p>
        </w:tc>
        <w:tc>
          <w:tcPr>
            <w:tcW w:w="40" w:type="dxa"/>
            <w:vAlign w:val="bottom"/>
            <w:vMerge w:val="continue"/>
          </w:tcPr>
          <w:p>
            <w:pPr>
              <w:spacing w:after="0"/>
              <w:rPr>
                <w:sz w:val="12"/>
                <w:szCs w:val="12"/>
                <w:color w:val="auto"/>
              </w:rPr>
            </w:pPr>
          </w:p>
        </w:tc>
        <w:tc>
          <w:tcPr>
            <w:tcW w:w="120" w:type="dxa"/>
            <w:vAlign w:val="bottom"/>
            <w:tcBorders>
              <w:bottom w:val="single" w:sz="8" w:color="auto"/>
            </w:tcBorders>
            <w:vMerge w:val="continue"/>
          </w:tcPr>
          <w:p>
            <w:pPr>
              <w:spacing w:after="0"/>
              <w:rPr>
                <w:sz w:val="12"/>
                <w:szCs w:val="12"/>
                <w:color w:val="auto"/>
              </w:rPr>
            </w:pPr>
          </w:p>
        </w:tc>
        <w:tc>
          <w:tcPr>
            <w:tcW w:w="540" w:type="dxa"/>
            <w:vAlign w:val="bottom"/>
            <w:tcBorders>
              <w:bottom w:val="single" w:sz="8" w:color="auto"/>
            </w:tcBorders>
            <w:vMerge w:val="continue"/>
          </w:tcPr>
          <w:p>
            <w:pPr>
              <w:spacing w:after="0"/>
              <w:rPr>
                <w:sz w:val="12"/>
                <w:szCs w:val="12"/>
                <w:color w:val="auto"/>
              </w:rPr>
            </w:pPr>
          </w:p>
        </w:tc>
        <w:tc>
          <w:tcPr>
            <w:tcW w:w="60" w:type="dxa"/>
            <w:vAlign w:val="bottom"/>
            <w:vMerge w:val="continue"/>
          </w:tcPr>
          <w:p>
            <w:pPr>
              <w:spacing w:after="0"/>
              <w:rPr>
                <w:sz w:val="12"/>
                <w:szCs w:val="12"/>
                <w:color w:val="auto"/>
              </w:rPr>
            </w:pPr>
          </w:p>
        </w:tc>
        <w:tc>
          <w:tcPr>
            <w:tcW w:w="760" w:type="dxa"/>
            <w:vAlign w:val="bottom"/>
            <w:tcBorders>
              <w:bottom w:val="single" w:sz="8" w:color="auto"/>
            </w:tcBorders>
            <w:gridSpan w:val="2"/>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vMerge w:val="continue"/>
          </w:tcPr>
          <w:p>
            <w:pPr>
              <w:spacing w:after="0"/>
              <w:rPr>
                <w:sz w:val="12"/>
                <w:szCs w:val="12"/>
                <w:color w:val="auto"/>
              </w:rPr>
            </w:pPr>
          </w:p>
        </w:tc>
        <w:tc>
          <w:tcPr>
            <w:tcW w:w="40" w:type="dxa"/>
            <w:vAlign w:val="bottom"/>
            <w:vMerge w:val="continue"/>
          </w:tcPr>
          <w:p>
            <w:pPr>
              <w:spacing w:after="0"/>
              <w:rPr>
                <w:sz w:val="12"/>
                <w:szCs w:val="12"/>
                <w:color w:val="auto"/>
              </w:rPr>
            </w:pPr>
          </w:p>
        </w:tc>
        <w:tc>
          <w:tcPr>
            <w:tcW w:w="120" w:type="dxa"/>
            <w:vAlign w:val="bottom"/>
            <w:tcBorders>
              <w:bottom w:val="single" w:sz="8" w:color="auto"/>
            </w:tcBorders>
            <w:vMerge w:val="continue"/>
          </w:tcPr>
          <w:p>
            <w:pPr>
              <w:spacing w:after="0"/>
              <w:rPr>
                <w:sz w:val="12"/>
                <w:szCs w:val="12"/>
                <w:color w:val="auto"/>
              </w:rPr>
            </w:pPr>
          </w:p>
        </w:tc>
        <w:tc>
          <w:tcPr>
            <w:tcW w:w="580" w:type="dxa"/>
            <w:vAlign w:val="bottom"/>
            <w:tcBorders>
              <w:bottom w:val="single" w:sz="8" w:color="auto"/>
            </w:tcBorders>
          </w:tcPr>
          <w:p>
            <w:pPr>
              <w:jc w:val="center"/>
              <w:ind w:right="58"/>
              <w:spacing w:after="0"/>
              <w:rPr>
                <w:sz w:val="20"/>
                <w:szCs w:val="20"/>
                <w:color w:val="auto"/>
              </w:rPr>
            </w:pPr>
            <w:r>
              <w:rPr>
                <w:rFonts w:ascii="Arial" w:cs="Arial" w:eastAsia="Arial" w:hAnsi="Arial"/>
                <w:sz w:val="11"/>
                <w:szCs w:val="11"/>
                <w:b w:val="1"/>
                <w:bCs w:val="1"/>
                <w:color w:val="auto"/>
                <w:w w:val="89"/>
              </w:rPr>
              <w:t>Equity</w:t>
            </w:r>
          </w:p>
        </w:tc>
        <w:tc>
          <w:tcPr>
            <w:tcW w:w="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vMerge w:val="continue"/>
          </w:tcPr>
          <w:p>
            <w:pPr>
              <w:spacing w:after="0"/>
              <w:rPr>
                <w:sz w:val="12"/>
                <w:szCs w:val="12"/>
                <w:color w:val="auto"/>
              </w:rPr>
            </w:pPr>
          </w:p>
        </w:tc>
        <w:tc>
          <w:tcPr>
            <w:tcW w:w="160" w:type="dxa"/>
            <w:vAlign w:val="bottom"/>
            <w:vMerge w:val="continue"/>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center"/>
              <w:ind w:right="38"/>
              <w:spacing w:after="0"/>
              <w:rPr>
                <w:sz w:val="20"/>
                <w:szCs w:val="20"/>
                <w:color w:val="auto"/>
              </w:rPr>
            </w:pPr>
            <w:r>
              <w:rPr>
                <w:rFonts w:ascii="Arial" w:cs="Arial" w:eastAsia="Arial" w:hAnsi="Arial"/>
                <w:sz w:val="11"/>
                <w:szCs w:val="11"/>
                <w:b w:val="1"/>
                <w:bCs w:val="1"/>
                <w:color w:val="auto"/>
                <w:w w:val="89"/>
              </w:rPr>
              <w:t>Equity</w:t>
            </w:r>
          </w:p>
        </w:tc>
        <w:tc>
          <w:tcPr>
            <w:tcW w:w="8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180" w:type="dxa"/>
            <w:vAlign w:val="bottom"/>
            <w:vMerge w:val="restart"/>
            <w:shd w:val="clear" w:color="auto" w:fill="CFF0FC"/>
          </w:tcPr>
          <w:p>
            <w:pPr>
              <w:ind w:left="20"/>
              <w:spacing w:after="0"/>
              <w:rPr>
                <w:sz w:val="20"/>
                <w:szCs w:val="20"/>
                <w:color w:val="auto"/>
              </w:rPr>
            </w:pPr>
            <w:r>
              <w:rPr>
                <w:rFonts w:ascii="Arial" w:cs="Arial" w:eastAsia="Arial" w:hAnsi="Arial"/>
                <w:sz w:val="13"/>
                <w:szCs w:val="13"/>
                <w:color w:val="auto"/>
              </w:rPr>
              <w:t>Balance, December 31, 2018</w:t>
            </w:r>
          </w:p>
        </w:tc>
        <w:tc>
          <w:tcPr>
            <w:tcW w:w="580" w:type="dxa"/>
            <w:vAlign w:val="bottom"/>
            <w:shd w:val="clear" w:color="auto" w:fill="CFF0FC"/>
          </w:tcPr>
          <w:p>
            <w:pPr>
              <w:jc w:val="right"/>
              <w:spacing w:after="0" w:line="108" w:lineRule="exact"/>
              <w:rPr>
                <w:sz w:val="20"/>
                <w:szCs w:val="20"/>
                <w:color w:val="auto"/>
              </w:rPr>
            </w:pPr>
            <w:r>
              <w:rPr>
                <w:rFonts w:ascii="Arial" w:cs="Arial" w:eastAsia="Arial" w:hAnsi="Arial"/>
                <w:sz w:val="12"/>
                <w:szCs w:val="12"/>
                <w:color w:val="auto"/>
              </w:rPr>
              <w:t>19,989,11</w:t>
            </w:r>
          </w:p>
        </w:tc>
        <w:tc>
          <w:tcPr>
            <w:tcW w:w="60" w:type="dxa"/>
            <w:vAlign w:val="bottom"/>
            <w:shd w:val="clear" w:color="auto" w:fill="CFF0FC"/>
          </w:tcPr>
          <w:p>
            <w:pPr>
              <w:spacing w:after="0"/>
              <w:rPr>
                <w:sz w:val="9"/>
                <w:szCs w:val="9"/>
                <w:color w:val="auto"/>
              </w:rPr>
            </w:pPr>
          </w:p>
        </w:tc>
        <w:tc>
          <w:tcPr>
            <w:tcW w:w="12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50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66,227</w:t>
            </w:r>
          </w:p>
        </w:tc>
        <w:tc>
          <w:tcPr>
            <w:tcW w:w="120" w:type="dxa"/>
            <w:vAlign w:val="bottom"/>
            <w:tcBorders>
              <w:right w:val="single" w:sz="8" w:color="auto"/>
            </w:tcBorders>
            <w:shd w:val="clear" w:color="auto" w:fill="CFF0FC"/>
          </w:tcPr>
          <w:p>
            <w:pPr>
              <w:spacing w:after="0"/>
              <w:rPr>
                <w:sz w:val="9"/>
                <w:szCs w:val="9"/>
                <w:color w:val="auto"/>
              </w:rPr>
            </w:pPr>
          </w:p>
        </w:tc>
        <w:tc>
          <w:tcPr>
            <w:tcW w:w="460" w:type="dxa"/>
            <w:vAlign w:val="bottom"/>
            <w:shd w:val="clear" w:color="auto" w:fill="CFF0FC"/>
          </w:tcPr>
          <w:p>
            <w:pPr>
              <w:jc w:val="right"/>
              <w:spacing w:after="0" w:line="108" w:lineRule="exact"/>
              <w:rPr>
                <w:sz w:val="20"/>
                <w:szCs w:val="20"/>
                <w:color w:val="auto"/>
              </w:rPr>
            </w:pPr>
            <w:r>
              <w:rPr>
                <w:rFonts w:ascii="Arial" w:cs="Arial" w:eastAsia="Arial" w:hAnsi="Arial"/>
                <w:sz w:val="12"/>
                <w:szCs w:val="12"/>
                <w:color w:val="auto"/>
              </w:rPr>
              <w:t>6,083,1</w:t>
            </w:r>
          </w:p>
        </w:tc>
        <w:tc>
          <w:tcPr>
            <w:tcW w:w="60" w:type="dxa"/>
            <w:vAlign w:val="bottom"/>
            <w:shd w:val="clear" w:color="auto" w:fill="CFF0FC"/>
          </w:tcPr>
          <w:p>
            <w:pPr>
              <w:spacing w:after="0"/>
              <w:rPr>
                <w:sz w:val="9"/>
                <w:szCs w:val="9"/>
                <w:color w:val="auto"/>
              </w:rPr>
            </w:pPr>
          </w:p>
        </w:tc>
        <w:tc>
          <w:tcPr>
            <w:tcW w:w="100" w:type="dxa"/>
            <w:vAlign w:val="bottom"/>
            <w:vMerge w:val="restart"/>
            <w:shd w:val="clear" w:color="auto" w:fill="CFF0FC"/>
          </w:tcPr>
          <w:p>
            <w:pPr>
              <w:spacing w:after="0"/>
              <w:rPr>
                <w:sz w:val="20"/>
                <w:szCs w:val="20"/>
                <w:color w:val="auto"/>
              </w:rPr>
            </w:pPr>
            <w:r>
              <w:rPr>
                <w:rFonts w:ascii="Arial" w:cs="Arial" w:eastAsia="Arial" w:hAnsi="Arial"/>
                <w:sz w:val="13"/>
                <w:szCs w:val="13"/>
                <w:color w:val="auto"/>
              </w:rPr>
              <w:t>$</w:t>
            </w:r>
          </w:p>
        </w:tc>
        <w:tc>
          <w:tcPr>
            <w:tcW w:w="220" w:type="dxa"/>
            <w:vAlign w:val="bottom"/>
            <w:vMerge w:val="restart"/>
            <w:shd w:val="clear" w:color="auto" w:fill="CFF0FC"/>
          </w:tcPr>
          <w:p>
            <w:pPr>
              <w:ind w:left="80"/>
              <w:spacing w:after="0"/>
              <w:rPr>
                <w:sz w:val="20"/>
                <w:szCs w:val="20"/>
                <w:color w:val="auto"/>
              </w:rPr>
            </w:pPr>
            <w:r>
              <w:rPr>
                <w:rFonts w:ascii="Arial" w:cs="Arial" w:eastAsia="Arial" w:hAnsi="Arial"/>
                <w:sz w:val="13"/>
                <w:szCs w:val="13"/>
                <w:color w:val="auto"/>
                <w:w w:val="91"/>
              </w:rPr>
              <w:t>—</w:t>
            </w:r>
          </w:p>
        </w:tc>
        <w:tc>
          <w:tcPr>
            <w:tcW w:w="40" w:type="dxa"/>
            <w:vAlign w:val="bottom"/>
            <w:shd w:val="clear" w:color="auto" w:fill="CFF0FC"/>
          </w:tcPr>
          <w:p>
            <w:pPr>
              <w:spacing w:after="0"/>
              <w:rPr>
                <w:sz w:val="9"/>
                <w:szCs w:val="9"/>
                <w:color w:val="auto"/>
              </w:rPr>
            </w:pPr>
          </w:p>
        </w:tc>
        <w:tc>
          <w:tcPr>
            <w:tcW w:w="800" w:type="dxa"/>
            <w:vAlign w:val="bottom"/>
            <w:gridSpan w:val="3"/>
            <w:vMerge w:val="restart"/>
            <w:shd w:val="clear" w:color="auto" w:fill="CFF0FC"/>
          </w:tcPr>
          <w:p>
            <w:pPr>
              <w:jc w:val="right"/>
              <w:spacing w:after="0"/>
              <w:rPr>
                <w:sz w:val="20"/>
                <w:szCs w:val="20"/>
                <w:color w:val="auto"/>
              </w:rPr>
            </w:pPr>
            <w:r>
              <w:rPr>
                <w:rFonts w:ascii="Arial" w:cs="Arial" w:eastAsia="Arial" w:hAnsi="Arial"/>
                <w:sz w:val="13"/>
                <w:szCs w:val="13"/>
                <w:color w:val="auto"/>
              </w:rPr>
              <w:t>— $</w:t>
            </w:r>
          </w:p>
        </w:tc>
        <w:tc>
          <w:tcPr>
            <w:tcW w:w="240" w:type="dxa"/>
            <w:vAlign w:val="bottom"/>
            <w:vMerge w:val="restart"/>
            <w:shd w:val="clear" w:color="auto" w:fill="CFF0FC"/>
          </w:tcPr>
          <w:p>
            <w:pPr>
              <w:ind w:left="100"/>
              <w:spacing w:after="0"/>
              <w:rPr>
                <w:sz w:val="20"/>
                <w:szCs w:val="20"/>
                <w:color w:val="auto"/>
              </w:rPr>
            </w:pPr>
            <w:r>
              <w:rPr>
                <w:rFonts w:ascii="Arial" w:cs="Arial" w:eastAsia="Arial" w:hAnsi="Arial"/>
                <w:sz w:val="13"/>
                <w:szCs w:val="13"/>
                <w:color w:val="auto"/>
                <w:w w:val="91"/>
              </w:rPr>
              <w:t>—</w:t>
            </w:r>
          </w:p>
        </w:tc>
        <w:tc>
          <w:tcPr>
            <w:tcW w:w="40" w:type="dxa"/>
            <w:vAlign w:val="bottom"/>
            <w:shd w:val="clear" w:color="auto" w:fill="CFF0FC"/>
          </w:tcPr>
          <w:p>
            <w:pPr>
              <w:spacing w:after="0"/>
              <w:rPr>
                <w:sz w:val="9"/>
                <w:szCs w:val="9"/>
                <w:color w:val="auto"/>
              </w:rPr>
            </w:pPr>
          </w:p>
        </w:tc>
        <w:tc>
          <w:tcPr>
            <w:tcW w:w="840" w:type="dxa"/>
            <w:vAlign w:val="bottom"/>
            <w:gridSpan w:val="3"/>
            <w:vMerge w:val="restart"/>
            <w:shd w:val="clear" w:color="auto" w:fill="CFF0FC"/>
          </w:tcPr>
          <w:p>
            <w:pPr>
              <w:jc w:val="right"/>
              <w:ind w:right="62"/>
              <w:spacing w:after="0"/>
              <w:rPr>
                <w:sz w:val="20"/>
                <w:szCs w:val="20"/>
                <w:color w:val="auto"/>
              </w:rPr>
            </w:pPr>
            <w:r>
              <w:rPr>
                <w:rFonts w:ascii="Arial" w:cs="Arial" w:eastAsia="Arial" w:hAnsi="Arial"/>
                <w:sz w:val="13"/>
                <w:szCs w:val="13"/>
                <w:color w:val="auto"/>
              </w:rPr>
              <w:t>— $</w:t>
            </w:r>
          </w:p>
        </w:tc>
        <w:tc>
          <w:tcPr>
            <w:tcW w:w="420" w:type="dxa"/>
            <w:vAlign w:val="bottom"/>
            <w:gridSpan w:val="3"/>
            <w:vMerge w:val="restart"/>
            <w:shd w:val="clear" w:color="auto" w:fill="CFF0FC"/>
          </w:tcPr>
          <w:p>
            <w:pPr>
              <w:ind w:left="120"/>
              <w:spacing w:after="0"/>
              <w:rPr>
                <w:sz w:val="20"/>
                <w:szCs w:val="20"/>
                <w:color w:val="auto"/>
              </w:rPr>
            </w:pPr>
            <w:r>
              <w:rPr>
                <w:rFonts w:ascii="Arial" w:cs="Arial" w:eastAsia="Arial" w:hAnsi="Arial"/>
                <w:sz w:val="13"/>
                <w:szCs w:val="13"/>
                <w:color w:val="auto"/>
              </w:rPr>
              <w:t>— $</w:t>
            </w:r>
          </w:p>
        </w:tc>
        <w:tc>
          <w:tcPr>
            <w:tcW w:w="54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775</w:t>
            </w:r>
          </w:p>
        </w:tc>
        <w:tc>
          <w:tcPr>
            <w:tcW w:w="60" w:type="dxa"/>
            <w:vAlign w:val="bottom"/>
            <w:shd w:val="clear" w:color="auto" w:fill="CFF0FC"/>
          </w:tcPr>
          <w:p>
            <w:pPr>
              <w:spacing w:after="0"/>
              <w:rPr>
                <w:sz w:val="9"/>
                <w:szCs w:val="9"/>
                <w:color w:val="auto"/>
              </w:rPr>
            </w:pPr>
          </w:p>
        </w:tc>
        <w:tc>
          <w:tcPr>
            <w:tcW w:w="160" w:type="dxa"/>
            <w:vAlign w:val="bottom"/>
            <w:vMerge w:val="restart"/>
            <w:shd w:val="clear" w:color="auto" w:fill="CFF0FC"/>
          </w:tcPr>
          <w:p>
            <w:pPr>
              <w:jc w:val="right"/>
              <w:ind w:right="22"/>
              <w:spacing w:after="0"/>
              <w:rPr>
                <w:sz w:val="20"/>
                <w:szCs w:val="20"/>
                <w:color w:val="auto"/>
              </w:rPr>
            </w:pPr>
            <w:r>
              <w:rPr>
                <w:rFonts w:ascii="Arial" w:cs="Arial" w:eastAsia="Arial" w:hAnsi="Arial"/>
                <w:sz w:val="13"/>
                <w:szCs w:val="13"/>
                <w:color w:val="auto"/>
                <w:w w:val="82"/>
              </w:rPr>
              <w:t>$</w:t>
            </w:r>
          </w:p>
        </w:tc>
        <w:tc>
          <w:tcPr>
            <w:tcW w:w="700" w:type="dxa"/>
            <w:vAlign w:val="bottom"/>
            <w:gridSpan w:val="2"/>
            <w:vMerge w:val="restart"/>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140" w:type="dxa"/>
            <w:vAlign w:val="bottom"/>
            <w:vMerge w:val="restart"/>
            <w:shd w:val="clear" w:color="auto" w:fill="CFF0FC"/>
          </w:tcPr>
          <w:p>
            <w:pPr>
              <w:ind w:left="20"/>
              <w:spacing w:after="0"/>
              <w:rPr>
                <w:sz w:val="20"/>
                <w:szCs w:val="20"/>
                <w:color w:val="auto"/>
              </w:rPr>
            </w:pPr>
            <w:r>
              <w:rPr>
                <w:rFonts w:ascii="Arial" w:cs="Arial" w:eastAsia="Arial" w:hAnsi="Arial"/>
                <w:sz w:val="13"/>
                <w:szCs w:val="13"/>
                <w:color w:val="auto"/>
              </w:rPr>
              <w:t>$</w:t>
            </w:r>
          </w:p>
        </w:tc>
        <w:tc>
          <w:tcPr>
            <w:tcW w:w="720" w:type="dxa"/>
            <w:vAlign w:val="bottom"/>
            <w:gridSpan w:val="3"/>
            <w:vMerge w:val="restart"/>
            <w:shd w:val="clear" w:color="auto" w:fill="CFF0FC"/>
          </w:tcPr>
          <w:p>
            <w:pPr>
              <w:jc w:val="right"/>
              <w:spacing w:after="0"/>
              <w:rPr>
                <w:sz w:val="20"/>
                <w:szCs w:val="20"/>
                <w:color w:val="auto"/>
              </w:rPr>
            </w:pPr>
            <w:r>
              <w:rPr>
                <w:rFonts w:ascii="Arial" w:cs="Arial" w:eastAsia="Arial" w:hAnsi="Arial"/>
                <w:sz w:val="13"/>
                <w:szCs w:val="13"/>
                <w:color w:val="auto"/>
              </w:rPr>
              <w:t>(46,615 )$</w:t>
            </w:r>
          </w:p>
        </w:tc>
        <w:tc>
          <w:tcPr>
            <w:tcW w:w="740" w:type="dxa"/>
            <w:vAlign w:val="bottom"/>
            <w:gridSpan w:val="3"/>
            <w:vMerge w:val="restart"/>
            <w:shd w:val="clear" w:color="auto" w:fill="CFF0FC"/>
          </w:tcPr>
          <w:p>
            <w:pPr>
              <w:jc w:val="right"/>
              <w:spacing w:after="0"/>
              <w:rPr>
                <w:sz w:val="20"/>
                <w:szCs w:val="20"/>
                <w:color w:val="auto"/>
              </w:rPr>
            </w:pPr>
            <w:r>
              <w:rPr>
                <w:rFonts w:ascii="Arial" w:cs="Arial" w:eastAsia="Arial" w:hAnsi="Arial"/>
                <w:sz w:val="13"/>
                <w:szCs w:val="13"/>
                <w:color w:val="auto"/>
              </w:rPr>
              <w:t>(45,840 ) $</w:t>
            </w:r>
          </w:p>
        </w:tc>
        <w:tc>
          <w:tcPr>
            <w:tcW w:w="680" w:type="dxa"/>
            <w:vAlign w:val="bottom"/>
            <w:gridSpan w:val="2"/>
            <w:vMerge w:val="restart"/>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vMerge w:val="restart"/>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gridSpan w:val="2"/>
            <w:vMerge w:val="restart"/>
            <w:shd w:val="clear" w:color="auto" w:fill="CFF0FC"/>
          </w:tcPr>
          <w:p>
            <w:pPr>
              <w:jc w:val="right"/>
              <w:spacing w:after="0"/>
              <w:rPr>
                <w:sz w:val="20"/>
                <w:szCs w:val="20"/>
                <w:color w:val="auto"/>
              </w:rPr>
            </w:pPr>
            <w:r>
              <w:rPr>
                <w:rFonts w:ascii="Arial" w:cs="Arial" w:eastAsia="Arial" w:hAnsi="Arial"/>
                <w:sz w:val="13"/>
                <w:szCs w:val="13"/>
                <w:color w:val="auto"/>
              </w:rPr>
              <w:t>(45,840 )</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2180" w:type="dxa"/>
            <w:vAlign w:val="bottom"/>
            <w:vMerge w:val="continue"/>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w:t>
            </w:r>
          </w:p>
        </w:tc>
        <w:tc>
          <w:tcPr>
            <w:tcW w:w="60" w:type="dxa"/>
            <w:vAlign w:val="bottom"/>
            <w:shd w:val="clear" w:color="auto" w:fill="CFF0FC"/>
          </w:tcPr>
          <w:p>
            <w:pPr>
              <w:spacing w:after="0"/>
              <w:rPr>
                <w:sz w:val="14"/>
                <w:szCs w:val="14"/>
                <w:color w:val="auto"/>
              </w:rPr>
            </w:pPr>
          </w:p>
        </w:tc>
        <w:tc>
          <w:tcPr>
            <w:tcW w:w="120" w:type="dxa"/>
            <w:vAlign w:val="bottom"/>
            <w:vMerge w:val="continue"/>
            <w:shd w:val="clear" w:color="auto" w:fill="CFF0FC"/>
          </w:tcPr>
          <w:p>
            <w:pPr>
              <w:spacing w:after="0"/>
              <w:rPr>
                <w:sz w:val="14"/>
                <w:szCs w:val="14"/>
                <w:color w:val="auto"/>
              </w:rPr>
            </w:pPr>
          </w:p>
        </w:tc>
        <w:tc>
          <w:tcPr>
            <w:tcW w:w="500" w:type="dxa"/>
            <w:vAlign w:val="bottom"/>
            <w:vMerge w:val="continue"/>
            <w:shd w:val="clear" w:color="auto" w:fill="CFF0FC"/>
          </w:tcPr>
          <w:p>
            <w:pPr>
              <w:spacing w:after="0"/>
              <w:rPr>
                <w:sz w:val="14"/>
                <w:szCs w:val="14"/>
                <w:color w:val="auto"/>
              </w:rPr>
            </w:pPr>
          </w:p>
        </w:tc>
        <w:tc>
          <w:tcPr>
            <w:tcW w:w="120" w:type="dxa"/>
            <w:vAlign w:val="bottom"/>
            <w:tcBorders>
              <w:right w:val="single" w:sz="8" w:color="auto"/>
            </w:tcBorders>
            <w:shd w:val="clear" w:color="auto" w:fill="CFF0FC"/>
          </w:tcPr>
          <w:p>
            <w:pPr>
              <w:spacing w:after="0"/>
              <w:rPr>
                <w:sz w:val="14"/>
                <w:szCs w:val="14"/>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35</w:t>
            </w:r>
          </w:p>
        </w:tc>
        <w:tc>
          <w:tcPr>
            <w:tcW w:w="60" w:type="dxa"/>
            <w:vAlign w:val="bottom"/>
            <w:shd w:val="clear" w:color="auto" w:fill="CFF0FC"/>
          </w:tcPr>
          <w:p>
            <w:pPr>
              <w:spacing w:after="0"/>
              <w:rPr>
                <w:sz w:val="14"/>
                <w:szCs w:val="14"/>
                <w:color w:val="auto"/>
              </w:rPr>
            </w:pPr>
          </w:p>
        </w:tc>
        <w:tc>
          <w:tcPr>
            <w:tcW w:w="100" w:type="dxa"/>
            <w:vAlign w:val="bottom"/>
            <w:vMerge w:val="continue"/>
            <w:shd w:val="clear" w:color="auto" w:fill="CFF0FC"/>
          </w:tcPr>
          <w:p>
            <w:pPr>
              <w:spacing w:after="0"/>
              <w:rPr>
                <w:sz w:val="14"/>
                <w:szCs w:val="14"/>
                <w:color w:val="auto"/>
              </w:rPr>
            </w:pPr>
          </w:p>
        </w:tc>
        <w:tc>
          <w:tcPr>
            <w:tcW w:w="220" w:type="dxa"/>
            <w:vAlign w:val="bottom"/>
            <w:vMerge w:val="continue"/>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800" w:type="dxa"/>
            <w:vAlign w:val="bottom"/>
            <w:gridSpan w:val="3"/>
            <w:vMerge w:val="continue"/>
            <w:shd w:val="clear" w:color="auto" w:fill="CFF0FC"/>
          </w:tcPr>
          <w:p>
            <w:pPr>
              <w:spacing w:after="0"/>
              <w:rPr>
                <w:sz w:val="14"/>
                <w:szCs w:val="14"/>
                <w:color w:val="auto"/>
              </w:rPr>
            </w:pPr>
          </w:p>
        </w:tc>
        <w:tc>
          <w:tcPr>
            <w:tcW w:w="240" w:type="dxa"/>
            <w:vAlign w:val="bottom"/>
            <w:vMerge w:val="continue"/>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840" w:type="dxa"/>
            <w:vAlign w:val="bottom"/>
            <w:gridSpan w:val="3"/>
            <w:vMerge w:val="continue"/>
            <w:shd w:val="clear" w:color="auto" w:fill="CFF0FC"/>
          </w:tcPr>
          <w:p>
            <w:pPr>
              <w:spacing w:after="0"/>
              <w:rPr>
                <w:sz w:val="14"/>
                <w:szCs w:val="14"/>
                <w:color w:val="auto"/>
              </w:rPr>
            </w:pPr>
          </w:p>
        </w:tc>
        <w:tc>
          <w:tcPr>
            <w:tcW w:w="420" w:type="dxa"/>
            <w:vAlign w:val="bottom"/>
            <w:gridSpan w:val="3"/>
            <w:vMerge w:val="continue"/>
            <w:shd w:val="clear" w:color="auto" w:fill="CFF0FC"/>
          </w:tcPr>
          <w:p>
            <w:pPr>
              <w:spacing w:after="0"/>
              <w:rPr>
                <w:sz w:val="14"/>
                <w:szCs w:val="14"/>
                <w:color w:val="auto"/>
              </w:rPr>
            </w:pPr>
          </w:p>
        </w:tc>
        <w:tc>
          <w:tcPr>
            <w:tcW w:w="540" w:type="dxa"/>
            <w:vAlign w:val="bottom"/>
            <w:vMerge w:val="continue"/>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60" w:type="dxa"/>
            <w:vAlign w:val="bottom"/>
            <w:vMerge w:val="continue"/>
            <w:shd w:val="clear" w:color="auto" w:fill="CFF0FC"/>
          </w:tcPr>
          <w:p>
            <w:pPr>
              <w:spacing w:after="0"/>
              <w:rPr>
                <w:sz w:val="14"/>
                <w:szCs w:val="14"/>
                <w:color w:val="auto"/>
              </w:rPr>
            </w:pPr>
          </w:p>
        </w:tc>
        <w:tc>
          <w:tcPr>
            <w:tcW w:w="700" w:type="dxa"/>
            <w:vAlign w:val="bottom"/>
            <w:gridSpan w:val="2"/>
            <w:vMerge w:val="continue"/>
            <w:shd w:val="clear" w:color="auto" w:fill="CFF0FC"/>
          </w:tcPr>
          <w:p>
            <w:pPr>
              <w:spacing w:after="0"/>
              <w:rPr>
                <w:sz w:val="14"/>
                <w:szCs w:val="14"/>
                <w:color w:val="auto"/>
              </w:rPr>
            </w:pPr>
          </w:p>
        </w:tc>
        <w:tc>
          <w:tcPr>
            <w:tcW w:w="140" w:type="dxa"/>
            <w:vAlign w:val="bottom"/>
            <w:vMerge w:val="continue"/>
            <w:shd w:val="clear" w:color="auto" w:fill="CFF0FC"/>
          </w:tcPr>
          <w:p>
            <w:pPr>
              <w:spacing w:after="0"/>
              <w:rPr>
                <w:sz w:val="14"/>
                <w:szCs w:val="14"/>
                <w:color w:val="auto"/>
              </w:rPr>
            </w:pPr>
          </w:p>
        </w:tc>
        <w:tc>
          <w:tcPr>
            <w:tcW w:w="720" w:type="dxa"/>
            <w:vAlign w:val="bottom"/>
            <w:gridSpan w:val="3"/>
            <w:vMerge w:val="continue"/>
            <w:shd w:val="clear" w:color="auto" w:fill="CFF0FC"/>
          </w:tcPr>
          <w:p>
            <w:pPr>
              <w:spacing w:after="0"/>
              <w:rPr>
                <w:sz w:val="14"/>
                <w:szCs w:val="14"/>
                <w:color w:val="auto"/>
              </w:rPr>
            </w:pPr>
          </w:p>
        </w:tc>
        <w:tc>
          <w:tcPr>
            <w:tcW w:w="740" w:type="dxa"/>
            <w:vAlign w:val="bottom"/>
            <w:gridSpan w:val="3"/>
            <w:vMerge w:val="continue"/>
            <w:shd w:val="clear" w:color="auto" w:fill="CFF0FC"/>
          </w:tcPr>
          <w:p>
            <w:pPr>
              <w:spacing w:after="0"/>
              <w:rPr>
                <w:sz w:val="14"/>
                <w:szCs w:val="14"/>
                <w:color w:val="auto"/>
              </w:rPr>
            </w:pPr>
          </w:p>
        </w:tc>
        <w:tc>
          <w:tcPr>
            <w:tcW w:w="680" w:type="dxa"/>
            <w:vAlign w:val="bottom"/>
            <w:gridSpan w:val="2"/>
            <w:vMerge w:val="continue"/>
            <w:shd w:val="clear" w:color="auto" w:fill="CFF0FC"/>
          </w:tcPr>
          <w:p>
            <w:pPr>
              <w:spacing w:after="0"/>
              <w:rPr>
                <w:sz w:val="14"/>
                <w:szCs w:val="14"/>
                <w:color w:val="auto"/>
              </w:rPr>
            </w:pPr>
          </w:p>
        </w:tc>
        <w:tc>
          <w:tcPr>
            <w:tcW w:w="100" w:type="dxa"/>
            <w:vAlign w:val="bottom"/>
            <w:vMerge w:val="continue"/>
            <w:shd w:val="clear" w:color="auto" w:fill="CFF0FC"/>
          </w:tcPr>
          <w:p>
            <w:pPr>
              <w:spacing w:after="0"/>
              <w:rPr>
                <w:sz w:val="14"/>
                <w:szCs w:val="14"/>
                <w:color w:val="auto"/>
              </w:rPr>
            </w:pPr>
          </w:p>
        </w:tc>
        <w:tc>
          <w:tcPr>
            <w:tcW w:w="620" w:type="dxa"/>
            <w:vAlign w:val="bottom"/>
            <w:gridSpan w:val="2"/>
            <w:vMerge w:val="continue"/>
            <w:shd w:val="clear" w:color="auto" w:fill="CFF0FC"/>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180" w:type="dxa"/>
            <w:vAlign w:val="bottom"/>
          </w:tcPr>
          <w:p>
            <w:pPr>
              <w:ind w:left="20"/>
              <w:spacing w:after="0"/>
              <w:rPr>
                <w:sz w:val="20"/>
                <w:szCs w:val="20"/>
                <w:color w:val="auto"/>
              </w:rPr>
            </w:pPr>
            <w:r>
              <w:rPr>
                <w:rFonts w:ascii="Arial" w:cs="Arial" w:eastAsia="Arial" w:hAnsi="Arial"/>
                <w:sz w:val="13"/>
                <w:szCs w:val="13"/>
                <w:color w:val="auto"/>
              </w:rPr>
              <w:t>Issuance of common stock</w:t>
            </w:r>
          </w:p>
        </w:tc>
        <w:tc>
          <w:tcPr>
            <w:tcW w:w="640" w:type="dxa"/>
            <w:vAlign w:val="bottom"/>
            <w:gridSpan w:val="2"/>
          </w:tcPr>
          <w:p>
            <w:pPr>
              <w:jc w:val="right"/>
              <w:ind w:right="26"/>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62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3"/>
                <w:szCs w:val="13"/>
                <w:color w:val="auto"/>
              </w:rPr>
              <w:t>—</w:t>
            </w:r>
          </w:p>
        </w:tc>
        <w:tc>
          <w:tcPr>
            <w:tcW w:w="460" w:type="dxa"/>
            <w:vAlign w:val="bottom"/>
          </w:tcPr>
          <w:p>
            <w:pPr>
              <w:jc w:val="right"/>
              <w:spacing w:after="0"/>
              <w:rPr>
                <w:sz w:val="20"/>
                <w:szCs w:val="20"/>
                <w:color w:val="auto"/>
              </w:rPr>
            </w:pPr>
            <w:r>
              <w:rPr>
                <w:rFonts w:ascii="Arial" w:cs="Arial" w:eastAsia="Arial" w:hAnsi="Arial"/>
                <w:sz w:val="13"/>
                <w:szCs w:val="13"/>
                <w:color w:val="auto"/>
              </w:rPr>
              <w:t>1</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ind w:left="80"/>
              <w:spacing w:after="0"/>
              <w:rPr>
                <w:sz w:val="20"/>
                <w:szCs w:val="20"/>
                <w:color w:val="auto"/>
              </w:rPr>
            </w:pPr>
            <w:r>
              <w:rPr>
                <w:rFonts w:ascii="Arial" w:cs="Arial" w:eastAsia="Arial" w:hAnsi="Arial"/>
                <w:sz w:val="13"/>
                <w:szCs w:val="13"/>
                <w:color w:val="auto"/>
                <w:w w:val="91"/>
              </w:rPr>
              <w:t>—</w:t>
            </w:r>
          </w:p>
        </w:tc>
        <w:tc>
          <w:tcPr>
            <w:tcW w:w="40" w:type="dxa"/>
            <w:vAlign w:val="bottom"/>
          </w:tcPr>
          <w:p>
            <w:pPr>
              <w:spacing w:after="0"/>
              <w:rPr>
                <w:sz w:val="12"/>
                <w:szCs w:val="12"/>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240" w:type="dxa"/>
            <w:vAlign w:val="bottom"/>
          </w:tcPr>
          <w:p>
            <w:pPr>
              <w:ind w:left="100"/>
              <w:spacing w:after="0"/>
              <w:rPr>
                <w:sz w:val="20"/>
                <w:szCs w:val="20"/>
                <w:color w:val="auto"/>
              </w:rPr>
            </w:pPr>
            <w:r>
              <w:rPr>
                <w:rFonts w:ascii="Arial" w:cs="Arial" w:eastAsia="Arial" w:hAnsi="Arial"/>
                <w:sz w:val="13"/>
                <w:szCs w:val="13"/>
                <w:color w:val="auto"/>
                <w:w w:val="91"/>
              </w:rPr>
              <w:t>—</w:t>
            </w:r>
          </w:p>
        </w:tc>
        <w:tc>
          <w:tcPr>
            <w:tcW w:w="4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gridSpan w:val="3"/>
          </w:tcPr>
          <w:p>
            <w:pPr>
              <w:ind w:left="120"/>
              <w:spacing w:after="0"/>
              <w:rPr>
                <w:sz w:val="20"/>
                <w:szCs w:val="20"/>
                <w:color w:val="auto"/>
              </w:rPr>
            </w:pPr>
            <w:r>
              <w:rPr>
                <w:rFonts w:ascii="Arial" w:cs="Arial" w:eastAsia="Arial" w:hAnsi="Arial"/>
                <w:sz w:val="13"/>
                <w:szCs w:val="13"/>
                <w:color w:val="auto"/>
              </w:rPr>
              <w:t>—</w:t>
            </w:r>
          </w:p>
        </w:tc>
        <w:tc>
          <w:tcPr>
            <w:tcW w:w="60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720" w:type="dxa"/>
            <w:vAlign w:val="bottom"/>
            <w:gridSpan w:val="3"/>
          </w:tcPr>
          <w:p>
            <w:pPr>
              <w:jc w:val="right"/>
              <w:ind w:right="117"/>
              <w:spacing w:after="0"/>
              <w:rPr>
                <w:sz w:val="20"/>
                <w:szCs w:val="20"/>
                <w:color w:val="auto"/>
              </w:rPr>
            </w:pPr>
            <w:r>
              <w:rPr>
                <w:rFonts w:ascii="Arial" w:cs="Arial" w:eastAsia="Arial" w:hAnsi="Arial"/>
                <w:sz w:val="13"/>
                <w:szCs w:val="13"/>
                <w:color w:val="auto"/>
              </w:rPr>
              <w:t>—</w:t>
            </w:r>
          </w:p>
        </w:tc>
        <w:tc>
          <w:tcPr>
            <w:tcW w:w="64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6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180" w:type="dxa"/>
            <w:vAlign w:val="bottom"/>
            <w:vMerge w:val="restart"/>
            <w:shd w:val="clear" w:color="auto" w:fill="CFF0FC"/>
          </w:tcPr>
          <w:p>
            <w:pPr>
              <w:ind w:left="20"/>
              <w:spacing w:after="0"/>
              <w:rPr>
                <w:sz w:val="20"/>
                <w:szCs w:val="20"/>
                <w:color w:val="auto"/>
              </w:rPr>
            </w:pPr>
            <w:r>
              <w:rPr>
                <w:rFonts w:ascii="Arial" w:cs="Arial" w:eastAsia="Arial" w:hAnsi="Arial"/>
                <w:sz w:val="13"/>
                <w:szCs w:val="13"/>
                <w:color w:val="auto"/>
                <w:w w:val="95"/>
              </w:rPr>
              <w:t>Issuance of convertible preferred stock</w:t>
            </w:r>
          </w:p>
        </w:tc>
        <w:tc>
          <w:tcPr>
            <w:tcW w:w="580" w:type="dxa"/>
            <w:vAlign w:val="bottom"/>
            <w:shd w:val="clear" w:color="auto" w:fill="CFF0FC"/>
          </w:tcPr>
          <w:p>
            <w:pPr>
              <w:jc w:val="right"/>
              <w:spacing w:after="0" w:line="108" w:lineRule="exact"/>
              <w:rPr>
                <w:sz w:val="20"/>
                <w:szCs w:val="20"/>
                <w:color w:val="auto"/>
              </w:rPr>
            </w:pPr>
            <w:r>
              <w:rPr>
                <w:rFonts w:ascii="Arial" w:cs="Arial" w:eastAsia="Arial" w:hAnsi="Arial"/>
                <w:sz w:val="12"/>
                <w:szCs w:val="12"/>
                <w:color w:val="auto"/>
              </w:rPr>
              <w:t>5,494,06</w:t>
            </w:r>
          </w:p>
        </w:tc>
        <w:tc>
          <w:tcPr>
            <w:tcW w:w="6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50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54,929</w:t>
            </w:r>
          </w:p>
        </w:tc>
        <w:tc>
          <w:tcPr>
            <w:tcW w:w="120" w:type="dxa"/>
            <w:vAlign w:val="bottom"/>
            <w:tcBorders>
              <w:right w:val="single" w:sz="8" w:color="auto"/>
            </w:tcBorders>
            <w:shd w:val="clear" w:color="auto" w:fill="CFF0FC"/>
          </w:tcPr>
          <w:p>
            <w:pPr>
              <w:spacing w:after="0"/>
              <w:rPr>
                <w:sz w:val="9"/>
                <w:szCs w:val="9"/>
                <w:color w:val="auto"/>
              </w:rPr>
            </w:pPr>
          </w:p>
        </w:tc>
        <w:tc>
          <w:tcPr>
            <w:tcW w:w="520" w:type="dxa"/>
            <w:vAlign w:val="bottom"/>
            <w:gridSpan w:val="2"/>
            <w:vMerge w:val="restart"/>
            <w:shd w:val="clear" w:color="auto" w:fill="CFF0FC"/>
          </w:tcPr>
          <w:p>
            <w:pPr>
              <w:jc w:val="right"/>
              <w:ind w:right="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9"/>
                <w:szCs w:val="9"/>
                <w:color w:val="auto"/>
              </w:rPr>
            </w:pPr>
          </w:p>
        </w:tc>
        <w:tc>
          <w:tcPr>
            <w:tcW w:w="220" w:type="dxa"/>
            <w:vAlign w:val="bottom"/>
            <w:vMerge w:val="restart"/>
            <w:shd w:val="clear" w:color="auto" w:fill="CFF0FC"/>
          </w:tcPr>
          <w:p>
            <w:pPr>
              <w:ind w:left="80"/>
              <w:spacing w:after="0"/>
              <w:rPr>
                <w:sz w:val="20"/>
                <w:szCs w:val="20"/>
                <w:color w:val="auto"/>
              </w:rPr>
            </w:pPr>
            <w:r>
              <w:rPr>
                <w:rFonts w:ascii="Arial" w:cs="Arial" w:eastAsia="Arial" w:hAnsi="Arial"/>
                <w:sz w:val="13"/>
                <w:szCs w:val="13"/>
                <w:color w:val="auto"/>
                <w:w w:val="91"/>
              </w:rPr>
              <w:t>—</w:t>
            </w:r>
          </w:p>
        </w:tc>
        <w:tc>
          <w:tcPr>
            <w:tcW w:w="40" w:type="dxa"/>
            <w:vAlign w:val="bottom"/>
            <w:shd w:val="clear" w:color="auto" w:fill="CFF0FC"/>
          </w:tcPr>
          <w:p>
            <w:pPr>
              <w:spacing w:after="0"/>
              <w:rPr>
                <w:sz w:val="9"/>
                <w:szCs w:val="9"/>
                <w:color w:val="auto"/>
              </w:rPr>
            </w:pPr>
          </w:p>
        </w:tc>
        <w:tc>
          <w:tcPr>
            <w:tcW w:w="700" w:type="dxa"/>
            <w:vAlign w:val="bottom"/>
            <w:gridSpan w:val="2"/>
            <w:vMerge w:val="restart"/>
            <w:shd w:val="clear" w:color="auto" w:fill="CFF0FC"/>
          </w:tcPr>
          <w:p>
            <w:pPr>
              <w:jc w:val="right"/>
              <w:ind w:right="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9"/>
                <w:szCs w:val="9"/>
                <w:color w:val="auto"/>
              </w:rPr>
            </w:pPr>
          </w:p>
        </w:tc>
        <w:tc>
          <w:tcPr>
            <w:tcW w:w="240" w:type="dxa"/>
            <w:vAlign w:val="bottom"/>
            <w:vMerge w:val="restart"/>
            <w:shd w:val="clear" w:color="auto" w:fill="CFF0FC"/>
          </w:tcPr>
          <w:p>
            <w:pPr>
              <w:ind w:left="100"/>
              <w:spacing w:after="0"/>
              <w:rPr>
                <w:sz w:val="20"/>
                <w:szCs w:val="20"/>
                <w:color w:val="auto"/>
              </w:rPr>
            </w:pPr>
            <w:r>
              <w:rPr>
                <w:rFonts w:ascii="Arial" w:cs="Arial" w:eastAsia="Arial" w:hAnsi="Arial"/>
                <w:sz w:val="13"/>
                <w:szCs w:val="13"/>
                <w:color w:val="auto"/>
                <w:w w:val="91"/>
              </w:rPr>
              <w:t>—</w:t>
            </w:r>
          </w:p>
        </w:tc>
        <w:tc>
          <w:tcPr>
            <w:tcW w:w="40" w:type="dxa"/>
            <w:vAlign w:val="bottom"/>
            <w:shd w:val="clear" w:color="auto" w:fill="CFF0FC"/>
          </w:tcPr>
          <w:p>
            <w:pPr>
              <w:spacing w:after="0"/>
              <w:rPr>
                <w:sz w:val="9"/>
                <w:szCs w:val="9"/>
                <w:color w:val="auto"/>
              </w:rPr>
            </w:pPr>
          </w:p>
        </w:tc>
        <w:tc>
          <w:tcPr>
            <w:tcW w:w="60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420" w:type="dxa"/>
            <w:vAlign w:val="bottom"/>
            <w:gridSpan w:val="3"/>
            <w:vMerge w:val="restart"/>
            <w:shd w:val="clear" w:color="auto" w:fill="CFF0FC"/>
          </w:tcPr>
          <w:p>
            <w:pPr>
              <w:ind w:left="120"/>
              <w:spacing w:after="0"/>
              <w:rPr>
                <w:sz w:val="20"/>
                <w:szCs w:val="20"/>
                <w:color w:val="auto"/>
              </w:rPr>
            </w:pPr>
            <w:r>
              <w:rPr>
                <w:rFonts w:ascii="Arial" w:cs="Arial" w:eastAsia="Arial" w:hAnsi="Arial"/>
                <w:sz w:val="13"/>
                <w:szCs w:val="13"/>
                <w:color w:val="auto"/>
              </w:rPr>
              <w:t>—</w:t>
            </w:r>
          </w:p>
        </w:tc>
        <w:tc>
          <w:tcPr>
            <w:tcW w:w="600" w:type="dxa"/>
            <w:vAlign w:val="bottom"/>
            <w:gridSpan w:val="2"/>
            <w:vMerge w:val="restart"/>
            <w:shd w:val="clear" w:color="auto" w:fill="CFF0FC"/>
          </w:tcPr>
          <w:p>
            <w:pPr>
              <w:jc w:val="right"/>
              <w:ind w:right="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9"/>
                <w:szCs w:val="9"/>
                <w:color w:val="auto"/>
              </w:rPr>
            </w:pPr>
          </w:p>
        </w:tc>
        <w:tc>
          <w:tcPr>
            <w:tcW w:w="700" w:type="dxa"/>
            <w:vAlign w:val="bottom"/>
            <w:gridSpan w:val="2"/>
            <w:vMerge w:val="restart"/>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9"/>
                <w:szCs w:val="9"/>
                <w:color w:val="auto"/>
              </w:rPr>
            </w:pPr>
          </w:p>
        </w:tc>
        <w:tc>
          <w:tcPr>
            <w:tcW w:w="720" w:type="dxa"/>
            <w:vAlign w:val="bottom"/>
            <w:gridSpan w:val="3"/>
            <w:vMerge w:val="restart"/>
            <w:shd w:val="clear" w:color="auto" w:fill="CFF0FC"/>
          </w:tcPr>
          <w:p>
            <w:pPr>
              <w:jc w:val="right"/>
              <w:ind w:right="117"/>
              <w:spacing w:after="0"/>
              <w:rPr>
                <w:sz w:val="20"/>
                <w:szCs w:val="20"/>
                <w:color w:val="auto"/>
              </w:rPr>
            </w:pPr>
            <w:r>
              <w:rPr>
                <w:rFonts w:ascii="Arial" w:cs="Arial" w:eastAsia="Arial" w:hAnsi="Arial"/>
                <w:sz w:val="13"/>
                <w:szCs w:val="13"/>
                <w:color w:val="auto"/>
              </w:rPr>
              <w:t>—</w:t>
            </w:r>
          </w:p>
        </w:tc>
        <w:tc>
          <w:tcPr>
            <w:tcW w:w="640" w:type="dxa"/>
            <w:vAlign w:val="bottom"/>
            <w:tcBorders>
              <w:right w:val="single" w:sz="8" w:color="CFF0FC"/>
            </w:tcBorders>
            <w:gridSpan w:val="2"/>
            <w:vMerge w:val="restart"/>
            <w:shd w:val="clear" w:color="auto" w:fill="CFF0FC"/>
          </w:tcPr>
          <w:p>
            <w:pPr>
              <w:jc w:val="right"/>
              <w:ind w:right="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9"/>
                <w:szCs w:val="9"/>
                <w:color w:val="auto"/>
              </w:rPr>
            </w:pPr>
          </w:p>
        </w:tc>
        <w:tc>
          <w:tcPr>
            <w:tcW w:w="680" w:type="dxa"/>
            <w:vAlign w:val="bottom"/>
            <w:gridSpan w:val="2"/>
            <w:vMerge w:val="restart"/>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9"/>
                <w:szCs w:val="9"/>
                <w:color w:val="auto"/>
              </w:rPr>
            </w:pPr>
          </w:p>
        </w:tc>
        <w:tc>
          <w:tcPr>
            <w:tcW w:w="620" w:type="dxa"/>
            <w:vAlign w:val="bottom"/>
            <w:gridSpan w:val="2"/>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2180" w:type="dxa"/>
            <w:vAlign w:val="bottom"/>
            <w:vMerge w:val="continue"/>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w:t>
            </w: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00" w:type="dxa"/>
            <w:vAlign w:val="bottom"/>
            <w:vMerge w:val="continue"/>
            <w:shd w:val="clear" w:color="auto" w:fill="CFF0FC"/>
          </w:tcPr>
          <w:p>
            <w:pPr>
              <w:spacing w:after="0"/>
              <w:rPr>
                <w:sz w:val="14"/>
                <w:szCs w:val="14"/>
                <w:color w:val="auto"/>
              </w:rPr>
            </w:pPr>
          </w:p>
        </w:tc>
        <w:tc>
          <w:tcPr>
            <w:tcW w:w="120" w:type="dxa"/>
            <w:vAlign w:val="bottom"/>
            <w:tcBorders>
              <w:right w:val="single" w:sz="8" w:color="auto"/>
            </w:tcBorders>
            <w:shd w:val="clear" w:color="auto" w:fill="CFF0FC"/>
          </w:tcPr>
          <w:p>
            <w:pPr>
              <w:spacing w:after="0"/>
              <w:rPr>
                <w:sz w:val="14"/>
                <w:szCs w:val="14"/>
                <w:color w:val="auto"/>
              </w:rPr>
            </w:pPr>
          </w:p>
        </w:tc>
        <w:tc>
          <w:tcPr>
            <w:tcW w:w="520" w:type="dxa"/>
            <w:vAlign w:val="bottom"/>
            <w:gridSpan w:val="2"/>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20" w:type="dxa"/>
            <w:vAlign w:val="bottom"/>
            <w:vMerge w:val="continue"/>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700" w:type="dxa"/>
            <w:vAlign w:val="bottom"/>
            <w:gridSpan w:val="2"/>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40" w:type="dxa"/>
            <w:vAlign w:val="bottom"/>
            <w:vMerge w:val="continue"/>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600" w:type="dxa"/>
            <w:vAlign w:val="bottom"/>
            <w:vMerge w:val="continue"/>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420" w:type="dxa"/>
            <w:vAlign w:val="bottom"/>
            <w:gridSpan w:val="3"/>
            <w:vMerge w:val="continue"/>
            <w:shd w:val="clear" w:color="auto" w:fill="CFF0FC"/>
          </w:tcPr>
          <w:p>
            <w:pPr>
              <w:spacing w:after="0"/>
              <w:rPr>
                <w:sz w:val="14"/>
                <w:szCs w:val="14"/>
                <w:color w:val="auto"/>
              </w:rPr>
            </w:pPr>
          </w:p>
        </w:tc>
        <w:tc>
          <w:tcPr>
            <w:tcW w:w="600" w:type="dxa"/>
            <w:vAlign w:val="bottom"/>
            <w:gridSpan w:val="2"/>
            <w:vMerge w:val="continue"/>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00" w:type="dxa"/>
            <w:vAlign w:val="bottom"/>
            <w:gridSpan w:val="2"/>
            <w:vMerge w:val="continue"/>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20" w:type="dxa"/>
            <w:vAlign w:val="bottom"/>
            <w:gridSpan w:val="3"/>
            <w:vMerge w:val="continue"/>
            <w:shd w:val="clear" w:color="auto" w:fill="CFF0FC"/>
          </w:tcPr>
          <w:p>
            <w:pPr>
              <w:spacing w:after="0"/>
              <w:rPr>
                <w:sz w:val="14"/>
                <w:szCs w:val="14"/>
                <w:color w:val="auto"/>
              </w:rPr>
            </w:pPr>
          </w:p>
        </w:tc>
        <w:tc>
          <w:tcPr>
            <w:tcW w:w="640" w:type="dxa"/>
            <w:vAlign w:val="bottom"/>
            <w:tcBorders>
              <w:right w:val="single" w:sz="8" w:color="CFF0FC"/>
            </w:tcBorders>
            <w:gridSpan w:val="2"/>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80" w:type="dxa"/>
            <w:vAlign w:val="bottom"/>
            <w:gridSpan w:val="2"/>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20" w:type="dxa"/>
            <w:vAlign w:val="bottom"/>
            <w:gridSpan w:val="2"/>
            <w:vMerge w:val="continue"/>
            <w:shd w:val="clear" w:color="auto" w:fill="CFF0FC"/>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180" w:type="dxa"/>
            <w:vAlign w:val="bottom"/>
          </w:tcPr>
          <w:p>
            <w:pPr>
              <w:ind w:left="20"/>
              <w:spacing w:after="0"/>
              <w:rPr>
                <w:sz w:val="20"/>
                <w:szCs w:val="20"/>
                <w:color w:val="auto"/>
              </w:rPr>
            </w:pPr>
            <w:r>
              <w:rPr>
                <w:rFonts w:ascii="Arial" w:cs="Arial" w:eastAsia="Arial" w:hAnsi="Arial"/>
                <w:sz w:val="13"/>
                <w:szCs w:val="13"/>
                <w:color w:val="auto"/>
              </w:rPr>
              <w:t>Exercise of common stock options</w:t>
            </w:r>
          </w:p>
        </w:tc>
        <w:tc>
          <w:tcPr>
            <w:tcW w:w="640" w:type="dxa"/>
            <w:vAlign w:val="bottom"/>
            <w:gridSpan w:val="2"/>
          </w:tcPr>
          <w:p>
            <w:pPr>
              <w:jc w:val="right"/>
              <w:ind w:right="26"/>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62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3"/>
                <w:szCs w:val="13"/>
                <w:color w:val="auto"/>
              </w:rPr>
              <w:t>—</w:t>
            </w:r>
          </w:p>
        </w:tc>
        <w:tc>
          <w:tcPr>
            <w:tcW w:w="460" w:type="dxa"/>
            <w:vAlign w:val="bottom"/>
          </w:tcPr>
          <w:p>
            <w:pPr>
              <w:jc w:val="right"/>
              <w:spacing w:after="0"/>
              <w:rPr>
                <w:sz w:val="20"/>
                <w:szCs w:val="20"/>
                <w:color w:val="auto"/>
              </w:rPr>
            </w:pPr>
            <w:r>
              <w:rPr>
                <w:rFonts w:ascii="Arial" w:cs="Arial" w:eastAsia="Arial" w:hAnsi="Arial"/>
                <w:sz w:val="13"/>
                <w:szCs w:val="13"/>
                <w:color w:val="auto"/>
                <w:w w:val="89"/>
              </w:rPr>
              <w:t>455,665</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ind w:left="80"/>
              <w:spacing w:after="0"/>
              <w:rPr>
                <w:sz w:val="20"/>
                <w:szCs w:val="20"/>
                <w:color w:val="auto"/>
              </w:rPr>
            </w:pPr>
            <w:r>
              <w:rPr>
                <w:rFonts w:ascii="Arial" w:cs="Arial" w:eastAsia="Arial" w:hAnsi="Arial"/>
                <w:sz w:val="13"/>
                <w:szCs w:val="13"/>
                <w:color w:val="auto"/>
                <w:w w:val="91"/>
              </w:rPr>
              <w:t>—</w:t>
            </w:r>
          </w:p>
        </w:tc>
        <w:tc>
          <w:tcPr>
            <w:tcW w:w="40" w:type="dxa"/>
            <w:vAlign w:val="bottom"/>
          </w:tcPr>
          <w:p>
            <w:pPr>
              <w:spacing w:after="0"/>
              <w:rPr>
                <w:sz w:val="12"/>
                <w:szCs w:val="12"/>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240" w:type="dxa"/>
            <w:vAlign w:val="bottom"/>
          </w:tcPr>
          <w:p>
            <w:pPr>
              <w:ind w:left="100"/>
              <w:spacing w:after="0"/>
              <w:rPr>
                <w:sz w:val="20"/>
                <w:szCs w:val="20"/>
                <w:color w:val="auto"/>
              </w:rPr>
            </w:pPr>
            <w:r>
              <w:rPr>
                <w:rFonts w:ascii="Arial" w:cs="Arial" w:eastAsia="Arial" w:hAnsi="Arial"/>
                <w:sz w:val="13"/>
                <w:szCs w:val="13"/>
                <w:color w:val="auto"/>
                <w:w w:val="91"/>
              </w:rPr>
              <w:t>—</w:t>
            </w:r>
          </w:p>
        </w:tc>
        <w:tc>
          <w:tcPr>
            <w:tcW w:w="4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gridSpan w:val="3"/>
          </w:tcPr>
          <w:p>
            <w:pPr>
              <w:ind w:left="120"/>
              <w:spacing w:after="0"/>
              <w:rPr>
                <w:sz w:val="20"/>
                <w:szCs w:val="20"/>
                <w:color w:val="auto"/>
              </w:rPr>
            </w:pPr>
            <w:r>
              <w:rPr>
                <w:rFonts w:ascii="Arial" w:cs="Arial" w:eastAsia="Arial" w:hAnsi="Arial"/>
                <w:sz w:val="13"/>
                <w:szCs w:val="13"/>
                <w:color w:val="auto"/>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450</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720" w:type="dxa"/>
            <w:vAlign w:val="bottom"/>
            <w:gridSpan w:val="3"/>
          </w:tcPr>
          <w:p>
            <w:pPr>
              <w:jc w:val="right"/>
              <w:ind w:right="117"/>
              <w:spacing w:after="0"/>
              <w:rPr>
                <w:sz w:val="20"/>
                <w:szCs w:val="20"/>
                <w:color w:val="auto"/>
              </w:rPr>
            </w:pPr>
            <w:r>
              <w:rPr>
                <w:rFonts w:ascii="Arial" w:cs="Arial" w:eastAsia="Arial" w:hAnsi="Arial"/>
                <w:sz w:val="13"/>
                <w:szCs w:val="13"/>
                <w:color w:val="auto"/>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450</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450</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80" w:type="dxa"/>
            <w:vAlign w:val="bottom"/>
            <w:shd w:val="clear" w:color="auto" w:fill="CFF0FC"/>
          </w:tcPr>
          <w:p>
            <w:pPr>
              <w:ind w:left="20"/>
              <w:spacing w:after="0"/>
              <w:rPr>
                <w:sz w:val="20"/>
                <w:szCs w:val="20"/>
                <w:color w:val="auto"/>
              </w:rPr>
            </w:pPr>
            <w:r>
              <w:rPr>
                <w:rFonts w:ascii="Arial" w:cs="Arial" w:eastAsia="Arial" w:hAnsi="Arial"/>
                <w:sz w:val="13"/>
                <w:szCs w:val="13"/>
                <w:color w:val="auto"/>
                <w:w w:val="95"/>
              </w:rPr>
              <w:t>Shares issued in business combination</w:t>
            </w:r>
          </w:p>
        </w:tc>
        <w:tc>
          <w:tcPr>
            <w:tcW w:w="640" w:type="dxa"/>
            <w:vAlign w:val="bottom"/>
            <w:gridSpan w:val="2"/>
            <w:shd w:val="clear" w:color="auto" w:fill="CFF0FC"/>
          </w:tcPr>
          <w:p>
            <w:pPr>
              <w:jc w:val="right"/>
              <w:ind w:right="26"/>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620" w:type="dxa"/>
            <w:vAlign w:val="bottom"/>
            <w:tcBorders>
              <w:right w:val="single" w:sz="8" w:color="auto"/>
            </w:tcBorders>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9"/>
              </w:rPr>
              <w:t>750,770</w:t>
            </w:r>
          </w:p>
        </w:tc>
        <w:tc>
          <w:tcPr>
            <w:tcW w:w="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20" w:type="dxa"/>
            <w:vAlign w:val="bottom"/>
            <w:shd w:val="clear" w:color="auto" w:fill="CFF0FC"/>
          </w:tcPr>
          <w:p>
            <w:pPr>
              <w:ind w:left="80"/>
              <w:spacing w:after="0"/>
              <w:rPr>
                <w:sz w:val="20"/>
                <w:szCs w:val="20"/>
                <w:color w:val="auto"/>
              </w:rPr>
            </w:pPr>
            <w:r>
              <w:rPr>
                <w:rFonts w:ascii="Arial" w:cs="Arial" w:eastAsia="Arial" w:hAnsi="Arial"/>
                <w:sz w:val="13"/>
                <w:szCs w:val="13"/>
                <w:color w:val="auto"/>
                <w:w w:val="91"/>
              </w:rPr>
              <w:t>—</w:t>
            </w:r>
          </w:p>
        </w:tc>
        <w:tc>
          <w:tcPr>
            <w:tcW w:w="40" w:type="dxa"/>
            <w:vAlign w:val="bottom"/>
            <w:shd w:val="clear" w:color="auto" w:fill="CFF0FC"/>
          </w:tcPr>
          <w:p>
            <w:pPr>
              <w:spacing w:after="0"/>
              <w:rPr>
                <w:sz w:val="12"/>
                <w:szCs w:val="12"/>
                <w:color w:val="auto"/>
              </w:rPr>
            </w:pPr>
          </w:p>
        </w:tc>
        <w:tc>
          <w:tcPr>
            <w:tcW w:w="70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240" w:type="dxa"/>
            <w:vAlign w:val="bottom"/>
            <w:shd w:val="clear" w:color="auto" w:fill="CFF0FC"/>
          </w:tcPr>
          <w:p>
            <w:pPr>
              <w:ind w:left="100"/>
              <w:spacing w:after="0"/>
              <w:rPr>
                <w:sz w:val="20"/>
                <w:szCs w:val="20"/>
                <w:color w:val="auto"/>
              </w:rPr>
            </w:pPr>
            <w:r>
              <w:rPr>
                <w:rFonts w:ascii="Arial" w:cs="Arial" w:eastAsia="Arial" w:hAnsi="Arial"/>
                <w:sz w:val="13"/>
                <w:szCs w:val="13"/>
                <w:color w:val="auto"/>
                <w:w w:val="91"/>
              </w:rPr>
              <w:t>—</w:t>
            </w:r>
          </w:p>
        </w:tc>
        <w:tc>
          <w:tcPr>
            <w:tcW w:w="4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420" w:type="dxa"/>
            <w:vAlign w:val="bottom"/>
            <w:gridSpan w:val="3"/>
            <w:shd w:val="clear" w:color="auto" w:fill="CFF0FC"/>
          </w:tcPr>
          <w:p>
            <w:pPr>
              <w:ind w:left="120"/>
              <w:spacing w:after="0"/>
              <w:rPr>
                <w:sz w:val="20"/>
                <w:szCs w:val="20"/>
                <w:color w:val="auto"/>
              </w:rPr>
            </w:pPr>
            <w:r>
              <w:rPr>
                <w:rFonts w:ascii="Arial" w:cs="Arial" w:eastAsia="Arial" w:hAnsi="Arial"/>
                <w:sz w:val="13"/>
                <w:szCs w:val="13"/>
                <w:color w:val="auto"/>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2,743</w:t>
            </w:r>
          </w:p>
        </w:tc>
        <w:tc>
          <w:tcPr>
            <w:tcW w:w="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0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2"/>
                <w:szCs w:val="12"/>
                <w:color w:val="auto"/>
              </w:rPr>
            </w:pPr>
          </w:p>
        </w:tc>
        <w:tc>
          <w:tcPr>
            <w:tcW w:w="720" w:type="dxa"/>
            <w:vAlign w:val="bottom"/>
            <w:gridSpan w:val="3"/>
            <w:shd w:val="clear" w:color="auto" w:fill="CFF0FC"/>
          </w:tcPr>
          <w:p>
            <w:pPr>
              <w:jc w:val="right"/>
              <w:ind w:right="117"/>
              <w:spacing w:after="0"/>
              <w:rPr>
                <w:sz w:val="20"/>
                <w:szCs w:val="20"/>
                <w:color w:val="auto"/>
              </w:rPr>
            </w:pPr>
            <w:r>
              <w:rPr>
                <w:rFonts w:ascii="Arial" w:cs="Arial" w:eastAsia="Arial" w:hAnsi="Arial"/>
                <w:sz w:val="13"/>
                <w:szCs w:val="13"/>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2,743</w:t>
            </w:r>
          </w:p>
        </w:tc>
        <w:tc>
          <w:tcPr>
            <w:tcW w:w="60" w:type="dxa"/>
            <w:vAlign w:val="bottom"/>
            <w:tcBorders>
              <w:right w:val="single" w:sz="8" w:color="CFF0FC"/>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8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2,743</w:t>
            </w:r>
          </w:p>
        </w:tc>
        <w:tc>
          <w:tcPr>
            <w:tcW w:w="60" w:type="dxa"/>
            <w:vAlign w:val="bottom"/>
            <w:shd w:val="clear" w:color="auto" w:fill="CFF0FC"/>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80" w:type="dxa"/>
            <w:vAlign w:val="bottom"/>
          </w:tcPr>
          <w:p>
            <w:pPr>
              <w:ind w:left="20"/>
              <w:spacing w:after="0"/>
              <w:rPr>
                <w:sz w:val="20"/>
                <w:szCs w:val="20"/>
                <w:color w:val="auto"/>
              </w:rPr>
            </w:pPr>
            <w:r>
              <w:rPr>
                <w:rFonts w:ascii="Arial" w:cs="Arial" w:eastAsia="Arial" w:hAnsi="Arial"/>
                <w:sz w:val="13"/>
                <w:szCs w:val="13"/>
                <w:color w:val="auto"/>
              </w:rPr>
              <w:t>Stock based compensation</w:t>
            </w:r>
          </w:p>
        </w:tc>
        <w:tc>
          <w:tcPr>
            <w:tcW w:w="640" w:type="dxa"/>
            <w:vAlign w:val="bottom"/>
            <w:gridSpan w:val="2"/>
          </w:tcPr>
          <w:p>
            <w:pPr>
              <w:jc w:val="right"/>
              <w:ind w:right="26"/>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62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3"/>
                <w:szCs w:val="13"/>
                <w:color w:val="auto"/>
              </w:rPr>
              <w:t>—</w:t>
            </w:r>
          </w:p>
        </w:tc>
        <w:tc>
          <w:tcPr>
            <w:tcW w:w="52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220" w:type="dxa"/>
            <w:vAlign w:val="bottom"/>
          </w:tcPr>
          <w:p>
            <w:pPr>
              <w:ind w:left="80"/>
              <w:spacing w:after="0"/>
              <w:rPr>
                <w:sz w:val="20"/>
                <w:szCs w:val="20"/>
                <w:color w:val="auto"/>
              </w:rPr>
            </w:pPr>
            <w:r>
              <w:rPr>
                <w:rFonts w:ascii="Arial" w:cs="Arial" w:eastAsia="Arial" w:hAnsi="Arial"/>
                <w:sz w:val="13"/>
                <w:szCs w:val="13"/>
                <w:color w:val="auto"/>
                <w:w w:val="91"/>
              </w:rPr>
              <w:t>—</w:t>
            </w:r>
          </w:p>
        </w:tc>
        <w:tc>
          <w:tcPr>
            <w:tcW w:w="40" w:type="dxa"/>
            <w:vAlign w:val="bottom"/>
          </w:tcPr>
          <w:p>
            <w:pPr>
              <w:spacing w:after="0"/>
              <w:rPr>
                <w:sz w:val="12"/>
                <w:szCs w:val="12"/>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240" w:type="dxa"/>
            <w:vAlign w:val="bottom"/>
          </w:tcPr>
          <w:p>
            <w:pPr>
              <w:ind w:left="100"/>
              <w:spacing w:after="0"/>
              <w:rPr>
                <w:sz w:val="20"/>
                <w:szCs w:val="20"/>
                <w:color w:val="auto"/>
              </w:rPr>
            </w:pPr>
            <w:r>
              <w:rPr>
                <w:rFonts w:ascii="Arial" w:cs="Arial" w:eastAsia="Arial" w:hAnsi="Arial"/>
                <w:sz w:val="13"/>
                <w:szCs w:val="13"/>
                <w:color w:val="auto"/>
                <w:w w:val="91"/>
              </w:rPr>
              <w:t>—</w:t>
            </w:r>
          </w:p>
        </w:tc>
        <w:tc>
          <w:tcPr>
            <w:tcW w:w="4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gridSpan w:val="3"/>
          </w:tcPr>
          <w:p>
            <w:pPr>
              <w:ind w:left="120"/>
              <w:spacing w:after="0"/>
              <w:rPr>
                <w:sz w:val="20"/>
                <w:szCs w:val="20"/>
                <w:color w:val="auto"/>
              </w:rPr>
            </w:pPr>
            <w:r>
              <w:rPr>
                <w:rFonts w:ascii="Arial" w:cs="Arial" w:eastAsia="Arial" w:hAnsi="Arial"/>
                <w:sz w:val="13"/>
                <w:szCs w:val="13"/>
                <w:color w:val="auto"/>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544</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720" w:type="dxa"/>
            <w:vAlign w:val="bottom"/>
            <w:gridSpan w:val="3"/>
          </w:tcPr>
          <w:p>
            <w:pPr>
              <w:jc w:val="right"/>
              <w:ind w:right="117"/>
              <w:spacing w:after="0"/>
              <w:rPr>
                <w:sz w:val="20"/>
                <w:szCs w:val="20"/>
                <w:color w:val="auto"/>
              </w:rPr>
            </w:pPr>
            <w:r>
              <w:rPr>
                <w:rFonts w:ascii="Arial" w:cs="Arial" w:eastAsia="Arial" w:hAnsi="Arial"/>
                <w:sz w:val="13"/>
                <w:szCs w:val="13"/>
                <w:color w:val="auto"/>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544</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544</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80" w:type="dxa"/>
            <w:vAlign w:val="bottom"/>
            <w:shd w:val="clear" w:color="auto" w:fill="CFF0FC"/>
          </w:tcPr>
          <w:p>
            <w:pPr>
              <w:ind w:left="20"/>
              <w:spacing w:after="0"/>
              <w:rPr>
                <w:sz w:val="20"/>
                <w:szCs w:val="20"/>
                <w:color w:val="auto"/>
              </w:rPr>
            </w:pPr>
            <w:r>
              <w:rPr>
                <w:rFonts w:ascii="Arial" w:cs="Arial" w:eastAsia="Arial" w:hAnsi="Arial"/>
                <w:sz w:val="13"/>
                <w:szCs w:val="13"/>
                <w:color w:val="auto"/>
              </w:rPr>
              <w:t>Comprehensive loss</w:t>
            </w:r>
          </w:p>
        </w:tc>
        <w:tc>
          <w:tcPr>
            <w:tcW w:w="5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120" w:type="dxa"/>
            <w:vAlign w:val="bottom"/>
            <w:tcBorders>
              <w:right w:val="single" w:sz="8" w:color="auto"/>
            </w:tcBorders>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60" w:type="dxa"/>
            <w:vAlign w:val="bottom"/>
            <w:tcBorders>
              <w:right w:val="single" w:sz="8" w:color="CFF0FC"/>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80" w:type="dxa"/>
            <w:vAlign w:val="bottom"/>
          </w:tcPr>
          <w:p>
            <w:pPr>
              <w:ind w:left="160"/>
              <w:spacing w:after="0"/>
              <w:rPr>
                <w:sz w:val="20"/>
                <w:szCs w:val="20"/>
                <w:color w:val="auto"/>
              </w:rPr>
            </w:pPr>
            <w:r>
              <w:rPr>
                <w:rFonts w:ascii="Arial" w:cs="Arial" w:eastAsia="Arial" w:hAnsi="Arial"/>
                <w:sz w:val="13"/>
                <w:szCs w:val="13"/>
                <w:color w:val="auto"/>
              </w:rPr>
              <w:t>Foreign currency translation</w:t>
            </w:r>
          </w:p>
        </w:tc>
        <w:tc>
          <w:tcPr>
            <w:tcW w:w="640" w:type="dxa"/>
            <w:vAlign w:val="bottom"/>
            <w:gridSpan w:val="2"/>
          </w:tcPr>
          <w:p>
            <w:pPr>
              <w:jc w:val="right"/>
              <w:ind w:right="26"/>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62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3"/>
                <w:szCs w:val="13"/>
                <w:color w:val="auto"/>
              </w:rPr>
              <w:t>—</w:t>
            </w:r>
          </w:p>
        </w:tc>
        <w:tc>
          <w:tcPr>
            <w:tcW w:w="52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220" w:type="dxa"/>
            <w:vAlign w:val="bottom"/>
          </w:tcPr>
          <w:p>
            <w:pPr>
              <w:ind w:left="80"/>
              <w:spacing w:after="0"/>
              <w:rPr>
                <w:sz w:val="20"/>
                <w:szCs w:val="20"/>
                <w:color w:val="auto"/>
              </w:rPr>
            </w:pPr>
            <w:r>
              <w:rPr>
                <w:rFonts w:ascii="Arial" w:cs="Arial" w:eastAsia="Arial" w:hAnsi="Arial"/>
                <w:sz w:val="13"/>
                <w:szCs w:val="13"/>
                <w:color w:val="auto"/>
                <w:w w:val="91"/>
              </w:rPr>
              <w:t>—</w:t>
            </w:r>
          </w:p>
        </w:tc>
        <w:tc>
          <w:tcPr>
            <w:tcW w:w="40" w:type="dxa"/>
            <w:vAlign w:val="bottom"/>
          </w:tcPr>
          <w:p>
            <w:pPr>
              <w:spacing w:after="0"/>
              <w:rPr>
                <w:sz w:val="12"/>
                <w:szCs w:val="12"/>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240" w:type="dxa"/>
            <w:vAlign w:val="bottom"/>
          </w:tcPr>
          <w:p>
            <w:pPr>
              <w:ind w:left="100"/>
              <w:spacing w:after="0"/>
              <w:rPr>
                <w:sz w:val="20"/>
                <w:szCs w:val="20"/>
                <w:color w:val="auto"/>
              </w:rPr>
            </w:pPr>
            <w:r>
              <w:rPr>
                <w:rFonts w:ascii="Arial" w:cs="Arial" w:eastAsia="Arial" w:hAnsi="Arial"/>
                <w:sz w:val="13"/>
                <w:szCs w:val="13"/>
                <w:color w:val="auto"/>
                <w:w w:val="91"/>
              </w:rPr>
              <w:t>—</w:t>
            </w:r>
          </w:p>
        </w:tc>
        <w:tc>
          <w:tcPr>
            <w:tcW w:w="4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gridSpan w:val="3"/>
          </w:tcPr>
          <w:p>
            <w:pPr>
              <w:ind w:left="120"/>
              <w:spacing w:after="0"/>
              <w:rPr>
                <w:sz w:val="20"/>
                <w:szCs w:val="20"/>
                <w:color w:val="auto"/>
              </w:rPr>
            </w:pPr>
            <w:r>
              <w:rPr>
                <w:rFonts w:ascii="Arial" w:cs="Arial" w:eastAsia="Arial" w:hAnsi="Arial"/>
                <w:sz w:val="13"/>
                <w:szCs w:val="13"/>
                <w:color w:val="auto"/>
              </w:rPr>
              <w:t>—</w:t>
            </w:r>
          </w:p>
        </w:tc>
        <w:tc>
          <w:tcPr>
            <w:tcW w:w="60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720" w:type="dxa"/>
            <w:vAlign w:val="bottom"/>
            <w:gridSpan w:val="3"/>
          </w:tcPr>
          <w:p>
            <w:pPr>
              <w:jc w:val="right"/>
              <w:ind w:right="117"/>
              <w:spacing w:after="0"/>
              <w:rPr>
                <w:sz w:val="20"/>
                <w:szCs w:val="20"/>
                <w:color w:val="auto"/>
              </w:rPr>
            </w:pPr>
            <w:r>
              <w:rPr>
                <w:rFonts w:ascii="Arial" w:cs="Arial" w:eastAsia="Arial" w:hAnsi="Arial"/>
                <w:sz w:val="13"/>
                <w:szCs w:val="13"/>
                <w:color w:val="auto"/>
              </w:rPr>
              <w:t>—</w:t>
            </w:r>
          </w:p>
        </w:tc>
        <w:tc>
          <w:tcPr>
            <w:tcW w:w="64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6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80" w:type="dxa"/>
            <w:vAlign w:val="bottom"/>
            <w:shd w:val="clear" w:color="auto" w:fill="CFF0FC"/>
          </w:tcPr>
          <w:p>
            <w:pPr>
              <w:ind w:left="160"/>
              <w:spacing w:after="0"/>
              <w:rPr>
                <w:sz w:val="20"/>
                <w:szCs w:val="20"/>
                <w:color w:val="auto"/>
              </w:rPr>
            </w:pPr>
            <w:r>
              <w:rPr>
                <w:rFonts w:ascii="Arial" w:cs="Arial" w:eastAsia="Arial" w:hAnsi="Arial"/>
                <w:sz w:val="13"/>
                <w:szCs w:val="13"/>
                <w:color w:val="auto"/>
              </w:rPr>
              <w:t>Net loss</w:t>
            </w:r>
          </w:p>
        </w:tc>
        <w:tc>
          <w:tcPr>
            <w:tcW w:w="640" w:type="dxa"/>
            <w:vAlign w:val="bottom"/>
            <w:gridSpan w:val="2"/>
            <w:shd w:val="clear" w:color="auto" w:fill="CFF0FC"/>
          </w:tcPr>
          <w:p>
            <w:pPr>
              <w:jc w:val="right"/>
              <w:ind w:right="26"/>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620" w:type="dxa"/>
            <w:vAlign w:val="bottom"/>
            <w:tcBorders>
              <w:right w:val="single" w:sz="8" w:color="auto"/>
            </w:tcBorders>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52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220" w:type="dxa"/>
            <w:vAlign w:val="bottom"/>
            <w:shd w:val="clear" w:color="auto" w:fill="CFF0FC"/>
          </w:tcPr>
          <w:p>
            <w:pPr>
              <w:ind w:left="80"/>
              <w:spacing w:after="0"/>
              <w:rPr>
                <w:sz w:val="20"/>
                <w:szCs w:val="20"/>
                <w:color w:val="auto"/>
              </w:rPr>
            </w:pPr>
            <w:r>
              <w:rPr>
                <w:rFonts w:ascii="Arial" w:cs="Arial" w:eastAsia="Arial" w:hAnsi="Arial"/>
                <w:sz w:val="13"/>
                <w:szCs w:val="13"/>
                <w:color w:val="auto"/>
                <w:w w:val="91"/>
              </w:rPr>
              <w:t>—</w:t>
            </w:r>
          </w:p>
        </w:tc>
        <w:tc>
          <w:tcPr>
            <w:tcW w:w="40" w:type="dxa"/>
            <w:vAlign w:val="bottom"/>
            <w:shd w:val="clear" w:color="auto" w:fill="CFF0FC"/>
          </w:tcPr>
          <w:p>
            <w:pPr>
              <w:spacing w:after="0"/>
              <w:rPr>
                <w:sz w:val="12"/>
                <w:szCs w:val="12"/>
                <w:color w:val="auto"/>
              </w:rPr>
            </w:pPr>
          </w:p>
        </w:tc>
        <w:tc>
          <w:tcPr>
            <w:tcW w:w="70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240" w:type="dxa"/>
            <w:vAlign w:val="bottom"/>
            <w:shd w:val="clear" w:color="auto" w:fill="CFF0FC"/>
          </w:tcPr>
          <w:p>
            <w:pPr>
              <w:ind w:left="100"/>
              <w:spacing w:after="0"/>
              <w:rPr>
                <w:sz w:val="20"/>
                <w:szCs w:val="20"/>
                <w:color w:val="auto"/>
              </w:rPr>
            </w:pPr>
            <w:r>
              <w:rPr>
                <w:rFonts w:ascii="Arial" w:cs="Arial" w:eastAsia="Arial" w:hAnsi="Arial"/>
                <w:sz w:val="13"/>
                <w:szCs w:val="13"/>
                <w:color w:val="auto"/>
                <w:w w:val="91"/>
              </w:rPr>
              <w:t>—</w:t>
            </w:r>
          </w:p>
        </w:tc>
        <w:tc>
          <w:tcPr>
            <w:tcW w:w="4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420" w:type="dxa"/>
            <w:vAlign w:val="bottom"/>
            <w:gridSpan w:val="3"/>
            <w:shd w:val="clear" w:color="auto" w:fill="CFF0FC"/>
          </w:tcPr>
          <w:p>
            <w:pPr>
              <w:ind w:left="120"/>
              <w:spacing w:after="0"/>
              <w:rPr>
                <w:sz w:val="20"/>
                <w:szCs w:val="20"/>
                <w:color w:val="auto"/>
              </w:rPr>
            </w:pPr>
            <w:r>
              <w:rPr>
                <w:rFonts w:ascii="Arial" w:cs="Arial" w:eastAsia="Arial" w:hAnsi="Arial"/>
                <w:sz w:val="13"/>
                <w:szCs w:val="13"/>
                <w:color w:val="auto"/>
              </w:rPr>
              <w:t>—</w:t>
            </w:r>
          </w:p>
        </w:tc>
        <w:tc>
          <w:tcPr>
            <w:tcW w:w="60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2"/>
                <w:szCs w:val="12"/>
                <w:color w:val="auto"/>
              </w:rPr>
            </w:pPr>
          </w:p>
        </w:tc>
        <w:tc>
          <w:tcPr>
            <w:tcW w:w="70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2"/>
                <w:szCs w:val="12"/>
                <w:color w:val="auto"/>
              </w:rPr>
            </w:pPr>
          </w:p>
        </w:tc>
        <w:tc>
          <w:tcPr>
            <w:tcW w:w="720" w:type="dxa"/>
            <w:vAlign w:val="bottom"/>
            <w:gridSpan w:val="3"/>
            <w:shd w:val="clear" w:color="auto" w:fill="CFF0FC"/>
          </w:tcPr>
          <w:p>
            <w:pPr>
              <w:jc w:val="right"/>
              <w:ind w:right="57"/>
              <w:spacing w:after="0"/>
              <w:rPr>
                <w:sz w:val="20"/>
                <w:szCs w:val="20"/>
                <w:color w:val="auto"/>
              </w:rPr>
            </w:pPr>
            <w:r>
              <w:rPr>
                <w:rFonts w:ascii="Arial" w:cs="Arial" w:eastAsia="Arial" w:hAnsi="Arial"/>
                <w:sz w:val="13"/>
                <w:szCs w:val="13"/>
                <w:color w:val="auto"/>
              </w:rPr>
              <w:t>(30,994 )</w:t>
            </w:r>
          </w:p>
        </w:tc>
        <w:tc>
          <w:tcPr>
            <w:tcW w:w="640" w:type="dxa"/>
            <w:vAlign w:val="bottom"/>
            <w:tcBorders>
              <w:right w:val="single" w:sz="8" w:color="CFF0FC"/>
            </w:tcBorders>
            <w:gridSpan w:val="2"/>
            <w:shd w:val="clear" w:color="auto" w:fill="CFF0FC"/>
          </w:tcPr>
          <w:p>
            <w:pPr>
              <w:jc w:val="right"/>
              <w:ind w:right="20"/>
              <w:spacing w:after="0"/>
              <w:rPr>
                <w:sz w:val="20"/>
                <w:szCs w:val="20"/>
                <w:color w:val="auto"/>
              </w:rPr>
            </w:pPr>
            <w:r>
              <w:rPr>
                <w:rFonts w:ascii="Arial" w:cs="Arial" w:eastAsia="Arial" w:hAnsi="Arial"/>
                <w:sz w:val="13"/>
                <w:szCs w:val="13"/>
                <w:color w:val="auto"/>
              </w:rPr>
              <w:t>(30,994 )</w:t>
            </w:r>
          </w:p>
        </w:tc>
        <w:tc>
          <w:tcPr>
            <w:tcW w:w="100" w:type="dxa"/>
            <w:vAlign w:val="bottom"/>
            <w:shd w:val="clear" w:color="auto" w:fill="CFF0FC"/>
          </w:tcPr>
          <w:p>
            <w:pPr>
              <w:spacing w:after="0"/>
              <w:rPr>
                <w:sz w:val="12"/>
                <w:szCs w:val="12"/>
                <w:color w:val="auto"/>
              </w:rPr>
            </w:pPr>
          </w:p>
        </w:tc>
        <w:tc>
          <w:tcPr>
            <w:tcW w:w="68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62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(30,994 )</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180" w:type="dxa"/>
            <w:vAlign w:val="bottom"/>
            <w:shd w:val="clear" w:color="auto" w:fill="CFF0FC"/>
          </w:tcPr>
          <w:p>
            <w:pPr>
              <w:spacing w:after="0" w:line="20" w:lineRule="exact"/>
              <w:rPr>
                <w:sz w:val="1"/>
                <w:szCs w:val="1"/>
                <w:color w:val="auto"/>
              </w:rPr>
            </w:pPr>
          </w:p>
        </w:tc>
        <w:tc>
          <w:tcPr>
            <w:tcW w:w="580" w:type="dxa"/>
            <w:vAlign w:val="bottom"/>
            <w:shd w:val="clear" w:color="auto" w:fill="CFF0FC"/>
          </w:tcPr>
          <w:p>
            <w:pPr>
              <w:spacing w:after="0" w:line="20" w:lineRule="exact"/>
              <w:rPr>
                <w:sz w:val="1"/>
                <w:szCs w:val="1"/>
                <w:color w:val="auto"/>
              </w:rPr>
            </w:pPr>
          </w:p>
        </w:tc>
        <w:tc>
          <w:tcPr>
            <w:tcW w:w="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500" w:type="dxa"/>
            <w:vAlign w:val="bottom"/>
            <w:shd w:val="clear" w:color="auto" w:fill="CFF0FC"/>
          </w:tcPr>
          <w:p>
            <w:pPr>
              <w:spacing w:after="0" w:line="20" w:lineRule="exact"/>
              <w:rPr>
                <w:sz w:val="1"/>
                <w:szCs w:val="1"/>
                <w:color w:val="auto"/>
              </w:rPr>
            </w:pPr>
          </w:p>
        </w:tc>
        <w:tc>
          <w:tcPr>
            <w:tcW w:w="120" w:type="dxa"/>
            <w:vAlign w:val="bottom"/>
            <w:tcBorders>
              <w:right w:val="single" w:sz="8" w:color="auto"/>
            </w:tcBorders>
            <w:shd w:val="clear" w:color="auto" w:fill="CFF0FC"/>
          </w:tcPr>
          <w:p>
            <w:pPr>
              <w:spacing w:after="0" w:line="20" w:lineRule="exact"/>
              <w:rPr>
                <w:sz w:val="1"/>
                <w:szCs w:val="1"/>
                <w:color w:val="auto"/>
              </w:rPr>
            </w:pPr>
          </w:p>
        </w:tc>
        <w:tc>
          <w:tcPr>
            <w:tcW w:w="460" w:type="dxa"/>
            <w:vAlign w:val="bottom"/>
            <w:shd w:val="clear" w:color="auto" w:fill="CFF0FC"/>
          </w:tcPr>
          <w:p>
            <w:pPr>
              <w:spacing w:after="0" w:line="20" w:lineRule="exact"/>
              <w:rPr>
                <w:sz w:val="1"/>
                <w:szCs w:val="1"/>
                <w:color w:val="auto"/>
              </w:rPr>
            </w:pPr>
          </w:p>
        </w:tc>
        <w:tc>
          <w:tcPr>
            <w:tcW w:w="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40" w:type="dxa"/>
            <w:vAlign w:val="bottom"/>
            <w:shd w:val="clear" w:color="auto" w:fill="CFF0FC"/>
          </w:tcPr>
          <w:p>
            <w:pPr>
              <w:spacing w:after="0" w:line="20" w:lineRule="exact"/>
              <w:rPr>
                <w:sz w:val="1"/>
                <w:szCs w:val="1"/>
                <w:color w:val="auto"/>
              </w:rPr>
            </w:pPr>
          </w:p>
        </w:tc>
        <w:tc>
          <w:tcPr>
            <w:tcW w:w="660" w:type="dxa"/>
            <w:vAlign w:val="bottom"/>
            <w:shd w:val="clear" w:color="auto" w:fill="CFF0FC"/>
          </w:tcPr>
          <w:p>
            <w:pPr>
              <w:spacing w:after="0" w:line="20" w:lineRule="exact"/>
              <w:rPr>
                <w:sz w:val="1"/>
                <w:szCs w:val="1"/>
                <w:color w:val="auto"/>
              </w:rPr>
            </w:pPr>
          </w:p>
        </w:tc>
        <w:tc>
          <w:tcPr>
            <w:tcW w:w="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40" w:type="dxa"/>
            <w:vAlign w:val="bottom"/>
            <w:shd w:val="clear" w:color="auto" w:fill="CFF0FC"/>
          </w:tcPr>
          <w:p>
            <w:pPr>
              <w:spacing w:after="0" w:line="20" w:lineRule="exact"/>
              <w:rPr>
                <w:sz w:val="1"/>
                <w:szCs w:val="1"/>
                <w:color w:val="auto"/>
              </w:rPr>
            </w:pPr>
          </w:p>
        </w:tc>
        <w:tc>
          <w:tcPr>
            <w:tcW w:w="600" w:type="dxa"/>
            <w:vAlign w:val="bottom"/>
            <w:shd w:val="clear" w:color="auto" w:fill="CFF0FC"/>
          </w:tcPr>
          <w:p>
            <w:pPr>
              <w:spacing w:after="0" w:line="20" w:lineRule="exact"/>
              <w:rPr>
                <w:sz w:val="1"/>
                <w:szCs w:val="1"/>
                <w:color w:val="auto"/>
              </w:rPr>
            </w:pPr>
          </w:p>
        </w:tc>
        <w:tc>
          <w:tcPr>
            <w:tcW w:w="40" w:type="dxa"/>
            <w:vAlign w:val="bottom"/>
            <w:shd w:val="clear" w:color="auto" w:fill="CFF0FC"/>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4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540" w:type="dxa"/>
            <w:vAlign w:val="bottom"/>
            <w:shd w:val="clear" w:color="auto" w:fill="CFF0FC"/>
          </w:tcPr>
          <w:p>
            <w:pPr>
              <w:spacing w:after="0" w:line="20" w:lineRule="exact"/>
              <w:rPr>
                <w:sz w:val="1"/>
                <w:szCs w:val="1"/>
                <w:color w:val="auto"/>
              </w:rPr>
            </w:pPr>
          </w:p>
        </w:tc>
        <w:tc>
          <w:tcPr>
            <w:tcW w:w="6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60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560" w:type="dxa"/>
            <w:vAlign w:val="bottom"/>
            <w:shd w:val="clear" w:color="auto" w:fill="CFF0FC"/>
          </w:tcPr>
          <w:p>
            <w:pPr>
              <w:spacing w:after="0" w:line="20" w:lineRule="exact"/>
              <w:rPr>
                <w:sz w:val="1"/>
                <w:szCs w:val="1"/>
                <w:color w:val="auto"/>
              </w:rPr>
            </w:pPr>
          </w:p>
        </w:tc>
        <w:tc>
          <w:tcPr>
            <w:tcW w:w="4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580" w:type="dxa"/>
            <w:vAlign w:val="bottom"/>
            <w:shd w:val="clear" w:color="auto" w:fill="CFF0FC"/>
          </w:tcPr>
          <w:p>
            <w:pPr>
              <w:spacing w:after="0" w:line="20" w:lineRule="exact"/>
              <w:rPr>
                <w:sz w:val="1"/>
                <w:szCs w:val="1"/>
                <w:color w:val="auto"/>
              </w:rPr>
            </w:pPr>
          </w:p>
        </w:tc>
        <w:tc>
          <w:tcPr>
            <w:tcW w:w="60" w:type="dxa"/>
            <w:vAlign w:val="bottom"/>
            <w:tcBorders>
              <w:right w:val="single" w:sz="8" w:color="CFF0FC"/>
            </w:tcBorders>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52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shd w:val="clear" w:color="auto" w:fill="CFF0FC"/>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180" w:type="dxa"/>
            <w:vAlign w:val="bottom"/>
          </w:tcPr>
          <w:p>
            <w:pPr>
              <w:ind w:left="20"/>
              <w:spacing w:after="0" w:line="142" w:lineRule="exact"/>
              <w:rPr>
                <w:sz w:val="20"/>
                <w:szCs w:val="20"/>
                <w:color w:val="auto"/>
              </w:rPr>
            </w:pPr>
            <w:r>
              <w:rPr>
                <w:rFonts w:ascii="Arial" w:cs="Arial" w:eastAsia="Arial" w:hAnsi="Arial"/>
                <w:sz w:val="13"/>
                <w:szCs w:val="13"/>
                <w:color w:val="auto"/>
              </w:rPr>
              <w:t>Total comprehensive loss</w:t>
            </w: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tcPr>
          <w:p>
            <w:pPr>
              <w:jc w:val="right"/>
              <w:spacing w:after="0" w:line="142" w:lineRule="exact"/>
              <w:rPr>
                <w:sz w:val="20"/>
                <w:szCs w:val="20"/>
                <w:color w:val="auto"/>
              </w:rPr>
            </w:pPr>
            <w:r>
              <w:rPr>
                <w:rFonts w:ascii="Arial" w:cs="Arial" w:eastAsia="Arial" w:hAnsi="Arial"/>
                <w:sz w:val="13"/>
                <w:szCs w:val="13"/>
                <w:color w:val="auto"/>
              </w:rPr>
              <w:t>(30,994 )</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1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1"/>
        </w:trPr>
        <w:tc>
          <w:tcPr>
            <w:tcW w:w="2180" w:type="dxa"/>
            <w:vAlign w:val="bottom"/>
            <w:vMerge w:val="restart"/>
            <w:shd w:val="clear" w:color="auto" w:fill="CFF0FC"/>
          </w:tcPr>
          <w:p>
            <w:pPr>
              <w:ind w:left="20"/>
              <w:spacing w:after="0"/>
              <w:rPr>
                <w:sz w:val="20"/>
                <w:szCs w:val="20"/>
                <w:color w:val="auto"/>
              </w:rPr>
            </w:pPr>
            <w:r>
              <w:rPr>
                <w:rFonts w:ascii="Arial" w:cs="Arial" w:eastAsia="Arial" w:hAnsi="Arial"/>
                <w:sz w:val="13"/>
                <w:szCs w:val="13"/>
                <w:color w:val="auto"/>
              </w:rPr>
              <w:t>Balance, December 31, 2019</w:t>
            </w:r>
          </w:p>
        </w:tc>
        <w:tc>
          <w:tcPr>
            <w:tcW w:w="580" w:type="dxa"/>
            <w:vAlign w:val="bottom"/>
            <w:shd w:val="clear" w:color="auto" w:fill="CFF0FC"/>
          </w:tcPr>
          <w:p>
            <w:pPr>
              <w:jc w:val="right"/>
              <w:spacing w:after="0" w:line="102" w:lineRule="exact"/>
              <w:rPr>
                <w:sz w:val="20"/>
                <w:szCs w:val="20"/>
                <w:color w:val="auto"/>
              </w:rPr>
            </w:pPr>
            <w:r>
              <w:rPr>
                <w:rFonts w:ascii="Arial" w:cs="Arial" w:eastAsia="Arial" w:hAnsi="Arial"/>
                <w:sz w:val="10"/>
                <w:szCs w:val="10"/>
                <w:color w:val="auto"/>
              </w:rPr>
              <w:t>25,483,1</w:t>
            </w:r>
          </w:p>
        </w:tc>
        <w:tc>
          <w:tcPr>
            <w:tcW w:w="6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50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w w:val="97"/>
              </w:rPr>
              <w:t>121,156</w:t>
            </w:r>
          </w:p>
        </w:tc>
        <w:tc>
          <w:tcPr>
            <w:tcW w:w="120" w:type="dxa"/>
            <w:vAlign w:val="bottom"/>
            <w:tcBorders>
              <w:right w:val="single" w:sz="8" w:color="auto"/>
            </w:tcBorders>
            <w:shd w:val="clear" w:color="auto" w:fill="CFF0FC"/>
          </w:tcPr>
          <w:p>
            <w:pPr>
              <w:spacing w:after="0"/>
              <w:rPr>
                <w:sz w:val="8"/>
                <w:szCs w:val="8"/>
                <w:color w:val="auto"/>
              </w:rPr>
            </w:pPr>
          </w:p>
        </w:tc>
        <w:tc>
          <w:tcPr>
            <w:tcW w:w="460" w:type="dxa"/>
            <w:vAlign w:val="bottom"/>
            <w:shd w:val="clear" w:color="auto" w:fill="CFF0FC"/>
          </w:tcPr>
          <w:p>
            <w:pPr>
              <w:jc w:val="right"/>
              <w:spacing w:after="0" w:line="102" w:lineRule="exact"/>
              <w:rPr>
                <w:sz w:val="20"/>
                <w:szCs w:val="20"/>
                <w:color w:val="auto"/>
              </w:rPr>
            </w:pPr>
            <w:r>
              <w:rPr>
                <w:rFonts w:ascii="Arial" w:cs="Arial" w:eastAsia="Arial" w:hAnsi="Arial"/>
                <w:sz w:val="10"/>
                <w:szCs w:val="10"/>
                <w:color w:val="auto"/>
              </w:rPr>
              <w:t>7,289,5</w:t>
            </w:r>
          </w:p>
        </w:tc>
        <w:tc>
          <w:tcPr>
            <w:tcW w:w="6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220" w:type="dxa"/>
            <w:vAlign w:val="bottom"/>
            <w:vMerge w:val="restart"/>
            <w:shd w:val="clear" w:color="auto" w:fill="CFF0FC"/>
          </w:tcPr>
          <w:p>
            <w:pPr>
              <w:ind w:left="80"/>
              <w:spacing w:after="0"/>
              <w:rPr>
                <w:sz w:val="20"/>
                <w:szCs w:val="20"/>
                <w:color w:val="auto"/>
              </w:rPr>
            </w:pPr>
            <w:r>
              <w:rPr>
                <w:rFonts w:ascii="Arial" w:cs="Arial" w:eastAsia="Arial" w:hAnsi="Arial"/>
                <w:sz w:val="13"/>
                <w:szCs w:val="13"/>
                <w:color w:val="auto"/>
                <w:w w:val="91"/>
              </w:rPr>
              <w:t>—</w:t>
            </w:r>
          </w:p>
        </w:tc>
        <w:tc>
          <w:tcPr>
            <w:tcW w:w="40" w:type="dxa"/>
            <w:vAlign w:val="bottom"/>
            <w:shd w:val="clear" w:color="auto" w:fill="CFF0FC"/>
          </w:tcPr>
          <w:p>
            <w:pPr>
              <w:spacing w:after="0"/>
              <w:rPr>
                <w:sz w:val="8"/>
                <w:szCs w:val="8"/>
                <w:color w:val="auto"/>
              </w:rPr>
            </w:pPr>
          </w:p>
        </w:tc>
        <w:tc>
          <w:tcPr>
            <w:tcW w:w="66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40" w:type="dxa"/>
            <w:vAlign w:val="bottom"/>
            <w:vMerge w:val="restart"/>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240" w:type="dxa"/>
            <w:vAlign w:val="bottom"/>
            <w:vMerge w:val="restart"/>
            <w:shd w:val="clear" w:color="auto" w:fill="CFF0FC"/>
          </w:tcPr>
          <w:p>
            <w:pPr>
              <w:ind w:left="100"/>
              <w:spacing w:after="0"/>
              <w:rPr>
                <w:sz w:val="20"/>
                <w:szCs w:val="20"/>
                <w:color w:val="auto"/>
              </w:rPr>
            </w:pPr>
            <w:r>
              <w:rPr>
                <w:rFonts w:ascii="Arial" w:cs="Arial" w:eastAsia="Arial" w:hAnsi="Arial"/>
                <w:sz w:val="13"/>
                <w:szCs w:val="13"/>
                <w:color w:val="auto"/>
                <w:w w:val="91"/>
              </w:rPr>
              <w:t>—</w:t>
            </w:r>
          </w:p>
        </w:tc>
        <w:tc>
          <w:tcPr>
            <w:tcW w:w="40" w:type="dxa"/>
            <w:vAlign w:val="bottom"/>
            <w:shd w:val="clear" w:color="auto" w:fill="CFF0FC"/>
          </w:tcPr>
          <w:p>
            <w:pPr>
              <w:spacing w:after="0"/>
              <w:rPr>
                <w:sz w:val="8"/>
                <w:szCs w:val="8"/>
                <w:color w:val="auto"/>
              </w:rPr>
            </w:pPr>
          </w:p>
        </w:tc>
        <w:tc>
          <w:tcPr>
            <w:tcW w:w="60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260" w:type="dxa"/>
            <w:vAlign w:val="bottom"/>
            <w:vMerge w:val="restart"/>
            <w:shd w:val="clear" w:color="auto" w:fill="CFF0FC"/>
          </w:tcPr>
          <w:p>
            <w:pPr>
              <w:ind w:left="120"/>
              <w:spacing w:after="0"/>
              <w:rPr>
                <w:sz w:val="20"/>
                <w:szCs w:val="20"/>
                <w:color w:val="auto"/>
              </w:rPr>
            </w:pPr>
            <w:r>
              <w:rPr>
                <w:rFonts w:ascii="Arial" w:cs="Arial" w:eastAsia="Arial" w:hAnsi="Arial"/>
                <w:sz w:val="13"/>
                <w:szCs w:val="13"/>
                <w:color w:val="auto"/>
                <w:w w:val="91"/>
              </w:rPr>
              <w:t>—</w:t>
            </w:r>
          </w:p>
        </w:tc>
        <w:tc>
          <w:tcPr>
            <w:tcW w:w="40" w:type="dxa"/>
            <w:vAlign w:val="bottom"/>
            <w:vMerge w:val="restart"/>
            <w:shd w:val="clear" w:color="auto" w:fill="CFF0FC"/>
          </w:tcPr>
          <w:p>
            <w:pPr>
              <w:spacing w:after="0"/>
              <w:rPr>
                <w:sz w:val="8"/>
                <w:szCs w:val="8"/>
                <w:color w:val="auto"/>
              </w:rPr>
            </w:pPr>
          </w:p>
        </w:tc>
        <w:tc>
          <w:tcPr>
            <w:tcW w:w="120" w:type="dxa"/>
            <w:vAlign w:val="bottom"/>
            <w:vMerge w:val="restart"/>
            <w:shd w:val="clear" w:color="auto" w:fill="CFF0FC"/>
          </w:tcPr>
          <w:p>
            <w:pPr>
              <w:spacing w:after="0"/>
              <w:rPr>
                <w:sz w:val="8"/>
                <w:szCs w:val="8"/>
                <w:color w:val="auto"/>
              </w:rPr>
            </w:pPr>
          </w:p>
        </w:tc>
        <w:tc>
          <w:tcPr>
            <w:tcW w:w="54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4,512</w:t>
            </w:r>
          </w:p>
        </w:tc>
        <w:tc>
          <w:tcPr>
            <w:tcW w:w="60" w:type="dxa"/>
            <w:vAlign w:val="bottom"/>
            <w:shd w:val="clear" w:color="auto" w:fill="CFF0FC"/>
          </w:tcPr>
          <w:p>
            <w:pPr>
              <w:spacing w:after="0"/>
              <w:rPr>
                <w:sz w:val="8"/>
                <w:szCs w:val="8"/>
                <w:color w:val="auto"/>
              </w:rPr>
            </w:pPr>
          </w:p>
        </w:tc>
        <w:tc>
          <w:tcPr>
            <w:tcW w:w="160" w:type="dxa"/>
            <w:vAlign w:val="bottom"/>
            <w:shd w:val="clear" w:color="auto" w:fill="CFF0FC"/>
          </w:tcPr>
          <w:p>
            <w:pPr>
              <w:spacing w:after="0"/>
              <w:rPr>
                <w:sz w:val="8"/>
                <w:szCs w:val="8"/>
                <w:color w:val="auto"/>
              </w:rPr>
            </w:pPr>
          </w:p>
        </w:tc>
        <w:tc>
          <w:tcPr>
            <w:tcW w:w="60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vMerge w:val="restart"/>
            <w:shd w:val="clear" w:color="auto" w:fill="CFF0FC"/>
          </w:tcPr>
          <w:p>
            <w:pPr>
              <w:spacing w:after="0"/>
              <w:rPr>
                <w:sz w:val="8"/>
                <w:szCs w:val="8"/>
                <w:color w:val="auto"/>
              </w:rPr>
            </w:pPr>
          </w:p>
        </w:tc>
        <w:tc>
          <w:tcPr>
            <w:tcW w:w="140" w:type="dxa"/>
            <w:vAlign w:val="bottom"/>
            <w:shd w:val="clear" w:color="auto" w:fill="CFF0FC"/>
          </w:tcPr>
          <w:p>
            <w:pPr>
              <w:spacing w:after="0"/>
              <w:rPr>
                <w:sz w:val="8"/>
                <w:szCs w:val="8"/>
                <w:color w:val="auto"/>
              </w:rPr>
            </w:pPr>
          </w:p>
        </w:tc>
        <w:tc>
          <w:tcPr>
            <w:tcW w:w="720" w:type="dxa"/>
            <w:vAlign w:val="bottom"/>
            <w:gridSpan w:val="3"/>
            <w:vMerge w:val="restart"/>
            <w:shd w:val="clear" w:color="auto" w:fill="CFF0FC"/>
          </w:tcPr>
          <w:p>
            <w:pPr>
              <w:jc w:val="right"/>
              <w:ind w:right="57"/>
              <w:spacing w:after="0"/>
              <w:rPr>
                <w:sz w:val="20"/>
                <w:szCs w:val="20"/>
                <w:color w:val="auto"/>
              </w:rPr>
            </w:pPr>
            <w:r>
              <w:rPr>
                <w:rFonts w:ascii="Arial" w:cs="Arial" w:eastAsia="Arial" w:hAnsi="Arial"/>
                <w:sz w:val="13"/>
                <w:szCs w:val="13"/>
                <w:color w:val="auto"/>
              </w:rPr>
              <w:t>(77,609 )</w:t>
            </w:r>
          </w:p>
        </w:tc>
        <w:tc>
          <w:tcPr>
            <w:tcW w:w="640" w:type="dxa"/>
            <w:vAlign w:val="bottom"/>
            <w:tcBorders>
              <w:right w:val="single" w:sz="8" w:color="CFF0FC"/>
            </w:tcBorders>
            <w:gridSpan w:val="2"/>
            <w:vMerge w:val="restart"/>
            <w:shd w:val="clear" w:color="auto" w:fill="CFF0FC"/>
          </w:tcPr>
          <w:p>
            <w:pPr>
              <w:jc w:val="right"/>
              <w:ind w:right="20"/>
              <w:spacing w:after="0"/>
              <w:rPr>
                <w:sz w:val="20"/>
                <w:szCs w:val="20"/>
                <w:color w:val="auto"/>
              </w:rPr>
            </w:pPr>
            <w:r>
              <w:rPr>
                <w:rFonts w:ascii="Arial" w:cs="Arial" w:eastAsia="Arial" w:hAnsi="Arial"/>
                <w:sz w:val="13"/>
                <w:szCs w:val="13"/>
                <w:color w:val="auto"/>
              </w:rPr>
              <w:t>(73,097 )</w:t>
            </w:r>
          </w:p>
        </w:tc>
        <w:tc>
          <w:tcPr>
            <w:tcW w:w="100" w:type="dxa"/>
            <w:vAlign w:val="bottom"/>
            <w:shd w:val="clear" w:color="auto" w:fill="CFF0FC"/>
          </w:tcPr>
          <w:p>
            <w:pPr>
              <w:spacing w:after="0"/>
              <w:rPr>
                <w:sz w:val="8"/>
                <w:szCs w:val="8"/>
                <w:color w:val="auto"/>
              </w:rPr>
            </w:pPr>
          </w:p>
        </w:tc>
        <w:tc>
          <w:tcPr>
            <w:tcW w:w="680" w:type="dxa"/>
            <w:vAlign w:val="bottom"/>
            <w:gridSpan w:val="2"/>
            <w:vMerge w:val="restart"/>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8"/>
                <w:szCs w:val="8"/>
                <w:color w:val="auto"/>
              </w:rPr>
            </w:pPr>
          </w:p>
        </w:tc>
        <w:tc>
          <w:tcPr>
            <w:tcW w:w="620" w:type="dxa"/>
            <w:vAlign w:val="bottom"/>
            <w:gridSpan w:val="2"/>
            <w:vMerge w:val="restart"/>
            <w:shd w:val="clear" w:color="auto" w:fill="CFF0FC"/>
          </w:tcPr>
          <w:p>
            <w:pPr>
              <w:jc w:val="right"/>
              <w:spacing w:after="0"/>
              <w:rPr>
                <w:sz w:val="20"/>
                <w:szCs w:val="20"/>
                <w:color w:val="auto"/>
              </w:rPr>
            </w:pPr>
            <w:r>
              <w:rPr>
                <w:rFonts w:ascii="Arial" w:cs="Arial" w:eastAsia="Arial" w:hAnsi="Arial"/>
                <w:sz w:val="13"/>
                <w:szCs w:val="13"/>
                <w:color w:val="auto"/>
              </w:rPr>
              <w:t>(73,097 )</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2"/>
        </w:trPr>
        <w:tc>
          <w:tcPr>
            <w:tcW w:w="2180" w:type="dxa"/>
            <w:vAlign w:val="bottom"/>
            <w:vMerge w:val="continue"/>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82</w:t>
            </w: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00" w:type="dxa"/>
            <w:vAlign w:val="bottom"/>
            <w:vMerge w:val="continue"/>
            <w:shd w:val="clear" w:color="auto" w:fill="CFF0FC"/>
          </w:tcPr>
          <w:p>
            <w:pPr>
              <w:spacing w:after="0"/>
              <w:rPr>
                <w:sz w:val="14"/>
                <w:szCs w:val="14"/>
                <w:color w:val="auto"/>
              </w:rPr>
            </w:pPr>
          </w:p>
        </w:tc>
        <w:tc>
          <w:tcPr>
            <w:tcW w:w="120" w:type="dxa"/>
            <w:vAlign w:val="bottom"/>
            <w:tcBorders>
              <w:right w:val="single" w:sz="8" w:color="auto"/>
            </w:tcBorders>
            <w:shd w:val="clear" w:color="auto" w:fill="CFF0FC"/>
          </w:tcPr>
          <w:p>
            <w:pPr>
              <w:spacing w:after="0"/>
              <w:rPr>
                <w:sz w:val="14"/>
                <w:szCs w:val="14"/>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71</w:t>
            </w:r>
          </w:p>
        </w:tc>
        <w:tc>
          <w:tcPr>
            <w:tcW w:w="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20" w:type="dxa"/>
            <w:vAlign w:val="bottom"/>
            <w:vMerge w:val="continue"/>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660" w:type="dxa"/>
            <w:vAlign w:val="bottom"/>
            <w:vMerge w:val="continue"/>
            <w:shd w:val="clear" w:color="auto" w:fill="CFF0FC"/>
          </w:tcPr>
          <w:p>
            <w:pPr>
              <w:spacing w:after="0"/>
              <w:rPr>
                <w:sz w:val="14"/>
                <w:szCs w:val="14"/>
                <w:color w:val="auto"/>
              </w:rPr>
            </w:pPr>
          </w:p>
        </w:tc>
        <w:tc>
          <w:tcPr>
            <w:tcW w:w="4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40" w:type="dxa"/>
            <w:vAlign w:val="bottom"/>
            <w:vMerge w:val="continue"/>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600" w:type="dxa"/>
            <w:vAlign w:val="bottom"/>
            <w:vMerge w:val="continue"/>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260" w:type="dxa"/>
            <w:vAlign w:val="bottom"/>
            <w:vMerge w:val="continue"/>
            <w:shd w:val="clear" w:color="auto" w:fill="CFF0FC"/>
          </w:tcPr>
          <w:p>
            <w:pPr>
              <w:spacing w:after="0"/>
              <w:rPr>
                <w:sz w:val="14"/>
                <w:szCs w:val="14"/>
                <w:color w:val="auto"/>
              </w:rPr>
            </w:pPr>
          </w:p>
        </w:tc>
        <w:tc>
          <w:tcPr>
            <w:tcW w:w="40" w:type="dxa"/>
            <w:vAlign w:val="bottom"/>
            <w:vMerge w:val="continue"/>
            <w:shd w:val="clear" w:color="auto" w:fill="CFF0FC"/>
          </w:tcPr>
          <w:p>
            <w:pPr>
              <w:spacing w:after="0"/>
              <w:rPr>
                <w:sz w:val="14"/>
                <w:szCs w:val="14"/>
                <w:color w:val="auto"/>
              </w:rPr>
            </w:pPr>
          </w:p>
        </w:tc>
        <w:tc>
          <w:tcPr>
            <w:tcW w:w="120" w:type="dxa"/>
            <w:vAlign w:val="bottom"/>
            <w:vMerge w:val="continue"/>
            <w:shd w:val="clear" w:color="auto" w:fill="CFF0FC"/>
          </w:tcPr>
          <w:p>
            <w:pPr>
              <w:spacing w:after="0"/>
              <w:rPr>
                <w:sz w:val="14"/>
                <w:szCs w:val="14"/>
                <w:color w:val="auto"/>
              </w:rPr>
            </w:pPr>
          </w:p>
        </w:tc>
        <w:tc>
          <w:tcPr>
            <w:tcW w:w="540" w:type="dxa"/>
            <w:vAlign w:val="bottom"/>
            <w:vMerge w:val="continue"/>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00" w:type="dxa"/>
            <w:vAlign w:val="bottom"/>
            <w:vMerge w:val="continue"/>
            <w:shd w:val="clear" w:color="auto" w:fill="CFF0FC"/>
          </w:tcPr>
          <w:p>
            <w:pPr>
              <w:spacing w:after="0"/>
              <w:rPr>
                <w:sz w:val="14"/>
                <w:szCs w:val="14"/>
                <w:color w:val="auto"/>
              </w:rPr>
            </w:pPr>
          </w:p>
        </w:tc>
        <w:tc>
          <w:tcPr>
            <w:tcW w:w="100" w:type="dxa"/>
            <w:vAlign w:val="bottom"/>
            <w:vMerge w:val="continue"/>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20" w:type="dxa"/>
            <w:vAlign w:val="bottom"/>
            <w:gridSpan w:val="3"/>
            <w:vMerge w:val="continue"/>
            <w:shd w:val="clear" w:color="auto" w:fill="CFF0FC"/>
          </w:tcPr>
          <w:p>
            <w:pPr>
              <w:spacing w:after="0"/>
              <w:rPr>
                <w:sz w:val="14"/>
                <w:szCs w:val="14"/>
                <w:color w:val="auto"/>
              </w:rPr>
            </w:pPr>
          </w:p>
        </w:tc>
        <w:tc>
          <w:tcPr>
            <w:tcW w:w="640" w:type="dxa"/>
            <w:vAlign w:val="bottom"/>
            <w:tcBorders>
              <w:right w:val="single" w:sz="8" w:color="CFF0FC"/>
            </w:tcBorders>
            <w:gridSpan w:val="2"/>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80" w:type="dxa"/>
            <w:vAlign w:val="bottom"/>
            <w:gridSpan w:val="2"/>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20" w:type="dxa"/>
            <w:vAlign w:val="bottom"/>
            <w:gridSpan w:val="2"/>
            <w:vMerge w:val="continue"/>
            <w:shd w:val="clear" w:color="auto" w:fill="CFF0FC"/>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180" w:type="dxa"/>
            <w:vAlign w:val="bottom"/>
            <w:vMerge w:val="restart"/>
          </w:tcPr>
          <w:p>
            <w:pPr>
              <w:ind w:left="20"/>
              <w:spacing w:after="0"/>
              <w:rPr>
                <w:sz w:val="20"/>
                <w:szCs w:val="20"/>
                <w:color w:val="auto"/>
              </w:rPr>
            </w:pPr>
            <w:r>
              <w:rPr>
                <w:rFonts w:ascii="Arial" w:cs="Arial" w:eastAsia="Arial" w:hAnsi="Arial"/>
                <w:sz w:val="13"/>
                <w:szCs w:val="13"/>
                <w:color w:val="auto"/>
                <w:w w:val="88"/>
              </w:rPr>
              <w:t>Repurchase of convertible preferred stock</w:t>
            </w:r>
          </w:p>
        </w:tc>
        <w:tc>
          <w:tcPr>
            <w:tcW w:w="580" w:type="dxa"/>
            <w:vAlign w:val="bottom"/>
          </w:tcPr>
          <w:p>
            <w:pPr>
              <w:jc w:val="right"/>
              <w:spacing w:after="0" w:line="108" w:lineRule="exact"/>
              <w:rPr>
                <w:sz w:val="20"/>
                <w:szCs w:val="20"/>
                <w:color w:val="auto"/>
              </w:rPr>
            </w:pPr>
            <w:r>
              <w:rPr>
                <w:rFonts w:ascii="Arial" w:cs="Arial" w:eastAsia="Arial" w:hAnsi="Arial"/>
                <w:sz w:val="12"/>
                <w:szCs w:val="12"/>
                <w:color w:val="auto"/>
              </w:rPr>
              <w:t>(2,246,88</w:t>
            </w: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Borders>
              <w:right w:val="single" w:sz="8" w:color="auto"/>
            </w:tcBorders>
            <w:gridSpan w:val="2"/>
            <w:vMerge w:val="restart"/>
          </w:tcPr>
          <w:p>
            <w:pPr>
              <w:jc w:val="right"/>
              <w:ind w:right="60"/>
              <w:spacing w:after="0"/>
              <w:rPr>
                <w:sz w:val="20"/>
                <w:szCs w:val="20"/>
                <w:color w:val="auto"/>
              </w:rPr>
            </w:pPr>
            <w:r>
              <w:rPr>
                <w:rFonts w:ascii="Arial" w:cs="Arial" w:eastAsia="Arial" w:hAnsi="Arial"/>
                <w:sz w:val="13"/>
                <w:szCs w:val="13"/>
                <w:color w:val="auto"/>
              </w:rPr>
              <w:t>(12,852 )</w:t>
            </w:r>
          </w:p>
        </w:tc>
        <w:tc>
          <w:tcPr>
            <w:tcW w:w="520" w:type="dxa"/>
            <w:vAlign w:val="bottom"/>
            <w:gridSpan w:val="2"/>
            <w:vMerge w:val="restart"/>
          </w:tcPr>
          <w:p>
            <w:pPr>
              <w:jc w:val="right"/>
              <w:ind w:right="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9"/>
                <w:szCs w:val="9"/>
                <w:color w:val="auto"/>
              </w:rPr>
            </w:pPr>
          </w:p>
        </w:tc>
        <w:tc>
          <w:tcPr>
            <w:tcW w:w="220" w:type="dxa"/>
            <w:vAlign w:val="bottom"/>
            <w:vMerge w:val="restart"/>
          </w:tcPr>
          <w:p>
            <w:pPr>
              <w:ind w:left="80"/>
              <w:spacing w:after="0"/>
              <w:rPr>
                <w:sz w:val="20"/>
                <w:szCs w:val="20"/>
                <w:color w:val="auto"/>
              </w:rPr>
            </w:pPr>
            <w:r>
              <w:rPr>
                <w:rFonts w:ascii="Arial" w:cs="Arial" w:eastAsia="Arial" w:hAnsi="Arial"/>
                <w:sz w:val="13"/>
                <w:szCs w:val="13"/>
                <w:color w:val="auto"/>
                <w:w w:val="91"/>
              </w:rPr>
              <w:t>—</w:t>
            </w:r>
          </w:p>
        </w:tc>
        <w:tc>
          <w:tcPr>
            <w:tcW w:w="40" w:type="dxa"/>
            <w:vAlign w:val="bottom"/>
          </w:tcPr>
          <w:p>
            <w:pPr>
              <w:spacing w:after="0"/>
              <w:rPr>
                <w:sz w:val="9"/>
                <w:szCs w:val="9"/>
                <w:color w:val="auto"/>
              </w:rPr>
            </w:pPr>
          </w:p>
        </w:tc>
        <w:tc>
          <w:tcPr>
            <w:tcW w:w="700" w:type="dxa"/>
            <w:vAlign w:val="bottom"/>
            <w:gridSpan w:val="2"/>
            <w:vMerge w:val="restart"/>
          </w:tcPr>
          <w:p>
            <w:pPr>
              <w:jc w:val="right"/>
              <w:ind w:right="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9"/>
                <w:szCs w:val="9"/>
                <w:color w:val="auto"/>
              </w:rPr>
            </w:pPr>
          </w:p>
        </w:tc>
        <w:tc>
          <w:tcPr>
            <w:tcW w:w="240" w:type="dxa"/>
            <w:vAlign w:val="bottom"/>
            <w:vMerge w:val="restart"/>
          </w:tcPr>
          <w:p>
            <w:pPr>
              <w:ind w:left="100"/>
              <w:spacing w:after="0"/>
              <w:rPr>
                <w:sz w:val="20"/>
                <w:szCs w:val="20"/>
                <w:color w:val="auto"/>
              </w:rPr>
            </w:pPr>
            <w:r>
              <w:rPr>
                <w:rFonts w:ascii="Arial" w:cs="Arial" w:eastAsia="Arial" w:hAnsi="Arial"/>
                <w:sz w:val="13"/>
                <w:szCs w:val="13"/>
                <w:color w:val="auto"/>
                <w:w w:val="91"/>
              </w:rPr>
              <w:t>—</w:t>
            </w:r>
          </w:p>
        </w:tc>
        <w:tc>
          <w:tcPr>
            <w:tcW w:w="40" w:type="dxa"/>
            <w:vAlign w:val="bottom"/>
          </w:tcPr>
          <w:p>
            <w:pPr>
              <w:spacing w:after="0"/>
              <w:rPr>
                <w:sz w:val="9"/>
                <w:szCs w:val="9"/>
                <w:color w:val="auto"/>
              </w:rPr>
            </w:pPr>
          </w:p>
        </w:tc>
        <w:tc>
          <w:tcPr>
            <w:tcW w:w="6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420" w:type="dxa"/>
            <w:vAlign w:val="bottom"/>
            <w:gridSpan w:val="3"/>
            <w:vMerge w:val="restart"/>
          </w:tcPr>
          <w:p>
            <w:pPr>
              <w:ind w:left="120"/>
              <w:spacing w:after="0"/>
              <w:rPr>
                <w:sz w:val="20"/>
                <w:szCs w:val="20"/>
                <w:color w:val="auto"/>
              </w:rPr>
            </w:pPr>
            <w:r>
              <w:rPr>
                <w:rFonts w:ascii="Arial" w:cs="Arial" w:eastAsia="Arial" w:hAnsi="Arial"/>
                <w:sz w:val="13"/>
                <w:szCs w:val="13"/>
                <w:color w:val="auto"/>
              </w:rPr>
              <w:t>—</w:t>
            </w:r>
          </w:p>
        </w:tc>
        <w:tc>
          <w:tcPr>
            <w:tcW w:w="600" w:type="dxa"/>
            <w:vAlign w:val="bottom"/>
            <w:gridSpan w:val="2"/>
            <w:vMerge w:val="restart"/>
          </w:tcPr>
          <w:p>
            <w:pPr>
              <w:jc w:val="right"/>
              <w:spacing w:after="0"/>
              <w:rPr>
                <w:sz w:val="20"/>
                <w:szCs w:val="20"/>
                <w:color w:val="auto"/>
              </w:rPr>
            </w:pPr>
            <w:r>
              <w:rPr>
                <w:rFonts w:ascii="Arial" w:cs="Arial" w:eastAsia="Arial" w:hAnsi="Arial"/>
                <w:sz w:val="13"/>
                <w:szCs w:val="13"/>
                <w:color w:val="auto"/>
              </w:rPr>
              <w:t>(5,578 )</w:t>
            </w:r>
          </w:p>
        </w:tc>
        <w:tc>
          <w:tcPr>
            <w:tcW w:w="160" w:type="dxa"/>
            <w:vAlign w:val="bottom"/>
          </w:tcPr>
          <w:p>
            <w:pPr>
              <w:spacing w:after="0"/>
              <w:rPr>
                <w:sz w:val="9"/>
                <w:szCs w:val="9"/>
                <w:color w:val="auto"/>
              </w:rPr>
            </w:pPr>
          </w:p>
        </w:tc>
        <w:tc>
          <w:tcPr>
            <w:tcW w:w="700" w:type="dxa"/>
            <w:vAlign w:val="bottom"/>
            <w:gridSpan w:val="2"/>
            <w:vMerge w:val="restart"/>
          </w:tcPr>
          <w:p>
            <w:pPr>
              <w:jc w:val="right"/>
              <w:ind w:right="1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9"/>
                <w:szCs w:val="9"/>
                <w:color w:val="auto"/>
              </w:rPr>
            </w:pPr>
          </w:p>
        </w:tc>
        <w:tc>
          <w:tcPr>
            <w:tcW w:w="720" w:type="dxa"/>
            <w:vAlign w:val="bottom"/>
            <w:gridSpan w:val="3"/>
            <w:vMerge w:val="restart"/>
          </w:tcPr>
          <w:p>
            <w:pPr>
              <w:jc w:val="right"/>
              <w:ind w:right="57"/>
              <w:spacing w:after="0"/>
              <w:rPr>
                <w:sz w:val="20"/>
                <w:szCs w:val="20"/>
                <w:color w:val="auto"/>
              </w:rPr>
            </w:pPr>
            <w:r>
              <w:rPr>
                <w:rFonts w:ascii="Arial" w:cs="Arial" w:eastAsia="Arial" w:hAnsi="Arial"/>
                <w:sz w:val="13"/>
                <w:szCs w:val="13"/>
                <w:color w:val="auto"/>
              </w:rPr>
              <w:t>(3,223 )</w:t>
            </w:r>
          </w:p>
        </w:tc>
        <w:tc>
          <w:tcPr>
            <w:tcW w:w="640" w:type="dxa"/>
            <w:vAlign w:val="bottom"/>
            <w:gridSpan w:val="2"/>
            <w:vMerge w:val="restart"/>
          </w:tcPr>
          <w:p>
            <w:pPr>
              <w:jc w:val="right"/>
              <w:ind w:right="20"/>
              <w:spacing w:after="0"/>
              <w:rPr>
                <w:sz w:val="20"/>
                <w:szCs w:val="20"/>
                <w:color w:val="auto"/>
              </w:rPr>
            </w:pPr>
            <w:r>
              <w:rPr>
                <w:rFonts w:ascii="Arial" w:cs="Arial" w:eastAsia="Arial" w:hAnsi="Arial"/>
                <w:sz w:val="13"/>
                <w:szCs w:val="13"/>
                <w:color w:val="auto"/>
              </w:rPr>
              <w:t>(8,801 )</w:t>
            </w:r>
          </w:p>
        </w:tc>
        <w:tc>
          <w:tcPr>
            <w:tcW w:w="100" w:type="dxa"/>
            <w:vAlign w:val="bottom"/>
          </w:tcPr>
          <w:p>
            <w:pPr>
              <w:spacing w:after="0"/>
              <w:rPr>
                <w:sz w:val="9"/>
                <w:szCs w:val="9"/>
                <w:color w:val="auto"/>
              </w:rPr>
            </w:pPr>
          </w:p>
        </w:tc>
        <w:tc>
          <w:tcPr>
            <w:tcW w:w="68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9"/>
                <w:szCs w:val="9"/>
                <w:color w:val="auto"/>
              </w:rPr>
            </w:pPr>
          </w:p>
        </w:tc>
        <w:tc>
          <w:tcPr>
            <w:tcW w:w="640" w:type="dxa"/>
            <w:vAlign w:val="bottom"/>
            <w:gridSpan w:val="3"/>
            <w:vMerge w:val="restart"/>
          </w:tcPr>
          <w:p>
            <w:pPr>
              <w:jc w:val="right"/>
              <w:ind w:right="20"/>
              <w:spacing w:after="0"/>
              <w:rPr>
                <w:sz w:val="20"/>
                <w:szCs w:val="20"/>
                <w:color w:val="auto"/>
              </w:rPr>
            </w:pPr>
            <w:r>
              <w:rPr>
                <w:rFonts w:ascii="Arial" w:cs="Arial" w:eastAsia="Arial" w:hAnsi="Arial"/>
                <w:sz w:val="13"/>
                <w:szCs w:val="13"/>
                <w:color w:val="auto"/>
              </w:rPr>
              <w:t>(8,801 )</w:t>
            </w:r>
          </w:p>
        </w:tc>
        <w:tc>
          <w:tcPr>
            <w:tcW w:w="0" w:type="dxa"/>
            <w:vAlign w:val="bottom"/>
          </w:tcPr>
          <w:p>
            <w:pPr>
              <w:spacing w:after="0"/>
              <w:rPr>
                <w:sz w:val="1"/>
                <w:szCs w:val="1"/>
                <w:color w:val="auto"/>
              </w:rPr>
            </w:pPr>
          </w:p>
        </w:tc>
      </w:tr>
      <w:tr>
        <w:trPr>
          <w:trHeight w:val="161"/>
        </w:trPr>
        <w:tc>
          <w:tcPr>
            <w:tcW w:w="2180" w:type="dxa"/>
            <w:vAlign w:val="bottom"/>
            <w:vMerge w:val="continue"/>
          </w:tcPr>
          <w:p>
            <w:pPr>
              <w:spacing w:after="0"/>
              <w:rPr>
                <w:sz w:val="14"/>
                <w:szCs w:val="14"/>
                <w:color w:val="auto"/>
              </w:rPr>
            </w:pPr>
          </w:p>
        </w:tc>
        <w:tc>
          <w:tcPr>
            <w:tcW w:w="640" w:type="dxa"/>
            <w:vAlign w:val="bottom"/>
            <w:gridSpan w:val="2"/>
          </w:tcPr>
          <w:p>
            <w:pPr>
              <w:jc w:val="right"/>
              <w:spacing w:after="0"/>
              <w:rPr>
                <w:sz w:val="20"/>
                <w:szCs w:val="20"/>
                <w:color w:val="auto"/>
              </w:rPr>
            </w:pPr>
            <w:r>
              <w:rPr>
                <w:rFonts w:ascii="Arial" w:cs="Arial" w:eastAsia="Arial" w:hAnsi="Arial"/>
                <w:sz w:val="13"/>
                <w:szCs w:val="13"/>
                <w:color w:val="auto"/>
              </w:rPr>
              <w:t>6 )</w:t>
            </w:r>
          </w:p>
        </w:tc>
        <w:tc>
          <w:tcPr>
            <w:tcW w:w="120" w:type="dxa"/>
            <w:vAlign w:val="bottom"/>
          </w:tcPr>
          <w:p>
            <w:pPr>
              <w:spacing w:after="0"/>
              <w:rPr>
                <w:sz w:val="14"/>
                <w:szCs w:val="14"/>
                <w:color w:val="auto"/>
              </w:rPr>
            </w:pPr>
          </w:p>
        </w:tc>
        <w:tc>
          <w:tcPr>
            <w:tcW w:w="620" w:type="dxa"/>
            <w:vAlign w:val="bottom"/>
            <w:tcBorders>
              <w:right w:val="single" w:sz="8" w:color="auto"/>
            </w:tcBorders>
            <w:gridSpan w:val="2"/>
            <w:vMerge w:val="continue"/>
          </w:tcPr>
          <w:p>
            <w:pPr>
              <w:spacing w:after="0"/>
              <w:rPr>
                <w:sz w:val="14"/>
                <w:szCs w:val="14"/>
                <w:color w:val="auto"/>
              </w:rPr>
            </w:pPr>
          </w:p>
        </w:tc>
        <w:tc>
          <w:tcPr>
            <w:tcW w:w="5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20" w:type="dxa"/>
            <w:vAlign w:val="bottom"/>
            <w:gridSpan w:val="3"/>
            <w:vMerge w:val="continue"/>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gridSpan w:val="3"/>
            <w:vMerge w:val="continue"/>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09"/>
        </w:trPr>
        <w:tc>
          <w:tcPr>
            <w:tcW w:w="2180" w:type="dxa"/>
            <w:vAlign w:val="bottom"/>
            <w:vMerge w:val="restart"/>
            <w:shd w:val="clear" w:color="auto" w:fill="CFF0FC"/>
          </w:tcPr>
          <w:p>
            <w:pPr>
              <w:ind w:left="20"/>
              <w:spacing w:after="0"/>
              <w:rPr>
                <w:sz w:val="20"/>
                <w:szCs w:val="20"/>
                <w:color w:val="auto"/>
              </w:rPr>
            </w:pPr>
            <w:r>
              <w:rPr>
                <w:rFonts w:ascii="Arial" w:cs="Arial" w:eastAsia="Arial" w:hAnsi="Arial"/>
                <w:sz w:val="13"/>
                <w:szCs w:val="13"/>
                <w:color w:val="auto"/>
                <w:w w:val="95"/>
              </w:rPr>
              <w:t>Issuance of convertible preferred stock</w:t>
            </w:r>
          </w:p>
        </w:tc>
        <w:tc>
          <w:tcPr>
            <w:tcW w:w="580" w:type="dxa"/>
            <w:vAlign w:val="bottom"/>
            <w:shd w:val="clear" w:color="auto" w:fill="CFF0FC"/>
          </w:tcPr>
          <w:p>
            <w:pPr>
              <w:jc w:val="right"/>
              <w:spacing w:after="0" w:line="109" w:lineRule="exact"/>
              <w:rPr>
                <w:sz w:val="20"/>
                <w:szCs w:val="20"/>
                <w:color w:val="auto"/>
              </w:rPr>
            </w:pPr>
            <w:r>
              <w:rPr>
                <w:rFonts w:ascii="Arial" w:cs="Arial" w:eastAsia="Arial" w:hAnsi="Arial"/>
                <w:sz w:val="12"/>
                <w:szCs w:val="12"/>
                <w:color w:val="auto"/>
              </w:rPr>
              <w:t>4,522,64</w:t>
            </w:r>
          </w:p>
        </w:tc>
        <w:tc>
          <w:tcPr>
            <w:tcW w:w="6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50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52,409</w:t>
            </w:r>
          </w:p>
        </w:tc>
        <w:tc>
          <w:tcPr>
            <w:tcW w:w="120" w:type="dxa"/>
            <w:vAlign w:val="bottom"/>
            <w:tcBorders>
              <w:right w:val="single" w:sz="8" w:color="auto"/>
            </w:tcBorders>
            <w:shd w:val="clear" w:color="auto" w:fill="CFF0FC"/>
          </w:tcPr>
          <w:p>
            <w:pPr>
              <w:spacing w:after="0"/>
              <w:rPr>
                <w:sz w:val="9"/>
                <w:szCs w:val="9"/>
                <w:color w:val="auto"/>
              </w:rPr>
            </w:pPr>
          </w:p>
        </w:tc>
        <w:tc>
          <w:tcPr>
            <w:tcW w:w="520" w:type="dxa"/>
            <w:vAlign w:val="bottom"/>
            <w:gridSpan w:val="2"/>
            <w:vMerge w:val="restart"/>
            <w:shd w:val="clear" w:color="auto" w:fill="CFF0FC"/>
          </w:tcPr>
          <w:p>
            <w:pPr>
              <w:jc w:val="right"/>
              <w:ind w:right="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9"/>
                <w:szCs w:val="9"/>
                <w:color w:val="auto"/>
              </w:rPr>
            </w:pPr>
          </w:p>
        </w:tc>
        <w:tc>
          <w:tcPr>
            <w:tcW w:w="220" w:type="dxa"/>
            <w:vAlign w:val="bottom"/>
            <w:vMerge w:val="restart"/>
            <w:shd w:val="clear" w:color="auto" w:fill="CFF0FC"/>
          </w:tcPr>
          <w:p>
            <w:pPr>
              <w:ind w:left="80"/>
              <w:spacing w:after="0"/>
              <w:rPr>
                <w:sz w:val="20"/>
                <w:szCs w:val="20"/>
                <w:color w:val="auto"/>
              </w:rPr>
            </w:pPr>
            <w:r>
              <w:rPr>
                <w:rFonts w:ascii="Arial" w:cs="Arial" w:eastAsia="Arial" w:hAnsi="Arial"/>
                <w:sz w:val="13"/>
                <w:szCs w:val="13"/>
                <w:color w:val="auto"/>
                <w:w w:val="91"/>
              </w:rPr>
              <w:t>—</w:t>
            </w:r>
          </w:p>
        </w:tc>
        <w:tc>
          <w:tcPr>
            <w:tcW w:w="40" w:type="dxa"/>
            <w:vAlign w:val="bottom"/>
            <w:shd w:val="clear" w:color="auto" w:fill="CFF0FC"/>
          </w:tcPr>
          <w:p>
            <w:pPr>
              <w:spacing w:after="0"/>
              <w:rPr>
                <w:sz w:val="9"/>
                <w:szCs w:val="9"/>
                <w:color w:val="auto"/>
              </w:rPr>
            </w:pPr>
          </w:p>
        </w:tc>
        <w:tc>
          <w:tcPr>
            <w:tcW w:w="700" w:type="dxa"/>
            <w:vAlign w:val="bottom"/>
            <w:gridSpan w:val="2"/>
            <w:vMerge w:val="restart"/>
            <w:shd w:val="clear" w:color="auto" w:fill="CFF0FC"/>
          </w:tcPr>
          <w:p>
            <w:pPr>
              <w:jc w:val="right"/>
              <w:ind w:right="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9"/>
                <w:szCs w:val="9"/>
                <w:color w:val="auto"/>
              </w:rPr>
            </w:pPr>
          </w:p>
        </w:tc>
        <w:tc>
          <w:tcPr>
            <w:tcW w:w="240" w:type="dxa"/>
            <w:vAlign w:val="bottom"/>
            <w:vMerge w:val="restart"/>
            <w:shd w:val="clear" w:color="auto" w:fill="CFF0FC"/>
          </w:tcPr>
          <w:p>
            <w:pPr>
              <w:ind w:left="100"/>
              <w:spacing w:after="0"/>
              <w:rPr>
                <w:sz w:val="20"/>
                <w:szCs w:val="20"/>
                <w:color w:val="auto"/>
              </w:rPr>
            </w:pPr>
            <w:r>
              <w:rPr>
                <w:rFonts w:ascii="Arial" w:cs="Arial" w:eastAsia="Arial" w:hAnsi="Arial"/>
                <w:sz w:val="13"/>
                <w:szCs w:val="13"/>
                <w:color w:val="auto"/>
                <w:w w:val="91"/>
              </w:rPr>
              <w:t>—</w:t>
            </w:r>
          </w:p>
        </w:tc>
        <w:tc>
          <w:tcPr>
            <w:tcW w:w="40" w:type="dxa"/>
            <w:vAlign w:val="bottom"/>
            <w:shd w:val="clear" w:color="auto" w:fill="CFF0FC"/>
          </w:tcPr>
          <w:p>
            <w:pPr>
              <w:spacing w:after="0"/>
              <w:rPr>
                <w:sz w:val="9"/>
                <w:szCs w:val="9"/>
                <w:color w:val="auto"/>
              </w:rPr>
            </w:pPr>
          </w:p>
        </w:tc>
        <w:tc>
          <w:tcPr>
            <w:tcW w:w="60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420" w:type="dxa"/>
            <w:vAlign w:val="bottom"/>
            <w:gridSpan w:val="3"/>
            <w:vMerge w:val="restart"/>
            <w:shd w:val="clear" w:color="auto" w:fill="CFF0FC"/>
          </w:tcPr>
          <w:p>
            <w:pPr>
              <w:ind w:left="120"/>
              <w:spacing w:after="0"/>
              <w:rPr>
                <w:sz w:val="20"/>
                <w:szCs w:val="20"/>
                <w:color w:val="auto"/>
              </w:rPr>
            </w:pPr>
            <w:r>
              <w:rPr>
                <w:rFonts w:ascii="Arial" w:cs="Arial" w:eastAsia="Arial" w:hAnsi="Arial"/>
                <w:sz w:val="13"/>
                <w:szCs w:val="13"/>
                <w:color w:val="auto"/>
              </w:rPr>
              <w:t>—</w:t>
            </w:r>
          </w:p>
        </w:tc>
        <w:tc>
          <w:tcPr>
            <w:tcW w:w="600" w:type="dxa"/>
            <w:vAlign w:val="bottom"/>
            <w:gridSpan w:val="2"/>
            <w:vMerge w:val="restart"/>
            <w:shd w:val="clear" w:color="auto" w:fill="CFF0FC"/>
          </w:tcPr>
          <w:p>
            <w:pPr>
              <w:jc w:val="right"/>
              <w:ind w:right="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9"/>
                <w:szCs w:val="9"/>
                <w:color w:val="auto"/>
              </w:rPr>
            </w:pPr>
          </w:p>
        </w:tc>
        <w:tc>
          <w:tcPr>
            <w:tcW w:w="700" w:type="dxa"/>
            <w:vAlign w:val="bottom"/>
            <w:gridSpan w:val="2"/>
            <w:vMerge w:val="restart"/>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9"/>
                <w:szCs w:val="9"/>
                <w:color w:val="auto"/>
              </w:rPr>
            </w:pPr>
          </w:p>
        </w:tc>
        <w:tc>
          <w:tcPr>
            <w:tcW w:w="720" w:type="dxa"/>
            <w:vAlign w:val="bottom"/>
            <w:gridSpan w:val="3"/>
            <w:vMerge w:val="restart"/>
            <w:shd w:val="clear" w:color="auto" w:fill="CFF0FC"/>
          </w:tcPr>
          <w:p>
            <w:pPr>
              <w:jc w:val="right"/>
              <w:ind w:right="117"/>
              <w:spacing w:after="0"/>
              <w:rPr>
                <w:sz w:val="20"/>
                <w:szCs w:val="20"/>
                <w:color w:val="auto"/>
              </w:rPr>
            </w:pPr>
            <w:r>
              <w:rPr>
                <w:rFonts w:ascii="Arial" w:cs="Arial" w:eastAsia="Arial" w:hAnsi="Arial"/>
                <w:sz w:val="13"/>
                <w:szCs w:val="13"/>
                <w:color w:val="auto"/>
              </w:rPr>
              <w:t>—</w:t>
            </w:r>
          </w:p>
        </w:tc>
        <w:tc>
          <w:tcPr>
            <w:tcW w:w="640" w:type="dxa"/>
            <w:vAlign w:val="bottom"/>
            <w:tcBorders>
              <w:right w:val="single" w:sz="8" w:color="CFF0FC"/>
            </w:tcBorders>
            <w:gridSpan w:val="2"/>
            <w:vMerge w:val="restart"/>
            <w:shd w:val="clear" w:color="auto" w:fill="CFF0FC"/>
          </w:tcPr>
          <w:p>
            <w:pPr>
              <w:jc w:val="right"/>
              <w:ind w:right="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9"/>
                <w:szCs w:val="9"/>
                <w:color w:val="auto"/>
              </w:rPr>
            </w:pPr>
          </w:p>
        </w:tc>
        <w:tc>
          <w:tcPr>
            <w:tcW w:w="680" w:type="dxa"/>
            <w:vAlign w:val="bottom"/>
            <w:gridSpan w:val="2"/>
            <w:vMerge w:val="restart"/>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9"/>
                <w:szCs w:val="9"/>
                <w:color w:val="auto"/>
              </w:rPr>
            </w:pPr>
          </w:p>
        </w:tc>
        <w:tc>
          <w:tcPr>
            <w:tcW w:w="620" w:type="dxa"/>
            <w:vAlign w:val="bottom"/>
            <w:gridSpan w:val="2"/>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2180" w:type="dxa"/>
            <w:vAlign w:val="bottom"/>
            <w:vMerge w:val="continue"/>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w:t>
            </w: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00" w:type="dxa"/>
            <w:vAlign w:val="bottom"/>
            <w:vMerge w:val="continue"/>
            <w:shd w:val="clear" w:color="auto" w:fill="CFF0FC"/>
          </w:tcPr>
          <w:p>
            <w:pPr>
              <w:spacing w:after="0"/>
              <w:rPr>
                <w:sz w:val="14"/>
                <w:szCs w:val="14"/>
                <w:color w:val="auto"/>
              </w:rPr>
            </w:pPr>
          </w:p>
        </w:tc>
        <w:tc>
          <w:tcPr>
            <w:tcW w:w="120" w:type="dxa"/>
            <w:vAlign w:val="bottom"/>
            <w:tcBorders>
              <w:right w:val="single" w:sz="8" w:color="auto"/>
            </w:tcBorders>
            <w:shd w:val="clear" w:color="auto" w:fill="CFF0FC"/>
          </w:tcPr>
          <w:p>
            <w:pPr>
              <w:spacing w:after="0"/>
              <w:rPr>
                <w:sz w:val="14"/>
                <w:szCs w:val="14"/>
                <w:color w:val="auto"/>
              </w:rPr>
            </w:pPr>
          </w:p>
        </w:tc>
        <w:tc>
          <w:tcPr>
            <w:tcW w:w="520" w:type="dxa"/>
            <w:vAlign w:val="bottom"/>
            <w:gridSpan w:val="2"/>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20" w:type="dxa"/>
            <w:vAlign w:val="bottom"/>
            <w:vMerge w:val="continue"/>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700" w:type="dxa"/>
            <w:vAlign w:val="bottom"/>
            <w:gridSpan w:val="2"/>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40" w:type="dxa"/>
            <w:vAlign w:val="bottom"/>
            <w:vMerge w:val="continue"/>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600" w:type="dxa"/>
            <w:vAlign w:val="bottom"/>
            <w:vMerge w:val="continue"/>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420" w:type="dxa"/>
            <w:vAlign w:val="bottom"/>
            <w:gridSpan w:val="3"/>
            <w:vMerge w:val="continue"/>
            <w:shd w:val="clear" w:color="auto" w:fill="CFF0FC"/>
          </w:tcPr>
          <w:p>
            <w:pPr>
              <w:spacing w:after="0"/>
              <w:rPr>
                <w:sz w:val="14"/>
                <w:szCs w:val="14"/>
                <w:color w:val="auto"/>
              </w:rPr>
            </w:pPr>
          </w:p>
        </w:tc>
        <w:tc>
          <w:tcPr>
            <w:tcW w:w="600" w:type="dxa"/>
            <w:vAlign w:val="bottom"/>
            <w:gridSpan w:val="2"/>
            <w:vMerge w:val="continue"/>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00" w:type="dxa"/>
            <w:vAlign w:val="bottom"/>
            <w:gridSpan w:val="2"/>
            <w:vMerge w:val="continue"/>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20" w:type="dxa"/>
            <w:vAlign w:val="bottom"/>
            <w:gridSpan w:val="3"/>
            <w:vMerge w:val="continue"/>
            <w:shd w:val="clear" w:color="auto" w:fill="CFF0FC"/>
          </w:tcPr>
          <w:p>
            <w:pPr>
              <w:spacing w:after="0"/>
              <w:rPr>
                <w:sz w:val="14"/>
                <w:szCs w:val="14"/>
                <w:color w:val="auto"/>
              </w:rPr>
            </w:pPr>
          </w:p>
        </w:tc>
        <w:tc>
          <w:tcPr>
            <w:tcW w:w="640" w:type="dxa"/>
            <w:vAlign w:val="bottom"/>
            <w:tcBorders>
              <w:right w:val="single" w:sz="8" w:color="CFF0FC"/>
            </w:tcBorders>
            <w:gridSpan w:val="2"/>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80" w:type="dxa"/>
            <w:vAlign w:val="bottom"/>
            <w:gridSpan w:val="2"/>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20" w:type="dxa"/>
            <w:vAlign w:val="bottom"/>
            <w:gridSpan w:val="2"/>
            <w:vMerge w:val="continue"/>
            <w:shd w:val="clear" w:color="auto" w:fill="CFF0FC"/>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180" w:type="dxa"/>
            <w:vAlign w:val="bottom"/>
          </w:tcPr>
          <w:p>
            <w:pPr>
              <w:ind w:left="20"/>
              <w:spacing w:after="0"/>
              <w:rPr>
                <w:sz w:val="20"/>
                <w:szCs w:val="20"/>
                <w:color w:val="auto"/>
              </w:rPr>
            </w:pPr>
            <w:r>
              <w:rPr>
                <w:rFonts w:ascii="Arial" w:cs="Arial" w:eastAsia="Arial" w:hAnsi="Arial"/>
                <w:sz w:val="13"/>
                <w:szCs w:val="13"/>
                <w:color w:val="auto"/>
              </w:rPr>
              <w:t>Exercise of common stock options</w:t>
            </w:r>
          </w:p>
        </w:tc>
        <w:tc>
          <w:tcPr>
            <w:tcW w:w="640" w:type="dxa"/>
            <w:vAlign w:val="bottom"/>
            <w:gridSpan w:val="2"/>
          </w:tcPr>
          <w:p>
            <w:pPr>
              <w:jc w:val="right"/>
              <w:ind w:right="26"/>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62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3"/>
                <w:szCs w:val="13"/>
                <w:color w:val="auto"/>
              </w:rPr>
              <w:t>—</w:t>
            </w:r>
          </w:p>
        </w:tc>
        <w:tc>
          <w:tcPr>
            <w:tcW w:w="460" w:type="dxa"/>
            <w:vAlign w:val="bottom"/>
          </w:tcPr>
          <w:p>
            <w:pPr>
              <w:jc w:val="right"/>
              <w:spacing w:after="0"/>
              <w:rPr>
                <w:sz w:val="20"/>
                <w:szCs w:val="20"/>
                <w:color w:val="auto"/>
              </w:rPr>
            </w:pPr>
            <w:r>
              <w:rPr>
                <w:rFonts w:ascii="Arial" w:cs="Arial" w:eastAsia="Arial" w:hAnsi="Arial"/>
                <w:sz w:val="13"/>
                <w:szCs w:val="13"/>
                <w:color w:val="auto"/>
                <w:w w:val="89"/>
              </w:rPr>
              <w:t>466,211</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ind w:left="80"/>
              <w:spacing w:after="0"/>
              <w:rPr>
                <w:sz w:val="20"/>
                <w:szCs w:val="20"/>
                <w:color w:val="auto"/>
              </w:rPr>
            </w:pPr>
            <w:r>
              <w:rPr>
                <w:rFonts w:ascii="Arial" w:cs="Arial" w:eastAsia="Arial" w:hAnsi="Arial"/>
                <w:sz w:val="13"/>
                <w:szCs w:val="13"/>
                <w:color w:val="auto"/>
                <w:w w:val="91"/>
              </w:rPr>
              <w:t>—</w:t>
            </w:r>
          </w:p>
        </w:tc>
        <w:tc>
          <w:tcPr>
            <w:tcW w:w="40" w:type="dxa"/>
            <w:vAlign w:val="bottom"/>
          </w:tcPr>
          <w:p>
            <w:pPr>
              <w:spacing w:after="0"/>
              <w:rPr>
                <w:sz w:val="12"/>
                <w:szCs w:val="12"/>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240" w:type="dxa"/>
            <w:vAlign w:val="bottom"/>
          </w:tcPr>
          <w:p>
            <w:pPr>
              <w:ind w:left="100"/>
              <w:spacing w:after="0"/>
              <w:rPr>
                <w:sz w:val="20"/>
                <w:szCs w:val="20"/>
                <w:color w:val="auto"/>
              </w:rPr>
            </w:pPr>
            <w:r>
              <w:rPr>
                <w:rFonts w:ascii="Arial" w:cs="Arial" w:eastAsia="Arial" w:hAnsi="Arial"/>
                <w:sz w:val="13"/>
                <w:szCs w:val="13"/>
                <w:color w:val="auto"/>
                <w:w w:val="91"/>
              </w:rPr>
              <w:t>—</w:t>
            </w:r>
          </w:p>
        </w:tc>
        <w:tc>
          <w:tcPr>
            <w:tcW w:w="4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gridSpan w:val="3"/>
          </w:tcPr>
          <w:p>
            <w:pPr>
              <w:ind w:left="120"/>
              <w:spacing w:after="0"/>
              <w:rPr>
                <w:sz w:val="20"/>
                <w:szCs w:val="20"/>
                <w:color w:val="auto"/>
              </w:rPr>
            </w:pPr>
            <w:r>
              <w:rPr>
                <w:rFonts w:ascii="Arial" w:cs="Arial" w:eastAsia="Arial" w:hAnsi="Arial"/>
                <w:sz w:val="13"/>
                <w:szCs w:val="13"/>
                <w:color w:val="auto"/>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563</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720" w:type="dxa"/>
            <w:vAlign w:val="bottom"/>
            <w:gridSpan w:val="3"/>
          </w:tcPr>
          <w:p>
            <w:pPr>
              <w:jc w:val="right"/>
              <w:ind w:right="57"/>
              <w:spacing w:after="0"/>
              <w:rPr>
                <w:sz w:val="20"/>
                <w:szCs w:val="20"/>
                <w:color w:val="auto"/>
              </w:rPr>
            </w:pPr>
            <w:r>
              <w:rPr>
                <w:rFonts w:ascii="Arial" w:cs="Arial" w:eastAsia="Arial" w:hAnsi="Arial"/>
                <w:sz w:val="13"/>
                <w:szCs w:val="13"/>
                <w:color w:val="auto"/>
              </w:rPr>
              <w:t>(45 )</w:t>
            </w:r>
          </w:p>
        </w:tc>
        <w:tc>
          <w:tcPr>
            <w:tcW w:w="580" w:type="dxa"/>
            <w:vAlign w:val="bottom"/>
          </w:tcPr>
          <w:p>
            <w:pPr>
              <w:jc w:val="right"/>
              <w:spacing w:after="0"/>
              <w:rPr>
                <w:sz w:val="20"/>
                <w:szCs w:val="20"/>
                <w:color w:val="auto"/>
              </w:rPr>
            </w:pPr>
            <w:r>
              <w:rPr>
                <w:rFonts w:ascii="Arial" w:cs="Arial" w:eastAsia="Arial" w:hAnsi="Arial"/>
                <w:sz w:val="13"/>
                <w:szCs w:val="13"/>
                <w:color w:val="auto"/>
              </w:rPr>
              <w:t>518</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518</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80" w:type="dxa"/>
            <w:vAlign w:val="bottom"/>
            <w:shd w:val="clear" w:color="auto" w:fill="CFF0FC"/>
          </w:tcPr>
          <w:p>
            <w:pPr>
              <w:ind w:left="20"/>
              <w:spacing w:after="0"/>
              <w:rPr>
                <w:sz w:val="20"/>
                <w:szCs w:val="20"/>
                <w:color w:val="auto"/>
              </w:rPr>
            </w:pPr>
            <w:r>
              <w:rPr>
                <w:rFonts w:ascii="Arial" w:cs="Arial" w:eastAsia="Arial" w:hAnsi="Arial"/>
                <w:sz w:val="13"/>
                <w:szCs w:val="13"/>
                <w:color w:val="auto"/>
              </w:rPr>
              <w:t>Stock based compensation</w:t>
            </w:r>
          </w:p>
        </w:tc>
        <w:tc>
          <w:tcPr>
            <w:tcW w:w="640" w:type="dxa"/>
            <w:vAlign w:val="bottom"/>
            <w:gridSpan w:val="2"/>
            <w:shd w:val="clear" w:color="auto" w:fill="CFF0FC"/>
          </w:tcPr>
          <w:p>
            <w:pPr>
              <w:jc w:val="right"/>
              <w:ind w:right="26"/>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620" w:type="dxa"/>
            <w:vAlign w:val="bottom"/>
            <w:tcBorders>
              <w:right w:val="single" w:sz="8" w:color="auto"/>
            </w:tcBorders>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52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220" w:type="dxa"/>
            <w:vAlign w:val="bottom"/>
            <w:shd w:val="clear" w:color="auto" w:fill="CFF0FC"/>
          </w:tcPr>
          <w:p>
            <w:pPr>
              <w:ind w:left="80"/>
              <w:spacing w:after="0"/>
              <w:rPr>
                <w:sz w:val="20"/>
                <w:szCs w:val="20"/>
                <w:color w:val="auto"/>
              </w:rPr>
            </w:pPr>
            <w:r>
              <w:rPr>
                <w:rFonts w:ascii="Arial" w:cs="Arial" w:eastAsia="Arial" w:hAnsi="Arial"/>
                <w:sz w:val="13"/>
                <w:szCs w:val="13"/>
                <w:color w:val="auto"/>
                <w:w w:val="91"/>
              </w:rPr>
              <w:t>—</w:t>
            </w:r>
          </w:p>
        </w:tc>
        <w:tc>
          <w:tcPr>
            <w:tcW w:w="40" w:type="dxa"/>
            <w:vAlign w:val="bottom"/>
            <w:shd w:val="clear" w:color="auto" w:fill="CFF0FC"/>
          </w:tcPr>
          <w:p>
            <w:pPr>
              <w:spacing w:after="0"/>
              <w:rPr>
                <w:sz w:val="12"/>
                <w:szCs w:val="12"/>
                <w:color w:val="auto"/>
              </w:rPr>
            </w:pPr>
          </w:p>
        </w:tc>
        <w:tc>
          <w:tcPr>
            <w:tcW w:w="70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240" w:type="dxa"/>
            <w:vAlign w:val="bottom"/>
            <w:shd w:val="clear" w:color="auto" w:fill="CFF0FC"/>
          </w:tcPr>
          <w:p>
            <w:pPr>
              <w:ind w:left="100"/>
              <w:spacing w:after="0"/>
              <w:rPr>
                <w:sz w:val="20"/>
                <w:szCs w:val="20"/>
                <w:color w:val="auto"/>
              </w:rPr>
            </w:pPr>
            <w:r>
              <w:rPr>
                <w:rFonts w:ascii="Arial" w:cs="Arial" w:eastAsia="Arial" w:hAnsi="Arial"/>
                <w:sz w:val="13"/>
                <w:szCs w:val="13"/>
                <w:color w:val="auto"/>
                <w:w w:val="91"/>
              </w:rPr>
              <w:t>—</w:t>
            </w:r>
          </w:p>
        </w:tc>
        <w:tc>
          <w:tcPr>
            <w:tcW w:w="4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420" w:type="dxa"/>
            <w:vAlign w:val="bottom"/>
            <w:gridSpan w:val="3"/>
            <w:shd w:val="clear" w:color="auto" w:fill="CFF0FC"/>
          </w:tcPr>
          <w:p>
            <w:pPr>
              <w:ind w:left="120"/>
              <w:spacing w:after="0"/>
              <w:rPr>
                <w:sz w:val="20"/>
                <w:szCs w:val="20"/>
                <w:color w:val="auto"/>
              </w:rPr>
            </w:pPr>
            <w:r>
              <w:rPr>
                <w:rFonts w:ascii="Arial" w:cs="Arial" w:eastAsia="Arial" w:hAnsi="Arial"/>
                <w:sz w:val="13"/>
                <w:szCs w:val="13"/>
                <w:color w:val="auto"/>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1,006</w:t>
            </w:r>
          </w:p>
        </w:tc>
        <w:tc>
          <w:tcPr>
            <w:tcW w:w="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0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2"/>
                <w:szCs w:val="12"/>
                <w:color w:val="auto"/>
              </w:rPr>
            </w:pPr>
          </w:p>
        </w:tc>
        <w:tc>
          <w:tcPr>
            <w:tcW w:w="720" w:type="dxa"/>
            <w:vAlign w:val="bottom"/>
            <w:gridSpan w:val="3"/>
            <w:shd w:val="clear" w:color="auto" w:fill="CFF0FC"/>
          </w:tcPr>
          <w:p>
            <w:pPr>
              <w:jc w:val="right"/>
              <w:ind w:right="117"/>
              <w:spacing w:after="0"/>
              <w:rPr>
                <w:sz w:val="20"/>
                <w:szCs w:val="20"/>
                <w:color w:val="auto"/>
              </w:rPr>
            </w:pPr>
            <w:r>
              <w:rPr>
                <w:rFonts w:ascii="Arial" w:cs="Arial" w:eastAsia="Arial" w:hAnsi="Arial"/>
                <w:sz w:val="13"/>
                <w:szCs w:val="13"/>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1,006</w:t>
            </w:r>
          </w:p>
        </w:tc>
        <w:tc>
          <w:tcPr>
            <w:tcW w:w="60" w:type="dxa"/>
            <w:vAlign w:val="bottom"/>
            <w:tcBorders>
              <w:right w:val="single" w:sz="8" w:color="CFF0FC"/>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8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1,006</w:t>
            </w:r>
          </w:p>
        </w:tc>
        <w:tc>
          <w:tcPr>
            <w:tcW w:w="60" w:type="dxa"/>
            <w:vAlign w:val="bottom"/>
            <w:shd w:val="clear" w:color="auto" w:fill="CFF0FC"/>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80" w:type="dxa"/>
            <w:vAlign w:val="bottom"/>
          </w:tcPr>
          <w:p>
            <w:pPr>
              <w:ind w:left="20"/>
              <w:spacing w:after="0"/>
              <w:rPr>
                <w:sz w:val="20"/>
                <w:szCs w:val="20"/>
                <w:color w:val="auto"/>
              </w:rPr>
            </w:pPr>
            <w:r>
              <w:rPr>
                <w:rFonts w:ascii="Arial" w:cs="Arial" w:eastAsia="Arial" w:hAnsi="Arial"/>
                <w:sz w:val="13"/>
                <w:szCs w:val="13"/>
                <w:color w:val="auto"/>
              </w:rPr>
              <w:t>Comprehensive loss</w:t>
            </w: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80" w:type="dxa"/>
            <w:vAlign w:val="bottom"/>
            <w:shd w:val="clear" w:color="auto" w:fill="CFF0FC"/>
          </w:tcPr>
          <w:p>
            <w:pPr>
              <w:ind w:left="160"/>
              <w:spacing w:after="0"/>
              <w:rPr>
                <w:sz w:val="20"/>
                <w:szCs w:val="20"/>
                <w:color w:val="auto"/>
              </w:rPr>
            </w:pPr>
            <w:r>
              <w:rPr>
                <w:rFonts w:ascii="Arial" w:cs="Arial" w:eastAsia="Arial" w:hAnsi="Arial"/>
                <w:sz w:val="13"/>
                <w:szCs w:val="13"/>
                <w:color w:val="auto"/>
              </w:rPr>
              <w:t>Foreign currency translation</w:t>
            </w:r>
          </w:p>
        </w:tc>
        <w:tc>
          <w:tcPr>
            <w:tcW w:w="640" w:type="dxa"/>
            <w:vAlign w:val="bottom"/>
            <w:gridSpan w:val="2"/>
            <w:shd w:val="clear" w:color="auto" w:fill="CFF0FC"/>
          </w:tcPr>
          <w:p>
            <w:pPr>
              <w:jc w:val="right"/>
              <w:ind w:right="26"/>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620" w:type="dxa"/>
            <w:vAlign w:val="bottom"/>
            <w:tcBorders>
              <w:right w:val="single" w:sz="8" w:color="auto"/>
            </w:tcBorders>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52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220" w:type="dxa"/>
            <w:vAlign w:val="bottom"/>
            <w:shd w:val="clear" w:color="auto" w:fill="CFF0FC"/>
          </w:tcPr>
          <w:p>
            <w:pPr>
              <w:ind w:left="80"/>
              <w:spacing w:after="0"/>
              <w:rPr>
                <w:sz w:val="20"/>
                <w:szCs w:val="20"/>
                <w:color w:val="auto"/>
              </w:rPr>
            </w:pPr>
            <w:r>
              <w:rPr>
                <w:rFonts w:ascii="Arial" w:cs="Arial" w:eastAsia="Arial" w:hAnsi="Arial"/>
                <w:sz w:val="13"/>
                <w:szCs w:val="13"/>
                <w:color w:val="auto"/>
                <w:w w:val="91"/>
              </w:rPr>
              <w:t>—</w:t>
            </w:r>
          </w:p>
        </w:tc>
        <w:tc>
          <w:tcPr>
            <w:tcW w:w="40" w:type="dxa"/>
            <w:vAlign w:val="bottom"/>
            <w:shd w:val="clear" w:color="auto" w:fill="CFF0FC"/>
          </w:tcPr>
          <w:p>
            <w:pPr>
              <w:spacing w:after="0"/>
              <w:rPr>
                <w:sz w:val="12"/>
                <w:szCs w:val="12"/>
                <w:color w:val="auto"/>
              </w:rPr>
            </w:pPr>
          </w:p>
        </w:tc>
        <w:tc>
          <w:tcPr>
            <w:tcW w:w="70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240" w:type="dxa"/>
            <w:vAlign w:val="bottom"/>
            <w:shd w:val="clear" w:color="auto" w:fill="CFF0FC"/>
          </w:tcPr>
          <w:p>
            <w:pPr>
              <w:ind w:left="100"/>
              <w:spacing w:after="0"/>
              <w:rPr>
                <w:sz w:val="20"/>
                <w:szCs w:val="20"/>
                <w:color w:val="auto"/>
              </w:rPr>
            </w:pPr>
            <w:r>
              <w:rPr>
                <w:rFonts w:ascii="Arial" w:cs="Arial" w:eastAsia="Arial" w:hAnsi="Arial"/>
                <w:sz w:val="13"/>
                <w:szCs w:val="13"/>
                <w:color w:val="auto"/>
                <w:w w:val="91"/>
              </w:rPr>
              <w:t>—</w:t>
            </w:r>
          </w:p>
        </w:tc>
        <w:tc>
          <w:tcPr>
            <w:tcW w:w="4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420" w:type="dxa"/>
            <w:vAlign w:val="bottom"/>
            <w:gridSpan w:val="3"/>
            <w:shd w:val="clear" w:color="auto" w:fill="CFF0FC"/>
          </w:tcPr>
          <w:p>
            <w:pPr>
              <w:ind w:left="120"/>
              <w:spacing w:after="0"/>
              <w:rPr>
                <w:sz w:val="20"/>
                <w:szCs w:val="20"/>
                <w:color w:val="auto"/>
              </w:rPr>
            </w:pPr>
            <w:r>
              <w:rPr>
                <w:rFonts w:ascii="Arial" w:cs="Arial" w:eastAsia="Arial" w:hAnsi="Arial"/>
                <w:sz w:val="13"/>
                <w:szCs w:val="13"/>
                <w:color w:val="auto"/>
              </w:rPr>
              <w:t>—</w:t>
            </w:r>
          </w:p>
        </w:tc>
        <w:tc>
          <w:tcPr>
            <w:tcW w:w="60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210</w:t>
            </w: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20" w:type="dxa"/>
            <w:vAlign w:val="bottom"/>
            <w:gridSpan w:val="3"/>
            <w:shd w:val="clear" w:color="auto" w:fill="CFF0FC"/>
          </w:tcPr>
          <w:p>
            <w:pPr>
              <w:jc w:val="right"/>
              <w:ind w:right="117"/>
              <w:spacing w:after="0"/>
              <w:rPr>
                <w:sz w:val="20"/>
                <w:szCs w:val="20"/>
                <w:color w:val="auto"/>
              </w:rPr>
            </w:pPr>
            <w:r>
              <w:rPr>
                <w:rFonts w:ascii="Arial" w:cs="Arial" w:eastAsia="Arial" w:hAnsi="Arial"/>
                <w:sz w:val="13"/>
                <w:szCs w:val="13"/>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210</w:t>
            </w:r>
          </w:p>
        </w:tc>
        <w:tc>
          <w:tcPr>
            <w:tcW w:w="60" w:type="dxa"/>
            <w:vAlign w:val="bottom"/>
            <w:tcBorders>
              <w:right w:val="single" w:sz="8" w:color="CFF0FC"/>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8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210</w:t>
            </w:r>
          </w:p>
        </w:tc>
        <w:tc>
          <w:tcPr>
            <w:tcW w:w="60" w:type="dxa"/>
            <w:vAlign w:val="bottom"/>
            <w:shd w:val="clear" w:color="auto" w:fill="CFF0FC"/>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80" w:type="dxa"/>
            <w:vAlign w:val="bottom"/>
          </w:tcPr>
          <w:p>
            <w:pPr>
              <w:ind w:left="160"/>
              <w:spacing w:after="0"/>
              <w:rPr>
                <w:sz w:val="20"/>
                <w:szCs w:val="20"/>
                <w:color w:val="auto"/>
              </w:rPr>
            </w:pPr>
            <w:r>
              <w:rPr>
                <w:rFonts w:ascii="Arial" w:cs="Arial" w:eastAsia="Arial" w:hAnsi="Arial"/>
                <w:sz w:val="13"/>
                <w:szCs w:val="13"/>
                <w:color w:val="auto"/>
              </w:rPr>
              <w:t>Net loss</w:t>
            </w:r>
          </w:p>
        </w:tc>
        <w:tc>
          <w:tcPr>
            <w:tcW w:w="640" w:type="dxa"/>
            <w:vAlign w:val="bottom"/>
            <w:gridSpan w:val="2"/>
          </w:tcPr>
          <w:p>
            <w:pPr>
              <w:jc w:val="right"/>
              <w:ind w:right="26"/>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62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3"/>
                <w:szCs w:val="13"/>
                <w:color w:val="auto"/>
              </w:rPr>
              <w:t>—</w:t>
            </w:r>
          </w:p>
        </w:tc>
        <w:tc>
          <w:tcPr>
            <w:tcW w:w="52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220" w:type="dxa"/>
            <w:vAlign w:val="bottom"/>
          </w:tcPr>
          <w:p>
            <w:pPr>
              <w:ind w:left="80"/>
              <w:spacing w:after="0"/>
              <w:rPr>
                <w:sz w:val="20"/>
                <w:szCs w:val="20"/>
                <w:color w:val="auto"/>
              </w:rPr>
            </w:pPr>
            <w:r>
              <w:rPr>
                <w:rFonts w:ascii="Arial" w:cs="Arial" w:eastAsia="Arial" w:hAnsi="Arial"/>
                <w:sz w:val="13"/>
                <w:szCs w:val="13"/>
                <w:color w:val="auto"/>
                <w:w w:val="91"/>
              </w:rPr>
              <w:t>—</w:t>
            </w:r>
          </w:p>
        </w:tc>
        <w:tc>
          <w:tcPr>
            <w:tcW w:w="40" w:type="dxa"/>
            <w:vAlign w:val="bottom"/>
          </w:tcPr>
          <w:p>
            <w:pPr>
              <w:spacing w:after="0"/>
              <w:rPr>
                <w:sz w:val="12"/>
                <w:szCs w:val="12"/>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240" w:type="dxa"/>
            <w:vAlign w:val="bottom"/>
          </w:tcPr>
          <w:p>
            <w:pPr>
              <w:ind w:left="100"/>
              <w:spacing w:after="0"/>
              <w:rPr>
                <w:sz w:val="20"/>
                <w:szCs w:val="20"/>
                <w:color w:val="auto"/>
              </w:rPr>
            </w:pPr>
            <w:r>
              <w:rPr>
                <w:rFonts w:ascii="Arial" w:cs="Arial" w:eastAsia="Arial" w:hAnsi="Arial"/>
                <w:sz w:val="13"/>
                <w:szCs w:val="13"/>
                <w:color w:val="auto"/>
                <w:w w:val="91"/>
              </w:rPr>
              <w:t>—</w:t>
            </w:r>
          </w:p>
        </w:tc>
        <w:tc>
          <w:tcPr>
            <w:tcW w:w="4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gridSpan w:val="3"/>
          </w:tcPr>
          <w:p>
            <w:pPr>
              <w:ind w:left="120"/>
              <w:spacing w:after="0"/>
              <w:rPr>
                <w:sz w:val="20"/>
                <w:szCs w:val="20"/>
                <w:color w:val="auto"/>
              </w:rPr>
            </w:pPr>
            <w:r>
              <w:rPr>
                <w:rFonts w:ascii="Arial" w:cs="Arial" w:eastAsia="Arial" w:hAnsi="Arial"/>
                <w:sz w:val="13"/>
                <w:szCs w:val="13"/>
                <w:color w:val="auto"/>
              </w:rPr>
              <w:t>—</w:t>
            </w:r>
          </w:p>
        </w:tc>
        <w:tc>
          <w:tcPr>
            <w:tcW w:w="60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720" w:type="dxa"/>
            <w:vAlign w:val="bottom"/>
            <w:gridSpan w:val="3"/>
          </w:tcPr>
          <w:p>
            <w:pPr>
              <w:jc w:val="right"/>
              <w:ind w:right="57"/>
              <w:spacing w:after="0"/>
              <w:rPr>
                <w:sz w:val="20"/>
                <w:szCs w:val="20"/>
                <w:color w:val="auto"/>
              </w:rPr>
            </w:pPr>
            <w:r>
              <w:rPr>
                <w:rFonts w:ascii="Arial" w:cs="Arial" w:eastAsia="Arial" w:hAnsi="Arial"/>
                <w:sz w:val="13"/>
                <w:szCs w:val="13"/>
                <w:color w:val="auto"/>
              </w:rPr>
              <w:t>(31,085 )</w:t>
            </w:r>
          </w:p>
        </w:tc>
        <w:tc>
          <w:tcPr>
            <w:tcW w:w="640" w:type="dxa"/>
            <w:vAlign w:val="bottom"/>
            <w:gridSpan w:val="2"/>
          </w:tcPr>
          <w:p>
            <w:pPr>
              <w:jc w:val="right"/>
              <w:ind w:right="20"/>
              <w:spacing w:after="0"/>
              <w:rPr>
                <w:sz w:val="20"/>
                <w:szCs w:val="20"/>
                <w:color w:val="auto"/>
              </w:rPr>
            </w:pPr>
            <w:r>
              <w:rPr>
                <w:rFonts w:ascii="Arial" w:cs="Arial" w:eastAsia="Arial" w:hAnsi="Arial"/>
                <w:sz w:val="13"/>
                <w:szCs w:val="13"/>
                <w:color w:val="auto"/>
              </w:rPr>
              <w:t>(31,085 )</w:t>
            </w:r>
          </w:p>
        </w:tc>
        <w:tc>
          <w:tcPr>
            <w:tcW w:w="100" w:type="dxa"/>
            <w:vAlign w:val="bottom"/>
          </w:tcPr>
          <w:p>
            <w:pPr>
              <w:spacing w:after="0"/>
              <w:rPr>
                <w:sz w:val="12"/>
                <w:szCs w:val="12"/>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620" w:type="dxa"/>
            <w:vAlign w:val="bottom"/>
            <w:gridSpan w:val="2"/>
          </w:tcPr>
          <w:p>
            <w:pPr>
              <w:jc w:val="right"/>
              <w:spacing w:after="0"/>
              <w:rPr>
                <w:sz w:val="20"/>
                <w:szCs w:val="20"/>
                <w:color w:val="auto"/>
              </w:rPr>
            </w:pPr>
            <w:r>
              <w:rPr>
                <w:rFonts w:ascii="Arial" w:cs="Arial" w:eastAsia="Arial" w:hAnsi="Arial"/>
                <w:sz w:val="13"/>
                <w:szCs w:val="13"/>
                <w:color w:val="auto"/>
              </w:rPr>
              <w:t>(31,085 )</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180" w:type="dxa"/>
            <w:vAlign w:val="bottom"/>
            <w:tcBorders>
              <w:bottom w:val="single" w:sz="8" w:color="CFF0FC"/>
            </w:tcBorders>
            <w:shd w:val="clear" w:color="auto" w:fill="CFF0FC"/>
          </w:tcPr>
          <w:p>
            <w:pPr>
              <w:ind w:left="20"/>
              <w:spacing w:after="0" w:line="142" w:lineRule="exact"/>
              <w:rPr>
                <w:sz w:val="20"/>
                <w:szCs w:val="20"/>
                <w:color w:val="auto"/>
              </w:rPr>
            </w:pPr>
            <w:r>
              <w:rPr>
                <w:rFonts w:ascii="Arial" w:cs="Arial" w:eastAsia="Arial" w:hAnsi="Arial"/>
                <w:sz w:val="13"/>
                <w:szCs w:val="13"/>
                <w:color w:val="auto"/>
              </w:rPr>
              <w:t>Total comprehensive loss</w:t>
            </w:r>
          </w:p>
        </w:tc>
        <w:tc>
          <w:tcPr>
            <w:tcW w:w="580" w:type="dxa"/>
            <w:vAlign w:val="bottom"/>
            <w:tcBorders>
              <w:bottom w:val="single" w:sz="8" w:color="auto"/>
            </w:tcBorders>
            <w:shd w:val="clear" w:color="auto" w:fill="CFF0FC"/>
          </w:tcPr>
          <w:p>
            <w:pPr>
              <w:spacing w:after="0"/>
              <w:rPr>
                <w:sz w:val="12"/>
                <w:szCs w:val="12"/>
                <w:color w:val="auto"/>
              </w:rPr>
            </w:pPr>
          </w:p>
        </w:tc>
        <w:tc>
          <w:tcPr>
            <w:tcW w:w="6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auto"/>
            </w:tcBorders>
            <w:shd w:val="clear" w:color="auto" w:fill="CFF0FC"/>
          </w:tcPr>
          <w:p>
            <w:pPr>
              <w:spacing w:after="0"/>
              <w:rPr>
                <w:sz w:val="12"/>
                <w:szCs w:val="12"/>
                <w:color w:val="auto"/>
              </w:rPr>
            </w:pPr>
          </w:p>
        </w:tc>
        <w:tc>
          <w:tcPr>
            <w:tcW w:w="500" w:type="dxa"/>
            <w:vAlign w:val="bottom"/>
            <w:tcBorders>
              <w:bottom w:val="single" w:sz="8" w:color="auto"/>
            </w:tcBorders>
            <w:shd w:val="clear" w:color="auto" w:fill="CFF0FC"/>
          </w:tcPr>
          <w:p>
            <w:pPr>
              <w:spacing w:after="0"/>
              <w:rPr>
                <w:sz w:val="12"/>
                <w:szCs w:val="12"/>
                <w:color w:val="auto"/>
              </w:rPr>
            </w:pPr>
          </w:p>
        </w:tc>
        <w:tc>
          <w:tcPr>
            <w:tcW w:w="120" w:type="dxa"/>
            <w:vAlign w:val="bottom"/>
            <w:tcBorders>
              <w:bottom w:val="single" w:sz="8" w:color="CFF0FC"/>
              <w:right w:val="single" w:sz="8" w:color="auto"/>
            </w:tcBorders>
            <w:shd w:val="clear" w:color="auto" w:fill="CFF0FC"/>
          </w:tcPr>
          <w:p>
            <w:pPr>
              <w:spacing w:after="0"/>
              <w:rPr>
                <w:sz w:val="12"/>
                <w:szCs w:val="12"/>
                <w:color w:val="auto"/>
              </w:rPr>
            </w:pPr>
          </w:p>
        </w:tc>
        <w:tc>
          <w:tcPr>
            <w:tcW w:w="460" w:type="dxa"/>
            <w:vAlign w:val="bottom"/>
            <w:tcBorders>
              <w:bottom w:val="single" w:sz="8" w:color="auto"/>
            </w:tcBorders>
            <w:shd w:val="clear" w:color="auto" w:fill="CFF0FC"/>
          </w:tcPr>
          <w:p>
            <w:pPr>
              <w:spacing w:after="0"/>
              <w:rPr>
                <w:sz w:val="12"/>
                <w:szCs w:val="12"/>
                <w:color w:val="auto"/>
              </w:rPr>
            </w:pPr>
          </w:p>
        </w:tc>
        <w:tc>
          <w:tcPr>
            <w:tcW w:w="6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spacing w:after="0"/>
              <w:rPr>
                <w:sz w:val="12"/>
                <w:szCs w:val="12"/>
                <w:color w:val="auto"/>
              </w:rPr>
            </w:pPr>
          </w:p>
        </w:tc>
        <w:tc>
          <w:tcPr>
            <w:tcW w:w="220" w:type="dxa"/>
            <w:vAlign w:val="bottom"/>
            <w:tcBorders>
              <w:bottom w:val="single" w:sz="8" w:color="auto"/>
            </w:tcBorders>
            <w:shd w:val="clear" w:color="auto" w:fill="CFF0FC"/>
          </w:tcPr>
          <w:p>
            <w:pPr>
              <w:spacing w:after="0"/>
              <w:rPr>
                <w:sz w:val="12"/>
                <w:szCs w:val="12"/>
                <w:color w:val="auto"/>
              </w:rPr>
            </w:pPr>
          </w:p>
        </w:tc>
        <w:tc>
          <w:tcPr>
            <w:tcW w:w="40" w:type="dxa"/>
            <w:vAlign w:val="bottom"/>
            <w:tcBorders>
              <w:bottom w:val="single" w:sz="8" w:color="CFF0FC"/>
            </w:tcBorders>
            <w:shd w:val="clear" w:color="auto" w:fill="CFF0FC"/>
          </w:tcPr>
          <w:p>
            <w:pPr>
              <w:spacing w:after="0"/>
              <w:rPr>
                <w:sz w:val="12"/>
                <w:szCs w:val="12"/>
                <w:color w:val="auto"/>
              </w:rPr>
            </w:pPr>
          </w:p>
        </w:tc>
        <w:tc>
          <w:tcPr>
            <w:tcW w:w="660" w:type="dxa"/>
            <w:vAlign w:val="bottom"/>
            <w:tcBorders>
              <w:bottom w:val="single" w:sz="8" w:color="auto"/>
            </w:tcBorders>
            <w:shd w:val="clear" w:color="auto" w:fill="CFF0FC"/>
          </w:tcPr>
          <w:p>
            <w:pPr>
              <w:spacing w:after="0"/>
              <w:rPr>
                <w:sz w:val="12"/>
                <w:szCs w:val="12"/>
                <w:color w:val="auto"/>
              </w:rPr>
            </w:pPr>
          </w:p>
        </w:tc>
        <w:tc>
          <w:tcPr>
            <w:tcW w:w="4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spacing w:after="0"/>
              <w:rPr>
                <w:sz w:val="12"/>
                <w:szCs w:val="12"/>
                <w:color w:val="auto"/>
              </w:rPr>
            </w:pPr>
          </w:p>
        </w:tc>
        <w:tc>
          <w:tcPr>
            <w:tcW w:w="240" w:type="dxa"/>
            <w:vAlign w:val="bottom"/>
            <w:tcBorders>
              <w:bottom w:val="single" w:sz="8" w:color="auto"/>
            </w:tcBorders>
            <w:shd w:val="clear" w:color="auto" w:fill="CFF0FC"/>
          </w:tcPr>
          <w:p>
            <w:pPr>
              <w:spacing w:after="0"/>
              <w:rPr>
                <w:sz w:val="12"/>
                <w:szCs w:val="12"/>
                <w:color w:val="auto"/>
              </w:rPr>
            </w:pPr>
          </w:p>
        </w:tc>
        <w:tc>
          <w:tcPr>
            <w:tcW w:w="40" w:type="dxa"/>
            <w:vAlign w:val="bottom"/>
            <w:tcBorders>
              <w:bottom w:val="single" w:sz="8" w:color="CFF0FC"/>
            </w:tcBorders>
            <w:shd w:val="clear" w:color="auto" w:fill="CFF0FC"/>
          </w:tcPr>
          <w:p>
            <w:pPr>
              <w:spacing w:after="0"/>
              <w:rPr>
                <w:sz w:val="12"/>
                <w:szCs w:val="12"/>
                <w:color w:val="auto"/>
              </w:rPr>
            </w:pPr>
          </w:p>
        </w:tc>
        <w:tc>
          <w:tcPr>
            <w:tcW w:w="600" w:type="dxa"/>
            <w:vAlign w:val="bottom"/>
            <w:tcBorders>
              <w:bottom w:val="single" w:sz="8" w:color="auto"/>
            </w:tcBorders>
            <w:shd w:val="clear" w:color="auto" w:fill="CFF0FC"/>
          </w:tcPr>
          <w:p>
            <w:pPr>
              <w:spacing w:after="0"/>
              <w:rPr>
                <w:sz w:val="12"/>
                <w:szCs w:val="12"/>
                <w:color w:val="auto"/>
              </w:rPr>
            </w:pPr>
          </w:p>
        </w:tc>
        <w:tc>
          <w:tcPr>
            <w:tcW w:w="40" w:type="dxa"/>
            <w:vAlign w:val="bottom"/>
            <w:tcBorders>
              <w:bottom w:val="single" w:sz="8" w:color="CFF0FC"/>
            </w:tcBorders>
            <w:shd w:val="clear" w:color="auto" w:fill="CFF0FC"/>
          </w:tcPr>
          <w:p>
            <w:pPr>
              <w:spacing w:after="0"/>
              <w:rPr>
                <w:sz w:val="12"/>
                <w:szCs w:val="12"/>
                <w:color w:val="auto"/>
              </w:rPr>
            </w:pPr>
          </w:p>
        </w:tc>
        <w:tc>
          <w:tcPr>
            <w:tcW w:w="200" w:type="dxa"/>
            <w:vAlign w:val="bottom"/>
            <w:tcBorders>
              <w:bottom w:val="single" w:sz="8" w:color="auto"/>
            </w:tcBorders>
            <w:shd w:val="clear" w:color="auto" w:fill="CFF0FC"/>
          </w:tcPr>
          <w:p>
            <w:pPr>
              <w:spacing w:after="0"/>
              <w:rPr>
                <w:sz w:val="12"/>
                <w:szCs w:val="12"/>
                <w:color w:val="auto"/>
              </w:rPr>
            </w:pPr>
          </w:p>
        </w:tc>
        <w:tc>
          <w:tcPr>
            <w:tcW w:w="260" w:type="dxa"/>
            <w:vAlign w:val="bottom"/>
            <w:tcBorders>
              <w:bottom w:val="single" w:sz="8" w:color="auto"/>
            </w:tcBorders>
            <w:shd w:val="clear" w:color="auto" w:fill="CFF0FC"/>
          </w:tcPr>
          <w:p>
            <w:pPr>
              <w:spacing w:after="0"/>
              <w:rPr>
                <w:sz w:val="12"/>
                <w:szCs w:val="12"/>
                <w:color w:val="auto"/>
              </w:rPr>
            </w:pPr>
          </w:p>
        </w:tc>
        <w:tc>
          <w:tcPr>
            <w:tcW w:w="4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auto"/>
            </w:tcBorders>
            <w:shd w:val="clear" w:color="auto" w:fill="CFF0FC"/>
          </w:tcPr>
          <w:p>
            <w:pPr>
              <w:spacing w:after="0"/>
              <w:rPr>
                <w:sz w:val="12"/>
                <w:szCs w:val="12"/>
                <w:color w:val="auto"/>
              </w:rPr>
            </w:pPr>
          </w:p>
        </w:tc>
        <w:tc>
          <w:tcPr>
            <w:tcW w:w="540" w:type="dxa"/>
            <w:vAlign w:val="bottom"/>
            <w:tcBorders>
              <w:bottom w:val="single" w:sz="8" w:color="auto"/>
            </w:tcBorders>
            <w:shd w:val="clear" w:color="auto" w:fill="CFF0FC"/>
          </w:tcPr>
          <w:p>
            <w:pPr>
              <w:spacing w:after="0"/>
              <w:rPr>
                <w:sz w:val="12"/>
                <w:szCs w:val="12"/>
                <w:color w:val="auto"/>
              </w:rPr>
            </w:pPr>
          </w:p>
        </w:tc>
        <w:tc>
          <w:tcPr>
            <w:tcW w:w="60" w:type="dxa"/>
            <w:vAlign w:val="bottom"/>
            <w:tcBorders>
              <w:bottom w:val="single" w:sz="8" w:color="CFF0FC"/>
            </w:tcBorders>
            <w:shd w:val="clear" w:color="auto" w:fill="CFF0FC"/>
          </w:tcPr>
          <w:p>
            <w:pPr>
              <w:spacing w:after="0"/>
              <w:rPr>
                <w:sz w:val="12"/>
                <w:szCs w:val="12"/>
                <w:color w:val="auto"/>
              </w:rPr>
            </w:pPr>
          </w:p>
        </w:tc>
        <w:tc>
          <w:tcPr>
            <w:tcW w:w="160" w:type="dxa"/>
            <w:vAlign w:val="bottom"/>
            <w:tcBorders>
              <w:bottom w:val="single" w:sz="8" w:color="auto"/>
            </w:tcBorders>
            <w:shd w:val="clear" w:color="auto" w:fill="CFF0FC"/>
          </w:tcPr>
          <w:p>
            <w:pPr>
              <w:spacing w:after="0"/>
              <w:rPr>
                <w:sz w:val="12"/>
                <w:szCs w:val="12"/>
                <w:color w:val="auto"/>
              </w:rPr>
            </w:pPr>
          </w:p>
        </w:tc>
        <w:tc>
          <w:tcPr>
            <w:tcW w:w="600" w:type="dxa"/>
            <w:vAlign w:val="bottom"/>
            <w:tcBorders>
              <w:bottom w:val="single" w:sz="8" w:color="auto"/>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140" w:type="dxa"/>
            <w:vAlign w:val="bottom"/>
            <w:tcBorders>
              <w:bottom w:val="single" w:sz="8" w:color="auto"/>
            </w:tcBorders>
            <w:shd w:val="clear" w:color="auto" w:fill="CFF0FC"/>
          </w:tcPr>
          <w:p>
            <w:pPr>
              <w:spacing w:after="0"/>
              <w:rPr>
                <w:sz w:val="12"/>
                <w:szCs w:val="12"/>
                <w:color w:val="auto"/>
              </w:rPr>
            </w:pPr>
          </w:p>
        </w:tc>
        <w:tc>
          <w:tcPr>
            <w:tcW w:w="560" w:type="dxa"/>
            <w:vAlign w:val="bottom"/>
            <w:tcBorders>
              <w:bottom w:val="single" w:sz="8" w:color="auto"/>
            </w:tcBorders>
            <w:shd w:val="clear" w:color="auto" w:fill="CFF0FC"/>
          </w:tcPr>
          <w:p>
            <w:pPr>
              <w:spacing w:after="0"/>
              <w:rPr>
                <w:sz w:val="12"/>
                <w:szCs w:val="12"/>
                <w:color w:val="auto"/>
              </w:rPr>
            </w:pPr>
          </w:p>
        </w:tc>
        <w:tc>
          <w:tcPr>
            <w:tcW w:w="4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auto"/>
            </w:tcBorders>
            <w:shd w:val="clear" w:color="auto" w:fill="CFF0FC"/>
          </w:tcPr>
          <w:p>
            <w:pPr>
              <w:spacing w:after="0"/>
              <w:rPr>
                <w:sz w:val="12"/>
                <w:szCs w:val="12"/>
                <w:color w:val="auto"/>
              </w:rPr>
            </w:pPr>
          </w:p>
        </w:tc>
        <w:tc>
          <w:tcPr>
            <w:tcW w:w="580" w:type="dxa"/>
            <w:vAlign w:val="bottom"/>
            <w:tcBorders>
              <w:bottom w:val="single" w:sz="8" w:color="auto"/>
            </w:tcBorders>
            <w:shd w:val="clear" w:color="auto" w:fill="CFF0FC"/>
          </w:tcPr>
          <w:p>
            <w:pPr>
              <w:spacing w:after="0"/>
              <w:rPr>
                <w:sz w:val="12"/>
                <w:szCs w:val="12"/>
                <w:color w:val="auto"/>
              </w:rPr>
            </w:pPr>
          </w:p>
        </w:tc>
        <w:tc>
          <w:tcPr>
            <w:tcW w:w="60" w:type="dxa"/>
            <w:vAlign w:val="bottom"/>
            <w:tcBorders>
              <w:bottom w:val="single" w:sz="8" w:color="CFF0FC"/>
              <w:right w:val="single" w:sz="8" w:color="CFF0FC"/>
            </w:tcBorders>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spacing w:after="0"/>
              <w:rPr>
                <w:sz w:val="12"/>
                <w:szCs w:val="12"/>
                <w:color w:val="auto"/>
              </w:rPr>
            </w:pPr>
          </w:p>
        </w:tc>
        <w:tc>
          <w:tcPr>
            <w:tcW w:w="520" w:type="dxa"/>
            <w:vAlign w:val="bottom"/>
            <w:tcBorders>
              <w:bottom w:val="single" w:sz="8" w:color="auto"/>
            </w:tcBorders>
            <w:shd w:val="clear" w:color="auto" w:fill="CFF0FC"/>
          </w:tcPr>
          <w:p>
            <w:pPr>
              <w:spacing w:after="0"/>
              <w:rPr>
                <w:sz w:val="12"/>
                <w:szCs w:val="12"/>
                <w:color w:val="auto"/>
              </w:rPr>
            </w:pPr>
          </w:p>
        </w:tc>
        <w:tc>
          <w:tcPr>
            <w:tcW w:w="16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top w:val="single" w:sz="8" w:color="auto"/>
              <w:bottom w:val="single" w:sz="8" w:color="auto"/>
            </w:tcBorders>
            <w:shd w:val="clear" w:color="auto" w:fill="CFF0FC"/>
          </w:tcPr>
          <w:p>
            <w:pPr>
              <w:spacing w:after="0"/>
              <w:rPr>
                <w:sz w:val="12"/>
                <w:szCs w:val="12"/>
                <w:color w:val="auto"/>
              </w:rPr>
            </w:pPr>
          </w:p>
        </w:tc>
        <w:tc>
          <w:tcPr>
            <w:tcW w:w="56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(30,875</w:t>
            </w:r>
          </w:p>
        </w:tc>
        <w:tc>
          <w:tcPr>
            <w:tcW w:w="60" w:type="dxa"/>
            <w:vAlign w:val="bottom"/>
            <w:tcBorders>
              <w:bottom w:val="single" w:sz="8" w:color="CFF0FC"/>
            </w:tcBorders>
            <w:shd w:val="clear" w:color="auto" w:fill="CFF0FC"/>
          </w:tcPr>
          <w:p>
            <w:pPr>
              <w:jc w:val="right"/>
              <w:spacing w:after="0" w:line="142" w:lineRule="exact"/>
              <w:rPr>
                <w:sz w:val="20"/>
                <w:szCs w:val="20"/>
                <w:color w:val="auto"/>
              </w:rPr>
            </w:pPr>
            <w:r>
              <w:rPr>
                <w:rFonts w:ascii="Arial" w:cs="Arial" w:eastAsia="Arial" w:hAnsi="Arial"/>
                <w:sz w:val="13"/>
                <w:szCs w:val="13"/>
                <w:color w:val="auto"/>
                <w:w w:val="91"/>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2"/>
        </w:trPr>
        <w:tc>
          <w:tcPr>
            <w:tcW w:w="2180" w:type="dxa"/>
            <w:vAlign w:val="bottom"/>
            <w:vMerge w:val="restart"/>
          </w:tcPr>
          <w:p>
            <w:pPr>
              <w:ind w:left="20"/>
              <w:spacing w:after="0"/>
              <w:rPr>
                <w:sz w:val="20"/>
                <w:szCs w:val="20"/>
                <w:color w:val="auto"/>
              </w:rPr>
            </w:pPr>
            <w:r>
              <w:rPr>
                <w:rFonts w:ascii="Arial" w:cs="Arial" w:eastAsia="Arial" w:hAnsi="Arial"/>
                <w:sz w:val="13"/>
                <w:szCs w:val="13"/>
                <w:color w:val="auto"/>
              </w:rPr>
              <w:t>Balance, December 31, 2020</w:t>
            </w:r>
          </w:p>
        </w:tc>
        <w:tc>
          <w:tcPr>
            <w:tcW w:w="580" w:type="dxa"/>
            <w:vAlign w:val="bottom"/>
          </w:tcPr>
          <w:p>
            <w:pPr>
              <w:jc w:val="right"/>
              <w:spacing w:after="0" w:line="102" w:lineRule="exact"/>
              <w:rPr>
                <w:sz w:val="20"/>
                <w:szCs w:val="20"/>
                <w:color w:val="auto"/>
              </w:rPr>
            </w:pPr>
            <w:r>
              <w:rPr>
                <w:rFonts w:ascii="Arial" w:cs="Arial" w:eastAsia="Arial" w:hAnsi="Arial"/>
                <w:sz w:val="10"/>
                <w:szCs w:val="10"/>
                <w:color w:val="auto"/>
              </w:rPr>
              <w:t>27,758,9</w:t>
            </w: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vMerge w:val="restart"/>
          </w:tcPr>
          <w:p>
            <w:pPr>
              <w:jc w:val="right"/>
              <w:spacing w:after="0"/>
              <w:rPr>
                <w:sz w:val="20"/>
                <w:szCs w:val="20"/>
                <w:color w:val="auto"/>
              </w:rPr>
            </w:pPr>
            <w:r>
              <w:rPr>
                <w:rFonts w:ascii="Arial" w:cs="Arial" w:eastAsia="Arial" w:hAnsi="Arial"/>
                <w:sz w:val="13"/>
                <w:szCs w:val="13"/>
                <w:color w:val="auto"/>
                <w:w w:val="97"/>
              </w:rPr>
              <w:t>160,713</w:t>
            </w:r>
          </w:p>
        </w:tc>
        <w:tc>
          <w:tcPr>
            <w:tcW w:w="120" w:type="dxa"/>
            <w:vAlign w:val="bottom"/>
            <w:tcBorders>
              <w:right w:val="single" w:sz="8" w:color="auto"/>
            </w:tcBorders>
          </w:tcPr>
          <w:p>
            <w:pPr>
              <w:spacing w:after="0"/>
              <w:rPr>
                <w:sz w:val="8"/>
                <w:szCs w:val="8"/>
                <w:color w:val="auto"/>
              </w:rPr>
            </w:pPr>
          </w:p>
        </w:tc>
        <w:tc>
          <w:tcPr>
            <w:tcW w:w="460" w:type="dxa"/>
            <w:vAlign w:val="bottom"/>
          </w:tcPr>
          <w:p>
            <w:pPr>
              <w:jc w:val="right"/>
              <w:spacing w:after="0" w:line="102" w:lineRule="exact"/>
              <w:rPr>
                <w:sz w:val="20"/>
                <w:szCs w:val="20"/>
                <w:color w:val="auto"/>
              </w:rPr>
            </w:pPr>
            <w:r>
              <w:rPr>
                <w:rFonts w:ascii="Arial" w:cs="Arial" w:eastAsia="Arial" w:hAnsi="Arial"/>
                <w:sz w:val="10"/>
                <w:szCs w:val="10"/>
                <w:color w:val="auto"/>
              </w:rPr>
              <w:t>7,755,7</w:t>
            </w: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vMerge w:val="restart"/>
          </w:tcPr>
          <w:p>
            <w:pPr>
              <w:ind w:left="80"/>
              <w:spacing w:after="0"/>
              <w:rPr>
                <w:sz w:val="20"/>
                <w:szCs w:val="20"/>
                <w:color w:val="auto"/>
              </w:rPr>
            </w:pPr>
            <w:r>
              <w:rPr>
                <w:rFonts w:ascii="Arial" w:cs="Arial" w:eastAsia="Arial" w:hAnsi="Arial"/>
                <w:sz w:val="13"/>
                <w:szCs w:val="13"/>
                <w:color w:val="auto"/>
                <w:w w:val="91"/>
              </w:rPr>
              <w:t>—</w:t>
            </w:r>
          </w:p>
        </w:tc>
        <w:tc>
          <w:tcPr>
            <w:tcW w:w="40" w:type="dxa"/>
            <w:vAlign w:val="bottom"/>
          </w:tcPr>
          <w:p>
            <w:pPr>
              <w:spacing w:after="0"/>
              <w:rPr>
                <w:sz w:val="8"/>
                <w:szCs w:val="8"/>
                <w:color w:val="auto"/>
              </w:rPr>
            </w:pPr>
          </w:p>
        </w:tc>
        <w:tc>
          <w:tcPr>
            <w:tcW w:w="700" w:type="dxa"/>
            <w:vAlign w:val="bottom"/>
            <w:gridSpan w:val="2"/>
            <w:vMerge w:val="restart"/>
          </w:tcPr>
          <w:p>
            <w:pPr>
              <w:jc w:val="right"/>
              <w:ind w:right="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8"/>
                <w:szCs w:val="8"/>
                <w:color w:val="auto"/>
              </w:rPr>
            </w:pPr>
          </w:p>
        </w:tc>
        <w:tc>
          <w:tcPr>
            <w:tcW w:w="240" w:type="dxa"/>
            <w:vAlign w:val="bottom"/>
            <w:vMerge w:val="restart"/>
          </w:tcPr>
          <w:p>
            <w:pPr>
              <w:ind w:left="100"/>
              <w:spacing w:after="0"/>
              <w:rPr>
                <w:sz w:val="20"/>
                <w:szCs w:val="20"/>
                <w:color w:val="auto"/>
              </w:rPr>
            </w:pPr>
            <w:r>
              <w:rPr>
                <w:rFonts w:ascii="Arial" w:cs="Arial" w:eastAsia="Arial" w:hAnsi="Arial"/>
                <w:sz w:val="13"/>
                <w:szCs w:val="13"/>
                <w:color w:val="auto"/>
                <w:w w:val="91"/>
              </w:rPr>
              <w:t>—</w:t>
            </w:r>
          </w:p>
        </w:tc>
        <w:tc>
          <w:tcPr>
            <w:tcW w:w="40" w:type="dxa"/>
            <w:vAlign w:val="bottom"/>
          </w:tcPr>
          <w:p>
            <w:pPr>
              <w:spacing w:after="0"/>
              <w:rPr>
                <w:sz w:val="8"/>
                <w:szCs w:val="8"/>
                <w:color w:val="auto"/>
              </w:rPr>
            </w:pPr>
          </w:p>
        </w:tc>
        <w:tc>
          <w:tcPr>
            <w:tcW w:w="6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8"/>
                <w:szCs w:val="8"/>
                <w:color w:val="auto"/>
              </w:rPr>
            </w:pPr>
          </w:p>
        </w:tc>
        <w:tc>
          <w:tcPr>
            <w:tcW w:w="200" w:type="dxa"/>
            <w:vAlign w:val="bottom"/>
          </w:tcPr>
          <w:p>
            <w:pPr>
              <w:spacing w:after="0"/>
              <w:rPr>
                <w:sz w:val="8"/>
                <w:szCs w:val="8"/>
                <w:color w:val="auto"/>
              </w:rPr>
            </w:pPr>
          </w:p>
        </w:tc>
        <w:tc>
          <w:tcPr>
            <w:tcW w:w="420" w:type="dxa"/>
            <w:vAlign w:val="bottom"/>
            <w:gridSpan w:val="3"/>
            <w:vMerge w:val="restart"/>
          </w:tcPr>
          <w:p>
            <w:pPr>
              <w:ind w:left="120"/>
              <w:spacing w:after="0"/>
              <w:rPr>
                <w:sz w:val="20"/>
                <w:szCs w:val="20"/>
                <w:color w:val="auto"/>
              </w:rPr>
            </w:pPr>
            <w:r>
              <w:rPr>
                <w:rFonts w:ascii="Arial" w:cs="Arial" w:eastAsia="Arial" w:hAnsi="Arial"/>
                <w:sz w:val="13"/>
                <w:szCs w:val="13"/>
                <w:color w:val="auto"/>
              </w:rPr>
              <w:t>—</w:t>
            </w:r>
          </w:p>
        </w:tc>
        <w:tc>
          <w:tcPr>
            <w:tcW w:w="540" w:type="dxa"/>
            <w:vAlign w:val="bottom"/>
            <w:vMerge w:val="restart"/>
          </w:tcPr>
          <w:p>
            <w:pPr>
              <w:jc w:val="right"/>
              <w:spacing w:after="0"/>
              <w:rPr>
                <w:sz w:val="20"/>
                <w:szCs w:val="20"/>
                <w:color w:val="auto"/>
              </w:rPr>
            </w:pPr>
            <w:r>
              <w:rPr>
                <w:rFonts w:ascii="Arial" w:cs="Arial" w:eastAsia="Arial" w:hAnsi="Arial"/>
                <w:sz w:val="13"/>
                <w:szCs w:val="13"/>
                <w:color w:val="auto"/>
              </w:rPr>
              <w:t>503</w:t>
            </w: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vMerge w:val="restart"/>
          </w:tcPr>
          <w:p>
            <w:pPr>
              <w:jc w:val="right"/>
              <w:spacing w:after="0"/>
              <w:rPr>
                <w:sz w:val="20"/>
                <w:szCs w:val="20"/>
                <w:color w:val="auto"/>
              </w:rPr>
            </w:pPr>
            <w:r>
              <w:rPr>
                <w:rFonts w:ascii="Arial" w:cs="Arial" w:eastAsia="Arial" w:hAnsi="Arial"/>
                <w:sz w:val="13"/>
                <w:szCs w:val="13"/>
                <w:color w:val="auto"/>
              </w:rPr>
              <w:t>210</w:t>
            </w: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20" w:type="dxa"/>
            <w:vAlign w:val="bottom"/>
            <w:gridSpan w:val="3"/>
            <w:vMerge w:val="restart"/>
          </w:tcPr>
          <w:p>
            <w:pPr>
              <w:jc w:val="right"/>
              <w:ind w:right="57"/>
              <w:spacing w:after="0"/>
              <w:rPr>
                <w:sz w:val="20"/>
                <w:szCs w:val="20"/>
                <w:color w:val="auto"/>
              </w:rPr>
            </w:pPr>
            <w:r>
              <w:rPr>
                <w:rFonts w:ascii="Arial" w:cs="Arial" w:eastAsia="Arial" w:hAnsi="Arial"/>
                <w:sz w:val="13"/>
                <w:szCs w:val="13"/>
                <w:color w:val="auto"/>
                <w:w w:val="97"/>
              </w:rPr>
              <w:t>(111,962 )</w:t>
            </w:r>
          </w:p>
        </w:tc>
        <w:tc>
          <w:tcPr>
            <w:tcW w:w="640" w:type="dxa"/>
            <w:vAlign w:val="bottom"/>
            <w:gridSpan w:val="2"/>
            <w:vMerge w:val="restart"/>
          </w:tcPr>
          <w:p>
            <w:pPr>
              <w:jc w:val="right"/>
              <w:ind w:right="20"/>
              <w:spacing w:after="0"/>
              <w:rPr>
                <w:sz w:val="20"/>
                <w:szCs w:val="20"/>
                <w:color w:val="auto"/>
              </w:rPr>
            </w:pPr>
            <w:r>
              <w:rPr>
                <w:rFonts w:ascii="Arial" w:cs="Arial" w:eastAsia="Arial" w:hAnsi="Arial"/>
                <w:sz w:val="13"/>
                <w:szCs w:val="13"/>
                <w:color w:val="auto"/>
              </w:rPr>
              <w:t>(111,249 )</w:t>
            </w:r>
          </w:p>
        </w:tc>
        <w:tc>
          <w:tcPr>
            <w:tcW w:w="100" w:type="dxa"/>
            <w:vAlign w:val="bottom"/>
          </w:tcPr>
          <w:p>
            <w:pPr>
              <w:spacing w:after="0"/>
              <w:rPr>
                <w:sz w:val="8"/>
                <w:szCs w:val="8"/>
                <w:color w:val="auto"/>
              </w:rPr>
            </w:pPr>
          </w:p>
        </w:tc>
        <w:tc>
          <w:tcPr>
            <w:tcW w:w="68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8"/>
                <w:szCs w:val="8"/>
                <w:color w:val="auto"/>
              </w:rPr>
            </w:pPr>
          </w:p>
        </w:tc>
        <w:tc>
          <w:tcPr>
            <w:tcW w:w="640" w:type="dxa"/>
            <w:vAlign w:val="bottom"/>
            <w:gridSpan w:val="3"/>
            <w:vMerge w:val="restart"/>
          </w:tcPr>
          <w:p>
            <w:pPr>
              <w:jc w:val="right"/>
              <w:ind w:right="20"/>
              <w:spacing w:after="0"/>
              <w:rPr>
                <w:sz w:val="20"/>
                <w:szCs w:val="20"/>
                <w:color w:val="auto"/>
              </w:rPr>
            </w:pPr>
            <w:r>
              <w:rPr>
                <w:rFonts w:ascii="Arial" w:cs="Arial" w:eastAsia="Arial" w:hAnsi="Arial"/>
                <w:sz w:val="13"/>
                <w:szCs w:val="13"/>
                <w:color w:val="auto"/>
              </w:rPr>
              <w:t>(111,249 )</w:t>
            </w:r>
          </w:p>
        </w:tc>
        <w:tc>
          <w:tcPr>
            <w:tcW w:w="0" w:type="dxa"/>
            <w:vAlign w:val="bottom"/>
          </w:tcPr>
          <w:p>
            <w:pPr>
              <w:spacing w:after="0"/>
              <w:rPr>
                <w:sz w:val="1"/>
                <w:szCs w:val="1"/>
                <w:color w:val="auto"/>
              </w:rPr>
            </w:pPr>
          </w:p>
        </w:tc>
      </w:tr>
      <w:tr>
        <w:trPr>
          <w:trHeight w:val="161"/>
        </w:trPr>
        <w:tc>
          <w:tcPr>
            <w:tcW w:w="2180" w:type="dxa"/>
            <w:vAlign w:val="bottom"/>
            <w:vMerge w:val="continue"/>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41</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82</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20" w:type="dxa"/>
            <w:vAlign w:val="bottom"/>
            <w:gridSpan w:val="3"/>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gridSpan w:val="3"/>
            <w:vMerge w:val="continue"/>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09"/>
        </w:trPr>
        <w:tc>
          <w:tcPr>
            <w:tcW w:w="2180" w:type="dxa"/>
            <w:vAlign w:val="bottom"/>
            <w:shd w:val="clear" w:color="auto" w:fill="CFF0FC"/>
          </w:tcPr>
          <w:p>
            <w:pPr>
              <w:ind w:left="20"/>
              <w:spacing w:after="0" w:line="109" w:lineRule="exact"/>
              <w:rPr>
                <w:sz w:val="20"/>
                <w:szCs w:val="20"/>
                <w:color w:val="auto"/>
              </w:rPr>
            </w:pPr>
            <w:r>
              <w:rPr>
                <w:rFonts w:ascii="Arial" w:cs="Arial" w:eastAsia="Arial" w:hAnsi="Arial"/>
                <w:sz w:val="12"/>
                <w:szCs w:val="12"/>
                <w:color w:val="auto"/>
                <w:w w:val="97"/>
              </w:rPr>
              <w:t>Conversion of convertible preferred stock</w:t>
            </w:r>
          </w:p>
        </w:tc>
        <w:tc>
          <w:tcPr>
            <w:tcW w:w="58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w w:val="98"/>
              </w:rPr>
              <w:t>(27,758,9</w:t>
            </w:r>
          </w:p>
        </w:tc>
        <w:tc>
          <w:tcPr>
            <w:tcW w:w="6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500" w:type="dxa"/>
            <w:vAlign w:val="bottom"/>
            <w:shd w:val="clear" w:color="auto" w:fill="CFF0FC"/>
          </w:tcPr>
          <w:p>
            <w:pPr>
              <w:spacing w:after="0"/>
              <w:rPr>
                <w:sz w:val="9"/>
                <w:szCs w:val="9"/>
                <w:color w:val="auto"/>
              </w:rPr>
            </w:pPr>
          </w:p>
        </w:tc>
        <w:tc>
          <w:tcPr>
            <w:tcW w:w="120" w:type="dxa"/>
            <w:vAlign w:val="bottom"/>
            <w:tcBorders>
              <w:right w:val="single" w:sz="8" w:color="auto"/>
            </w:tcBorders>
            <w:shd w:val="clear" w:color="auto" w:fill="CFF0FC"/>
          </w:tcPr>
          <w:p>
            <w:pPr>
              <w:spacing w:after="0"/>
              <w:rPr>
                <w:sz w:val="9"/>
                <w:szCs w:val="9"/>
                <w:color w:val="auto"/>
              </w:rPr>
            </w:pPr>
          </w:p>
        </w:tc>
        <w:tc>
          <w:tcPr>
            <w:tcW w:w="46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660" w:type="dxa"/>
            <w:vAlign w:val="bottom"/>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600" w:type="dxa"/>
            <w:vAlign w:val="bottom"/>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54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6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560" w:type="dxa"/>
            <w:vAlign w:val="bottom"/>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580" w:type="dxa"/>
            <w:vAlign w:val="bottom"/>
            <w:shd w:val="clear" w:color="auto" w:fill="CFF0FC"/>
          </w:tcPr>
          <w:p>
            <w:pPr>
              <w:spacing w:after="0"/>
              <w:rPr>
                <w:sz w:val="9"/>
                <w:szCs w:val="9"/>
                <w:color w:val="auto"/>
              </w:rPr>
            </w:pPr>
          </w:p>
        </w:tc>
        <w:tc>
          <w:tcPr>
            <w:tcW w:w="60" w:type="dxa"/>
            <w:vAlign w:val="bottom"/>
            <w:tcBorders>
              <w:right w:val="single" w:sz="8" w:color="CFF0FC"/>
            </w:tcBorders>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52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56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180" w:type="dxa"/>
            <w:vAlign w:val="bottom"/>
            <w:shd w:val="clear" w:color="auto" w:fill="CFF0FC"/>
          </w:tcPr>
          <w:p>
            <w:pPr>
              <w:ind w:left="20"/>
              <w:spacing w:after="0" w:line="122" w:lineRule="exact"/>
              <w:rPr>
                <w:sz w:val="20"/>
                <w:szCs w:val="20"/>
                <w:color w:val="auto"/>
              </w:rPr>
            </w:pPr>
            <w:r>
              <w:rPr>
                <w:rFonts w:ascii="Arial" w:cs="Arial" w:eastAsia="Arial" w:hAnsi="Arial"/>
                <w:sz w:val="13"/>
                <w:szCs w:val="13"/>
                <w:color w:val="auto"/>
              </w:rPr>
              <w:t>in connection with the initial public</w:t>
            </w:r>
          </w:p>
        </w:tc>
        <w:tc>
          <w:tcPr>
            <w:tcW w:w="580" w:type="dxa"/>
            <w:vAlign w:val="bottom"/>
            <w:vMerge w:val="continue"/>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20" w:type="dxa"/>
            <w:vAlign w:val="bottom"/>
            <w:tcBorders>
              <w:right w:val="single" w:sz="8" w:color="auto"/>
            </w:tcBorders>
            <w:gridSpan w:val="2"/>
            <w:vMerge w:val="restart"/>
            <w:shd w:val="clear" w:color="auto" w:fill="CFF0FC"/>
          </w:tcPr>
          <w:p>
            <w:pPr>
              <w:jc w:val="right"/>
              <w:ind w:right="60"/>
              <w:spacing w:after="0"/>
              <w:rPr>
                <w:sz w:val="20"/>
                <w:szCs w:val="20"/>
                <w:color w:val="auto"/>
              </w:rPr>
            </w:pPr>
            <w:r>
              <w:rPr>
                <w:rFonts w:ascii="Arial" w:cs="Arial" w:eastAsia="Arial" w:hAnsi="Arial"/>
                <w:sz w:val="13"/>
                <w:szCs w:val="13"/>
                <w:color w:val="auto"/>
                <w:w w:val="91"/>
              </w:rPr>
              <w:t>(160,713 )</w:t>
            </w:r>
          </w:p>
        </w:tc>
        <w:tc>
          <w:tcPr>
            <w:tcW w:w="520" w:type="dxa"/>
            <w:vAlign w:val="bottom"/>
            <w:gridSpan w:val="2"/>
            <w:vMerge w:val="restart"/>
            <w:shd w:val="clear" w:color="auto" w:fill="CFF0FC"/>
          </w:tcPr>
          <w:p>
            <w:pPr>
              <w:jc w:val="right"/>
              <w:ind w:right="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0"/>
                <w:szCs w:val="10"/>
                <w:color w:val="auto"/>
              </w:rPr>
            </w:pPr>
          </w:p>
        </w:tc>
        <w:tc>
          <w:tcPr>
            <w:tcW w:w="220" w:type="dxa"/>
            <w:vAlign w:val="bottom"/>
            <w:vMerge w:val="restart"/>
            <w:shd w:val="clear" w:color="auto" w:fill="CFF0FC"/>
          </w:tcPr>
          <w:p>
            <w:pPr>
              <w:ind w:left="80"/>
              <w:spacing w:after="0"/>
              <w:rPr>
                <w:sz w:val="20"/>
                <w:szCs w:val="20"/>
                <w:color w:val="auto"/>
              </w:rPr>
            </w:pPr>
            <w:r>
              <w:rPr>
                <w:rFonts w:ascii="Arial" w:cs="Arial" w:eastAsia="Arial" w:hAnsi="Arial"/>
                <w:sz w:val="13"/>
                <w:szCs w:val="13"/>
                <w:color w:val="auto"/>
                <w:w w:val="91"/>
              </w:rPr>
              <w:t>—</w:t>
            </w:r>
          </w:p>
        </w:tc>
        <w:tc>
          <w:tcPr>
            <w:tcW w:w="700" w:type="dxa"/>
            <w:vAlign w:val="bottom"/>
            <w:gridSpan w:val="2"/>
            <w:vMerge w:val="restart"/>
            <w:shd w:val="clear" w:color="auto" w:fill="CFF0FC"/>
          </w:tcPr>
          <w:p>
            <w:pPr>
              <w:jc w:val="right"/>
              <w:spacing w:after="0"/>
              <w:rPr>
                <w:sz w:val="20"/>
                <w:szCs w:val="20"/>
                <w:color w:val="auto"/>
              </w:rPr>
            </w:pPr>
            <w:r>
              <w:rPr>
                <w:rFonts w:ascii="Arial" w:cs="Arial" w:eastAsia="Arial" w:hAnsi="Arial"/>
                <w:sz w:val="13"/>
                <w:szCs w:val="13"/>
                <w:color w:val="auto"/>
              </w:rPr>
              <w:t>27,351,633</w:t>
            </w:r>
          </w:p>
        </w:tc>
        <w:tc>
          <w:tcPr>
            <w:tcW w:w="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40" w:type="dxa"/>
            <w:vAlign w:val="bottom"/>
            <w:vMerge w:val="restart"/>
            <w:shd w:val="clear" w:color="auto" w:fill="CFF0FC"/>
          </w:tcPr>
          <w:p>
            <w:pPr>
              <w:ind w:left="100"/>
              <w:spacing w:after="0"/>
              <w:rPr>
                <w:sz w:val="20"/>
                <w:szCs w:val="20"/>
                <w:color w:val="auto"/>
              </w:rPr>
            </w:pPr>
            <w:r>
              <w:rPr>
                <w:rFonts w:ascii="Arial" w:cs="Arial" w:eastAsia="Arial" w:hAnsi="Arial"/>
                <w:sz w:val="13"/>
                <w:szCs w:val="13"/>
                <w:color w:val="auto"/>
                <w:w w:val="91"/>
              </w:rPr>
              <w:t>—</w:t>
            </w:r>
          </w:p>
        </w:tc>
        <w:tc>
          <w:tcPr>
            <w:tcW w:w="640" w:type="dxa"/>
            <w:vAlign w:val="bottom"/>
            <w:gridSpan w:val="2"/>
            <w:vMerge w:val="restart"/>
            <w:shd w:val="clear" w:color="auto" w:fill="CFF0FC"/>
          </w:tcPr>
          <w:p>
            <w:pPr>
              <w:jc w:val="right"/>
              <w:spacing w:after="0"/>
              <w:rPr>
                <w:sz w:val="20"/>
                <w:szCs w:val="20"/>
                <w:color w:val="auto"/>
              </w:rPr>
            </w:pPr>
            <w:r>
              <w:rPr>
                <w:rFonts w:ascii="Arial" w:cs="Arial" w:eastAsia="Arial" w:hAnsi="Arial"/>
                <w:sz w:val="13"/>
                <w:szCs w:val="13"/>
                <w:color w:val="auto"/>
              </w:rPr>
              <w:t>407,308</w:t>
            </w:r>
          </w:p>
        </w:tc>
        <w:tc>
          <w:tcPr>
            <w:tcW w:w="4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420" w:type="dxa"/>
            <w:vAlign w:val="bottom"/>
            <w:gridSpan w:val="3"/>
            <w:vMerge w:val="restart"/>
            <w:shd w:val="clear" w:color="auto" w:fill="CFF0FC"/>
          </w:tcPr>
          <w:p>
            <w:pPr>
              <w:ind w:left="120"/>
              <w:spacing w:after="0"/>
              <w:rPr>
                <w:sz w:val="20"/>
                <w:szCs w:val="20"/>
                <w:color w:val="auto"/>
              </w:rPr>
            </w:pPr>
            <w:r>
              <w:rPr>
                <w:rFonts w:ascii="Arial" w:cs="Arial" w:eastAsia="Arial" w:hAnsi="Arial"/>
                <w:sz w:val="13"/>
                <w:szCs w:val="13"/>
                <w:color w:val="auto"/>
              </w:rPr>
              <w:t>—</w:t>
            </w:r>
          </w:p>
        </w:tc>
        <w:tc>
          <w:tcPr>
            <w:tcW w:w="54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160,713</w:t>
            </w:r>
          </w:p>
        </w:tc>
        <w:tc>
          <w:tcPr>
            <w:tcW w:w="6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700" w:type="dxa"/>
            <w:vAlign w:val="bottom"/>
            <w:gridSpan w:val="2"/>
            <w:vMerge w:val="restart"/>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0"/>
                <w:szCs w:val="10"/>
                <w:color w:val="auto"/>
              </w:rPr>
            </w:pPr>
          </w:p>
        </w:tc>
        <w:tc>
          <w:tcPr>
            <w:tcW w:w="720" w:type="dxa"/>
            <w:vAlign w:val="bottom"/>
            <w:gridSpan w:val="3"/>
            <w:vMerge w:val="restart"/>
            <w:shd w:val="clear" w:color="auto" w:fill="CFF0FC"/>
          </w:tcPr>
          <w:p>
            <w:pPr>
              <w:jc w:val="right"/>
              <w:ind w:right="117"/>
              <w:spacing w:after="0"/>
              <w:rPr>
                <w:sz w:val="20"/>
                <w:szCs w:val="20"/>
                <w:color w:val="auto"/>
              </w:rPr>
            </w:pPr>
            <w:r>
              <w:rPr>
                <w:rFonts w:ascii="Arial" w:cs="Arial" w:eastAsia="Arial" w:hAnsi="Arial"/>
                <w:sz w:val="13"/>
                <w:szCs w:val="13"/>
                <w:color w:val="auto"/>
              </w:rPr>
              <w:t>—</w:t>
            </w:r>
          </w:p>
        </w:tc>
        <w:tc>
          <w:tcPr>
            <w:tcW w:w="58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160,713</w:t>
            </w:r>
          </w:p>
        </w:tc>
        <w:tc>
          <w:tcPr>
            <w:tcW w:w="60" w:type="dxa"/>
            <w:vAlign w:val="bottom"/>
            <w:tcBorders>
              <w:right w:val="single" w:sz="8" w:color="CFF0FC"/>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80" w:type="dxa"/>
            <w:vAlign w:val="bottom"/>
            <w:gridSpan w:val="2"/>
            <w:vMerge w:val="restart"/>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0"/>
                <w:szCs w:val="10"/>
                <w:color w:val="auto"/>
              </w:rPr>
            </w:pPr>
          </w:p>
        </w:tc>
        <w:tc>
          <w:tcPr>
            <w:tcW w:w="56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160,713</w:t>
            </w:r>
          </w:p>
        </w:tc>
        <w:tc>
          <w:tcPr>
            <w:tcW w:w="60" w:type="dxa"/>
            <w:vAlign w:val="bottom"/>
            <w:shd w:val="clear" w:color="auto" w:fill="CFF0FC"/>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2180" w:type="dxa"/>
            <w:vAlign w:val="bottom"/>
            <w:shd w:val="clear" w:color="auto" w:fill="CFF0FC"/>
          </w:tcPr>
          <w:p>
            <w:pPr>
              <w:ind w:left="20"/>
              <w:spacing w:after="0"/>
              <w:rPr>
                <w:sz w:val="20"/>
                <w:szCs w:val="20"/>
                <w:color w:val="auto"/>
              </w:rPr>
            </w:pPr>
            <w:r>
              <w:rPr>
                <w:rFonts w:ascii="Arial" w:cs="Arial" w:eastAsia="Arial" w:hAnsi="Arial"/>
                <w:sz w:val="13"/>
                <w:szCs w:val="13"/>
                <w:color w:val="auto"/>
              </w:rPr>
              <w:t>offering</w:t>
            </w:r>
          </w:p>
        </w:tc>
        <w:tc>
          <w:tcPr>
            <w:tcW w:w="64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41 )</w:t>
            </w:r>
          </w:p>
        </w:tc>
        <w:tc>
          <w:tcPr>
            <w:tcW w:w="120" w:type="dxa"/>
            <w:vAlign w:val="bottom"/>
            <w:shd w:val="clear" w:color="auto" w:fill="CFF0FC"/>
          </w:tcPr>
          <w:p>
            <w:pPr>
              <w:spacing w:after="0"/>
              <w:rPr>
                <w:sz w:val="14"/>
                <w:szCs w:val="14"/>
                <w:color w:val="auto"/>
              </w:rPr>
            </w:pPr>
          </w:p>
        </w:tc>
        <w:tc>
          <w:tcPr>
            <w:tcW w:w="620" w:type="dxa"/>
            <w:vAlign w:val="bottom"/>
            <w:tcBorders>
              <w:right w:val="single" w:sz="8" w:color="auto"/>
            </w:tcBorders>
            <w:gridSpan w:val="2"/>
            <w:vMerge w:val="continue"/>
            <w:shd w:val="clear" w:color="auto" w:fill="CFF0FC"/>
          </w:tcPr>
          <w:p>
            <w:pPr>
              <w:spacing w:after="0"/>
              <w:rPr>
                <w:sz w:val="14"/>
                <w:szCs w:val="14"/>
                <w:color w:val="auto"/>
              </w:rPr>
            </w:pPr>
          </w:p>
        </w:tc>
        <w:tc>
          <w:tcPr>
            <w:tcW w:w="520" w:type="dxa"/>
            <w:vAlign w:val="bottom"/>
            <w:gridSpan w:val="2"/>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20" w:type="dxa"/>
            <w:vAlign w:val="bottom"/>
            <w:vMerge w:val="continue"/>
            <w:shd w:val="clear" w:color="auto" w:fill="CFF0FC"/>
          </w:tcPr>
          <w:p>
            <w:pPr>
              <w:spacing w:after="0"/>
              <w:rPr>
                <w:sz w:val="14"/>
                <w:szCs w:val="14"/>
                <w:color w:val="auto"/>
              </w:rPr>
            </w:pPr>
          </w:p>
        </w:tc>
        <w:tc>
          <w:tcPr>
            <w:tcW w:w="700" w:type="dxa"/>
            <w:vAlign w:val="bottom"/>
            <w:gridSpan w:val="2"/>
            <w:vMerge w:val="continue"/>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40" w:type="dxa"/>
            <w:vAlign w:val="bottom"/>
            <w:vMerge w:val="continue"/>
            <w:shd w:val="clear" w:color="auto" w:fill="CFF0FC"/>
          </w:tcPr>
          <w:p>
            <w:pPr>
              <w:spacing w:after="0"/>
              <w:rPr>
                <w:sz w:val="14"/>
                <w:szCs w:val="14"/>
                <w:color w:val="auto"/>
              </w:rPr>
            </w:pPr>
          </w:p>
        </w:tc>
        <w:tc>
          <w:tcPr>
            <w:tcW w:w="640" w:type="dxa"/>
            <w:vAlign w:val="bottom"/>
            <w:gridSpan w:val="2"/>
            <w:vMerge w:val="continue"/>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420" w:type="dxa"/>
            <w:vAlign w:val="bottom"/>
            <w:gridSpan w:val="3"/>
            <w:vMerge w:val="continue"/>
            <w:shd w:val="clear" w:color="auto" w:fill="CFF0FC"/>
          </w:tcPr>
          <w:p>
            <w:pPr>
              <w:spacing w:after="0"/>
              <w:rPr>
                <w:sz w:val="14"/>
                <w:szCs w:val="14"/>
                <w:color w:val="auto"/>
              </w:rPr>
            </w:pPr>
          </w:p>
        </w:tc>
        <w:tc>
          <w:tcPr>
            <w:tcW w:w="540" w:type="dxa"/>
            <w:vAlign w:val="bottom"/>
            <w:vMerge w:val="continue"/>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00" w:type="dxa"/>
            <w:vAlign w:val="bottom"/>
            <w:gridSpan w:val="2"/>
            <w:vMerge w:val="continue"/>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20" w:type="dxa"/>
            <w:vAlign w:val="bottom"/>
            <w:gridSpan w:val="3"/>
            <w:vMerge w:val="continue"/>
            <w:shd w:val="clear" w:color="auto" w:fill="CFF0FC"/>
          </w:tcPr>
          <w:p>
            <w:pPr>
              <w:spacing w:after="0"/>
              <w:rPr>
                <w:sz w:val="14"/>
                <w:szCs w:val="14"/>
                <w:color w:val="auto"/>
              </w:rPr>
            </w:pPr>
          </w:p>
        </w:tc>
        <w:tc>
          <w:tcPr>
            <w:tcW w:w="580" w:type="dxa"/>
            <w:vAlign w:val="bottom"/>
            <w:vMerge w:val="continue"/>
            <w:shd w:val="clear" w:color="auto" w:fill="CFF0FC"/>
          </w:tcPr>
          <w:p>
            <w:pPr>
              <w:spacing w:after="0"/>
              <w:rPr>
                <w:sz w:val="14"/>
                <w:szCs w:val="14"/>
                <w:color w:val="auto"/>
              </w:rPr>
            </w:pPr>
          </w:p>
        </w:tc>
        <w:tc>
          <w:tcPr>
            <w:tcW w:w="60" w:type="dxa"/>
            <w:vAlign w:val="bottom"/>
            <w:tcBorders>
              <w:right w:val="single" w:sz="8" w:color="CFF0FC"/>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80" w:type="dxa"/>
            <w:vAlign w:val="bottom"/>
            <w:gridSpan w:val="2"/>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60" w:type="dxa"/>
            <w:vAlign w:val="bottom"/>
            <w:vMerge w:val="continue"/>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180" w:type="dxa"/>
            <w:vAlign w:val="bottom"/>
          </w:tcPr>
          <w:p>
            <w:pPr>
              <w:ind w:left="20"/>
              <w:spacing w:after="0"/>
              <w:rPr>
                <w:sz w:val="20"/>
                <w:szCs w:val="20"/>
                <w:color w:val="auto"/>
              </w:rPr>
            </w:pPr>
            <w:r>
              <w:rPr>
                <w:rFonts w:ascii="Arial" w:cs="Arial" w:eastAsia="Arial" w:hAnsi="Arial"/>
                <w:sz w:val="13"/>
                <w:szCs w:val="13"/>
                <w:color w:val="auto"/>
              </w:rPr>
              <w:t>Exercise of common stock options</w:t>
            </w:r>
          </w:p>
        </w:tc>
        <w:tc>
          <w:tcPr>
            <w:tcW w:w="640" w:type="dxa"/>
            <w:vAlign w:val="bottom"/>
            <w:gridSpan w:val="2"/>
          </w:tcPr>
          <w:p>
            <w:pPr>
              <w:jc w:val="right"/>
              <w:ind w:right="26"/>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62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3"/>
                <w:szCs w:val="13"/>
                <w:color w:val="auto"/>
              </w:rPr>
              <w:t>—</w:t>
            </w:r>
          </w:p>
        </w:tc>
        <w:tc>
          <w:tcPr>
            <w:tcW w:w="460" w:type="dxa"/>
            <w:vAlign w:val="bottom"/>
          </w:tcPr>
          <w:p>
            <w:pPr>
              <w:jc w:val="right"/>
              <w:spacing w:after="0"/>
              <w:rPr>
                <w:sz w:val="20"/>
                <w:szCs w:val="20"/>
                <w:color w:val="auto"/>
              </w:rPr>
            </w:pPr>
            <w:r>
              <w:rPr>
                <w:rFonts w:ascii="Arial" w:cs="Arial" w:eastAsia="Arial" w:hAnsi="Arial"/>
                <w:sz w:val="13"/>
                <w:szCs w:val="13"/>
                <w:color w:val="auto"/>
                <w:w w:val="89"/>
              </w:rPr>
              <w:t>910,015</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ind w:left="80"/>
              <w:spacing w:after="0"/>
              <w:rPr>
                <w:sz w:val="20"/>
                <w:szCs w:val="20"/>
                <w:color w:val="auto"/>
              </w:rPr>
            </w:pPr>
            <w:r>
              <w:rPr>
                <w:rFonts w:ascii="Arial" w:cs="Arial" w:eastAsia="Arial" w:hAnsi="Arial"/>
                <w:sz w:val="13"/>
                <w:szCs w:val="13"/>
                <w:color w:val="auto"/>
                <w:w w:val="91"/>
              </w:rPr>
              <w:t>—</w:t>
            </w:r>
          </w:p>
        </w:tc>
        <w:tc>
          <w:tcPr>
            <w:tcW w:w="700" w:type="dxa"/>
            <w:vAlign w:val="bottom"/>
            <w:gridSpan w:val="2"/>
          </w:tcPr>
          <w:p>
            <w:pPr>
              <w:jc w:val="right"/>
              <w:spacing w:after="0"/>
              <w:rPr>
                <w:sz w:val="20"/>
                <w:szCs w:val="20"/>
                <w:color w:val="auto"/>
              </w:rPr>
            </w:pPr>
            <w:r>
              <w:rPr>
                <w:rFonts w:ascii="Arial" w:cs="Arial" w:eastAsia="Arial" w:hAnsi="Arial"/>
                <w:sz w:val="13"/>
                <w:szCs w:val="13"/>
                <w:color w:val="auto"/>
              </w:rPr>
              <w:t>178,402</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ind w:left="100"/>
              <w:spacing w:after="0"/>
              <w:rPr>
                <w:sz w:val="20"/>
                <w:szCs w:val="20"/>
                <w:color w:val="auto"/>
              </w:rPr>
            </w:pPr>
            <w:r>
              <w:rPr>
                <w:rFonts w:ascii="Arial" w:cs="Arial" w:eastAsia="Arial" w:hAnsi="Arial"/>
                <w:sz w:val="13"/>
                <w:szCs w:val="13"/>
                <w:color w:val="auto"/>
                <w:w w:val="91"/>
              </w:rPr>
              <w:t>—</w:t>
            </w:r>
          </w:p>
        </w:tc>
        <w:tc>
          <w:tcPr>
            <w:tcW w:w="4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gridSpan w:val="3"/>
          </w:tcPr>
          <w:p>
            <w:pPr>
              <w:ind w:left="120"/>
              <w:spacing w:after="0"/>
              <w:rPr>
                <w:sz w:val="20"/>
                <w:szCs w:val="20"/>
                <w:color w:val="auto"/>
              </w:rPr>
            </w:pPr>
            <w:r>
              <w:rPr>
                <w:rFonts w:ascii="Arial" w:cs="Arial" w:eastAsia="Arial" w:hAnsi="Arial"/>
                <w:sz w:val="13"/>
                <w:szCs w:val="13"/>
                <w:color w:val="auto"/>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2,291</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720" w:type="dxa"/>
            <w:vAlign w:val="bottom"/>
            <w:gridSpan w:val="3"/>
          </w:tcPr>
          <w:p>
            <w:pPr>
              <w:jc w:val="right"/>
              <w:ind w:right="117"/>
              <w:spacing w:after="0"/>
              <w:rPr>
                <w:sz w:val="20"/>
                <w:szCs w:val="20"/>
                <w:color w:val="auto"/>
              </w:rPr>
            </w:pPr>
            <w:r>
              <w:rPr>
                <w:rFonts w:ascii="Arial" w:cs="Arial" w:eastAsia="Arial" w:hAnsi="Arial"/>
                <w:sz w:val="13"/>
                <w:szCs w:val="13"/>
                <w:color w:val="auto"/>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2,291</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2,291</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180" w:type="dxa"/>
            <w:vAlign w:val="bottom"/>
            <w:shd w:val="clear" w:color="auto" w:fill="CFF0FC"/>
          </w:tcPr>
          <w:p>
            <w:pPr>
              <w:ind w:left="20"/>
              <w:spacing w:after="0" w:line="108" w:lineRule="exact"/>
              <w:rPr>
                <w:sz w:val="20"/>
                <w:szCs w:val="20"/>
                <w:color w:val="auto"/>
              </w:rPr>
            </w:pPr>
            <w:r>
              <w:rPr>
                <w:rFonts w:ascii="Arial" w:cs="Arial" w:eastAsia="Arial" w:hAnsi="Arial"/>
                <w:sz w:val="12"/>
                <w:szCs w:val="12"/>
                <w:color w:val="auto"/>
              </w:rPr>
              <w:t>Conversion of common stock in</w:t>
            </w:r>
          </w:p>
        </w:tc>
        <w:tc>
          <w:tcPr>
            <w:tcW w:w="640" w:type="dxa"/>
            <w:vAlign w:val="bottom"/>
            <w:gridSpan w:val="2"/>
            <w:vMerge w:val="restart"/>
            <w:shd w:val="clear" w:color="auto" w:fill="CFF0FC"/>
          </w:tcPr>
          <w:p>
            <w:pPr>
              <w:jc w:val="right"/>
              <w:ind w:right="26"/>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9"/>
                <w:szCs w:val="9"/>
                <w:color w:val="auto"/>
              </w:rPr>
            </w:pPr>
          </w:p>
        </w:tc>
        <w:tc>
          <w:tcPr>
            <w:tcW w:w="620" w:type="dxa"/>
            <w:vAlign w:val="bottom"/>
            <w:tcBorders>
              <w:right w:val="single" w:sz="8" w:color="auto"/>
            </w:tcBorders>
            <w:gridSpan w:val="2"/>
            <w:vMerge w:val="restart"/>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460" w:type="dxa"/>
            <w:vAlign w:val="bottom"/>
            <w:shd w:val="clear" w:color="auto" w:fill="CFF0FC"/>
          </w:tcPr>
          <w:p>
            <w:pPr>
              <w:jc w:val="right"/>
              <w:spacing w:after="0" w:line="108" w:lineRule="exact"/>
              <w:rPr>
                <w:sz w:val="20"/>
                <w:szCs w:val="20"/>
                <w:color w:val="auto"/>
              </w:rPr>
            </w:pPr>
            <w:r>
              <w:rPr>
                <w:rFonts w:ascii="Arial" w:cs="Arial" w:eastAsia="Arial" w:hAnsi="Arial"/>
                <w:sz w:val="12"/>
                <w:szCs w:val="12"/>
                <w:color w:val="auto"/>
                <w:w w:val="95"/>
              </w:rPr>
              <w:t>(8,665,7</w:t>
            </w:r>
          </w:p>
        </w:tc>
        <w:tc>
          <w:tcPr>
            <w:tcW w:w="6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220" w:type="dxa"/>
            <w:vAlign w:val="bottom"/>
            <w:vMerge w:val="restart"/>
            <w:shd w:val="clear" w:color="auto" w:fill="CFF0FC"/>
          </w:tcPr>
          <w:p>
            <w:pPr>
              <w:ind w:left="80"/>
              <w:spacing w:after="0"/>
              <w:rPr>
                <w:sz w:val="20"/>
                <w:szCs w:val="20"/>
                <w:color w:val="auto"/>
              </w:rPr>
            </w:pPr>
            <w:r>
              <w:rPr>
                <w:rFonts w:ascii="Arial" w:cs="Arial" w:eastAsia="Arial" w:hAnsi="Arial"/>
                <w:sz w:val="13"/>
                <w:szCs w:val="13"/>
                <w:color w:val="auto"/>
                <w:w w:val="91"/>
              </w:rPr>
              <w:t>—</w:t>
            </w:r>
          </w:p>
        </w:tc>
        <w:tc>
          <w:tcPr>
            <w:tcW w:w="700" w:type="dxa"/>
            <w:vAlign w:val="bottom"/>
            <w:gridSpan w:val="2"/>
            <w:vMerge w:val="restart"/>
            <w:shd w:val="clear" w:color="auto" w:fill="CFF0FC"/>
          </w:tcPr>
          <w:p>
            <w:pPr>
              <w:jc w:val="right"/>
              <w:spacing w:after="0"/>
              <w:rPr>
                <w:sz w:val="20"/>
                <w:szCs w:val="20"/>
                <w:color w:val="auto"/>
              </w:rPr>
            </w:pPr>
            <w:r>
              <w:rPr>
                <w:rFonts w:ascii="Arial" w:cs="Arial" w:eastAsia="Arial" w:hAnsi="Arial"/>
                <w:sz w:val="13"/>
                <w:szCs w:val="13"/>
                <w:color w:val="auto"/>
              </w:rPr>
              <w:t>6,396,951</w:t>
            </w:r>
          </w:p>
        </w:tc>
        <w:tc>
          <w:tcPr>
            <w:tcW w:w="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240" w:type="dxa"/>
            <w:vAlign w:val="bottom"/>
            <w:vMerge w:val="restart"/>
            <w:shd w:val="clear" w:color="auto" w:fill="CFF0FC"/>
          </w:tcPr>
          <w:p>
            <w:pPr>
              <w:ind w:left="100"/>
              <w:spacing w:after="0"/>
              <w:rPr>
                <w:sz w:val="20"/>
                <w:szCs w:val="20"/>
                <w:color w:val="auto"/>
              </w:rPr>
            </w:pPr>
            <w:r>
              <w:rPr>
                <w:rFonts w:ascii="Arial" w:cs="Arial" w:eastAsia="Arial" w:hAnsi="Arial"/>
                <w:sz w:val="13"/>
                <w:szCs w:val="13"/>
                <w:color w:val="auto"/>
                <w:w w:val="91"/>
              </w:rPr>
              <w:t>—</w:t>
            </w:r>
          </w:p>
        </w:tc>
        <w:tc>
          <w:tcPr>
            <w:tcW w:w="640" w:type="dxa"/>
            <w:vAlign w:val="bottom"/>
            <w:gridSpan w:val="2"/>
            <w:vMerge w:val="restart"/>
            <w:shd w:val="clear" w:color="auto" w:fill="CFF0FC"/>
          </w:tcPr>
          <w:p>
            <w:pPr>
              <w:jc w:val="right"/>
              <w:spacing w:after="0"/>
              <w:rPr>
                <w:sz w:val="20"/>
                <w:szCs w:val="20"/>
                <w:color w:val="auto"/>
              </w:rPr>
            </w:pPr>
            <w:r>
              <w:rPr>
                <w:rFonts w:ascii="Arial" w:cs="Arial" w:eastAsia="Arial" w:hAnsi="Arial"/>
                <w:sz w:val="13"/>
                <w:szCs w:val="13"/>
                <w:color w:val="auto"/>
              </w:rPr>
              <w:t>2,268,846</w:t>
            </w:r>
          </w:p>
        </w:tc>
        <w:tc>
          <w:tcPr>
            <w:tcW w:w="4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420" w:type="dxa"/>
            <w:vAlign w:val="bottom"/>
            <w:gridSpan w:val="3"/>
            <w:vMerge w:val="restart"/>
            <w:shd w:val="clear" w:color="auto" w:fill="CFF0FC"/>
          </w:tcPr>
          <w:p>
            <w:pPr>
              <w:ind w:left="120"/>
              <w:spacing w:after="0"/>
              <w:rPr>
                <w:sz w:val="20"/>
                <w:szCs w:val="20"/>
                <w:color w:val="auto"/>
              </w:rPr>
            </w:pPr>
            <w:r>
              <w:rPr>
                <w:rFonts w:ascii="Arial" w:cs="Arial" w:eastAsia="Arial" w:hAnsi="Arial"/>
                <w:sz w:val="13"/>
                <w:szCs w:val="13"/>
                <w:color w:val="auto"/>
              </w:rPr>
              <w:t>—</w:t>
            </w:r>
          </w:p>
        </w:tc>
        <w:tc>
          <w:tcPr>
            <w:tcW w:w="600" w:type="dxa"/>
            <w:vAlign w:val="bottom"/>
            <w:gridSpan w:val="2"/>
            <w:vMerge w:val="restart"/>
            <w:shd w:val="clear" w:color="auto" w:fill="CFF0FC"/>
          </w:tcPr>
          <w:p>
            <w:pPr>
              <w:jc w:val="right"/>
              <w:ind w:right="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9"/>
                <w:szCs w:val="9"/>
                <w:color w:val="auto"/>
              </w:rPr>
            </w:pPr>
          </w:p>
        </w:tc>
        <w:tc>
          <w:tcPr>
            <w:tcW w:w="700" w:type="dxa"/>
            <w:vAlign w:val="bottom"/>
            <w:gridSpan w:val="2"/>
            <w:vMerge w:val="restart"/>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9"/>
                <w:szCs w:val="9"/>
                <w:color w:val="auto"/>
              </w:rPr>
            </w:pPr>
          </w:p>
        </w:tc>
        <w:tc>
          <w:tcPr>
            <w:tcW w:w="720" w:type="dxa"/>
            <w:vAlign w:val="bottom"/>
            <w:gridSpan w:val="3"/>
            <w:vMerge w:val="restart"/>
            <w:shd w:val="clear" w:color="auto" w:fill="CFF0FC"/>
          </w:tcPr>
          <w:p>
            <w:pPr>
              <w:jc w:val="right"/>
              <w:ind w:right="117"/>
              <w:spacing w:after="0"/>
              <w:rPr>
                <w:sz w:val="20"/>
                <w:szCs w:val="20"/>
                <w:color w:val="auto"/>
              </w:rPr>
            </w:pPr>
            <w:r>
              <w:rPr>
                <w:rFonts w:ascii="Arial" w:cs="Arial" w:eastAsia="Arial" w:hAnsi="Arial"/>
                <w:sz w:val="13"/>
                <w:szCs w:val="13"/>
                <w:color w:val="auto"/>
              </w:rPr>
              <w:t>—</w:t>
            </w:r>
          </w:p>
        </w:tc>
        <w:tc>
          <w:tcPr>
            <w:tcW w:w="640" w:type="dxa"/>
            <w:vAlign w:val="bottom"/>
            <w:tcBorders>
              <w:right w:val="single" w:sz="8" w:color="CFF0FC"/>
            </w:tcBorders>
            <w:gridSpan w:val="2"/>
            <w:vMerge w:val="restart"/>
            <w:shd w:val="clear" w:color="auto" w:fill="CFF0FC"/>
          </w:tcPr>
          <w:p>
            <w:pPr>
              <w:jc w:val="right"/>
              <w:ind w:right="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9"/>
                <w:szCs w:val="9"/>
                <w:color w:val="auto"/>
              </w:rPr>
            </w:pPr>
          </w:p>
        </w:tc>
        <w:tc>
          <w:tcPr>
            <w:tcW w:w="680" w:type="dxa"/>
            <w:vAlign w:val="bottom"/>
            <w:gridSpan w:val="2"/>
            <w:vMerge w:val="restart"/>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9"/>
                <w:szCs w:val="9"/>
                <w:color w:val="auto"/>
              </w:rPr>
            </w:pPr>
          </w:p>
        </w:tc>
        <w:tc>
          <w:tcPr>
            <w:tcW w:w="620" w:type="dxa"/>
            <w:vAlign w:val="bottom"/>
            <w:gridSpan w:val="2"/>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2180" w:type="dxa"/>
            <w:vAlign w:val="bottom"/>
            <w:shd w:val="clear" w:color="auto" w:fill="CFF0FC"/>
          </w:tcPr>
          <w:p>
            <w:pPr>
              <w:ind w:left="20"/>
              <w:spacing w:after="0"/>
              <w:rPr>
                <w:sz w:val="20"/>
                <w:szCs w:val="20"/>
                <w:color w:val="auto"/>
              </w:rPr>
            </w:pPr>
            <w:r>
              <w:rPr>
                <w:rFonts w:ascii="Arial" w:cs="Arial" w:eastAsia="Arial" w:hAnsi="Arial"/>
                <w:sz w:val="13"/>
                <w:szCs w:val="13"/>
                <w:color w:val="auto"/>
                <w:w w:val="93"/>
              </w:rPr>
              <w:t>connection with the initial public offering</w:t>
            </w:r>
          </w:p>
        </w:tc>
        <w:tc>
          <w:tcPr>
            <w:tcW w:w="640" w:type="dxa"/>
            <w:vAlign w:val="bottom"/>
            <w:gridSpan w:val="2"/>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20" w:type="dxa"/>
            <w:vAlign w:val="bottom"/>
            <w:tcBorders>
              <w:right w:val="single" w:sz="8" w:color="auto"/>
            </w:tcBorders>
            <w:gridSpan w:val="2"/>
            <w:vMerge w:val="continue"/>
            <w:shd w:val="clear" w:color="auto" w:fill="CFF0FC"/>
          </w:tcPr>
          <w:p>
            <w:pPr>
              <w:spacing w:after="0"/>
              <w:rPr>
                <w:sz w:val="14"/>
                <w:szCs w:val="14"/>
                <w:color w:val="auto"/>
              </w:rPr>
            </w:pPr>
          </w:p>
        </w:tc>
        <w:tc>
          <w:tcPr>
            <w:tcW w:w="52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97 )</w:t>
            </w:r>
          </w:p>
        </w:tc>
        <w:tc>
          <w:tcPr>
            <w:tcW w:w="100" w:type="dxa"/>
            <w:vAlign w:val="bottom"/>
            <w:shd w:val="clear" w:color="auto" w:fill="CFF0FC"/>
          </w:tcPr>
          <w:p>
            <w:pPr>
              <w:spacing w:after="0"/>
              <w:rPr>
                <w:sz w:val="14"/>
                <w:szCs w:val="14"/>
                <w:color w:val="auto"/>
              </w:rPr>
            </w:pPr>
          </w:p>
        </w:tc>
        <w:tc>
          <w:tcPr>
            <w:tcW w:w="220" w:type="dxa"/>
            <w:vAlign w:val="bottom"/>
            <w:vMerge w:val="continue"/>
            <w:shd w:val="clear" w:color="auto" w:fill="CFF0FC"/>
          </w:tcPr>
          <w:p>
            <w:pPr>
              <w:spacing w:after="0"/>
              <w:rPr>
                <w:sz w:val="14"/>
                <w:szCs w:val="14"/>
                <w:color w:val="auto"/>
              </w:rPr>
            </w:pPr>
          </w:p>
        </w:tc>
        <w:tc>
          <w:tcPr>
            <w:tcW w:w="700" w:type="dxa"/>
            <w:vAlign w:val="bottom"/>
            <w:gridSpan w:val="2"/>
            <w:vMerge w:val="continue"/>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40" w:type="dxa"/>
            <w:vAlign w:val="bottom"/>
            <w:vMerge w:val="continue"/>
            <w:shd w:val="clear" w:color="auto" w:fill="CFF0FC"/>
          </w:tcPr>
          <w:p>
            <w:pPr>
              <w:spacing w:after="0"/>
              <w:rPr>
                <w:sz w:val="14"/>
                <w:szCs w:val="14"/>
                <w:color w:val="auto"/>
              </w:rPr>
            </w:pPr>
          </w:p>
        </w:tc>
        <w:tc>
          <w:tcPr>
            <w:tcW w:w="640" w:type="dxa"/>
            <w:vAlign w:val="bottom"/>
            <w:gridSpan w:val="2"/>
            <w:vMerge w:val="continue"/>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420" w:type="dxa"/>
            <w:vAlign w:val="bottom"/>
            <w:gridSpan w:val="3"/>
            <w:vMerge w:val="continue"/>
            <w:shd w:val="clear" w:color="auto" w:fill="CFF0FC"/>
          </w:tcPr>
          <w:p>
            <w:pPr>
              <w:spacing w:after="0"/>
              <w:rPr>
                <w:sz w:val="14"/>
                <w:szCs w:val="14"/>
                <w:color w:val="auto"/>
              </w:rPr>
            </w:pPr>
          </w:p>
        </w:tc>
        <w:tc>
          <w:tcPr>
            <w:tcW w:w="600" w:type="dxa"/>
            <w:vAlign w:val="bottom"/>
            <w:gridSpan w:val="2"/>
            <w:vMerge w:val="continue"/>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00" w:type="dxa"/>
            <w:vAlign w:val="bottom"/>
            <w:gridSpan w:val="2"/>
            <w:vMerge w:val="continue"/>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20" w:type="dxa"/>
            <w:vAlign w:val="bottom"/>
            <w:gridSpan w:val="3"/>
            <w:vMerge w:val="continue"/>
            <w:shd w:val="clear" w:color="auto" w:fill="CFF0FC"/>
          </w:tcPr>
          <w:p>
            <w:pPr>
              <w:spacing w:after="0"/>
              <w:rPr>
                <w:sz w:val="14"/>
                <w:szCs w:val="14"/>
                <w:color w:val="auto"/>
              </w:rPr>
            </w:pPr>
          </w:p>
        </w:tc>
        <w:tc>
          <w:tcPr>
            <w:tcW w:w="640" w:type="dxa"/>
            <w:vAlign w:val="bottom"/>
            <w:tcBorders>
              <w:right w:val="single" w:sz="8" w:color="CFF0FC"/>
            </w:tcBorders>
            <w:gridSpan w:val="2"/>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80" w:type="dxa"/>
            <w:vAlign w:val="bottom"/>
            <w:gridSpan w:val="2"/>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20" w:type="dxa"/>
            <w:vAlign w:val="bottom"/>
            <w:gridSpan w:val="2"/>
            <w:vMerge w:val="continue"/>
            <w:shd w:val="clear" w:color="auto" w:fill="CFF0FC"/>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180" w:type="dxa"/>
            <w:vAlign w:val="bottom"/>
          </w:tcPr>
          <w:p>
            <w:pPr>
              <w:ind w:left="20"/>
              <w:spacing w:after="0"/>
              <w:rPr>
                <w:sz w:val="20"/>
                <w:szCs w:val="20"/>
                <w:color w:val="auto"/>
              </w:rPr>
            </w:pPr>
            <w:r>
              <w:rPr>
                <w:rFonts w:ascii="Arial" w:cs="Arial" w:eastAsia="Arial" w:hAnsi="Arial"/>
                <w:sz w:val="13"/>
                <w:szCs w:val="13"/>
                <w:color w:val="auto"/>
              </w:rPr>
              <w:t>Exercise of warrants</w:t>
            </w:r>
          </w:p>
        </w:tc>
        <w:tc>
          <w:tcPr>
            <w:tcW w:w="640" w:type="dxa"/>
            <w:vAlign w:val="bottom"/>
            <w:gridSpan w:val="2"/>
          </w:tcPr>
          <w:p>
            <w:pPr>
              <w:jc w:val="right"/>
              <w:ind w:right="26"/>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62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3"/>
                <w:szCs w:val="13"/>
                <w:color w:val="auto"/>
              </w:rPr>
              <w:t>—</w:t>
            </w:r>
          </w:p>
        </w:tc>
        <w:tc>
          <w:tcPr>
            <w:tcW w:w="52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220" w:type="dxa"/>
            <w:vAlign w:val="bottom"/>
          </w:tcPr>
          <w:p>
            <w:pPr>
              <w:ind w:left="80"/>
              <w:spacing w:after="0"/>
              <w:rPr>
                <w:sz w:val="20"/>
                <w:szCs w:val="20"/>
                <w:color w:val="auto"/>
              </w:rPr>
            </w:pPr>
            <w:r>
              <w:rPr>
                <w:rFonts w:ascii="Arial" w:cs="Arial" w:eastAsia="Arial" w:hAnsi="Arial"/>
                <w:sz w:val="13"/>
                <w:szCs w:val="13"/>
                <w:color w:val="auto"/>
                <w:w w:val="91"/>
              </w:rPr>
              <w:t>—</w:t>
            </w:r>
          </w:p>
        </w:tc>
        <w:tc>
          <w:tcPr>
            <w:tcW w:w="700" w:type="dxa"/>
            <w:vAlign w:val="bottom"/>
            <w:gridSpan w:val="2"/>
          </w:tcPr>
          <w:p>
            <w:pPr>
              <w:jc w:val="right"/>
              <w:spacing w:after="0"/>
              <w:rPr>
                <w:sz w:val="20"/>
                <w:szCs w:val="20"/>
                <w:color w:val="auto"/>
              </w:rPr>
            </w:pPr>
            <w:r>
              <w:rPr>
                <w:rFonts w:ascii="Arial" w:cs="Arial" w:eastAsia="Arial" w:hAnsi="Arial"/>
                <w:sz w:val="13"/>
                <w:szCs w:val="13"/>
                <w:color w:val="auto"/>
              </w:rPr>
              <w:t>24,242</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ind w:left="100"/>
              <w:spacing w:after="0"/>
              <w:rPr>
                <w:sz w:val="20"/>
                <w:szCs w:val="20"/>
                <w:color w:val="auto"/>
              </w:rPr>
            </w:pPr>
            <w:r>
              <w:rPr>
                <w:rFonts w:ascii="Arial" w:cs="Arial" w:eastAsia="Arial" w:hAnsi="Arial"/>
                <w:sz w:val="13"/>
                <w:szCs w:val="13"/>
                <w:color w:val="auto"/>
                <w:w w:val="91"/>
              </w:rPr>
              <w:t>—</w:t>
            </w:r>
          </w:p>
        </w:tc>
        <w:tc>
          <w:tcPr>
            <w:tcW w:w="4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gridSpan w:val="3"/>
          </w:tcPr>
          <w:p>
            <w:pPr>
              <w:ind w:left="120"/>
              <w:spacing w:after="0"/>
              <w:rPr>
                <w:sz w:val="20"/>
                <w:szCs w:val="20"/>
                <w:color w:val="auto"/>
              </w:rPr>
            </w:pPr>
            <w:r>
              <w:rPr>
                <w:rFonts w:ascii="Arial" w:cs="Arial" w:eastAsia="Arial" w:hAnsi="Arial"/>
                <w:sz w:val="13"/>
                <w:szCs w:val="13"/>
                <w:color w:val="auto"/>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40</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720" w:type="dxa"/>
            <w:vAlign w:val="bottom"/>
            <w:gridSpan w:val="3"/>
          </w:tcPr>
          <w:p>
            <w:pPr>
              <w:jc w:val="right"/>
              <w:ind w:right="117"/>
              <w:spacing w:after="0"/>
              <w:rPr>
                <w:sz w:val="20"/>
                <w:szCs w:val="20"/>
                <w:color w:val="auto"/>
              </w:rPr>
            </w:pPr>
            <w:r>
              <w:rPr>
                <w:rFonts w:ascii="Arial" w:cs="Arial" w:eastAsia="Arial" w:hAnsi="Arial"/>
                <w:sz w:val="13"/>
                <w:szCs w:val="13"/>
                <w:color w:val="auto"/>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40</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40</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180" w:type="dxa"/>
            <w:vAlign w:val="bottom"/>
            <w:shd w:val="clear" w:color="auto" w:fill="CFF0FC"/>
          </w:tcPr>
          <w:p>
            <w:pPr>
              <w:ind w:left="20"/>
              <w:spacing w:after="0" w:line="108" w:lineRule="exact"/>
              <w:rPr>
                <w:sz w:val="20"/>
                <w:szCs w:val="20"/>
                <w:color w:val="auto"/>
              </w:rPr>
            </w:pPr>
            <w:r>
              <w:rPr>
                <w:rFonts w:ascii="Arial" w:cs="Arial" w:eastAsia="Arial" w:hAnsi="Arial"/>
                <w:sz w:val="12"/>
                <w:szCs w:val="12"/>
                <w:color w:val="auto"/>
                <w:w w:val="99"/>
              </w:rPr>
              <w:t>Issuance of common stock in connection</w:t>
            </w:r>
          </w:p>
        </w:tc>
        <w:tc>
          <w:tcPr>
            <w:tcW w:w="58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500" w:type="dxa"/>
            <w:vAlign w:val="bottom"/>
            <w:shd w:val="clear" w:color="auto" w:fill="CFF0FC"/>
          </w:tcPr>
          <w:p>
            <w:pPr>
              <w:spacing w:after="0"/>
              <w:rPr>
                <w:sz w:val="9"/>
                <w:szCs w:val="9"/>
                <w:color w:val="auto"/>
              </w:rPr>
            </w:pPr>
          </w:p>
        </w:tc>
        <w:tc>
          <w:tcPr>
            <w:tcW w:w="120" w:type="dxa"/>
            <w:vAlign w:val="bottom"/>
            <w:tcBorders>
              <w:right w:val="single" w:sz="8" w:color="auto"/>
            </w:tcBorders>
            <w:shd w:val="clear" w:color="auto" w:fill="CFF0FC"/>
          </w:tcPr>
          <w:p>
            <w:pPr>
              <w:spacing w:after="0"/>
              <w:rPr>
                <w:sz w:val="9"/>
                <w:szCs w:val="9"/>
                <w:color w:val="auto"/>
              </w:rPr>
            </w:pPr>
          </w:p>
        </w:tc>
        <w:tc>
          <w:tcPr>
            <w:tcW w:w="46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660" w:type="dxa"/>
            <w:vAlign w:val="bottom"/>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600" w:type="dxa"/>
            <w:vAlign w:val="bottom"/>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54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6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560" w:type="dxa"/>
            <w:vAlign w:val="bottom"/>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580" w:type="dxa"/>
            <w:vAlign w:val="bottom"/>
            <w:shd w:val="clear" w:color="auto" w:fill="CFF0FC"/>
          </w:tcPr>
          <w:p>
            <w:pPr>
              <w:spacing w:after="0"/>
              <w:rPr>
                <w:sz w:val="9"/>
                <w:szCs w:val="9"/>
                <w:color w:val="auto"/>
              </w:rPr>
            </w:pPr>
          </w:p>
        </w:tc>
        <w:tc>
          <w:tcPr>
            <w:tcW w:w="60" w:type="dxa"/>
            <w:vAlign w:val="bottom"/>
            <w:tcBorders>
              <w:right w:val="single" w:sz="8" w:color="CFF0FC"/>
            </w:tcBorders>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52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56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2180" w:type="dxa"/>
            <w:vAlign w:val="bottom"/>
            <w:shd w:val="clear" w:color="auto" w:fill="CFF0FC"/>
          </w:tcPr>
          <w:p>
            <w:pPr>
              <w:ind w:left="20"/>
              <w:spacing w:after="0" w:line="122" w:lineRule="exact"/>
              <w:rPr>
                <w:sz w:val="20"/>
                <w:szCs w:val="20"/>
                <w:color w:val="auto"/>
              </w:rPr>
            </w:pPr>
            <w:r>
              <w:rPr>
                <w:rFonts w:ascii="Arial" w:cs="Arial" w:eastAsia="Arial" w:hAnsi="Arial"/>
                <w:sz w:val="13"/>
                <w:szCs w:val="13"/>
                <w:color w:val="auto"/>
              </w:rPr>
              <w:t>with the initial public offering, net of</w:t>
            </w:r>
          </w:p>
        </w:tc>
        <w:tc>
          <w:tcPr>
            <w:tcW w:w="640" w:type="dxa"/>
            <w:vAlign w:val="bottom"/>
            <w:gridSpan w:val="2"/>
            <w:vMerge w:val="restart"/>
            <w:shd w:val="clear" w:color="auto" w:fill="CFF0FC"/>
          </w:tcPr>
          <w:p>
            <w:pPr>
              <w:jc w:val="right"/>
              <w:ind w:right="26"/>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0"/>
                <w:szCs w:val="10"/>
                <w:color w:val="auto"/>
              </w:rPr>
            </w:pPr>
          </w:p>
        </w:tc>
        <w:tc>
          <w:tcPr>
            <w:tcW w:w="620" w:type="dxa"/>
            <w:vAlign w:val="bottom"/>
            <w:tcBorders>
              <w:right w:val="single" w:sz="8" w:color="auto"/>
            </w:tcBorders>
            <w:gridSpan w:val="2"/>
            <w:vMerge w:val="restart"/>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520" w:type="dxa"/>
            <w:vAlign w:val="bottom"/>
            <w:gridSpan w:val="2"/>
            <w:vMerge w:val="restart"/>
            <w:shd w:val="clear" w:color="auto" w:fill="CFF0FC"/>
          </w:tcPr>
          <w:p>
            <w:pPr>
              <w:jc w:val="right"/>
              <w:ind w:right="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0"/>
                <w:szCs w:val="10"/>
                <w:color w:val="auto"/>
              </w:rPr>
            </w:pPr>
          </w:p>
        </w:tc>
        <w:tc>
          <w:tcPr>
            <w:tcW w:w="220" w:type="dxa"/>
            <w:vAlign w:val="bottom"/>
            <w:vMerge w:val="restart"/>
            <w:shd w:val="clear" w:color="auto" w:fill="CFF0FC"/>
          </w:tcPr>
          <w:p>
            <w:pPr>
              <w:ind w:left="80"/>
              <w:spacing w:after="0"/>
              <w:rPr>
                <w:sz w:val="20"/>
                <w:szCs w:val="20"/>
                <w:color w:val="auto"/>
              </w:rPr>
            </w:pPr>
            <w:r>
              <w:rPr>
                <w:rFonts w:ascii="Arial" w:cs="Arial" w:eastAsia="Arial" w:hAnsi="Arial"/>
                <w:sz w:val="13"/>
                <w:szCs w:val="13"/>
                <w:color w:val="auto"/>
                <w:w w:val="91"/>
              </w:rPr>
              <w:t>—</w:t>
            </w:r>
          </w:p>
        </w:tc>
        <w:tc>
          <w:tcPr>
            <w:tcW w:w="700" w:type="dxa"/>
            <w:vAlign w:val="bottom"/>
            <w:gridSpan w:val="2"/>
            <w:vMerge w:val="restart"/>
            <w:shd w:val="clear" w:color="auto" w:fill="CFF0FC"/>
          </w:tcPr>
          <w:p>
            <w:pPr>
              <w:jc w:val="right"/>
              <w:spacing w:after="0"/>
              <w:rPr>
                <w:sz w:val="20"/>
                <w:szCs w:val="20"/>
                <w:color w:val="auto"/>
              </w:rPr>
            </w:pPr>
            <w:r>
              <w:rPr>
                <w:rFonts w:ascii="Arial" w:cs="Arial" w:eastAsia="Arial" w:hAnsi="Arial"/>
                <w:sz w:val="13"/>
                <w:szCs w:val="13"/>
                <w:color w:val="auto"/>
              </w:rPr>
              <w:t>7,906,250</w:t>
            </w:r>
          </w:p>
        </w:tc>
        <w:tc>
          <w:tcPr>
            <w:tcW w:w="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40" w:type="dxa"/>
            <w:vAlign w:val="bottom"/>
            <w:vMerge w:val="restart"/>
            <w:shd w:val="clear" w:color="auto" w:fill="CFF0FC"/>
          </w:tcPr>
          <w:p>
            <w:pPr>
              <w:ind w:left="100"/>
              <w:spacing w:after="0"/>
              <w:rPr>
                <w:sz w:val="20"/>
                <w:szCs w:val="20"/>
                <w:color w:val="auto"/>
              </w:rPr>
            </w:pPr>
            <w:r>
              <w:rPr>
                <w:rFonts w:ascii="Arial" w:cs="Arial" w:eastAsia="Arial" w:hAnsi="Arial"/>
                <w:sz w:val="13"/>
                <w:szCs w:val="13"/>
                <w:color w:val="auto"/>
                <w:w w:val="91"/>
              </w:rPr>
              <w:t>—</w:t>
            </w:r>
          </w:p>
        </w:tc>
        <w:tc>
          <w:tcPr>
            <w:tcW w:w="40" w:type="dxa"/>
            <w:vAlign w:val="bottom"/>
            <w:shd w:val="clear" w:color="auto" w:fill="CFF0FC"/>
          </w:tcPr>
          <w:p>
            <w:pPr>
              <w:spacing w:after="0"/>
              <w:rPr>
                <w:sz w:val="10"/>
                <w:szCs w:val="10"/>
                <w:color w:val="auto"/>
              </w:rPr>
            </w:pPr>
          </w:p>
        </w:tc>
        <w:tc>
          <w:tcPr>
            <w:tcW w:w="60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420" w:type="dxa"/>
            <w:vAlign w:val="bottom"/>
            <w:gridSpan w:val="3"/>
            <w:vMerge w:val="restart"/>
            <w:shd w:val="clear" w:color="auto" w:fill="CFF0FC"/>
          </w:tcPr>
          <w:p>
            <w:pPr>
              <w:ind w:left="120"/>
              <w:spacing w:after="0"/>
              <w:rPr>
                <w:sz w:val="20"/>
                <w:szCs w:val="20"/>
                <w:color w:val="auto"/>
              </w:rPr>
            </w:pPr>
            <w:r>
              <w:rPr>
                <w:rFonts w:ascii="Arial" w:cs="Arial" w:eastAsia="Arial" w:hAnsi="Arial"/>
                <w:sz w:val="13"/>
                <w:szCs w:val="13"/>
                <w:color w:val="auto"/>
              </w:rPr>
              <w:t>—</w:t>
            </w:r>
          </w:p>
        </w:tc>
        <w:tc>
          <w:tcPr>
            <w:tcW w:w="54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325,263</w:t>
            </w:r>
          </w:p>
        </w:tc>
        <w:tc>
          <w:tcPr>
            <w:tcW w:w="6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700" w:type="dxa"/>
            <w:vAlign w:val="bottom"/>
            <w:gridSpan w:val="2"/>
            <w:vMerge w:val="restart"/>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0"/>
                <w:szCs w:val="10"/>
                <w:color w:val="auto"/>
              </w:rPr>
            </w:pPr>
          </w:p>
        </w:tc>
        <w:tc>
          <w:tcPr>
            <w:tcW w:w="720" w:type="dxa"/>
            <w:vAlign w:val="bottom"/>
            <w:gridSpan w:val="3"/>
            <w:vMerge w:val="restart"/>
            <w:shd w:val="clear" w:color="auto" w:fill="CFF0FC"/>
          </w:tcPr>
          <w:p>
            <w:pPr>
              <w:jc w:val="right"/>
              <w:ind w:right="117"/>
              <w:spacing w:after="0"/>
              <w:rPr>
                <w:sz w:val="20"/>
                <w:szCs w:val="20"/>
                <w:color w:val="auto"/>
              </w:rPr>
            </w:pPr>
            <w:r>
              <w:rPr>
                <w:rFonts w:ascii="Arial" w:cs="Arial" w:eastAsia="Arial" w:hAnsi="Arial"/>
                <w:sz w:val="13"/>
                <w:szCs w:val="13"/>
                <w:color w:val="auto"/>
              </w:rPr>
              <w:t>—</w:t>
            </w:r>
          </w:p>
        </w:tc>
        <w:tc>
          <w:tcPr>
            <w:tcW w:w="58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325,263</w:t>
            </w:r>
          </w:p>
        </w:tc>
        <w:tc>
          <w:tcPr>
            <w:tcW w:w="60" w:type="dxa"/>
            <w:vAlign w:val="bottom"/>
            <w:tcBorders>
              <w:right w:val="single" w:sz="8" w:color="CFF0FC"/>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80" w:type="dxa"/>
            <w:vAlign w:val="bottom"/>
            <w:gridSpan w:val="2"/>
            <w:vMerge w:val="restart"/>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0"/>
                <w:szCs w:val="10"/>
                <w:color w:val="auto"/>
              </w:rPr>
            </w:pPr>
          </w:p>
        </w:tc>
        <w:tc>
          <w:tcPr>
            <w:tcW w:w="56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325,263</w:t>
            </w:r>
          </w:p>
        </w:tc>
        <w:tc>
          <w:tcPr>
            <w:tcW w:w="60" w:type="dxa"/>
            <w:vAlign w:val="bottom"/>
            <w:shd w:val="clear" w:color="auto" w:fill="CFF0FC"/>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2180" w:type="dxa"/>
            <w:vAlign w:val="bottom"/>
            <w:shd w:val="clear" w:color="auto" w:fill="CFF0FC"/>
          </w:tcPr>
          <w:p>
            <w:pPr>
              <w:ind w:left="20"/>
              <w:spacing w:after="0"/>
              <w:rPr>
                <w:sz w:val="20"/>
                <w:szCs w:val="20"/>
                <w:color w:val="auto"/>
              </w:rPr>
            </w:pPr>
            <w:r>
              <w:rPr>
                <w:rFonts w:ascii="Arial" w:cs="Arial" w:eastAsia="Arial" w:hAnsi="Arial"/>
                <w:sz w:val="13"/>
                <w:szCs w:val="13"/>
                <w:color w:val="auto"/>
              </w:rPr>
              <w:t>underwriters' discount</w:t>
            </w:r>
          </w:p>
        </w:tc>
        <w:tc>
          <w:tcPr>
            <w:tcW w:w="640" w:type="dxa"/>
            <w:vAlign w:val="bottom"/>
            <w:gridSpan w:val="2"/>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20" w:type="dxa"/>
            <w:vAlign w:val="bottom"/>
            <w:tcBorders>
              <w:right w:val="single" w:sz="8" w:color="auto"/>
            </w:tcBorders>
            <w:gridSpan w:val="2"/>
            <w:vMerge w:val="continue"/>
            <w:shd w:val="clear" w:color="auto" w:fill="CFF0FC"/>
          </w:tcPr>
          <w:p>
            <w:pPr>
              <w:spacing w:after="0"/>
              <w:rPr>
                <w:sz w:val="14"/>
                <w:szCs w:val="14"/>
                <w:color w:val="auto"/>
              </w:rPr>
            </w:pPr>
          </w:p>
        </w:tc>
        <w:tc>
          <w:tcPr>
            <w:tcW w:w="520" w:type="dxa"/>
            <w:vAlign w:val="bottom"/>
            <w:gridSpan w:val="2"/>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20" w:type="dxa"/>
            <w:vAlign w:val="bottom"/>
            <w:vMerge w:val="continue"/>
            <w:shd w:val="clear" w:color="auto" w:fill="CFF0FC"/>
          </w:tcPr>
          <w:p>
            <w:pPr>
              <w:spacing w:after="0"/>
              <w:rPr>
                <w:sz w:val="14"/>
                <w:szCs w:val="14"/>
                <w:color w:val="auto"/>
              </w:rPr>
            </w:pPr>
          </w:p>
        </w:tc>
        <w:tc>
          <w:tcPr>
            <w:tcW w:w="700" w:type="dxa"/>
            <w:vAlign w:val="bottom"/>
            <w:gridSpan w:val="2"/>
            <w:vMerge w:val="continue"/>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40" w:type="dxa"/>
            <w:vAlign w:val="bottom"/>
            <w:vMerge w:val="continue"/>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600" w:type="dxa"/>
            <w:vAlign w:val="bottom"/>
            <w:vMerge w:val="continue"/>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420" w:type="dxa"/>
            <w:vAlign w:val="bottom"/>
            <w:gridSpan w:val="3"/>
            <w:vMerge w:val="continue"/>
            <w:shd w:val="clear" w:color="auto" w:fill="CFF0FC"/>
          </w:tcPr>
          <w:p>
            <w:pPr>
              <w:spacing w:after="0"/>
              <w:rPr>
                <w:sz w:val="14"/>
                <w:szCs w:val="14"/>
                <w:color w:val="auto"/>
              </w:rPr>
            </w:pPr>
          </w:p>
        </w:tc>
        <w:tc>
          <w:tcPr>
            <w:tcW w:w="540" w:type="dxa"/>
            <w:vAlign w:val="bottom"/>
            <w:vMerge w:val="continue"/>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00" w:type="dxa"/>
            <w:vAlign w:val="bottom"/>
            <w:gridSpan w:val="2"/>
            <w:vMerge w:val="continue"/>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20" w:type="dxa"/>
            <w:vAlign w:val="bottom"/>
            <w:gridSpan w:val="3"/>
            <w:vMerge w:val="continue"/>
            <w:shd w:val="clear" w:color="auto" w:fill="CFF0FC"/>
          </w:tcPr>
          <w:p>
            <w:pPr>
              <w:spacing w:after="0"/>
              <w:rPr>
                <w:sz w:val="14"/>
                <w:szCs w:val="14"/>
                <w:color w:val="auto"/>
              </w:rPr>
            </w:pPr>
          </w:p>
        </w:tc>
        <w:tc>
          <w:tcPr>
            <w:tcW w:w="580" w:type="dxa"/>
            <w:vAlign w:val="bottom"/>
            <w:vMerge w:val="continue"/>
            <w:shd w:val="clear" w:color="auto" w:fill="CFF0FC"/>
          </w:tcPr>
          <w:p>
            <w:pPr>
              <w:spacing w:after="0"/>
              <w:rPr>
                <w:sz w:val="14"/>
                <w:szCs w:val="14"/>
                <w:color w:val="auto"/>
              </w:rPr>
            </w:pPr>
          </w:p>
        </w:tc>
        <w:tc>
          <w:tcPr>
            <w:tcW w:w="60" w:type="dxa"/>
            <w:vAlign w:val="bottom"/>
            <w:tcBorders>
              <w:right w:val="single" w:sz="8" w:color="CFF0FC"/>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80" w:type="dxa"/>
            <w:vAlign w:val="bottom"/>
            <w:gridSpan w:val="2"/>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60" w:type="dxa"/>
            <w:vAlign w:val="bottom"/>
            <w:vMerge w:val="continue"/>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180" w:type="dxa"/>
            <w:vAlign w:val="bottom"/>
          </w:tcPr>
          <w:p>
            <w:pPr>
              <w:ind w:left="20"/>
              <w:spacing w:after="0"/>
              <w:rPr>
                <w:sz w:val="20"/>
                <w:szCs w:val="20"/>
                <w:color w:val="auto"/>
              </w:rPr>
            </w:pPr>
            <w:r>
              <w:rPr>
                <w:rFonts w:ascii="Arial" w:cs="Arial" w:eastAsia="Arial" w:hAnsi="Arial"/>
                <w:sz w:val="13"/>
                <w:szCs w:val="13"/>
                <w:color w:val="auto"/>
              </w:rPr>
              <w:t>Costs of initial public offering</w:t>
            </w:r>
          </w:p>
        </w:tc>
        <w:tc>
          <w:tcPr>
            <w:tcW w:w="640" w:type="dxa"/>
            <w:vAlign w:val="bottom"/>
            <w:gridSpan w:val="2"/>
          </w:tcPr>
          <w:p>
            <w:pPr>
              <w:jc w:val="right"/>
              <w:ind w:right="26"/>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62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3"/>
                <w:szCs w:val="13"/>
                <w:color w:val="auto"/>
              </w:rPr>
              <w:t>—</w:t>
            </w:r>
          </w:p>
        </w:tc>
        <w:tc>
          <w:tcPr>
            <w:tcW w:w="52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220" w:type="dxa"/>
            <w:vAlign w:val="bottom"/>
          </w:tcPr>
          <w:p>
            <w:pPr>
              <w:ind w:left="80"/>
              <w:spacing w:after="0"/>
              <w:rPr>
                <w:sz w:val="20"/>
                <w:szCs w:val="20"/>
                <w:color w:val="auto"/>
              </w:rPr>
            </w:pPr>
            <w:r>
              <w:rPr>
                <w:rFonts w:ascii="Arial" w:cs="Arial" w:eastAsia="Arial" w:hAnsi="Arial"/>
                <w:sz w:val="13"/>
                <w:szCs w:val="13"/>
                <w:color w:val="auto"/>
                <w:w w:val="91"/>
              </w:rPr>
              <w:t>—</w:t>
            </w:r>
          </w:p>
        </w:tc>
        <w:tc>
          <w:tcPr>
            <w:tcW w:w="40" w:type="dxa"/>
            <w:vAlign w:val="bottom"/>
          </w:tcPr>
          <w:p>
            <w:pPr>
              <w:spacing w:after="0"/>
              <w:rPr>
                <w:sz w:val="12"/>
                <w:szCs w:val="12"/>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240" w:type="dxa"/>
            <w:vAlign w:val="bottom"/>
          </w:tcPr>
          <w:p>
            <w:pPr>
              <w:ind w:left="100"/>
              <w:spacing w:after="0"/>
              <w:rPr>
                <w:sz w:val="20"/>
                <w:szCs w:val="20"/>
                <w:color w:val="auto"/>
              </w:rPr>
            </w:pPr>
            <w:r>
              <w:rPr>
                <w:rFonts w:ascii="Arial" w:cs="Arial" w:eastAsia="Arial" w:hAnsi="Arial"/>
                <w:sz w:val="13"/>
                <w:szCs w:val="13"/>
                <w:color w:val="auto"/>
                <w:w w:val="91"/>
              </w:rPr>
              <w:t>—</w:t>
            </w:r>
          </w:p>
        </w:tc>
        <w:tc>
          <w:tcPr>
            <w:tcW w:w="4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gridSpan w:val="3"/>
          </w:tcPr>
          <w:p>
            <w:pPr>
              <w:ind w:left="120"/>
              <w:spacing w:after="0"/>
              <w:rPr>
                <w:sz w:val="20"/>
                <w:szCs w:val="20"/>
                <w:color w:val="auto"/>
              </w:rPr>
            </w:pPr>
            <w:r>
              <w:rPr>
                <w:rFonts w:ascii="Arial" w:cs="Arial" w:eastAsia="Arial" w:hAnsi="Arial"/>
                <w:sz w:val="13"/>
                <w:szCs w:val="13"/>
                <w:color w:val="auto"/>
              </w:rPr>
              <w:t>—</w:t>
            </w:r>
          </w:p>
        </w:tc>
        <w:tc>
          <w:tcPr>
            <w:tcW w:w="600" w:type="dxa"/>
            <w:vAlign w:val="bottom"/>
            <w:gridSpan w:val="2"/>
          </w:tcPr>
          <w:p>
            <w:pPr>
              <w:jc w:val="right"/>
              <w:spacing w:after="0"/>
              <w:rPr>
                <w:sz w:val="20"/>
                <w:szCs w:val="20"/>
                <w:color w:val="auto"/>
              </w:rPr>
            </w:pPr>
            <w:r>
              <w:rPr>
                <w:rFonts w:ascii="Arial" w:cs="Arial" w:eastAsia="Arial" w:hAnsi="Arial"/>
                <w:sz w:val="13"/>
                <w:szCs w:val="13"/>
                <w:color w:val="auto"/>
              </w:rPr>
              <w:t>(3,678 )</w:t>
            </w:r>
          </w:p>
        </w:tc>
        <w:tc>
          <w:tcPr>
            <w:tcW w:w="160" w:type="dxa"/>
            <w:vAlign w:val="bottom"/>
          </w:tcPr>
          <w:p>
            <w:pPr>
              <w:spacing w:after="0"/>
              <w:rPr>
                <w:sz w:val="12"/>
                <w:szCs w:val="12"/>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720" w:type="dxa"/>
            <w:vAlign w:val="bottom"/>
            <w:gridSpan w:val="3"/>
          </w:tcPr>
          <w:p>
            <w:pPr>
              <w:jc w:val="right"/>
              <w:ind w:right="117"/>
              <w:spacing w:after="0"/>
              <w:rPr>
                <w:sz w:val="20"/>
                <w:szCs w:val="20"/>
                <w:color w:val="auto"/>
              </w:rPr>
            </w:pPr>
            <w:r>
              <w:rPr>
                <w:rFonts w:ascii="Arial" w:cs="Arial" w:eastAsia="Arial" w:hAnsi="Arial"/>
                <w:sz w:val="13"/>
                <w:szCs w:val="13"/>
                <w:color w:val="auto"/>
              </w:rPr>
              <w:t>—</w:t>
            </w:r>
          </w:p>
        </w:tc>
        <w:tc>
          <w:tcPr>
            <w:tcW w:w="640" w:type="dxa"/>
            <w:vAlign w:val="bottom"/>
            <w:gridSpan w:val="2"/>
          </w:tcPr>
          <w:p>
            <w:pPr>
              <w:jc w:val="right"/>
              <w:ind w:right="20"/>
              <w:spacing w:after="0"/>
              <w:rPr>
                <w:sz w:val="20"/>
                <w:szCs w:val="20"/>
                <w:color w:val="auto"/>
              </w:rPr>
            </w:pPr>
            <w:r>
              <w:rPr>
                <w:rFonts w:ascii="Arial" w:cs="Arial" w:eastAsia="Arial" w:hAnsi="Arial"/>
                <w:sz w:val="13"/>
                <w:szCs w:val="13"/>
                <w:color w:val="auto"/>
              </w:rPr>
              <w:t>(3,678 )</w:t>
            </w:r>
          </w:p>
        </w:tc>
        <w:tc>
          <w:tcPr>
            <w:tcW w:w="100" w:type="dxa"/>
            <w:vAlign w:val="bottom"/>
          </w:tcPr>
          <w:p>
            <w:pPr>
              <w:spacing w:after="0"/>
              <w:rPr>
                <w:sz w:val="12"/>
                <w:szCs w:val="12"/>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620" w:type="dxa"/>
            <w:vAlign w:val="bottom"/>
            <w:gridSpan w:val="2"/>
          </w:tcPr>
          <w:p>
            <w:pPr>
              <w:jc w:val="right"/>
              <w:spacing w:after="0"/>
              <w:rPr>
                <w:sz w:val="20"/>
                <w:szCs w:val="20"/>
                <w:color w:val="auto"/>
              </w:rPr>
            </w:pPr>
            <w:r>
              <w:rPr>
                <w:rFonts w:ascii="Arial" w:cs="Arial" w:eastAsia="Arial" w:hAnsi="Arial"/>
                <w:sz w:val="13"/>
                <w:szCs w:val="13"/>
                <w:color w:val="auto"/>
              </w:rPr>
              <w:t>(3,678 )</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80" w:type="dxa"/>
            <w:vAlign w:val="bottom"/>
            <w:shd w:val="clear" w:color="auto" w:fill="CFF0FC"/>
          </w:tcPr>
          <w:p>
            <w:pPr>
              <w:ind w:left="20"/>
              <w:spacing w:after="0"/>
              <w:rPr>
                <w:sz w:val="20"/>
                <w:szCs w:val="20"/>
                <w:color w:val="auto"/>
              </w:rPr>
            </w:pPr>
            <w:r>
              <w:rPr>
                <w:rFonts w:ascii="Arial" w:cs="Arial" w:eastAsia="Arial" w:hAnsi="Arial"/>
                <w:sz w:val="13"/>
                <w:szCs w:val="13"/>
                <w:color w:val="auto"/>
                <w:w w:val="95"/>
              </w:rPr>
              <w:t>Shares issued in business combination</w:t>
            </w:r>
          </w:p>
        </w:tc>
        <w:tc>
          <w:tcPr>
            <w:tcW w:w="640" w:type="dxa"/>
            <w:vAlign w:val="bottom"/>
            <w:gridSpan w:val="2"/>
            <w:shd w:val="clear" w:color="auto" w:fill="CFF0FC"/>
          </w:tcPr>
          <w:p>
            <w:pPr>
              <w:jc w:val="right"/>
              <w:ind w:right="26"/>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620" w:type="dxa"/>
            <w:vAlign w:val="bottom"/>
            <w:tcBorders>
              <w:right w:val="single" w:sz="8" w:color="auto"/>
            </w:tcBorders>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52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220" w:type="dxa"/>
            <w:vAlign w:val="bottom"/>
            <w:shd w:val="clear" w:color="auto" w:fill="CFF0FC"/>
          </w:tcPr>
          <w:p>
            <w:pPr>
              <w:ind w:left="80"/>
              <w:spacing w:after="0"/>
              <w:rPr>
                <w:sz w:val="20"/>
                <w:szCs w:val="20"/>
                <w:color w:val="auto"/>
              </w:rPr>
            </w:pPr>
            <w:r>
              <w:rPr>
                <w:rFonts w:ascii="Arial" w:cs="Arial" w:eastAsia="Arial" w:hAnsi="Arial"/>
                <w:sz w:val="13"/>
                <w:szCs w:val="13"/>
                <w:color w:val="auto"/>
                <w:w w:val="91"/>
              </w:rPr>
              <w:t>—</w:t>
            </w:r>
          </w:p>
        </w:tc>
        <w:tc>
          <w:tcPr>
            <w:tcW w:w="70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2,100,660</w:t>
            </w:r>
          </w:p>
        </w:tc>
        <w:tc>
          <w:tcPr>
            <w:tcW w:w="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40" w:type="dxa"/>
            <w:vAlign w:val="bottom"/>
            <w:shd w:val="clear" w:color="auto" w:fill="CFF0FC"/>
          </w:tcPr>
          <w:p>
            <w:pPr>
              <w:ind w:left="100"/>
              <w:spacing w:after="0"/>
              <w:rPr>
                <w:sz w:val="20"/>
                <w:szCs w:val="20"/>
                <w:color w:val="auto"/>
              </w:rPr>
            </w:pPr>
            <w:r>
              <w:rPr>
                <w:rFonts w:ascii="Arial" w:cs="Arial" w:eastAsia="Arial" w:hAnsi="Arial"/>
                <w:sz w:val="13"/>
                <w:szCs w:val="13"/>
                <w:color w:val="auto"/>
                <w:w w:val="91"/>
              </w:rPr>
              <w:t>—</w:t>
            </w:r>
          </w:p>
        </w:tc>
        <w:tc>
          <w:tcPr>
            <w:tcW w:w="4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420" w:type="dxa"/>
            <w:vAlign w:val="bottom"/>
            <w:gridSpan w:val="3"/>
            <w:shd w:val="clear" w:color="auto" w:fill="CFF0FC"/>
          </w:tcPr>
          <w:p>
            <w:pPr>
              <w:ind w:left="120"/>
              <w:spacing w:after="0"/>
              <w:rPr>
                <w:sz w:val="20"/>
                <w:szCs w:val="20"/>
                <w:color w:val="auto"/>
              </w:rPr>
            </w:pPr>
            <w:r>
              <w:rPr>
                <w:rFonts w:ascii="Arial" w:cs="Arial" w:eastAsia="Arial" w:hAnsi="Arial"/>
                <w:sz w:val="13"/>
                <w:szCs w:val="13"/>
                <w:color w:val="auto"/>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102,888</w:t>
            </w:r>
          </w:p>
        </w:tc>
        <w:tc>
          <w:tcPr>
            <w:tcW w:w="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0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2"/>
                <w:szCs w:val="12"/>
                <w:color w:val="auto"/>
              </w:rPr>
            </w:pPr>
          </w:p>
        </w:tc>
        <w:tc>
          <w:tcPr>
            <w:tcW w:w="720" w:type="dxa"/>
            <w:vAlign w:val="bottom"/>
            <w:gridSpan w:val="3"/>
            <w:shd w:val="clear" w:color="auto" w:fill="CFF0FC"/>
          </w:tcPr>
          <w:p>
            <w:pPr>
              <w:jc w:val="right"/>
              <w:ind w:right="117"/>
              <w:spacing w:after="0"/>
              <w:rPr>
                <w:sz w:val="20"/>
                <w:szCs w:val="20"/>
                <w:color w:val="auto"/>
              </w:rPr>
            </w:pPr>
            <w:r>
              <w:rPr>
                <w:rFonts w:ascii="Arial" w:cs="Arial" w:eastAsia="Arial" w:hAnsi="Arial"/>
                <w:sz w:val="13"/>
                <w:szCs w:val="13"/>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102,888</w:t>
            </w:r>
          </w:p>
        </w:tc>
        <w:tc>
          <w:tcPr>
            <w:tcW w:w="60" w:type="dxa"/>
            <w:vAlign w:val="bottom"/>
            <w:tcBorders>
              <w:right w:val="single" w:sz="8" w:color="CFF0FC"/>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8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102,888</w:t>
            </w:r>
          </w:p>
        </w:tc>
        <w:tc>
          <w:tcPr>
            <w:tcW w:w="60" w:type="dxa"/>
            <w:vAlign w:val="bottom"/>
            <w:shd w:val="clear" w:color="auto" w:fill="CFF0FC"/>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180" w:type="dxa"/>
            <w:vAlign w:val="bottom"/>
          </w:tcPr>
          <w:p>
            <w:pPr>
              <w:ind w:left="20"/>
              <w:spacing w:after="0" w:line="108" w:lineRule="exact"/>
              <w:rPr>
                <w:sz w:val="20"/>
                <w:szCs w:val="20"/>
                <w:color w:val="auto"/>
              </w:rPr>
            </w:pPr>
            <w:r>
              <w:rPr>
                <w:rFonts w:ascii="Arial" w:cs="Arial" w:eastAsia="Arial" w:hAnsi="Arial"/>
                <w:sz w:val="12"/>
                <w:szCs w:val="12"/>
                <w:color w:val="auto"/>
              </w:rPr>
              <w:t>Noncontrolling interest acquired in</w:t>
            </w:r>
          </w:p>
        </w:tc>
        <w:tc>
          <w:tcPr>
            <w:tcW w:w="640" w:type="dxa"/>
            <w:vAlign w:val="bottom"/>
            <w:gridSpan w:val="2"/>
            <w:vMerge w:val="restart"/>
          </w:tcPr>
          <w:p>
            <w:pPr>
              <w:jc w:val="right"/>
              <w:ind w:right="26"/>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9"/>
                <w:szCs w:val="9"/>
                <w:color w:val="auto"/>
              </w:rPr>
            </w:pPr>
          </w:p>
        </w:tc>
        <w:tc>
          <w:tcPr>
            <w:tcW w:w="620" w:type="dxa"/>
            <w:vAlign w:val="bottom"/>
            <w:tcBorders>
              <w:right w:val="single" w:sz="8" w:color="auto"/>
            </w:tcBorders>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520" w:type="dxa"/>
            <w:vAlign w:val="bottom"/>
            <w:gridSpan w:val="2"/>
            <w:vMerge w:val="restart"/>
          </w:tcPr>
          <w:p>
            <w:pPr>
              <w:jc w:val="right"/>
              <w:ind w:right="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9"/>
                <w:szCs w:val="9"/>
                <w:color w:val="auto"/>
              </w:rPr>
            </w:pPr>
          </w:p>
        </w:tc>
        <w:tc>
          <w:tcPr>
            <w:tcW w:w="220" w:type="dxa"/>
            <w:vAlign w:val="bottom"/>
            <w:vMerge w:val="restart"/>
          </w:tcPr>
          <w:p>
            <w:pPr>
              <w:ind w:left="80"/>
              <w:spacing w:after="0"/>
              <w:rPr>
                <w:sz w:val="20"/>
                <w:szCs w:val="20"/>
                <w:color w:val="auto"/>
              </w:rPr>
            </w:pPr>
            <w:r>
              <w:rPr>
                <w:rFonts w:ascii="Arial" w:cs="Arial" w:eastAsia="Arial" w:hAnsi="Arial"/>
                <w:sz w:val="13"/>
                <w:szCs w:val="13"/>
                <w:color w:val="auto"/>
                <w:w w:val="91"/>
              </w:rPr>
              <w:t>—</w:t>
            </w:r>
          </w:p>
        </w:tc>
        <w:tc>
          <w:tcPr>
            <w:tcW w:w="40" w:type="dxa"/>
            <w:vAlign w:val="bottom"/>
          </w:tcPr>
          <w:p>
            <w:pPr>
              <w:spacing w:after="0"/>
              <w:rPr>
                <w:sz w:val="9"/>
                <w:szCs w:val="9"/>
                <w:color w:val="auto"/>
              </w:rPr>
            </w:pPr>
          </w:p>
        </w:tc>
        <w:tc>
          <w:tcPr>
            <w:tcW w:w="700" w:type="dxa"/>
            <w:vAlign w:val="bottom"/>
            <w:gridSpan w:val="2"/>
            <w:vMerge w:val="restart"/>
          </w:tcPr>
          <w:p>
            <w:pPr>
              <w:jc w:val="right"/>
              <w:ind w:right="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9"/>
                <w:szCs w:val="9"/>
                <w:color w:val="auto"/>
              </w:rPr>
            </w:pPr>
          </w:p>
        </w:tc>
        <w:tc>
          <w:tcPr>
            <w:tcW w:w="240" w:type="dxa"/>
            <w:vAlign w:val="bottom"/>
            <w:vMerge w:val="restart"/>
          </w:tcPr>
          <w:p>
            <w:pPr>
              <w:ind w:left="100"/>
              <w:spacing w:after="0"/>
              <w:rPr>
                <w:sz w:val="20"/>
                <w:szCs w:val="20"/>
                <w:color w:val="auto"/>
              </w:rPr>
            </w:pPr>
            <w:r>
              <w:rPr>
                <w:rFonts w:ascii="Arial" w:cs="Arial" w:eastAsia="Arial" w:hAnsi="Arial"/>
                <w:sz w:val="13"/>
                <w:szCs w:val="13"/>
                <w:color w:val="auto"/>
                <w:w w:val="91"/>
              </w:rPr>
              <w:t>—</w:t>
            </w:r>
          </w:p>
        </w:tc>
        <w:tc>
          <w:tcPr>
            <w:tcW w:w="40" w:type="dxa"/>
            <w:vAlign w:val="bottom"/>
          </w:tcPr>
          <w:p>
            <w:pPr>
              <w:spacing w:after="0"/>
              <w:rPr>
                <w:sz w:val="9"/>
                <w:szCs w:val="9"/>
                <w:color w:val="auto"/>
              </w:rPr>
            </w:pPr>
          </w:p>
        </w:tc>
        <w:tc>
          <w:tcPr>
            <w:tcW w:w="6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420" w:type="dxa"/>
            <w:vAlign w:val="bottom"/>
            <w:gridSpan w:val="3"/>
            <w:vMerge w:val="restart"/>
          </w:tcPr>
          <w:p>
            <w:pPr>
              <w:ind w:left="120"/>
              <w:spacing w:after="0"/>
              <w:rPr>
                <w:sz w:val="20"/>
                <w:szCs w:val="20"/>
                <w:color w:val="auto"/>
              </w:rPr>
            </w:pPr>
            <w:r>
              <w:rPr>
                <w:rFonts w:ascii="Arial" w:cs="Arial" w:eastAsia="Arial" w:hAnsi="Arial"/>
                <w:sz w:val="13"/>
                <w:szCs w:val="13"/>
                <w:color w:val="auto"/>
              </w:rPr>
              <w:t>—</w:t>
            </w:r>
          </w:p>
        </w:tc>
        <w:tc>
          <w:tcPr>
            <w:tcW w:w="600" w:type="dxa"/>
            <w:vAlign w:val="bottom"/>
            <w:gridSpan w:val="2"/>
            <w:vMerge w:val="restart"/>
          </w:tcPr>
          <w:p>
            <w:pPr>
              <w:jc w:val="right"/>
              <w:ind w:right="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9"/>
                <w:szCs w:val="9"/>
                <w:color w:val="auto"/>
              </w:rPr>
            </w:pPr>
          </w:p>
        </w:tc>
        <w:tc>
          <w:tcPr>
            <w:tcW w:w="700" w:type="dxa"/>
            <w:vAlign w:val="bottom"/>
            <w:gridSpan w:val="2"/>
            <w:vMerge w:val="restart"/>
          </w:tcPr>
          <w:p>
            <w:pPr>
              <w:jc w:val="right"/>
              <w:ind w:right="1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9"/>
                <w:szCs w:val="9"/>
                <w:color w:val="auto"/>
              </w:rPr>
            </w:pPr>
          </w:p>
        </w:tc>
        <w:tc>
          <w:tcPr>
            <w:tcW w:w="720" w:type="dxa"/>
            <w:vAlign w:val="bottom"/>
            <w:gridSpan w:val="3"/>
            <w:vMerge w:val="restart"/>
          </w:tcPr>
          <w:p>
            <w:pPr>
              <w:jc w:val="right"/>
              <w:ind w:right="117"/>
              <w:spacing w:after="0"/>
              <w:rPr>
                <w:sz w:val="20"/>
                <w:szCs w:val="20"/>
                <w:color w:val="auto"/>
              </w:rPr>
            </w:pPr>
            <w:r>
              <w:rPr>
                <w:rFonts w:ascii="Arial" w:cs="Arial" w:eastAsia="Arial" w:hAnsi="Arial"/>
                <w:sz w:val="13"/>
                <w:szCs w:val="13"/>
                <w:color w:val="auto"/>
              </w:rPr>
              <w:t>—</w:t>
            </w:r>
          </w:p>
        </w:tc>
        <w:tc>
          <w:tcPr>
            <w:tcW w:w="640" w:type="dxa"/>
            <w:vAlign w:val="bottom"/>
            <w:gridSpan w:val="2"/>
            <w:vMerge w:val="restart"/>
          </w:tcPr>
          <w:p>
            <w:pPr>
              <w:jc w:val="right"/>
              <w:ind w:right="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9"/>
                <w:szCs w:val="9"/>
                <w:color w:val="auto"/>
              </w:rPr>
            </w:pPr>
          </w:p>
        </w:tc>
        <w:tc>
          <w:tcPr>
            <w:tcW w:w="520" w:type="dxa"/>
            <w:vAlign w:val="bottom"/>
            <w:vMerge w:val="restart"/>
          </w:tcPr>
          <w:p>
            <w:pPr>
              <w:jc w:val="right"/>
              <w:spacing w:after="0"/>
              <w:rPr>
                <w:sz w:val="20"/>
                <w:szCs w:val="20"/>
                <w:color w:val="auto"/>
              </w:rPr>
            </w:pPr>
            <w:r>
              <w:rPr>
                <w:rFonts w:ascii="Arial" w:cs="Arial" w:eastAsia="Arial" w:hAnsi="Arial"/>
                <w:sz w:val="13"/>
                <w:szCs w:val="13"/>
                <w:color w:val="auto"/>
              </w:rPr>
              <w:t>1,036</w:t>
            </w: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vMerge w:val="restart"/>
          </w:tcPr>
          <w:p>
            <w:pPr>
              <w:jc w:val="right"/>
              <w:spacing w:after="0"/>
              <w:rPr>
                <w:sz w:val="20"/>
                <w:szCs w:val="20"/>
                <w:color w:val="auto"/>
              </w:rPr>
            </w:pPr>
            <w:r>
              <w:rPr>
                <w:rFonts w:ascii="Arial" w:cs="Arial" w:eastAsia="Arial" w:hAnsi="Arial"/>
                <w:sz w:val="13"/>
                <w:szCs w:val="13"/>
                <w:color w:val="auto"/>
              </w:rPr>
              <w:t>1,036</w:t>
            </w: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1"/>
        </w:trPr>
        <w:tc>
          <w:tcPr>
            <w:tcW w:w="2180" w:type="dxa"/>
            <w:vAlign w:val="bottom"/>
          </w:tcPr>
          <w:p>
            <w:pPr>
              <w:ind w:left="20"/>
              <w:spacing w:after="0"/>
              <w:rPr>
                <w:sz w:val="20"/>
                <w:szCs w:val="20"/>
                <w:color w:val="auto"/>
              </w:rPr>
            </w:pPr>
            <w:r>
              <w:rPr>
                <w:rFonts w:ascii="Arial" w:cs="Arial" w:eastAsia="Arial" w:hAnsi="Arial"/>
                <w:sz w:val="13"/>
                <w:szCs w:val="13"/>
                <w:color w:val="auto"/>
              </w:rPr>
              <w:t>business combination</w:t>
            </w:r>
          </w:p>
        </w:tc>
        <w:tc>
          <w:tcPr>
            <w:tcW w:w="6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Borders>
              <w:right w:val="single" w:sz="8" w:color="auto"/>
            </w:tcBorders>
            <w:gridSpan w:val="2"/>
            <w:vMerge w:val="continue"/>
          </w:tcPr>
          <w:p>
            <w:pPr>
              <w:spacing w:after="0"/>
              <w:rPr>
                <w:sz w:val="14"/>
                <w:szCs w:val="14"/>
                <w:color w:val="auto"/>
              </w:rPr>
            </w:pPr>
          </w:p>
        </w:tc>
        <w:tc>
          <w:tcPr>
            <w:tcW w:w="5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20" w:type="dxa"/>
            <w:vAlign w:val="bottom"/>
            <w:gridSpan w:val="3"/>
            <w:vMerge w:val="continue"/>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gridSpan w:val="3"/>
            <w:vMerge w:val="continue"/>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180" w:type="dxa"/>
            <w:vAlign w:val="bottom"/>
            <w:shd w:val="clear" w:color="auto" w:fill="CFF0FC"/>
          </w:tcPr>
          <w:p>
            <w:pPr>
              <w:ind w:left="20"/>
              <w:spacing w:after="0"/>
              <w:rPr>
                <w:sz w:val="20"/>
                <w:szCs w:val="20"/>
                <w:color w:val="auto"/>
              </w:rPr>
            </w:pPr>
            <w:r>
              <w:rPr>
                <w:rFonts w:ascii="Arial" w:cs="Arial" w:eastAsia="Arial" w:hAnsi="Arial"/>
                <w:sz w:val="13"/>
                <w:szCs w:val="13"/>
                <w:color w:val="auto"/>
              </w:rPr>
              <w:t>Donated common stock</w:t>
            </w:r>
          </w:p>
        </w:tc>
        <w:tc>
          <w:tcPr>
            <w:tcW w:w="640" w:type="dxa"/>
            <w:vAlign w:val="bottom"/>
            <w:gridSpan w:val="2"/>
            <w:shd w:val="clear" w:color="auto" w:fill="CFF0FC"/>
          </w:tcPr>
          <w:p>
            <w:pPr>
              <w:jc w:val="right"/>
              <w:ind w:right="26"/>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620" w:type="dxa"/>
            <w:vAlign w:val="bottom"/>
            <w:tcBorders>
              <w:right w:val="single" w:sz="8" w:color="auto"/>
            </w:tcBorders>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52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220" w:type="dxa"/>
            <w:vAlign w:val="bottom"/>
            <w:shd w:val="clear" w:color="auto" w:fill="CFF0FC"/>
          </w:tcPr>
          <w:p>
            <w:pPr>
              <w:ind w:left="80"/>
              <w:spacing w:after="0"/>
              <w:rPr>
                <w:sz w:val="20"/>
                <w:szCs w:val="20"/>
                <w:color w:val="auto"/>
              </w:rPr>
            </w:pPr>
            <w:r>
              <w:rPr>
                <w:rFonts w:ascii="Arial" w:cs="Arial" w:eastAsia="Arial" w:hAnsi="Arial"/>
                <w:sz w:val="13"/>
                <w:szCs w:val="13"/>
                <w:color w:val="auto"/>
                <w:w w:val="91"/>
              </w:rPr>
              <w:t>—</w:t>
            </w:r>
          </w:p>
        </w:tc>
        <w:tc>
          <w:tcPr>
            <w:tcW w:w="70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40,266</w:t>
            </w:r>
          </w:p>
        </w:tc>
        <w:tc>
          <w:tcPr>
            <w:tcW w:w="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40" w:type="dxa"/>
            <w:vAlign w:val="bottom"/>
            <w:shd w:val="clear" w:color="auto" w:fill="CFF0FC"/>
          </w:tcPr>
          <w:p>
            <w:pPr>
              <w:ind w:left="100"/>
              <w:spacing w:after="0"/>
              <w:rPr>
                <w:sz w:val="20"/>
                <w:szCs w:val="20"/>
                <w:color w:val="auto"/>
              </w:rPr>
            </w:pPr>
            <w:r>
              <w:rPr>
                <w:rFonts w:ascii="Arial" w:cs="Arial" w:eastAsia="Arial" w:hAnsi="Arial"/>
                <w:sz w:val="13"/>
                <w:szCs w:val="13"/>
                <w:color w:val="auto"/>
                <w:w w:val="91"/>
              </w:rPr>
              <w:t>—</w:t>
            </w:r>
          </w:p>
        </w:tc>
        <w:tc>
          <w:tcPr>
            <w:tcW w:w="4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420" w:type="dxa"/>
            <w:vAlign w:val="bottom"/>
            <w:gridSpan w:val="3"/>
            <w:shd w:val="clear" w:color="auto" w:fill="CFF0FC"/>
          </w:tcPr>
          <w:p>
            <w:pPr>
              <w:ind w:left="120"/>
              <w:spacing w:after="0"/>
              <w:rPr>
                <w:sz w:val="20"/>
                <w:szCs w:val="20"/>
                <w:color w:val="auto"/>
              </w:rPr>
            </w:pPr>
            <w:r>
              <w:rPr>
                <w:rFonts w:ascii="Arial" w:cs="Arial" w:eastAsia="Arial" w:hAnsi="Arial"/>
                <w:sz w:val="13"/>
                <w:szCs w:val="13"/>
                <w:color w:val="auto"/>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2,226</w:t>
            </w:r>
          </w:p>
        </w:tc>
        <w:tc>
          <w:tcPr>
            <w:tcW w:w="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0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2"/>
                <w:szCs w:val="12"/>
                <w:color w:val="auto"/>
              </w:rPr>
            </w:pPr>
          </w:p>
        </w:tc>
        <w:tc>
          <w:tcPr>
            <w:tcW w:w="720" w:type="dxa"/>
            <w:vAlign w:val="bottom"/>
            <w:gridSpan w:val="3"/>
            <w:shd w:val="clear" w:color="auto" w:fill="CFF0FC"/>
          </w:tcPr>
          <w:p>
            <w:pPr>
              <w:jc w:val="right"/>
              <w:ind w:right="117"/>
              <w:spacing w:after="0"/>
              <w:rPr>
                <w:sz w:val="20"/>
                <w:szCs w:val="20"/>
                <w:color w:val="auto"/>
              </w:rPr>
            </w:pPr>
            <w:r>
              <w:rPr>
                <w:rFonts w:ascii="Arial" w:cs="Arial" w:eastAsia="Arial" w:hAnsi="Arial"/>
                <w:sz w:val="13"/>
                <w:szCs w:val="13"/>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2,226</w:t>
            </w:r>
          </w:p>
        </w:tc>
        <w:tc>
          <w:tcPr>
            <w:tcW w:w="60" w:type="dxa"/>
            <w:vAlign w:val="bottom"/>
            <w:tcBorders>
              <w:right w:val="single" w:sz="8" w:color="CFF0FC"/>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8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2,226</w:t>
            </w:r>
          </w:p>
        </w:tc>
        <w:tc>
          <w:tcPr>
            <w:tcW w:w="60" w:type="dxa"/>
            <w:vAlign w:val="bottom"/>
            <w:shd w:val="clear" w:color="auto" w:fill="CFF0FC"/>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80" w:type="dxa"/>
            <w:vAlign w:val="bottom"/>
          </w:tcPr>
          <w:p>
            <w:pPr>
              <w:ind w:left="20"/>
              <w:spacing w:after="0"/>
              <w:rPr>
                <w:sz w:val="20"/>
                <w:szCs w:val="20"/>
                <w:color w:val="auto"/>
              </w:rPr>
            </w:pPr>
            <w:r>
              <w:rPr>
                <w:rFonts w:ascii="Arial" w:cs="Arial" w:eastAsia="Arial" w:hAnsi="Arial"/>
                <w:sz w:val="13"/>
                <w:szCs w:val="13"/>
                <w:color w:val="auto"/>
              </w:rPr>
              <w:t>Stock based compensation</w:t>
            </w:r>
          </w:p>
        </w:tc>
        <w:tc>
          <w:tcPr>
            <w:tcW w:w="640" w:type="dxa"/>
            <w:vAlign w:val="bottom"/>
            <w:gridSpan w:val="2"/>
          </w:tcPr>
          <w:p>
            <w:pPr>
              <w:jc w:val="right"/>
              <w:ind w:right="26"/>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62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3"/>
                <w:szCs w:val="13"/>
                <w:color w:val="auto"/>
              </w:rPr>
              <w:t>—</w:t>
            </w:r>
          </w:p>
        </w:tc>
        <w:tc>
          <w:tcPr>
            <w:tcW w:w="52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220" w:type="dxa"/>
            <w:vAlign w:val="bottom"/>
          </w:tcPr>
          <w:p>
            <w:pPr>
              <w:ind w:left="80"/>
              <w:spacing w:after="0"/>
              <w:rPr>
                <w:sz w:val="20"/>
                <w:szCs w:val="20"/>
                <w:color w:val="auto"/>
              </w:rPr>
            </w:pPr>
            <w:r>
              <w:rPr>
                <w:rFonts w:ascii="Arial" w:cs="Arial" w:eastAsia="Arial" w:hAnsi="Arial"/>
                <w:sz w:val="13"/>
                <w:szCs w:val="13"/>
                <w:color w:val="auto"/>
                <w:w w:val="91"/>
              </w:rPr>
              <w:t>—</w:t>
            </w:r>
          </w:p>
        </w:tc>
        <w:tc>
          <w:tcPr>
            <w:tcW w:w="40" w:type="dxa"/>
            <w:vAlign w:val="bottom"/>
          </w:tcPr>
          <w:p>
            <w:pPr>
              <w:spacing w:after="0"/>
              <w:rPr>
                <w:sz w:val="12"/>
                <w:szCs w:val="12"/>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240" w:type="dxa"/>
            <w:vAlign w:val="bottom"/>
          </w:tcPr>
          <w:p>
            <w:pPr>
              <w:ind w:left="100"/>
              <w:spacing w:after="0"/>
              <w:rPr>
                <w:sz w:val="20"/>
                <w:szCs w:val="20"/>
                <w:color w:val="auto"/>
              </w:rPr>
            </w:pPr>
            <w:r>
              <w:rPr>
                <w:rFonts w:ascii="Arial" w:cs="Arial" w:eastAsia="Arial" w:hAnsi="Arial"/>
                <w:sz w:val="13"/>
                <w:szCs w:val="13"/>
                <w:color w:val="auto"/>
                <w:w w:val="91"/>
              </w:rPr>
              <w:t>—</w:t>
            </w:r>
          </w:p>
        </w:tc>
        <w:tc>
          <w:tcPr>
            <w:tcW w:w="4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gridSpan w:val="3"/>
          </w:tcPr>
          <w:p>
            <w:pPr>
              <w:ind w:left="120"/>
              <w:spacing w:after="0"/>
              <w:rPr>
                <w:sz w:val="20"/>
                <w:szCs w:val="20"/>
                <w:color w:val="auto"/>
              </w:rPr>
            </w:pPr>
            <w:r>
              <w:rPr>
                <w:rFonts w:ascii="Arial" w:cs="Arial" w:eastAsia="Arial" w:hAnsi="Arial"/>
                <w:sz w:val="13"/>
                <w:szCs w:val="13"/>
                <w:color w:val="auto"/>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7,395</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720" w:type="dxa"/>
            <w:vAlign w:val="bottom"/>
            <w:gridSpan w:val="3"/>
          </w:tcPr>
          <w:p>
            <w:pPr>
              <w:jc w:val="right"/>
              <w:ind w:right="117"/>
              <w:spacing w:after="0"/>
              <w:rPr>
                <w:sz w:val="20"/>
                <w:szCs w:val="20"/>
                <w:color w:val="auto"/>
              </w:rPr>
            </w:pPr>
            <w:r>
              <w:rPr>
                <w:rFonts w:ascii="Arial" w:cs="Arial" w:eastAsia="Arial" w:hAnsi="Arial"/>
                <w:sz w:val="13"/>
                <w:szCs w:val="13"/>
                <w:color w:val="auto"/>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7,395</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7,395</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80" w:type="dxa"/>
            <w:vAlign w:val="bottom"/>
            <w:shd w:val="clear" w:color="auto" w:fill="CFF0FC"/>
          </w:tcPr>
          <w:p>
            <w:pPr>
              <w:ind w:left="20"/>
              <w:spacing w:after="0"/>
              <w:rPr>
                <w:sz w:val="20"/>
                <w:szCs w:val="20"/>
                <w:color w:val="auto"/>
              </w:rPr>
            </w:pPr>
            <w:r>
              <w:rPr>
                <w:rFonts w:ascii="Arial" w:cs="Arial" w:eastAsia="Arial" w:hAnsi="Arial"/>
                <w:sz w:val="13"/>
                <w:szCs w:val="13"/>
                <w:color w:val="auto"/>
              </w:rPr>
              <w:t>Comprehensive loss</w:t>
            </w:r>
          </w:p>
        </w:tc>
        <w:tc>
          <w:tcPr>
            <w:tcW w:w="5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120" w:type="dxa"/>
            <w:vAlign w:val="bottom"/>
            <w:tcBorders>
              <w:right w:val="single" w:sz="8" w:color="auto"/>
            </w:tcBorders>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60" w:type="dxa"/>
            <w:vAlign w:val="bottom"/>
            <w:tcBorders>
              <w:right w:val="single" w:sz="8" w:color="CFF0FC"/>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80" w:type="dxa"/>
            <w:vAlign w:val="bottom"/>
          </w:tcPr>
          <w:p>
            <w:pPr>
              <w:ind w:left="160"/>
              <w:spacing w:after="0"/>
              <w:rPr>
                <w:sz w:val="20"/>
                <w:szCs w:val="20"/>
                <w:color w:val="auto"/>
              </w:rPr>
            </w:pPr>
            <w:r>
              <w:rPr>
                <w:rFonts w:ascii="Arial" w:cs="Arial" w:eastAsia="Arial" w:hAnsi="Arial"/>
                <w:sz w:val="13"/>
                <w:szCs w:val="13"/>
                <w:color w:val="auto"/>
              </w:rPr>
              <w:t>Foreign currency translation</w:t>
            </w:r>
          </w:p>
        </w:tc>
        <w:tc>
          <w:tcPr>
            <w:tcW w:w="640" w:type="dxa"/>
            <w:vAlign w:val="bottom"/>
            <w:gridSpan w:val="2"/>
          </w:tcPr>
          <w:p>
            <w:pPr>
              <w:jc w:val="right"/>
              <w:ind w:right="26"/>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62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3"/>
                <w:szCs w:val="13"/>
                <w:color w:val="auto"/>
              </w:rPr>
              <w:t>—</w:t>
            </w:r>
          </w:p>
        </w:tc>
        <w:tc>
          <w:tcPr>
            <w:tcW w:w="52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220" w:type="dxa"/>
            <w:vAlign w:val="bottom"/>
          </w:tcPr>
          <w:p>
            <w:pPr>
              <w:ind w:left="80"/>
              <w:spacing w:after="0"/>
              <w:rPr>
                <w:sz w:val="20"/>
                <w:szCs w:val="20"/>
                <w:color w:val="auto"/>
              </w:rPr>
            </w:pPr>
            <w:r>
              <w:rPr>
                <w:rFonts w:ascii="Arial" w:cs="Arial" w:eastAsia="Arial" w:hAnsi="Arial"/>
                <w:sz w:val="13"/>
                <w:szCs w:val="13"/>
                <w:color w:val="auto"/>
                <w:w w:val="91"/>
              </w:rPr>
              <w:t>—</w:t>
            </w:r>
          </w:p>
        </w:tc>
        <w:tc>
          <w:tcPr>
            <w:tcW w:w="40" w:type="dxa"/>
            <w:vAlign w:val="bottom"/>
          </w:tcPr>
          <w:p>
            <w:pPr>
              <w:spacing w:after="0"/>
              <w:rPr>
                <w:sz w:val="12"/>
                <w:szCs w:val="12"/>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240" w:type="dxa"/>
            <w:vAlign w:val="bottom"/>
          </w:tcPr>
          <w:p>
            <w:pPr>
              <w:ind w:left="100"/>
              <w:spacing w:after="0"/>
              <w:rPr>
                <w:sz w:val="20"/>
                <w:szCs w:val="20"/>
                <w:color w:val="auto"/>
              </w:rPr>
            </w:pPr>
            <w:r>
              <w:rPr>
                <w:rFonts w:ascii="Arial" w:cs="Arial" w:eastAsia="Arial" w:hAnsi="Arial"/>
                <w:sz w:val="13"/>
                <w:szCs w:val="13"/>
                <w:color w:val="auto"/>
                <w:w w:val="91"/>
              </w:rPr>
              <w:t>—</w:t>
            </w:r>
          </w:p>
        </w:tc>
        <w:tc>
          <w:tcPr>
            <w:tcW w:w="4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gridSpan w:val="3"/>
          </w:tcPr>
          <w:p>
            <w:pPr>
              <w:ind w:left="120"/>
              <w:spacing w:after="0"/>
              <w:rPr>
                <w:sz w:val="20"/>
                <w:szCs w:val="20"/>
                <w:color w:val="auto"/>
              </w:rPr>
            </w:pPr>
            <w:r>
              <w:rPr>
                <w:rFonts w:ascii="Arial" w:cs="Arial" w:eastAsia="Arial" w:hAnsi="Arial"/>
                <w:sz w:val="13"/>
                <w:szCs w:val="13"/>
                <w:color w:val="auto"/>
              </w:rPr>
              <w:t>—</w:t>
            </w:r>
          </w:p>
        </w:tc>
        <w:tc>
          <w:tcPr>
            <w:tcW w:w="60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3"/>
                <w:szCs w:val="13"/>
                <w:color w:val="auto"/>
              </w:rPr>
              <w:t>(61 )</w:t>
            </w:r>
          </w:p>
        </w:tc>
        <w:tc>
          <w:tcPr>
            <w:tcW w:w="140" w:type="dxa"/>
            <w:vAlign w:val="bottom"/>
          </w:tcPr>
          <w:p>
            <w:pPr>
              <w:spacing w:after="0"/>
              <w:rPr>
                <w:sz w:val="12"/>
                <w:szCs w:val="12"/>
                <w:color w:val="auto"/>
              </w:rPr>
            </w:pPr>
          </w:p>
        </w:tc>
        <w:tc>
          <w:tcPr>
            <w:tcW w:w="720" w:type="dxa"/>
            <w:vAlign w:val="bottom"/>
            <w:gridSpan w:val="3"/>
          </w:tcPr>
          <w:p>
            <w:pPr>
              <w:jc w:val="right"/>
              <w:ind w:right="117"/>
              <w:spacing w:after="0"/>
              <w:rPr>
                <w:sz w:val="20"/>
                <w:szCs w:val="20"/>
                <w:color w:val="auto"/>
              </w:rPr>
            </w:pPr>
            <w:r>
              <w:rPr>
                <w:rFonts w:ascii="Arial" w:cs="Arial" w:eastAsia="Arial" w:hAnsi="Arial"/>
                <w:sz w:val="13"/>
                <w:szCs w:val="13"/>
                <w:color w:val="auto"/>
              </w:rPr>
              <w:t>—</w:t>
            </w:r>
          </w:p>
        </w:tc>
        <w:tc>
          <w:tcPr>
            <w:tcW w:w="640" w:type="dxa"/>
            <w:vAlign w:val="bottom"/>
            <w:gridSpan w:val="2"/>
          </w:tcPr>
          <w:p>
            <w:pPr>
              <w:jc w:val="right"/>
              <w:ind w:right="20"/>
              <w:spacing w:after="0"/>
              <w:rPr>
                <w:sz w:val="20"/>
                <w:szCs w:val="20"/>
                <w:color w:val="auto"/>
              </w:rPr>
            </w:pPr>
            <w:r>
              <w:rPr>
                <w:rFonts w:ascii="Arial" w:cs="Arial" w:eastAsia="Arial" w:hAnsi="Arial"/>
                <w:sz w:val="13"/>
                <w:szCs w:val="13"/>
                <w:color w:val="auto"/>
              </w:rPr>
              <w:t>(61 )</w:t>
            </w:r>
          </w:p>
        </w:tc>
        <w:tc>
          <w:tcPr>
            <w:tcW w:w="100" w:type="dxa"/>
            <w:vAlign w:val="bottom"/>
          </w:tcPr>
          <w:p>
            <w:pPr>
              <w:spacing w:after="0"/>
              <w:rPr>
                <w:sz w:val="12"/>
                <w:szCs w:val="12"/>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620" w:type="dxa"/>
            <w:vAlign w:val="bottom"/>
            <w:gridSpan w:val="2"/>
          </w:tcPr>
          <w:p>
            <w:pPr>
              <w:jc w:val="right"/>
              <w:spacing w:after="0"/>
              <w:rPr>
                <w:sz w:val="20"/>
                <w:szCs w:val="20"/>
                <w:color w:val="auto"/>
              </w:rPr>
            </w:pPr>
            <w:r>
              <w:rPr>
                <w:rFonts w:ascii="Arial" w:cs="Arial" w:eastAsia="Arial" w:hAnsi="Arial"/>
                <w:sz w:val="13"/>
                <w:szCs w:val="13"/>
                <w:color w:val="auto"/>
              </w:rPr>
              <w:t>(61 )</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80" w:type="dxa"/>
            <w:vAlign w:val="bottom"/>
            <w:shd w:val="clear" w:color="auto" w:fill="CFF0FC"/>
          </w:tcPr>
          <w:p>
            <w:pPr>
              <w:ind w:left="160"/>
              <w:spacing w:after="0"/>
              <w:rPr>
                <w:sz w:val="20"/>
                <w:szCs w:val="20"/>
                <w:color w:val="auto"/>
              </w:rPr>
            </w:pPr>
            <w:r>
              <w:rPr>
                <w:rFonts w:ascii="Arial" w:cs="Arial" w:eastAsia="Arial" w:hAnsi="Arial"/>
                <w:sz w:val="13"/>
                <w:szCs w:val="13"/>
                <w:color w:val="auto"/>
              </w:rPr>
              <w:t>Net loss</w:t>
            </w:r>
          </w:p>
        </w:tc>
        <w:tc>
          <w:tcPr>
            <w:tcW w:w="640" w:type="dxa"/>
            <w:vAlign w:val="bottom"/>
            <w:gridSpan w:val="2"/>
            <w:shd w:val="clear" w:color="auto" w:fill="CFF0FC"/>
          </w:tcPr>
          <w:p>
            <w:pPr>
              <w:jc w:val="right"/>
              <w:ind w:right="26"/>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620" w:type="dxa"/>
            <w:vAlign w:val="bottom"/>
            <w:tcBorders>
              <w:right w:val="single" w:sz="8" w:color="auto"/>
            </w:tcBorders>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52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220" w:type="dxa"/>
            <w:vAlign w:val="bottom"/>
            <w:shd w:val="clear" w:color="auto" w:fill="CFF0FC"/>
          </w:tcPr>
          <w:p>
            <w:pPr>
              <w:ind w:left="80"/>
              <w:spacing w:after="0"/>
              <w:rPr>
                <w:sz w:val="20"/>
                <w:szCs w:val="20"/>
                <w:color w:val="auto"/>
              </w:rPr>
            </w:pPr>
            <w:r>
              <w:rPr>
                <w:rFonts w:ascii="Arial" w:cs="Arial" w:eastAsia="Arial" w:hAnsi="Arial"/>
                <w:sz w:val="13"/>
                <w:szCs w:val="13"/>
                <w:color w:val="auto"/>
                <w:w w:val="91"/>
              </w:rPr>
              <w:t>—</w:t>
            </w:r>
          </w:p>
        </w:tc>
        <w:tc>
          <w:tcPr>
            <w:tcW w:w="40" w:type="dxa"/>
            <w:vAlign w:val="bottom"/>
            <w:shd w:val="clear" w:color="auto" w:fill="CFF0FC"/>
          </w:tcPr>
          <w:p>
            <w:pPr>
              <w:spacing w:after="0"/>
              <w:rPr>
                <w:sz w:val="12"/>
                <w:szCs w:val="12"/>
                <w:color w:val="auto"/>
              </w:rPr>
            </w:pPr>
          </w:p>
        </w:tc>
        <w:tc>
          <w:tcPr>
            <w:tcW w:w="70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240" w:type="dxa"/>
            <w:vAlign w:val="bottom"/>
            <w:shd w:val="clear" w:color="auto" w:fill="CFF0FC"/>
          </w:tcPr>
          <w:p>
            <w:pPr>
              <w:ind w:left="100"/>
              <w:spacing w:after="0"/>
              <w:rPr>
                <w:sz w:val="20"/>
                <w:szCs w:val="20"/>
                <w:color w:val="auto"/>
              </w:rPr>
            </w:pPr>
            <w:r>
              <w:rPr>
                <w:rFonts w:ascii="Arial" w:cs="Arial" w:eastAsia="Arial" w:hAnsi="Arial"/>
                <w:sz w:val="13"/>
                <w:szCs w:val="13"/>
                <w:color w:val="auto"/>
                <w:w w:val="91"/>
              </w:rPr>
              <w:t>—</w:t>
            </w:r>
          </w:p>
        </w:tc>
        <w:tc>
          <w:tcPr>
            <w:tcW w:w="4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420" w:type="dxa"/>
            <w:vAlign w:val="bottom"/>
            <w:gridSpan w:val="3"/>
            <w:shd w:val="clear" w:color="auto" w:fill="CFF0FC"/>
          </w:tcPr>
          <w:p>
            <w:pPr>
              <w:ind w:left="120"/>
              <w:spacing w:after="0"/>
              <w:rPr>
                <w:sz w:val="20"/>
                <w:szCs w:val="20"/>
                <w:color w:val="auto"/>
              </w:rPr>
            </w:pPr>
            <w:r>
              <w:rPr>
                <w:rFonts w:ascii="Arial" w:cs="Arial" w:eastAsia="Arial" w:hAnsi="Arial"/>
                <w:sz w:val="13"/>
                <w:szCs w:val="13"/>
                <w:color w:val="auto"/>
              </w:rPr>
              <w:t>—</w:t>
            </w:r>
          </w:p>
        </w:tc>
        <w:tc>
          <w:tcPr>
            <w:tcW w:w="60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2"/>
                <w:szCs w:val="12"/>
                <w:color w:val="auto"/>
              </w:rPr>
            </w:pPr>
          </w:p>
        </w:tc>
        <w:tc>
          <w:tcPr>
            <w:tcW w:w="70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2"/>
                <w:szCs w:val="12"/>
                <w:color w:val="auto"/>
              </w:rPr>
            </w:pPr>
          </w:p>
        </w:tc>
        <w:tc>
          <w:tcPr>
            <w:tcW w:w="720" w:type="dxa"/>
            <w:vAlign w:val="bottom"/>
            <w:gridSpan w:val="3"/>
            <w:shd w:val="clear" w:color="auto" w:fill="CFF0FC"/>
          </w:tcPr>
          <w:p>
            <w:pPr>
              <w:jc w:val="right"/>
              <w:ind w:right="57"/>
              <w:spacing w:after="0"/>
              <w:rPr>
                <w:sz w:val="20"/>
                <w:szCs w:val="20"/>
                <w:color w:val="auto"/>
              </w:rPr>
            </w:pPr>
            <w:r>
              <w:rPr>
                <w:rFonts w:ascii="Arial" w:cs="Arial" w:eastAsia="Arial" w:hAnsi="Arial"/>
                <w:sz w:val="13"/>
                <w:szCs w:val="13"/>
                <w:color w:val="auto"/>
              </w:rPr>
              <w:t>(61,379 )</w:t>
            </w:r>
          </w:p>
        </w:tc>
        <w:tc>
          <w:tcPr>
            <w:tcW w:w="640" w:type="dxa"/>
            <w:vAlign w:val="bottom"/>
            <w:tcBorders>
              <w:right w:val="single" w:sz="8" w:color="CFF0FC"/>
            </w:tcBorders>
            <w:gridSpan w:val="2"/>
            <w:shd w:val="clear" w:color="auto" w:fill="CFF0FC"/>
          </w:tcPr>
          <w:p>
            <w:pPr>
              <w:jc w:val="right"/>
              <w:ind w:right="20"/>
              <w:spacing w:after="0"/>
              <w:rPr>
                <w:sz w:val="20"/>
                <w:szCs w:val="20"/>
                <w:color w:val="auto"/>
              </w:rPr>
            </w:pPr>
            <w:r>
              <w:rPr>
                <w:rFonts w:ascii="Arial" w:cs="Arial" w:eastAsia="Arial" w:hAnsi="Arial"/>
                <w:sz w:val="13"/>
                <w:szCs w:val="13"/>
                <w:color w:val="auto"/>
              </w:rPr>
              <w:t>(61,379 )</w:t>
            </w:r>
          </w:p>
        </w:tc>
        <w:tc>
          <w:tcPr>
            <w:tcW w:w="100" w:type="dxa"/>
            <w:vAlign w:val="bottom"/>
            <w:shd w:val="clear" w:color="auto" w:fill="CFF0FC"/>
          </w:tcPr>
          <w:p>
            <w:pPr>
              <w:spacing w:after="0"/>
              <w:rPr>
                <w:sz w:val="12"/>
                <w:szCs w:val="12"/>
                <w:color w:val="auto"/>
              </w:rPr>
            </w:pPr>
          </w:p>
        </w:tc>
        <w:tc>
          <w:tcPr>
            <w:tcW w:w="68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(2 )</w:t>
            </w:r>
          </w:p>
        </w:tc>
        <w:tc>
          <w:tcPr>
            <w:tcW w:w="100" w:type="dxa"/>
            <w:vAlign w:val="bottom"/>
            <w:shd w:val="clear" w:color="auto" w:fill="CFF0FC"/>
          </w:tcPr>
          <w:p>
            <w:pPr>
              <w:spacing w:after="0"/>
              <w:rPr>
                <w:sz w:val="12"/>
                <w:szCs w:val="12"/>
                <w:color w:val="auto"/>
              </w:rPr>
            </w:pPr>
          </w:p>
        </w:tc>
        <w:tc>
          <w:tcPr>
            <w:tcW w:w="62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(61,381 )</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180" w:type="dxa"/>
            <w:vAlign w:val="bottom"/>
            <w:shd w:val="clear" w:color="auto" w:fill="CFF0FC"/>
          </w:tcPr>
          <w:p>
            <w:pPr>
              <w:spacing w:after="0" w:line="20" w:lineRule="exact"/>
              <w:rPr>
                <w:sz w:val="1"/>
                <w:szCs w:val="1"/>
                <w:color w:val="auto"/>
              </w:rPr>
            </w:pPr>
          </w:p>
        </w:tc>
        <w:tc>
          <w:tcPr>
            <w:tcW w:w="580" w:type="dxa"/>
            <w:vAlign w:val="bottom"/>
            <w:shd w:val="clear" w:color="auto" w:fill="CFF0FC"/>
          </w:tcPr>
          <w:p>
            <w:pPr>
              <w:spacing w:after="0" w:line="20" w:lineRule="exact"/>
              <w:rPr>
                <w:sz w:val="1"/>
                <w:szCs w:val="1"/>
                <w:color w:val="auto"/>
              </w:rPr>
            </w:pPr>
          </w:p>
        </w:tc>
        <w:tc>
          <w:tcPr>
            <w:tcW w:w="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500" w:type="dxa"/>
            <w:vAlign w:val="bottom"/>
            <w:shd w:val="clear" w:color="auto" w:fill="CFF0FC"/>
          </w:tcPr>
          <w:p>
            <w:pPr>
              <w:spacing w:after="0" w:line="20" w:lineRule="exact"/>
              <w:rPr>
                <w:sz w:val="1"/>
                <w:szCs w:val="1"/>
                <w:color w:val="auto"/>
              </w:rPr>
            </w:pPr>
          </w:p>
        </w:tc>
        <w:tc>
          <w:tcPr>
            <w:tcW w:w="120" w:type="dxa"/>
            <w:vAlign w:val="bottom"/>
            <w:tcBorders>
              <w:right w:val="single" w:sz="8" w:color="auto"/>
            </w:tcBorders>
            <w:shd w:val="clear" w:color="auto" w:fill="CFF0FC"/>
          </w:tcPr>
          <w:p>
            <w:pPr>
              <w:spacing w:after="0" w:line="20" w:lineRule="exact"/>
              <w:rPr>
                <w:sz w:val="1"/>
                <w:szCs w:val="1"/>
                <w:color w:val="auto"/>
              </w:rPr>
            </w:pPr>
          </w:p>
        </w:tc>
        <w:tc>
          <w:tcPr>
            <w:tcW w:w="460" w:type="dxa"/>
            <w:vAlign w:val="bottom"/>
            <w:shd w:val="clear" w:color="auto" w:fill="CFF0FC"/>
          </w:tcPr>
          <w:p>
            <w:pPr>
              <w:spacing w:after="0" w:line="20" w:lineRule="exact"/>
              <w:rPr>
                <w:sz w:val="1"/>
                <w:szCs w:val="1"/>
                <w:color w:val="auto"/>
              </w:rPr>
            </w:pPr>
          </w:p>
        </w:tc>
        <w:tc>
          <w:tcPr>
            <w:tcW w:w="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40" w:type="dxa"/>
            <w:vAlign w:val="bottom"/>
            <w:shd w:val="clear" w:color="auto" w:fill="CFF0FC"/>
          </w:tcPr>
          <w:p>
            <w:pPr>
              <w:spacing w:after="0" w:line="20" w:lineRule="exact"/>
              <w:rPr>
                <w:sz w:val="1"/>
                <w:szCs w:val="1"/>
                <w:color w:val="auto"/>
              </w:rPr>
            </w:pPr>
          </w:p>
        </w:tc>
        <w:tc>
          <w:tcPr>
            <w:tcW w:w="660" w:type="dxa"/>
            <w:vAlign w:val="bottom"/>
            <w:shd w:val="clear" w:color="auto" w:fill="CFF0FC"/>
          </w:tcPr>
          <w:p>
            <w:pPr>
              <w:spacing w:after="0" w:line="20" w:lineRule="exact"/>
              <w:rPr>
                <w:sz w:val="1"/>
                <w:szCs w:val="1"/>
                <w:color w:val="auto"/>
              </w:rPr>
            </w:pPr>
          </w:p>
        </w:tc>
        <w:tc>
          <w:tcPr>
            <w:tcW w:w="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40" w:type="dxa"/>
            <w:vAlign w:val="bottom"/>
            <w:shd w:val="clear" w:color="auto" w:fill="CFF0FC"/>
          </w:tcPr>
          <w:p>
            <w:pPr>
              <w:spacing w:after="0" w:line="20" w:lineRule="exact"/>
              <w:rPr>
                <w:sz w:val="1"/>
                <w:szCs w:val="1"/>
                <w:color w:val="auto"/>
              </w:rPr>
            </w:pPr>
          </w:p>
        </w:tc>
        <w:tc>
          <w:tcPr>
            <w:tcW w:w="600" w:type="dxa"/>
            <w:vAlign w:val="bottom"/>
            <w:shd w:val="clear" w:color="auto" w:fill="CFF0FC"/>
          </w:tcPr>
          <w:p>
            <w:pPr>
              <w:spacing w:after="0" w:line="20" w:lineRule="exact"/>
              <w:rPr>
                <w:sz w:val="1"/>
                <w:szCs w:val="1"/>
                <w:color w:val="auto"/>
              </w:rPr>
            </w:pPr>
          </w:p>
        </w:tc>
        <w:tc>
          <w:tcPr>
            <w:tcW w:w="40" w:type="dxa"/>
            <w:vAlign w:val="bottom"/>
            <w:shd w:val="clear" w:color="auto" w:fill="CFF0FC"/>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4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540" w:type="dxa"/>
            <w:vAlign w:val="bottom"/>
            <w:shd w:val="clear" w:color="auto" w:fill="CFF0FC"/>
          </w:tcPr>
          <w:p>
            <w:pPr>
              <w:spacing w:after="0" w:line="20" w:lineRule="exact"/>
              <w:rPr>
                <w:sz w:val="1"/>
                <w:szCs w:val="1"/>
                <w:color w:val="auto"/>
              </w:rPr>
            </w:pPr>
          </w:p>
        </w:tc>
        <w:tc>
          <w:tcPr>
            <w:tcW w:w="6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60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560" w:type="dxa"/>
            <w:vAlign w:val="bottom"/>
            <w:shd w:val="clear" w:color="auto" w:fill="CFF0FC"/>
          </w:tcPr>
          <w:p>
            <w:pPr>
              <w:spacing w:after="0" w:line="20" w:lineRule="exact"/>
              <w:rPr>
                <w:sz w:val="1"/>
                <w:szCs w:val="1"/>
                <w:color w:val="auto"/>
              </w:rPr>
            </w:pPr>
          </w:p>
        </w:tc>
        <w:tc>
          <w:tcPr>
            <w:tcW w:w="4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580" w:type="dxa"/>
            <w:vAlign w:val="bottom"/>
            <w:shd w:val="clear" w:color="auto" w:fill="CFF0FC"/>
          </w:tcPr>
          <w:p>
            <w:pPr>
              <w:spacing w:after="0" w:line="20" w:lineRule="exact"/>
              <w:rPr>
                <w:sz w:val="1"/>
                <w:szCs w:val="1"/>
                <w:color w:val="auto"/>
              </w:rPr>
            </w:pPr>
          </w:p>
        </w:tc>
        <w:tc>
          <w:tcPr>
            <w:tcW w:w="60" w:type="dxa"/>
            <w:vAlign w:val="bottom"/>
            <w:tcBorders>
              <w:right w:val="single" w:sz="8" w:color="CFF0FC"/>
            </w:tcBorders>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52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shd w:val="clear" w:color="auto" w:fill="CFF0FC"/>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180" w:type="dxa"/>
            <w:vAlign w:val="bottom"/>
          </w:tcPr>
          <w:p>
            <w:pPr>
              <w:ind w:left="20"/>
              <w:spacing w:after="0" w:line="142" w:lineRule="exact"/>
              <w:rPr>
                <w:sz w:val="20"/>
                <w:szCs w:val="20"/>
                <w:color w:val="auto"/>
              </w:rPr>
            </w:pPr>
            <w:r>
              <w:rPr>
                <w:rFonts w:ascii="Arial" w:cs="Arial" w:eastAsia="Arial" w:hAnsi="Arial"/>
                <w:sz w:val="13"/>
                <w:szCs w:val="13"/>
                <w:color w:val="auto"/>
              </w:rPr>
              <w:t>Total comprehensive loss</w:t>
            </w: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tcPr>
          <w:p>
            <w:pPr>
              <w:jc w:val="right"/>
              <w:spacing w:after="0" w:line="142" w:lineRule="exact"/>
              <w:rPr>
                <w:sz w:val="20"/>
                <w:szCs w:val="20"/>
                <w:color w:val="auto"/>
              </w:rPr>
            </w:pPr>
            <w:r>
              <w:rPr>
                <w:rFonts w:ascii="Arial" w:cs="Arial" w:eastAsia="Arial" w:hAnsi="Arial"/>
                <w:sz w:val="13"/>
                <w:szCs w:val="13"/>
                <w:color w:val="auto"/>
              </w:rPr>
              <w:t>(61,442 )</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1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3"/>
                <w:szCs w:val="13"/>
                <w:color w:val="auto"/>
              </w:rPr>
              <w:t>Balance, December 31, 2021</w:t>
            </w: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6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FF0FC"/>
              <w:right w:val="single" w:sz="8" w:color="auto"/>
            </w:tcBorders>
            <w:shd w:val="clear" w:color="auto" w:fill="CFF0FC"/>
          </w:tcPr>
          <w:p>
            <w:pPr>
              <w:spacing w:after="0"/>
              <w:rPr>
                <w:sz w:val="17"/>
                <w:szCs w:val="17"/>
                <w:color w:val="auto"/>
              </w:rPr>
            </w:pPr>
          </w:p>
        </w:tc>
        <w:tc>
          <w:tcPr>
            <w:tcW w:w="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6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3"/>
                <w:szCs w:val="13"/>
                <w:color w:val="auto"/>
              </w:rPr>
              <w:t>$</w:t>
            </w:r>
          </w:p>
        </w:tc>
        <w:tc>
          <w:tcPr>
            <w:tcW w:w="220" w:type="dxa"/>
            <w:vAlign w:val="bottom"/>
            <w:tcBorders>
              <w:top w:val="single" w:sz="8" w:color="auto"/>
              <w:bottom w:val="single" w:sz="8" w:color="auto"/>
            </w:tcBorders>
            <w:shd w:val="clear" w:color="auto" w:fill="CFF0FC"/>
          </w:tcPr>
          <w:p>
            <w:pPr>
              <w:ind w:left="80"/>
              <w:spacing w:after="0"/>
              <w:rPr>
                <w:sz w:val="20"/>
                <w:szCs w:val="20"/>
                <w:color w:val="auto"/>
              </w:rPr>
            </w:pPr>
            <w:r>
              <w:rPr>
                <w:rFonts w:ascii="Arial" w:cs="Arial" w:eastAsia="Arial" w:hAnsi="Arial"/>
                <w:sz w:val="13"/>
                <w:szCs w:val="13"/>
                <w:color w:val="auto"/>
                <w:w w:val="91"/>
              </w:rPr>
              <w:t>—</w:t>
            </w:r>
          </w:p>
        </w:tc>
        <w:tc>
          <w:tcPr>
            <w:tcW w:w="40" w:type="dxa"/>
            <w:vAlign w:val="bottom"/>
            <w:tcBorders>
              <w:bottom w:val="single" w:sz="8" w:color="CFF0FC"/>
            </w:tcBorders>
            <w:shd w:val="clear" w:color="auto" w:fill="CFF0FC"/>
          </w:tcPr>
          <w:p>
            <w:pPr>
              <w:spacing w:after="0"/>
              <w:rPr>
                <w:sz w:val="17"/>
                <w:szCs w:val="17"/>
                <w:color w:val="auto"/>
              </w:rPr>
            </w:pP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w w:val="95"/>
              </w:rPr>
              <w:t>43,998,404</w:t>
            </w:r>
          </w:p>
        </w:tc>
        <w:tc>
          <w:tcPr>
            <w:tcW w:w="4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240" w:type="dxa"/>
            <w:vAlign w:val="bottom"/>
            <w:tcBorders>
              <w:top w:val="single" w:sz="8" w:color="auto"/>
              <w:bottom w:val="single" w:sz="8" w:color="auto"/>
            </w:tcBorders>
            <w:shd w:val="clear" w:color="auto" w:fill="CFF0FC"/>
          </w:tcPr>
          <w:p>
            <w:pPr>
              <w:ind w:left="100"/>
              <w:spacing w:after="0"/>
              <w:rPr>
                <w:sz w:val="20"/>
                <w:szCs w:val="20"/>
                <w:color w:val="auto"/>
              </w:rPr>
            </w:pPr>
            <w:r>
              <w:rPr>
                <w:rFonts w:ascii="Arial" w:cs="Arial" w:eastAsia="Arial" w:hAnsi="Arial"/>
                <w:sz w:val="13"/>
                <w:szCs w:val="13"/>
                <w:color w:val="auto"/>
                <w:w w:val="91"/>
              </w:rPr>
              <w:t>—</w:t>
            </w:r>
          </w:p>
        </w:tc>
        <w:tc>
          <w:tcPr>
            <w:tcW w:w="40" w:type="dxa"/>
            <w:vAlign w:val="bottom"/>
            <w:tcBorders>
              <w:bottom w:val="single" w:sz="8" w:color="CFF0FC"/>
            </w:tcBorders>
            <w:shd w:val="clear" w:color="auto" w:fill="CFF0FC"/>
          </w:tcPr>
          <w:p>
            <w:pPr>
              <w:spacing w:after="0"/>
              <w:rPr>
                <w:sz w:val="17"/>
                <w:szCs w:val="17"/>
                <w:color w:val="auto"/>
              </w:rPr>
            </w:pP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2,676,154</w:t>
            </w:r>
          </w:p>
        </w:tc>
        <w:tc>
          <w:tcPr>
            <w:tcW w:w="4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top w:val="single" w:sz="8" w:color="auto"/>
              <w:bottom w:val="single" w:sz="8" w:color="auto"/>
            </w:tcBorders>
            <w:shd w:val="clear" w:color="auto" w:fill="CFF0FC"/>
          </w:tcPr>
          <w:p>
            <w:pPr>
              <w:jc w:val="right"/>
              <w:ind w:right="62"/>
              <w:spacing w:after="0"/>
              <w:rPr>
                <w:sz w:val="20"/>
                <w:szCs w:val="20"/>
                <w:color w:val="auto"/>
              </w:rPr>
            </w:pPr>
            <w:r>
              <w:rPr>
                <w:rFonts w:ascii="Arial" w:cs="Arial" w:eastAsia="Arial" w:hAnsi="Arial"/>
                <w:sz w:val="13"/>
                <w:szCs w:val="13"/>
                <w:color w:val="auto"/>
                <w:w w:val="82"/>
              </w:rPr>
              <w:t>$</w:t>
            </w:r>
          </w:p>
        </w:tc>
        <w:tc>
          <w:tcPr>
            <w:tcW w:w="260" w:type="dxa"/>
            <w:vAlign w:val="bottom"/>
            <w:tcBorders>
              <w:top w:val="single" w:sz="8" w:color="auto"/>
              <w:bottom w:val="single" w:sz="8" w:color="auto"/>
            </w:tcBorders>
            <w:shd w:val="clear" w:color="auto" w:fill="CFF0FC"/>
          </w:tcPr>
          <w:p>
            <w:pPr>
              <w:ind w:left="120"/>
              <w:spacing w:after="0"/>
              <w:rPr>
                <w:sz w:val="20"/>
                <w:szCs w:val="20"/>
                <w:color w:val="auto"/>
              </w:rPr>
            </w:pPr>
            <w:r>
              <w:rPr>
                <w:rFonts w:ascii="Arial" w:cs="Arial" w:eastAsia="Arial" w:hAnsi="Arial"/>
                <w:sz w:val="13"/>
                <w:szCs w:val="13"/>
                <w:color w:val="auto"/>
                <w:w w:val="91"/>
              </w:rPr>
              <w:t>—</w:t>
            </w:r>
          </w:p>
        </w:tc>
        <w:tc>
          <w:tcPr>
            <w:tcW w:w="4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597,641</w:t>
            </w:r>
          </w:p>
        </w:tc>
        <w:tc>
          <w:tcPr>
            <w:tcW w:w="6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top w:val="single" w:sz="8" w:color="auto"/>
              <w:bottom w:val="single" w:sz="8" w:color="auto"/>
            </w:tcBorders>
            <w:shd w:val="clear" w:color="auto" w:fill="CFF0FC"/>
          </w:tcPr>
          <w:p>
            <w:pPr>
              <w:jc w:val="right"/>
              <w:ind w:right="22"/>
              <w:spacing w:after="0"/>
              <w:rPr>
                <w:sz w:val="20"/>
                <w:szCs w:val="20"/>
                <w:color w:val="auto"/>
              </w:rPr>
            </w:pPr>
            <w:r>
              <w:rPr>
                <w:rFonts w:ascii="Arial" w:cs="Arial" w:eastAsia="Arial" w:hAnsi="Arial"/>
                <w:sz w:val="13"/>
                <w:szCs w:val="13"/>
                <w:color w:val="auto"/>
                <w:w w:val="82"/>
              </w:rPr>
              <w:t>$</w:t>
            </w: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149</w:t>
            </w:r>
          </w:p>
        </w:tc>
        <w:tc>
          <w:tcPr>
            <w:tcW w:w="10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top w:val="single" w:sz="8" w:color="auto"/>
              <w:bottom w:val="single" w:sz="8" w:color="auto"/>
            </w:tcBorders>
            <w:shd w:val="clear" w:color="auto" w:fill="CFF0FC"/>
          </w:tcPr>
          <w:p>
            <w:pPr>
              <w:ind w:left="20"/>
              <w:spacing w:after="0"/>
              <w:rPr>
                <w:sz w:val="20"/>
                <w:szCs w:val="20"/>
                <w:color w:val="auto"/>
              </w:rPr>
            </w:pPr>
            <w:r>
              <w:rPr>
                <w:rFonts w:ascii="Arial" w:cs="Arial" w:eastAsia="Arial" w:hAnsi="Arial"/>
                <w:sz w:val="13"/>
                <w:szCs w:val="13"/>
                <w:color w:val="auto"/>
              </w:rPr>
              <w:t>$</w:t>
            </w:r>
          </w:p>
        </w:tc>
        <w:tc>
          <w:tcPr>
            <w:tcW w:w="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(173,341</w:t>
            </w:r>
          </w:p>
        </w:tc>
        <w:tc>
          <w:tcPr>
            <w:tcW w:w="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8"/>
                <w:szCs w:val="8"/>
                <w:color w:val="auto"/>
                <w:w w:val="73"/>
              </w:rPr>
              <w:t>)</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424,449</w:t>
            </w:r>
          </w:p>
        </w:tc>
        <w:tc>
          <w:tcPr>
            <w:tcW w:w="60" w:type="dxa"/>
            <w:vAlign w:val="bottom"/>
            <w:tcBorders>
              <w:bottom w:val="single" w:sz="8" w:color="CFF0FC"/>
              <w:right w:val="single" w:sz="8" w:color="CFF0FC"/>
            </w:tcBorders>
            <w:shd w:val="clear" w:color="auto" w:fill="CFF0FC"/>
          </w:tcPr>
          <w:p>
            <w:pPr>
              <w:spacing w:after="0"/>
              <w:rPr>
                <w:sz w:val="17"/>
                <w:szCs w:val="17"/>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1,034</w:t>
            </w:r>
          </w:p>
        </w:tc>
        <w:tc>
          <w:tcPr>
            <w:tcW w:w="16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425,483</w:t>
            </w:r>
          </w:p>
        </w:tc>
        <w:tc>
          <w:tcPr>
            <w:tcW w:w="60" w:type="dxa"/>
            <w:vAlign w:val="bottom"/>
            <w:tcBorders>
              <w:bottom w:val="single" w:sz="8" w:color="CFF0FC"/>
            </w:tcBorders>
            <w:shd w:val="clear" w:color="auto" w:fill="CFF0F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7103110</wp:posOffset>
            </wp:positionH>
            <wp:positionV relativeFrom="paragraph">
              <wp:posOffset>-3296920</wp:posOffset>
            </wp:positionV>
            <wp:extent cx="34290" cy="571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4">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1753870</wp:posOffset>
            </wp:positionH>
            <wp:positionV relativeFrom="paragraph">
              <wp:posOffset>-2096770</wp:posOffset>
            </wp:positionV>
            <wp:extent cx="43180" cy="571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5">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2182495</wp:posOffset>
            </wp:positionH>
            <wp:positionV relativeFrom="paragraph">
              <wp:posOffset>-2096770</wp:posOffset>
            </wp:positionV>
            <wp:extent cx="43180" cy="571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6">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2550795</wp:posOffset>
            </wp:positionH>
            <wp:positionV relativeFrom="paragraph">
              <wp:posOffset>-2096770</wp:posOffset>
            </wp:positionV>
            <wp:extent cx="34290" cy="571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7">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2799715</wp:posOffset>
            </wp:positionH>
            <wp:positionV relativeFrom="paragraph">
              <wp:posOffset>-2096770</wp:posOffset>
            </wp:positionV>
            <wp:extent cx="26035" cy="571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8">
                      <a:extLst>
                        <a:ext uri="{28A0092B-C50C-407E-A947-70E740481C1C}"/>
                      </a:extLst>
                    </a:blip>
                    <a:srcRect/>
                    <a:stretch>
                      <a:fillRect/>
                    </a:stretch>
                  </pic:blipFill>
                  <pic:spPr bwMode="auto">
                    <a:xfrm>
                      <a:off x="0" y="0"/>
                      <a:ext cx="26035" cy="5715"/>
                    </a:xfrm>
                    <a:prstGeom prst="rect">
                      <a:avLst/>
                    </a:prstGeom>
                    <a:noFill/>
                  </pic:spPr>
                </pic:pic>
              </a:graphicData>
            </a:graphic>
          </wp:anchor>
        </w:drawing>
        <w:drawing>
          <wp:anchor simplePos="0" relativeHeight="251657728" behindDoc="1" locked="0" layoutInCell="0" allowOverlap="1">
            <wp:simplePos x="0" y="0"/>
            <wp:positionH relativeFrom="column">
              <wp:posOffset>3236595</wp:posOffset>
            </wp:positionH>
            <wp:positionV relativeFrom="paragraph">
              <wp:posOffset>-2096770</wp:posOffset>
            </wp:positionV>
            <wp:extent cx="25400" cy="571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9">
                      <a:extLst>
                        <a:ext uri="{28A0092B-C50C-407E-A947-70E740481C1C}"/>
                      </a:extLst>
                    </a:blip>
                    <a:srcRect/>
                    <a:stretch>
                      <a:fillRect/>
                    </a:stretch>
                  </pic:blipFill>
                  <pic:spPr bwMode="auto">
                    <a:xfrm>
                      <a:off x="0" y="0"/>
                      <a:ext cx="25400" cy="5715"/>
                    </a:xfrm>
                    <a:prstGeom prst="rect">
                      <a:avLst/>
                    </a:prstGeom>
                    <a:noFill/>
                  </pic:spPr>
                </pic:pic>
              </a:graphicData>
            </a:graphic>
          </wp:anchor>
        </w:drawing>
        <w:drawing>
          <wp:anchor simplePos="0" relativeHeight="251657728" behindDoc="1" locked="0" layoutInCell="0" allowOverlap="1">
            <wp:simplePos x="0" y="0"/>
            <wp:positionH relativeFrom="column">
              <wp:posOffset>3485515</wp:posOffset>
            </wp:positionH>
            <wp:positionV relativeFrom="paragraph">
              <wp:posOffset>-2096770</wp:posOffset>
            </wp:positionV>
            <wp:extent cx="25400" cy="571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0">
                      <a:extLst>
                        <a:ext uri="{28A0092B-C50C-407E-A947-70E740481C1C}"/>
                      </a:extLst>
                    </a:blip>
                    <a:srcRect/>
                    <a:stretch>
                      <a:fillRect/>
                    </a:stretch>
                  </pic:blipFill>
                  <pic:spPr bwMode="auto">
                    <a:xfrm>
                      <a:off x="0" y="0"/>
                      <a:ext cx="25400" cy="5715"/>
                    </a:xfrm>
                    <a:prstGeom prst="rect">
                      <a:avLst/>
                    </a:prstGeom>
                    <a:noFill/>
                  </pic:spPr>
                </pic:pic>
              </a:graphicData>
            </a:graphic>
          </wp:anchor>
        </w:drawing>
        <w:drawing>
          <wp:anchor simplePos="0" relativeHeight="251657728" behindDoc="1" locked="0" layoutInCell="0" allowOverlap="1">
            <wp:simplePos x="0" y="0"/>
            <wp:positionH relativeFrom="column">
              <wp:posOffset>3888105</wp:posOffset>
            </wp:positionH>
            <wp:positionV relativeFrom="paragraph">
              <wp:posOffset>-2096770</wp:posOffset>
            </wp:positionV>
            <wp:extent cx="25400" cy="571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1">
                      <a:extLst>
                        <a:ext uri="{28A0092B-C50C-407E-A947-70E740481C1C}"/>
                      </a:extLst>
                    </a:blip>
                    <a:srcRect/>
                    <a:stretch>
                      <a:fillRect/>
                    </a:stretch>
                  </pic:blipFill>
                  <pic:spPr bwMode="auto">
                    <a:xfrm>
                      <a:off x="0" y="0"/>
                      <a:ext cx="25400" cy="5715"/>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-2096770</wp:posOffset>
            </wp:positionV>
            <wp:extent cx="25400" cy="571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2">
                      <a:extLst>
                        <a:ext uri="{28A0092B-C50C-407E-A947-70E740481C1C}"/>
                      </a:extLst>
                    </a:blip>
                    <a:srcRect/>
                    <a:stretch>
                      <a:fillRect/>
                    </a:stretch>
                  </pic:blipFill>
                  <pic:spPr bwMode="auto">
                    <a:xfrm>
                      <a:off x="0" y="0"/>
                      <a:ext cx="25400" cy="571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-2096770</wp:posOffset>
            </wp:positionV>
            <wp:extent cx="34290" cy="571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3">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-2096770</wp:posOffset>
            </wp:positionV>
            <wp:extent cx="68580" cy="571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-2096770</wp:posOffset>
            </wp:positionV>
            <wp:extent cx="34290" cy="571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5">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-2096770</wp:posOffset>
            </wp:positionV>
            <wp:extent cx="34290" cy="571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6">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6579870</wp:posOffset>
            </wp:positionH>
            <wp:positionV relativeFrom="paragraph">
              <wp:posOffset>-2096770</wp:posOffset>
            </wp:positionV>
            <wp:extent cx="93980" cy="571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7">
                      <a:extLst>
                        <a:ext uri="{28A0092B-C50C-407E-A947-70E740481C1C}"/>
                      </a:extLst>
                    </a:blip>
                    <a:srcRect/>
                    <a:stretch>
                      <a:fillRect/>
                    </a:stretch>
                  </pic:blipFill>
                  <pic:spPr bwMode="auto">
                    <a:xfrm>
                      <a:off x="0" y="0"/>
                      <a:ext cx="93980" cy="5715"/>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-2096770</wp:posOffset>
            </wp:positionV>
            <wp:extent cx="34290" cy="571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8">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-227965</wp:posOffset>
            </wp:positionV>
            <wp:extent cx="34290" cy="571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9">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1753870</wp:posOffset>
            </wp:positionH>
            <wp:positionV relativeFrom="paragraph">
              <wp:posOffset>-24765</wp:posOffset>
            </wp:positionV>
            <wp:extent cx="4318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0">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1753870</wp:posOffset>
            </wp:positionH>
            <wp:positionV relativeFrom="paragraph">
              <wp:posOffset>-7620</wp:posOffset>
            </wp:positionV>
            <wp:extent cx="4318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1">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2182495</wp:posOffset>
            </wp:positionH>
            <wp:positionV relativeFrom="paragraph">
              <wp:posOffset>-24765</wp:posOffset>
            </wp:positionV>
            <wp:extent cx="4318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2">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2182495</wp:posOffset>
            </wp:positionH>
            <wp:positionV relativeFrom="paragraph">
              <wp:posOffset>-7620</wp:posOffset>
            </wp:positionV>
            <wp:extent cx="4318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3">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2550795</wp:posOffset>
            </wp:positionH>
            <wp:positionV relativeFrom="paragraph">
              <wp:posOffset>-24765</wp:posOffset>
            </wp:positionV>
            <wp:extent cx="3429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4">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2550795</wp:posOffset>
            </wp:positionH>
            <wp:positionV relativeFrom="paragraph">
              <wp:posOffset>-7620</wp:posOffset>
            </wp:positionV>
            <wp:extent cx="3429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5">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2799715</wp:posOffset>
            </wp:positionH>
            <wp:positionV relativeFrom="paragraph">
              <wp:posOffset>-24765</wp:posOffset>
            </wp:positionV>
            <wp:extent cx="26035"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6">
                      <a:extLst>
                        <a:ext uri="{28A0092B-C50C-407E-A947-70E740481C1C}"/>
                      </a:extLst>
                    </a:blip>
                    <a:srcRect/>
                    <a:stretch>
                      <a:fillRect/>
                    </a:stretch>
                  </pic:blipFill>
                  <pic:spPr bwMode="auto">
                    <a:xfrm>
                      <a:off x="0" y="0"/>
                      <a:ext cx="26035" cy="8890"/>
                    </a:xfrm>
                    <a:prstGeom prst="rect">
                      <a:avLst/>
                    </a:prstGeom>
                    <a:noFill/>
                  </pic:spPr>
                </pic:pic>
              </a:graphicData>
            </a:graphic>
          </wp:anchor>
        </w:drawing>
        <w:drawing>
          <wp:anchor simplePos="0" relativeHeight="251657728" behindDoc="1" locked="0" layoutInCell="0" allowOverlap="1">
            <wp:simplePos x="0" y="0"/>
            <wp:positionH relativeFrom="column">
              <wp:posOffset>2799715</wp:posOffset>
            </wp:positionH>
            <wp:positionV relativeFrom="paragraph">
              <wp:posOffset>-7620</wp:posOffset>
            </wp:positionV>
            <wp:extent cx="2603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7">
                      <a:extLst>
                        <a:ext uri="{28A0092B-C50C-407E-A947-70E740481C1C}"/>
                      </a:extLst>
                    </a:blip>
                    <a:srcRect/>
                    <a:stretch>
                      <a:fillRect/>
                    </a:stretch>
                  </pic:blipFill>
                  <pic:spPr bwMode="auto">
                    <a:xfrm>
                      <a:off x="0" y="0"/>
                      <a:ext cx="26035" cy="8255"/>
                    </a:xfrm>
                    <a:prstGeom prst="rect">
                      <a:avLst/>
                    </a:prstGeom>
                    <a:noFill/>
                  </pic:spPr>
                </pic:pic>
              </a:graphicData>
            </a:graphic>
          </wp:anchor>
        </w:drawing>
        <w:drawing>
          <wp:anchor simplePos="0" relativeHeight="251657728" behindDoc="1" locked="0" layoutInCell="0" allowOverlap="1">
            <wp:simplePos x="0" y="0"/>
            <wp:positionH relativeFrom="column">
              <wp:posOffset>3236595</wp:posOffset>
            </wp:positionH>
            <wp:positionV relativeFrom="paragraph">
              <wp:posOffset>-24765</wp:posOffset>
            </wp:positionV>
            <wp:extent cx="2540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8">
                      <a:extLst>
                        <a:ext uri="{28A0092B-C50C-407E-A947-70E740481C1C}"/>
                      </a:extLst>
                    </a:blip>
                    <a:srcRect/>
                    <a:stretch>
                      <a:fillRect/>
                    </a:stretch>
                  </pic:blipFill>
                  <pic:spPr bwMode="auto">
                    <a:xfrm>
                      <a:off x="0" y="0"/>
                      <a:ext cx="25400" cy="8890"/>
                    </a:xfrm>
                    <a:prstGeom prst="rect">
                      <a:avLst/>
                    </a:prstGeom>
                    <a:noFill/>
                  </pic:spPr>
                </pic:pic>
              </a:graphicData>
            </a:graphic>
          </wp:anchor>
        </w:drawing>
        <w:drawing>
          <wp:anchor simplePos="0" relativeHeight="251657728" behindDoc="1" locked="0" layoutInCell="0" allowOverlap="1">
            <wp:simplePos x="0" y="0"/>
            <wp:positionH relativeFrom="column">
              <wp:posOffset>3236595</wp:posOffset>
            </wp:positionH>
            <wp:positionV relativeFrom="paragraph">
              <wp:posOffset>-7620</wp:posOffset>
            </wp:positionV>
            <wp:extent cx="2540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9">
                      <a:extLst>
                        <a:ext uri="{28A0092B-C50C-407E-A947-70E740481C1C}"/>
                      </a:extLst>
                    </a:blip>
                    <a:srcRect/>
                    <a:stretch>
                      <a:fillRect/>
                    </a:stretch>
                  </pic:blipFill>
                  <pic:spPr bwMode="auto">
                    <a:xfrm>
                      <a:off x="0" y="0"/>
                      <a:ext cx="25400" cy="8255"/>
                    </a:xfrm>
                    <a:prstGeom prst="rect">
                      <a:avLst/>
                    </a:prstGeom>
                    <a:noFill/>
                  </pic:spPr>
                </pic:pic>
              </a:graphicData>
            </a:graphic>
          </wp:anchor>
        </w:drawing>
        <w:drawing>
          <wp:anchor simplePos="0" relativeHeight="251657728" behindDoc="1" locked="0" layoutInCell="0" allowOverlap="1">
            <wp:simplePos x="0" y="0"/>
            <wp:positionH relativeFrom="column">
              <wp:posOffset>3485515</wp:posOffset>
            </wp:positionH>
            <wp:positionV relativeFrom="paragraph">
              <wp:posOffset>-24765</wp:posOffset>
            </wp:positionV>
            <wp:extent cx="2540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0">
                      <a:extLst>
                        <a:ext uri="{28A0092B-C50C-407E-A947-70E740481C1C}"/>
                      </a:extLst>
                    </a:blip>
                    <a:srcRect/>
                    <a:stretch>
                      <a:fillRect/>
                    </a:stretch>
                  </pic:blipFill>
                  <pic:spPr bwMode="auto">
                    <a:xfrm>
                      <a:off x="0" y="0"/>
                      <a:ext cx="25400" cy="8890"/>
                    </a:xfrm>
                    <a:prstGeom prst="rect">
                      <a:avLst/>
                    </a:prstGeom>
                    <a:noFill/>
                  </pic:spPr>
                </pic:pic>
              </a:graphicData>
            </a:graphic>
          </wp:anchor>
        </w:drawing>
        <w:drawing>
          <wp:anchor simplePos="0" relativeHeight="251657728" behindDoc="1" locked="0" layoutInCell="0" allowOverlap="1">
            <wp:simplePos x="0" y="0"/>
            <wp:positionH relativeFrom="column">
              <wp:posOffset>3485515</wp:posOffset>
            </wp:positionH>
            <wp:positionV relativeFrom="paragraph">
              <wp:posOffset>-7620</wp:posOffset>
            </wp:positionV>
            <wp:extent cx="2540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1">
                      <a:extLst>
                        <a:ext uri="{28A0092B-C50C-407E-A947-70E740481C1C}"/>
                      </a:extLst>
                    </a:blip>
                    <a:srcRect/>
                    <a:stretch>
                      <a:fillRect/>
                    </a:stretch>
                  </pic:blipFill>
                  <pic:spPr bwMode="auto">
                    <a:xfrm>
                      <a:off x="0" y="0"/>
                      <a:ext cx="25400" cy="8255"/>
                    </a:xfrm>
                    <a:prstGeom prst="rect">
                      <a:avLst/>
                    </a:prstGeom>
                    <a:noFill/>
                  </pic:spPr>
                </pic:pic>
              </a:graphicData>
            </a:graphic>
          </wp:anchor>
        </w:drawing>
        <w:drawing>
          <wp:anchor simplePos="0" relativeHeight="251657728" behindDoc="1" locked="0" layoutInCell="0" allowOverlap="1">
            <wp:simplePos x="0" y="0"/>
            <wp:positionH relativeFrom="column">
              <wp:posOffset>3888105</wp:posOffset>
            </wp:positionH>
            <wp:positionV relativeFrom="paragraph">
              <wp:posOffset>-24765</wp:posOffset>
            </wp:positionV>
            <wp:extent cx="2540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2">
                      <a:extLst>
                        <a:ext uri="{28A0092B-C50C-407E-A947-70E740481C1C}"/>
                      </a:extLst>
                    </a:blip>
                    <a:srcRect/>
                    <a:stretch>
                      <a:fillRect/>
                    </a:stretch>
                  </pic:blipFill>
                  <pic:spPr bwMode="auto">
                    <a:xfrm>
                      <a:off x="0" y="0"/>
                      <a:ext cx="25400" cy="8890"/>
                    </a:xfrm>
                    <a:prstGeom prst="rect">
                      <a:avLst/>
                    </a:prstGeom>
                    <a:noFill/>
                  </pic:spPr>
                </pic:pic>
              </a:graphicData>
            </a:graphic>
          </wp:anchor>
        </w:drawing>
        <w:drawing>
          <wp:anchor simplePos="0" relativeHeight="251657728" behindDoc="1" locked="0" layoutInCell="0" allowOverlap="1">
            <wp:simplePos x="0" y="0"/>
            <wp:positionH relativeFrom="column">
              <wp:posOffset>3888105</wp:posOffset>
            </wp:positionH>
            <wp:positionV relativeFrom="paragraph">
              <wp:posOffset>-7620</wp:posOffset>
            </wp:positionV>
            <wp:extent cx="2540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3">
                      <a:extLst>
                        <a:ext uri="{28A0092B-C50C-407E-A947-70E740481C1C}"/>
                      </a:extLst>
                    </a:blip>
                    <a:srcRect/>
                    <a:stretch>
                      <a:fillRect/>
                    </a:stretch>
                  </pic:blipFill>
                  <pic:spPr bwMode="auto">
                    <a:xfrm>
                      <a:off x="0" y="0"/>
                      <a:ext cx="25400" cy="8255"/>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-24765</wp:posOffset>
            </wp:positionV>
            <wp:extent cx="2540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4">
                      <a:extLst>
                        <a:ext uri="{28A0092B-C50C-407E-A947-70E740481C1C}"/>
                      </a:extLst>
                    </a:blip>
                    <a:srcRect/>
                    <a:stretch>
                      <a:fillRect/>
                    </a:stretch>
                  </pic:blipFill>
                  <pic:spPr bwMode="auto">
                    <a:xfrm>
                      <a:off x="0" y="0"/>
                      <a:ext cx="25400" cy="8890"/>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-7620</wp:posOffset>
            </wp:positionV>
            <wp:extent cx="2540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5">
                      <a:extLst>
                        <a:ext uri="{28A0092B-C50C-407E-A947-70E740481C1C}"/>
                      </a:extLst>
                    </a:blip>
                    <a:srcRect/>
                    <a:stretch>
                      <a:fillRect/>
                    </a:stretch>
                  </pic:blipFill>
                  <pic:spPr bwMode="auto">
                    <a:xfrm>
                      <a:off x="0" y="0"/>
                      <a:ext cx="25400" cy="825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-24765</wp:posOffset>
            </wp:positionV>
            <wp:extent cx="3429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6">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-7620</wp:posOffset>
            </wp:positionV>
            <wp:extent cx="3429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7">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-24765</wp:posOffset>
            </wp:positionV>
            <wp:extent cx="6858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-7620</wp:posOffset>
            </wp:positionV>
            <wp:extent cx="6858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-24765</wp:posOffset>
            </wp:positionV>
            <wp:extent cx="3429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0">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-7620</wp:posOffset>
            </wp:positionV>
            <wp:extent cx="3429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1">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-24765</wp:posOffset>
            </wp:positionV>
            <wp:extent cx="3429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2">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-7620</wp:posOffset>
            </wp:positionV>
            <wp:extent cx="3429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3">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6579870</wp:posOffset>
            </wp:positionH>
            <wp:positionV relativeFrom="paragraph">
              <wp:posOffset>-24765</wp:posOffset>
            </wp:positionV>
            <wp:extent cx="9398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4">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6579870</wp:posOffset>
            </wp:positionH>
            <wp:positionV relativeFrom="paragraph">
              <wp:posOffset>-7620</wp:posOffset>
            </wp:positionV>
            <wp:extent cx="9398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5">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-24765</wp:posOffset>
            </wp:positionV>
            <wp:extent cx="3429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6">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-7620</wp:posOffset>
            </wp:positionV>
            <wp:extent cx="3429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7">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17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See accompanying notes to the consolidated financial statements.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3" w:name="page64"/>
    <w:bookmarkEnd w:id="63"/>
    <w:p>
      <w:pPr>
        <w:jc w:val="center"/>
        <w:ind w:right="40"/>
        <w:spacing w:after="0"/>
        <w:rPr>
          <w:sz w:val="20"/>
          <w:szCs w:val="20"/>
          <w:color w:val="auto"/>
        </w:rPr>
      </w:pPr>
      <w:r>
        <w:rPr>
          <w:rFonts w:ascii="Arial" w:cs="Arial" w:eastAsia="Arial" w:hAnsi="Arial"/>
          <w:sz w:val="18"/>
          <w:szCs w:val="18"/>
          <w:b w:val="1"/>
          <w:bCs w:val="1"/>
          <w:color w:val="auto"/>
        </w:rPr>
        <w:t>XOMETRY, INC. AND SUBSIDIARIES</w:t>
      </w:r>
    </w:p>
    <w:p>
      <w:pPr>
        <w:spacing w:after="0" w:line="1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Consolidated Statements of Cash Flows</w:t>
      </w:r>
    </w:p>
    <w:p>
      <w:pPr>
        <w:jc w:val="center"/>
        <w:ind w:right="40"/>
        <w:spacing w:after="0"/>
        <w:rPr>
          <w:sz w:val="20"/>
          <w:szCs w:val="20"/>
          <w:color w:val="auto"/>
        </w:rPr>
      </w:pPr>
      <w:r>
        <w:rPr>
          <w:rFonts w:ascii="Arial" w:cs="Arial" w:eastAsia="Arial" w:hAnsi="Arial"/>
          <w:sz w:val="18"/>
          <w:szCs w:val="18"/>
          <w:color w:val="auto"/>
        </w:rPr>
        <w:t>(In thousands)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88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gridSpan w:val="5"/>
          </w:tcPr>
          <w:p>
            <w:pPr>
              <w:jc w:val="right"/>
              <w:ind w:right="208"/>
              <w:spacing w:after="0"/>
              <w:rPr>
                <w:sz w:val="20"/>
                <w:szCs w:val="20"/>
                <w:color w:val="auto"/>
              </w:rPr>
            </w:pPr>
            <w:r>
              <w:rPr>
                <w:rFonts w:ascii="Arial" w:cs="Arial" w:eastAsia="Arial" w:hAnsi="Arial"/>
                <w:sz w:val="14"/>
                <w:szCs w:val="14"/>
                <w:b w:val="1"/>
                <w:bCs w:val="1"/>
                <w:color w:val="auto"/>
              </w:rPr>
              <w:t>Year Ended December 31,</w:t>
            </w: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169"/>
        </w:trPr>
        <w:tc>
          <w:tcPr>
            <w:tcW w:w="6880" w:type="dxa"/>
            <w:vAlign w:val="bottom"/>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4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4"/>
                <w:szCs w:val="14"/>
                <w:color w:val="auto"/>
              </w:rPr>
            </w:pPr>
          </w:p>
        </w:tc>
      </w:tr>
      <w:tr>
        <w:trPr>
          <w:trHeight w:val="169"/>
        </w:trPr>
        <w:tc>
          <w:tcPr>
            <w:tcW w:w="688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Cash flows from operating activities:</w:t>
            </w:r>
          </w:p>
        </w:tc>
        <w:tc>
          <w:tcPr>
            <w:tcW w:w="86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r>
      <w:tr>
        <w:trPr>
          <w:trHeight w:val="175"/>
        </w:trPr>
        <w:tc>
          <w:tcPr>
            <w:tcW w:w="6880" w:type="dxa"/>
            <w:vAlign w:val="bottom"/>
          </w:tcPr>
          <w:p>
            <w:pPr>
              <w:ind w:left="200"/>
              <w:spacing w:after="0"/>
              <w:rPr>
                <w:sz w:val="20"/>
                <w:szCs w:val="20"/>
                <w:color w:val="auto"/>
              </w:rPr>
            </w:pPr>
            <w:r>
              <w:rPr>
                <w:rFonts w:ascii="Arial" w:cs="Arial" w:eastAsia="Arial" w:hAnsi="Arial"/>
                <w:sz w:val="14"/>
                <w:szCs w:val="14"/>
                <w:color w:val="auto"/>
              </w:rPr>
              <w:t>Net loss</w:t>
            </w:r>
          </w:p>
        </w:tc>
        <w:tc>
          <w:tcPr>
            <w:tcW w:w="860" w:type="dxa"/>
            <w:vAlign w:val="bottom"/>
          </w:tcPr>
          <w:p>
            <w:pPr>
              <w:jc w:val="right"/>
              <w:ind w:right="708"/>
              <w:spacing w:after="0"/>
              <w:rPr>
                <w:sz w:val="20"/>
                <w:szCs w:val="20"/>
                <w:color w:val="auto"/>
              </w:rPr>
            </w:pPr>
            <w:r>
              <w:rPr>
                <w:rFonts w:ascii="Arial" w:cs="Arial" w:eastAsia="Arial" w:hAnsi="Arial"/>
                <w:sz w:val="14"/>
                <w:szCs w:val="14"/>
                <w:color w:val="auto"/>
                <w:w w:val="76"/>
              </w:rPr>
              <w:t>$</w:t>
            </w:r>
          </w:p>
        </w:tc>
        <w:tc>
          <w:tcPr>
            <w:tcW w:w="780" w:type="dxa"/>
            <w:vAlign w:val="bottom"/>
            <w:gridSpan w:val="2"/>
          </w:tcPr>
          <w:p>
            <w:pPr>
              <w:jc w:val="right"/>
              <w:ind w:right="108"/>
              <w:spacing w:after="0"/>
              <w:rPr>
                <w:sz w:val="20"/>
                <w:szCs w:val="20"/>
                <w:color w:val="auto"/>
              </w:rPr>
            </w:pPr>
            <w:r>
              <w:rPr>
                <w:rFonts w:ascii="Arial" w:cs="Arial" w:eastAsia="Arial" w:hAnsi="Arial"/>
                <w:sz w:val="14"/>
                <w:szCs w:val="14"/>
                <w:color w:val="auto"/>
              </w:rPr>
              <w:t>(61,381 )</w:t>
            </w:r>
          </w:p>
        </w:tc>
        <w:tc>
          <w:tcPr>
            <w:tcW w:w="320" w:type="dxa"/>
            <w:vAlign w:val="bottom"/>
          </w:tcPr>
          <w:p>
            <w:pPr>
              <w:jc w:val="right"/>
              <w:ind w:right="168"/>
              <w:spacing w:after="0"/>
              <w:rPr>
                <w:sz w:val="20"/>
                <w:szCs w:val="20"/>
                <w:color w:val="auto"/>
              </w:rPr>
            </w:pPr>
            <w:r>
              <w:rPr>
                <w:rFonts w:ascii="Arial" w:cs="Arial" w:eastAsia="Arial" w:hAnsi="Arial"/>
                <w:sz w:val="14"/>
                <w:szCs w:val="14"/>
                <w:color w:val="auto"/>
                <w:w w:val="76"/>
              </w:rPr>
              <w:t>$</w:t>
            </w:r>
          </w:p>
        </w:tc>
        <w:tc>
          <w:tcPr>
            <w:tcW w:w="1260" w:type="dxa"/>
            <w:vAlign w:val="bottom"/>
            <w:gridSpan w:val="2"/>
          </w:tcPr>
          <w:p>
            <w:pPr>
              <w:jc w:val="right"/>
              <w:ind w:right="68"/>
              <w:spacing w:after="0"/>
              <w:rPr>
                <w:sz w:val="20"/>
                <w:szCs w:val="20"/>
                <w:color w:val="auto"/>
              </w:rPr>
            </w:pPr>
            <w:r>
              <w:rPr>
                <w:rFonts w:ascii="Arial" w:cs="Arial" w:eastAsia="Arial" w:hAnsi="Arial"/>
                <w:sz w:val="14"/>
                <w:szCs w:val="14"/>
                <w:color w:val="auto"/>
              </w:rPr>
              <w:t>(31,085 )</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(30,994 )</w:t>
            </w:r>
          </w:p>
        </w:tc>
      </w:tr>
      <w:tr>
        <w:trPr>
          <w:trHeight w:val="176"/>
        </w:trPr>
        <w:tc>
          <w:tcPr>
            <w:tcW w:w="6880" w:type="dxa"/>
            <w:vAlign w:val="bottom"/>
            <w:shd w:val="clear" w:color="auto" w:fill="CFF0FC"/>
          </w:tcPr>
          <w:p>
            <w:pPr>
              <w:ind w:left="200"/>
              <w:spacing w:after="0"/>
              <w:rPr>
                <w:sz w:val="20"/>
                <w:szCs w:val="20"/>
                <w:color w:val="auto"/>
              </w:rPr>
            </w:pPr>
            <w:r>
              <w:rPr>
                <w:rFonts w:ascii="Arial" w:cs="Arial" w:eastAsia="Arial" w:hAnsi="Arial"/>
                <w:sz w:val="14"/>
                <w:szCs w:val="14"/>
                <w:color w:val="auto"/>
              </w:rPr>
              <w:t>Adjustments to reconcile net loss to net cash used in operating activities:</w:t>
            </w:r>
          </w:p>
        </w:tc>
        <w:tc>
          <w:tcPr>
            <w:tcW w:w="86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r>
      <w:tr>
        <w:trPr>
          <w:trHeight w:val="176"/>
        </w:trPr>
        <w:tc>
          <w:tcPr>
            <w:tcW w:w="6880" w:type="dxa"/>
            <w:vAlign w:val="bottom"/>
          </w:tcPr>
          <w:p>
            <w:pPr>
              <w:ind w:left="380"/>
              <w:spacing w:after="0"/>
              <w:rPr>
                <w:sz w:val="20"/>
                <w:szCs w:val="20"/>
                <w:color w:val="auto"/>
              </w:rPr>
            </w:pPr>
            <w:r>
              <w:rPr>
                <w:rFonts w:ascii="Arial" w:cs="Arial" w:eastAsia="Arial" w:hAnsi="Arial"/>
                <w:sz w:val="14"/>
                <w:szCs w:val="14"/>
                <w:color w:val="auto"/>
              </w:rPr>
              <w:t>Depreciation and amortization</w:t>
            </w:r>
          </w:p>
        </w:tc>
        <w:tc>
          <w:tcPr>
            <w:tcW w:w="86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3,596</w:t>
            </w: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3,120</w:t>
            </w: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1,847</w:t>
            </w:r>
          </w:p>
        </w:tc>
        <w:tc>
          <w:tcPr>
            <w:tcW w:w="60" w:type="dxa"/>
            <w:vAlign w:val="bottom"/>
          </w:tcPr>
          <w:p>
            <w:pPr>
              <w:spacing w:after="0"/>
              <w:rPr>
                <w:sz w:val="15"/>
                <w:szCs w:val="15"/>
                <w:color w:val="auto"/>
              </w:rPr>
            </w:pPr>
          </w:p>
        </w:tc>
      </w:tr>
      <w:tr>
        <w:trPr>
          <w:trHeight w:val="175"/>
        </w:trPr>
        <w:tc>
          <w:tcPr>
            <w:tcW w:w="6880" w:type="dxa"/>
            <w:vAlign w:val="bottom"/>
            <w:shd w:val="clear" w:color="auto" w:fill="CFF0FC"/>
          </w:tcPr>
          <w:p>
            <w:pPr>
              <w:ind w:left="380"/>
              <w:spacing w:after="0"/>
              <w:rPr>
                <w:sz w:val="20"/>
                <w:szCs w:val="20"/>
                <w:color w:val="auto"/>
              </w:rPr>
            </w:pPr>
            <w:r>
              <w:rPr>
                <w:rFonts w:ascii="Arial" w:cs="Arial" w:eastAsia="Arial" w:hAnsi="Arial"/>
                <w:sz w:val="14"/>
                <w:szCs w:val="14"/>
                <w:color w:val="auto"/>
              </w:rPr>
              <w:t>Impairment of goodwill and intangible assets</w:t>
            </w:r>
          </w:p>
        </w:tc>
        <w:tc>
          <w:tcPr>
            <w:tcW w:w="860" w:type="dxa"/>
            <w:vAlign w:val="bottom"/>
            <w:shd w:val="clear" w:color="auto" w:fill="CFF0FC"/>
          </w:tcPr>
          <w:p>
            <w:pPr>
              <w:spacing w:after="0"/>
              <w:rPr>
                <w:sz w:val="15"/>
                <w:szCs w:val="15"/>
                <w:color w:val="auto"/>
              </w:rPr>
            </w:pPr>
          </w:p>
        </w:tc>
        <w:tc>
          <w:tcPr>
            <w:tcW w:w="780" w:type="dxa"/>
            <w:vAlign w:val="bottom"/>
            <w:gridSpan w:val="2"/>
            <w:shd w:val="clear" w:color="auto" w:fill="CFF0FC"/>
          </w:tcPr>
          <w:p>
            <w:pPr>
              <w:jc w:val="right"/>
              <w:ind w:right="168"/>
              <w:spacing w:after="0"/>
              <w:rPr>
                <w:sz w:val="20"/>
                <w:szCs w:val="20"/>
                <w:color w:val="auto"/>
              </w:rPr>
            </w:pPr>
            <w:r>
              <w:rPr>
                <w:rFonts w:ascii="Arial" w:cs="Arial" w:eastAsia="Arial" w:hAnsi="Arial"/>
                <w:sz w:val="14"/>
                <w:szCs w:val="14"/>
                <w:color w:val="auto"/>
              </w:rPr>
              <w:t>—</w:t>
            </w:r>
          </w:p>
        </w:tc>
        <w:tc>
          <w:tcPr>
            <w:tcW w:w="32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1,592</w:t>
            </w:r>
          </w:p>
        </w:tc>
        <w:tc>
          <w:tcPr>
            <w:tcW w:w="2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1,719</w:t>
            </w:r>
          </w:p>
        </w:tc>
        <w:tc>
          <w:tcPr>
            <w:tcW w:w="60" w:type="dxa"/>
            <w:vAlign w:val="bottom"/>
            <w:shd w:val="clear" w:color="auto" w:fill="CFF0FC"/>
          </w:tcPr>
          <w:p>
            <w:pPr>
              <w:spacing w:after="0"/>
              <w:rPr>
                <w:sz w:val="15"/>
                <w:szCs w:val="15"/>
                <w:color w:val="auto"/>
              </w:rPr>
            </w:pPr>
          </w:p>
        </w:tc>
      </w:tr>
      <w:tr>
        <w:trPr>
          <w:trHeight w:val="176"/>
        </w:trPr>
        <w:tc>
          <w:tcPr>
            <w:tcW w:w="6880" w:type="dxa"/>
            <w:vAlign w:val="bottom"/>
          </w:tcPr>
          <w:p>
            <w:pPr>
              <w:ind w:left="380"/>
              <w:spacing w:after="0"/>
              <w:rPr>
                <w:sz w:val="20"/>
                <w:szCs w:val="20"/>
                <w:color w:val="auto"/>
              </w:rPr>
            </w:pPr>
            <w:r>
              <w:rPr>
                <w:rFonts w:ascii="Arial" w:cs="Arial" w:eastAsia="Arial" w:hAnsi="Arial"/>
                <w:sz w:val="14"/>
                <w:szCs w:val="14"/>
                <w:color w:val="auto"/>
              </w:rPr>
              <w:t>Reduction in carrying amount of right-of-use asset</w:t>
            </w:r>
          </w:p>
        </w:tc>
        <w:tc>
          <w:tcPr>
            <w:tcW w:w="86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1,056</w:t>
            </w: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1,045</w:t>
            </w: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647</w:t>
            </w:r>
          </w:p>
        </w:tc>
        <w:tc>
          <w:tcPr>
            <w:tcW w:w="60" w:type="dxa"/>
            <w:vAlign w:val="bottom"/>
          </w:tcPr>
          <w:p>
            <w:pPr>
              <w:spacing w:after="0"/>
              <w:rPr>
                <w:sz w:val="15"/>
                <w:szCs w:val="15"/>
                <w:color w:val="auto"/>
              </w:rPr>
            </w:pPr>
          </w:p>
        </w:tc>
      </w:tr>
      <w:tr>
        <w:trPr>
          <w:trHeight w:val="175"/>
        </w:trPr>
        <w:tc>
          <w:tcPr>
            <w:tcW w:w="6880" w:type="dxa"/>
            <w:vAlign w:val="bottom"/>
            <w:shd w:val="clear" w:color="auto" w:fill="CFF0FC"/>
          </w:tcPr>
          <w:p>
            <w:pPr>
              <w:ind w:left="380"/>
              <w:spacing w:after="0"/>
              <w:rPr>
                <w:sz w:val="20"/>
                <w:szCs w:val="20"/>
                <w:color w:val="auto"/>
              </w:rPr>
            </w:pPr>
            <w:r>
              <w:rPr>
                <w:rFonts w:ascii="Arial" w:cs="Arial" w:eastAsia="Arial" w:hAnsi="Arial"/>
                <w:sz w:val="14"/>
                <w:szCs w:val="14"/>
                <w:color w:val="auto"/>
              </w:rPr>
              <w:t>Stock based compensation</w:t>
            </w:r>
          </w:p>
        </w:tc>
        <w:tc>
          <w:tcPr>
            <w:tcW w:w="860" w:type="dxa"/>
            <w:vAlign w:val="bottom"/>
            <w:shd w:val="clear" w:color="auto" w:fill="CFF0FC"/>
          </w:tcPr>
          <w:p>
            <w:pPr>
              <w:spacing w:after="0"/>
              <w:rPr>
                <w:sz w:val="15"/>
                <w:szCs w:val="15"/>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7,395</w:t>
            </w:r>
          </w:p>
        </w:tc>
        <w:tc>
          <w:tcPr>
            <w:tcW w:w="24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1,006</w:t>
            </w:r>
          </w:p>
        </w:tc>
        <w:tc>
          <w:tcPr>
            <w:tcW w:w="2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544</w:t>
            </w:r>
          </w:p>
        </w:tc>
        <w:tc>
          <w:tcPr>
            <w:tcW w:w="60" w:type="dxa"/>
            <w:vAlign w:val="bottom"/>
            <w:shd w:val="clear" w:color="auto" w:fill="CFF0FC"/>
          </w:tcPr>
          <w:p>
            <w:pPr>
              <w:spacing w:after="0"/>
              <w:rPr>
                <w:sz w:val="15"/>
                <w:szCs w:val="15"/>
                <w:color w:val="auto"/>
              </w:rPr>
            </w:pPr>
          </w:p>
        </w:tc>
      </w:tr>
      <w:tr>
        <w:trPr>
          <w:trHeight w:val="176"/>
        </w:trPr>
        <w:tc>
          <w:tcPr>
            <w:tcW w:w="6880" w:type="dxa"/>
            <w:vAlign w:val="bottom"/>
          </w:tcPr>
          <w:p>
            <w:pPr>
              <w:ind w:left="380"/>
              <w:spacing w:after="0"/>
              <w:rPr>
                <w:sz w:val="20"/>
                <w:szCs w:val="20"/>
                <w:color w:val="auto"/>
              </w:rPr>
            </w:pPr>
            <w:r>
              <w:rPr>
                <w:rFonts w:ascii="Arial" w:cs="Arial" w:eastAsia="Arial" w:hAnsi="Arial"/>
                <w:sz w:val="14"/>
                <w:szCs w:val="14"/>
                <w:color w:val="auto"/>
              </w:rPr>
              <w:t>Non-cash interest expense</w:t>
            </w:r>
          </w:p>
        </w:tc>
        <w:tc>
          <w:tcPr>
            <w:tcW w:w="86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111</w:t>
            </w: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320</w:t>
            </w: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259</w:t>
            </w:r>
          </w:p>
        </w:tc>
        <w:tc>
          <w:tcPr>
            <w:tcW w:w="60" w:type="dxa"/>
            <w:vAlign w:val="bottom"/>
          </w:tcPr>
          <w:p>
            <w:pPr>
              <w:spacing w:after="0"/>
              <w:rPr>
                <w:sz w:val="15"/>
                <w:szCs w:val="15"/>
                <w:color w:val="auto"/>
              </w:rPr>
            </w:pPr>
          </w:p>
        </w:tc>
      </w:tr>
      <w:tr>
        <w:trPr>
          <w:trHeight w:val="175"/>
        </w:trPr>
        <w:tc>
          <w:tcPr>
            <w:tcW w:w="6880" w:type="dxa"/>
            <w:vAlign w:val="bottom"/>
            <w:shd w:val="clear" w:color="auto" w:fill="CFF0FC"/>
          </w:tcPr>
          <w:p>
            <w:pPr>
              <w:ind w:left="380"/>
              <w:spacing w:after="0"/>
              <w:rPr>
                <w:sz w:val="20"/>
                <w:szCs w:val="20"/>
                <w:color w:val="auto"/>
              </w:rPr>
            </w:pPr>
            <w:r>
              <w:rPr>
                <w:rFonts w:ascii="Arial" w:cs="Arial" w:eastAsia="Arial" w:hAnsi="Arial"/>
                <w:sz w:val="14"/>
                <w:szCs w:val="14"/>
                <w:color w:val="auto"/>
              </w:rPr>
              <w:t>Loss on debt extinguishment</w:t>
            </w:r>
          </w:p>
        </w:tc>
        <w:tc>
          <w:tcPr>
            <w:tcW w:w="860" w:type="dxa"/>
            <w:vAlign w:val="bottom"/>
            <w:shd w:val="clear" w:color="auto" w:fill="CFF0FC"/>
          </w:tcPr>
          <w:p>
            <w:pPr>
              <w:spacing w:after="0"/>
              <w:rPr>
                <w:sz w:val="15"/>
                <w:szCs w:val="15"/>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272</w:t>
            </w:r>
          </w:p>
        </w:tc>
        <w:tc>
          <w:tcPr>
            <w:tcW w:w="24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260" w:type="dxa"/>
            <w:vAlign w:val="bottom"/>
            <w:gridSpan w:val="2"/>
            <w:shd w:val="clear" w:color="auto" w:fill="CFF0FC"/>
          </w:tcPr>
          <w:p>
            <w:pPr>
              <w:jc w:val="right"/>
              <w:ind w:right="128"/>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ind w:right="8"/>
              <w:spacing w:after="0"/>
              <w:rPr>
                <w:sz w:val="20"/>
                <w:szCs w:val="20"/>
                <w:color w:val="auto"/>
              </w:rPr>
            </w:pPr>
            <w:r>
              <w:rPr>
                <w:rFonts w:ascii="Arial" w:cs="Arial" w:eastAsia="Arial" w:hAnsi="Arial"/>
                <w:sz w:val="14"/>
                <w:szCs w:val="14"/>
                <w:color w:val="auto"/>
              </w:rPr>
              <w:t>—</w:t>
            </w:r>
          </w:p>
        </w:tc>
      </w:tr>
      <w:tr>
        <w:trPr>
          <w:trHeight w:val="176"/>
        </w:trPr>
        <w:tc>
          <w:tcPr>
            <w:tcW w:w="6880" w:type="dxa"/>
            <w:vAlign w:val="bottom"/>
          </w:tcPr>
          <w:p>
            <w:pPr>
              <w:ind w:left="380"/>
              <w:spacing w:after="0"/>
              <w:rPr>
                <w:sz w:val="20"/>
                <w:szCs w:val="20"/>
                <w:color w:val="auto"/>
              </w:rPr>
            </w:pPr>
            <w:r>
              <w:rPr>
                <w:rFonts w:ascii="Arial" w:cs="Arial" w:eastAsia="Arial" w:hAnsi="Arial"/>
                <w:sz w:val="14"/>
                <w:szCs w:val="14"/>
                <w:color w:val="auto"/>
              </w:rPr>
              <w:t>Income from unconsolidated joint venture</w:t>
            </w:r>
          </w:p>
        </w:tc>
        <w:tc>
          <w:tcPr>
            <w:tcW w:w="860" w:type="dxa"/>
            <w:vAlign w:val="bottom"/>
          </w:tcPr>
          <w:p>
            <w:pPr>
              <w:spacing w:after="0"/>
              <w:rPr>
                <w:sz w:val="15"/>
                <w:szCs w:val="15"/>
                <w:color w:val="auto"/>
              </w:rPr>
            </w:pPr>
          </w:p>
        </w:tc>
        <w:tc>
          <w:tcPr>
            <w:tcW w:w="780" w:type="dxa"/>
            <w:vAlign w:val="bottom"/>
            <w:gridSpan w:val="2"/>
          </w:tcPr>
          <w:p>
            <w:pPr>
              <w:jc w:val="right"/>
              <w:ind w:right="108"/>
              <w:spacing w:after="0"/>
              <w:rPr>
                <w:sz w:val="20"/>
                <w:szCs w:val="20"/>
                <w:color w:val="auto"/>
              </w:rPr>
            </w:pPr>
            <w:r>
              <w:rPr>
                <w:rFonts w:ascii="Arial" w:cs="Arial" w:eastAsia="Arial" w:hAnsi="Arial"/>
                <w:sz w:val="14"/>
                <w:szCs w:val="14"/>
                <w:color w:val="auto"/>
              </w:rPr>
              <w:t>(41 )</w:t>
            </w:r>
          </w:p>
        </w:tc>
        <w:tc>
          <w:tcPr>
            <w:tcW w:w="320" w:type="dxa"/>
            <w:vAlign w:val="bottom"/>
          </w:tcPr>
          <w:p>
            <w:pPr>
              <w:spacing w:after="0"/>
              <w:rPr>
                <w:sz w:val="15"/>
                <w:szCs w:val="15"/>
                <w:color w:val="auto"/>
              </w:rPr>
            </w:pPr>
          </w:p>
        </w:tc>
        <w:tc>
          <w:tcPr>
            <w:tcW w:w="1260" w:type="dxa"/>
            <w:vAlign w:val="bottom"/>
            <w:gridSpan w:val="2"/>
          </w:tcPr>
          <w:p>
            <w:pPr>
              <w:jc w:val="right"/>
              <w:ind w:right="12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900" w:type="dxa"/>
            <w:vAlign w:val="bottom"/>
            <w:gridSpan w:val="2"/>
          </w:tcPr>
          <w:p>
            <w:pPr>
              <w:jc w:val="right"/>
              <w:ind w:right="8"/>
              <w:spacing w:after="0"/>
              <w:rPr>
                <w:sz w:val="20"/>
                <w:szCs w:val="20"/>
                <w:color w:val="auto"/>
              </w:rPr>
            </w:pPr>
            <w:r>
              <w:rPr>
                <w:rFonts w:ascii="Arial" w:cs="Arial" w:eastAsia="Arial" w:hAnsi="Arial"/>
                <w:sz w:val="14"/>
                <w:szCs w:val="14"/>
                <w:color w:val="auto"/>
              </w:rPr>
              <w:t>—</w:t>
            </w:r>
          </w:p>
        </w:tc>
      </w:tr>
      <w:tr>
        <w:trPr>
          <w:trHeight w:val="176"/>
        </w:trPr>
        <w:tc>
          <w:tcPr>
            <w:tcW w:w="6880" w:type="dxa"/>
            <w:vAlign w:val="bottom"/>
            <w:shd w:val="clear" w:color="auto" w:fill="CFF0FC"/>
          </w:tcPr>
          <w:p>
            <w:pPr>
              <w:ind w:left="380"/>
              <w:spacing w:after="0"/>
              <w:rPr>
                <w:sz w:val="20"/>
                <w:szCs w:val="20"/>
                <w:color w:val="auto"/>
              </w:rPr>
            </w:pPr>
            <w:r>
              <w:rPr>
                <w:rFonts w:ascii="Arial" w:cs="Arial" w:eastAsia="Arial" w:hAnsi="Arial"/>
                <w:sz w:val="14"/>
                <w:szCs w:val="14"/>
                <w:color w:val="auto"/>
              </w:rPr>
              <w:t>Donation of common stock</w:t>
            </w:r>
          </w:p>
        </w:tc>
        <w:tc>
          <w:tcPr>
            <w:tcW w:w="860" w:type="dxa"/>
            <w:vAlign w:val="bottom"/>
            <w:shd w:val="clear" w:color="auto" w:fill="CFF0FC"/>
          </w:tcPr>
          <w:p>
            <w:pPr>
              <w:spacing w:after="0"/>
              <w:rPr>
                <w:sz w:val="15"/>
                <w:szCs w:val="15"/>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2,226</w:t>
            </w:r>
          </w:p>
        </w:tc>
        <w:tc>
          <w:tcPr>
            <w:tcW w:w="24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260" w:type="dxa"/>
            <w:vAlign w:val="bottom"/>
            <w:gridSpan w:val="2"/>
            <w:shd w:val="clear" w:color="auto" w:fill="CFF0FC"/>
          </w:tcPr>
          <w:p>
            <w:pPr>
              <w:jc w:val="right"/>
              <w:ind w:right="128"/>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ind w:right="8"/>
              <w:spacing w:after="0"/>
              <w:rPr>
                <w:sz w:val="20"/>
                <w:szCs w:val="20"/>
                <w:color w:val="auto"/>
              </w:rPr>
            </w:pPr>
            <w:r>
              <w:rPr>
                <w:rFonts w:ascii="Arial" w:cs="Arial" w:eastAsia="Arial" w:hAnsi="Arial"/>
                <w:sz w:val="14"/>
                <w:szCs w:val="14"/>
                <w:color w:val="auto"/>
              </w:rPr>
              <w:t>—</w:t>
            </w:r>
          </w:p>
        </w:tc>
      </w:tr>
      <w:tr>
        <w:trPr>
          <w:trHeight w:val="175"/>
        </w:trPr>
        <w:tc>
          <w:tcPr>
            <w:tcW w:w="6880" w:type="dxa"/>
            <w:vAlign w:val="bottom"/>
          </w:tcPr>
          <w:p>
            <w:pPr>
              <w:ind w:left="380"/>
              <w:spacing w:after="0"/>
              <w:rPr>
                <w:sz w:val="20"/>
                <w:szCs w:val="20"/>
                <w:color w:val="auto"/>
              </w:rPr>
            </w:pPr>
            <w:r>
              <w:rPr>
                <w:rFonts w:ascii="Arial" w:cs="Arial" w:eastAsia="Arial" w:hAnsi="Arial"/>
                <w:sz w:val="14"/>
                <w:szCs w:val="14"/>
                <w:color w:val="auto"/>
              </w:rPr>
              <w:t>Unrealized loss on marketable securities</w:t>
            </w:r>
          </w:p>
        </w:tc>
        <w:tc>
          <w:tcPr>
            <w:tcW w:w="86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2,002</w:t>
            </w: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60" w:type="dxa"/>
            <w:vAlign w:val="bottom"/>
            <w:gridSpan w:val="2"/>
          </w:tcPr>
          <w:p>
            <w:pPr>
              <w:jc w:val="right"/>
              <w:ind w:right="12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900" w:type="dxa"/>
            <w:vAlign w:val="bottom"/>
            <w:gridSpan w:val="2"/>
          </w:tcPr>
          <w:p>
            <w:pPr>
              <w:jc w:val="right"/>
              <w:ind w:right="8"/>
              <w:spacing w:after="0"/>
              <w:rPr>
                <w:sz w:val="20"/>
                <w:szCs w:val="20"/>
                <w:color w:val="auto"/>
              </w:rPr>
            </w:pPr>
            <w:r>
              <w:rPr>
                <w:rFonts w:ascii="Arial" w:cs="Arial" w:eastAsia="Arial" w:hAnsi="Arial"/>
                <w:sz w:val="14"/>
                <w:szCs w:val="14"/>
                <w:color w:val="auto"/>
              </w:rPr>
              <w:t>—</w:t>
            </w:r>
          </w:p>
        </w:tc>
      </w:tr>
      <w:tr>
        <w:trPr>
          <w:trHeight w:val="176"/>
        </w:trPr>
        <w:tc>
          <w:tcPr>
            <w:tcW w:w="6880" w:type="dxa"/>
            <w:vAlign w:val="bottom"/>
            <w:shd w:val="clear" w:color="auto" w:fill="CFF0FC"/>
          </w:tcPr>
          <w:p>
            <w:pPr>
              <w:ind w:left="380"/>
              <w:spacing w:after="0"/>
              <w:rPr>
                <w:sz w:val="20"/>
                <w:szCs w:val="20"/>
                <w:color w:val="auto"/>
              </w:rPr>
            </w:pPr>
            <w:r>
              <w:rPr>
                <w:rFonts w:ascii="Arial" w:cs="Arial" w:eastAsia="Arial" w:hAnsi="Arial"/>
                <w:sz w:val="14"/>
                <w:szCs w:val="14"/>
                <w:color w:val="auto"/>
              </w:rPr>
              <w:t>Inventory write off</w:t>
            </w:r>
          </w:p>
        </w:tc>
        <w:tc>
          <w:tcPr>
            <w:tcW w:w="860" w:type="dxa"/>
            <w:vAlign w:val="bottom"/>
            <w:shd w:val="clear" w:color="auto" w:fill="CFF0FC"/>
          </w:tcPr>
          <w:p>
            <w:pPr>
              <w:spacing w:after="0"/>
              <w:rPr>
                <w:sz w:val="15"/>
                <w:szCs w:val="15"/>
                <w:color w:val="auto"/>
              </w:rPr>
            </w:pPr>
          </w:p>
        </w:tc>
        <w:tc>
          <w:tcPr>
            <w:tcW w:w="780" w:type="dxa"/>
            <w:vAlign w:val="bottom"/>
            <w:gridSpan w:val="2"/>
            <w:shd w:val="clear" w:color="auto" w:fill="CFF0FC"/>
          </w:tcPr>
          <w:p>
            <w:pPr>
              <w:jc w:val="right"/>
              <w:ind w:right="168"/>
              <w:spacing w:after="0"/>
              <w:rPr>
                <w:sz w:val="20"/>
                <w:szCs w:val="20"/>
                <w:color w:val="auto"/>
              </w:rPr>
            </w:pPr>
            <w:r>
              <w:rPr>
                <w:rFonts w:ascii="Arial" w:cs="Arial" w:eastAsia="Arial" w:hAnsi="Arial"/>
                <w:sz w:val="14"/>
                <w:szCs w:val="14"/>
                <w:color w:val="auto"/>
              </w:rPr>
              <w:t>—</w:t>
            </w:r>
          </w:p>
        </w:tc>
        <w:tc>
          <w:tcPr>
            <w:tcW w:w="320" w:type="dxa"/>
            <w:vAlign w:val="bottom"/>
            <w:shd w:val="clear" w:color="auto" w:fill="CFF0FC"/>
          </w:tcPr>
          <w:p>
            <w:pPr>
              <w:spacing w:after="0"/>
              <w:rPr>
                <w:sz w:val="15"/>
                <w:szCs w:val="15"/>
                <w:color w:val="auto"/>
              </w:rPr>
            </w:pPr>
          </w:p>
        </w:tc>
        <w:tc>
          <w:tcPr>
            <w:tcW w:w="1260" w:type="dxa"/>
            <w:vAlign w:val="bottom"/>
            <w:gridSpan w:val="2"/>
            <w:shd w:val="clear" w:color="auto" w:fill="CFF0FC"/>
          </w:tcPr>
          <w:p>
            <w:pPr>
              <w:jc w:val="right"/>
              <w:ind w:right="68"/>
              <w:spacing w:after="0"/>
              <w:rPr>
                <w:sz w:val="20"/>
                <w:szCs w:val="20"/>
                <w:color w:val="auto"/>
              </w:rPr>
            </w:pPr>
            <w:r>
              <w:rPr>
                <w:rFonts w:ascii="Arial" w:cs="Arial" w:eastAsia="Arial" w:hAnsi="Arial"/>
                <w:sz w:val="14"/>
                <w:szCs w:val="14"/>
                <w:color w:val="auto"/>
              </w:rPr>
              <w:t>(15 )</w:t>
            </w:r>
          </w:p>
        </w:tc>
        <w:tc>
          <w:tcPr>
            <w:tcW w:w="24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(141 )</w:t>
            </w:r>
          </w:p>
        </w:tc>
      </w:tr>
      <w:tr>
        <w:trPr>
          <w:trHeight w:val="175"/>
        </w:trPr>
        <w:tc>
          <w:tcPr>
            <w:tcW w:w="6880" w:type="dxa"/>
            <w:vAlign w:val="bottom"/>
          </w:tcPr>
          <w:p>
            <w:pPr>
              <w:ind w:left="380"/>
              <w:spacing w:after="0"/>
              <w:rPr>
                <w:sz w:val="20"/>
                <w:szCs w:val="20"/>
                <w:color w:val="auto"/>
              </w:rPr>
            </w:pPr>
            <w:r>
              <w:rPr>
                <w:rFonts w:ascii="Arial" w:cs="Arial" w:eastAsia="Arial" w:hAnsi="Arial"/>
                <w:sz w:val="14"/>
                <w:szCs w:val="14"/>
                <w:color w:val="auto"/>
              </w:rPr>
              <w:t>Loss (gain) on sale of property and equipment</w:t>
            </w:r>
          </w:p>
        </w:tc>
        <w:tc>
          <w:tcPr>
            <w:tcW w:w="86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20</w:t>
            </w: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60" w:type="dxa"/>
            <w:vAlign w:val="bottom"/>
            <w:gridSpan w:val="2"/>
          </w:tcPr>
          <w:p>
            <w:pPr>
              <w:jc w:val="right"/>
              <w:ind w:right="12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(128 )</w:t>
            </w:r>
          </w:p>
        </w:tc>
      </w:tr>
      <w:tr>
        <w:trPr>
          <w:trHeight w:val="176"/>
        </w:trPr>
        <w:tc>
          <w:tcPr>
            <w:tcW w:w="6880" w:type="dxa"/>
            <w:vAlign w:val="bottom"/>
            <w:shd w:val="clear" w:color="auto" w:fill="CFF0FC"/>
          </w:tcPr>
          <w:p>
            <w:pPr>
              <w:ind w:left="380"/>
              <w:spacing w:after="0"/>
              <w:rPr>
                <w:sz w:val="20"/>
                <w:szCs w:val="20"/>
                <w:color w:val="auto"/>
              </w:rPr>
            </w:pPr>
            <w:r>
              <w:rPr>
                <w:rFonts w:ascii="Arial" w:cs="Arial" w:eastAsia="Arial" w:hAnsi="Arial"/>
                <w:sz w:val="14"/>
                <w:szCs w:val="14"/>
                <w:color w:val="auto"/>
              </w:rPr>
              <w:t>Accretion of discount on short-term investments</w:t>
            </w:r>
          </w:p>
        </w:tc>
        <w:tc>
          <w:tcPr>
            <w:tcW w:w="860" w:type="dxa"/>
            <w:vAlign w:val="bottom"/>
            <w:shd w:val="clear" w:color="auto" w:fill="CFF0FC"/>
          </w:tcPr>
          <w:p>
            <w:pPr>
              <w:spacing w:after="0"/>
              <w:rPr>
                <w:sz w:val="15"/>
                <w:szCs w:val="15"/>
                <w:color w:val="auto"/>
              </w:rPr>
            </w:pPr>
          </w:p>
        </w:tc>
        <w:tc>
          <w:tcPr>
            <w:tcW w:w="780" w:type="dxa"/>
            <w:vAlign w:val="bottom"/>
            <w:gridSpan w:val="2"/>
            <w:shd w:val="clear" w:color="auto" w:fill="CFF0FC"/>
          </w:tcPr>
          <w:p>
            <w:pPr>
              <w:jc w:val="right"/>
              <w:ind w:right="168"/>
              <w:spacing w:after="0"/>
              <w:rPr>
                <w:sz w:val="20"/>
                <w:szCs w:val="20"/>
                <w:color w:val="auto"/>
              </w:rPr>
            </w:pPr>
            <w:r>
              <w:rPr>
                <w:rFonts w:ascii="Arial" w:cs="Arial" w:eastAsia="Arial" w:hAnsi="Arial"/>
                <w:sz w:val="14"/>
                <w:szCs w:val="14"/>
                <w:color w:val="auto"/>
              </w:rPr>
              <w:t>—</w:t>
            </w:r>
          </w:p>
        </w:tc>
        <w:tc>
          <w:tcPr>
            <w:tcW w:w="320" w:type="dxa"/>
            <w:vAlign w:val="bottom"/>
            <w:shd w:val="clear" w:color="auto" w:fill="CFF0FC"/>
          </w:tcPr>
          <w:p>
            <w:pPr>
              <w:spacing w:after="0"/>
              <w:rPr>
                <w:sz w:val="15"/>
                <w:szCs w:val="15"/>
                <w:color w:val="auto"/>
              </w:rPr>
            </w:pPr>
          </w:p>
        </w:tc>
        <w:tc>
          <w:tcPr>
            <w:tcW w:w="1260" w:type="dxa"/>
            <w:vAlign w:val="bottom"/>
            <w:gridSpan w:val="2"/>
            <w:shd w:val="clear" w:color="auto" w:fill="CFF0FC"/>
          </w:tcPr>
          <w:p>
            <w:pPr>
              <w:jc w:val="right"/>
              <w:ind w:right="128"/>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(37 )</w:t>
            </w:r>
          </w:p>
        </w:tc>
      </w:tr>
      <w:tr>
        <w:trPr>
          <w:trHeight w:val="176"/>
        </w:trPr>
        <w:tc>
          <w:tcPr>
            <w:tcW w:w="6880" w:type="dxa"/>
            <w:vAlign w:val="bottom"/>
          </w:tcPr>
          <w:p>
            <w:pPr>
              <w:ind w:left="380"/>
              <w:spacing w:after="0"/>
              <w:rPr>
                <w:sz w:val="20"/>
                <w:szCs w:val="20"/>
                <w:color w:val="auto"/>
              </w:rPr>
            </w:pPr>
            <w:r>
              <w:rPr>
                <w:rFonts w:ascii="Arial" w:cs="Arial" w:eastAsia="Arial" w:hAnsi="Arial"/>
                <w:sz w:val="14"/>
                <w:szCs w:val="14"/>
                <w:color w:val="auto"/>
              </w:rPr>
              <w:t>Deferred taxes benefit</w:t>
            </w:r>
          </w:p>
        </w:tc>
        <w:tc>
          <w:tcPr>
            <w:tcW w:w="860" w:type="dxa"/>
            <w:vAlign w:val="bottom"/>
          </w:tcPr>
          <w:p>
            <w:pPr>
              <w:spacing w:after="0"/>
              <w:rPr>
                <w:sz w:val="15"/>
                <w:szCs w:val="15"/>
                <w:color w:val="auto"/>
              </w:rPr>
            </w:pPr>
          </w:p>
        </w:tc>
        <w:tc>
          <w:tcPr>
            <w:tcW w:w="780" w:type="dxa"/>
            <w:vAlign w:val="bottom"/>
            <w:gridSpan w:val="2"/>
          </w:tcPr>
          <w:p>
            <w:pPr>
              <w:jc w:val="right"/>
              <w:ind w:right="108"/>
              <w:spacing w:after="0"/>
              <w:rPr>
                <w:sz w:val="20"/>
                <w:szCs w:val="20"/>
                <w:color w:val="auto"/>
              </w:rPr>
            </w:pPr>
            <w:r>
              <w:rPr>
                <w:rFonts w:ascii="Arial" w:cs="Arial" w:eastAsia="Arial" w:hAnsi="Arial"/>
                <w:sz w:val="14"/>
                <w:szCs w:val="14"/>
                <w:color w:val="auto"/>
              </w:rPr>
              <w:t>(179 )</w:t>
            </w:r>
          </w:p>
        </w:tc>
        <w:tc>
          <w:tcPr>
            <w:tcW w:w="320" w:type="dxa"/>
            <w:vAlign w:val="bottom"/>
          </w:tcPr>
          <w:p>
            <w:pPr>
              <w:spacing w:after="0"/>
              <w:rPr>
                <w:sz w:val="15"/>
                <w:szCs w:val="15"/>
                <w:color w:val="auto"/>
              </w:rPr>
            </w:pPr>
          </w:p>
        </w:tc>
        <w:tc>
          <w:tcPr>
            <w:tcW w:w="1260" w:type="dxa"/>
            <w:vAlign w:val="bottom"/>
            <w:gridSpan w:val="2"/>
          </w:tcPr>
          <w:p>
            <w:pPr>
              <w:jc w:val="right"/>
              <w:ind w:right="12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900" w:type="dxa"/>
            <w:vAlign w:val="bottom"/>
            <w:gridSpan w:val="2"/>
          </w:tcPr>
          <w:p>
            <w:pPr>
              <w:jc w:val="right"/>
              <w:ind w:right="8"/>
              <w:spacing w:after="0"/>
              <w:rPr>
                <w:sz w:val="20"/>
                <w:szCs w:val="20"/>
                <w:color w:val="auto"/>
              </w:rPr>
            </w:pPr>
            <w:r>
              <w:rPr>
                <w:rFonts w:ascii="Arial" w:cs="Arial" w:eastAsia="Arial" w:hAnsi="Arial"/>
                <w:sz w:val="14"/>
                <w:szCs w:val="14"/>
                <w:color w:val="auto"/>
              </w:rPr>
              <w:t>—</w:t>
            </w:r>
          </w:p>
        </w:tc>
      </w:tr>
      <w:tr>
        <w:trPr>
          <w:trHeight w:val="175"/>
        </w:trPr>
        <w:tc>
          <w:tcPr>
            <w:tcW w:w="6880" w:type="dxa"/>
            <w:vAlign w:val="bottom"/>
            <w:shd w:val="clear" w:color="auto" w:fill="CFF0FC"/>
          </w:tcPr>
          <w:p>
            <w:pPr>
              <w:ind w:left="380"/>
              <w:spacing w:after="0"/>
              <w:rPr>
                <w:sz w:val="20"/>
                <w:szCs w:val="20"/>
                <w:color w:val="auto"/>
              </w:rPr>
            </w:pPr>
            <w:r>
              <w:rPr>
                <w:rFonts w:ascii="Arial" w:cs="Arial" w:eastAsia="Arial" w:hAnsi="Arial"/>
                <w:sz w:val="14"/>
                <w:szCs w:val="14"/>
                <w:color w:val="auto"/>
              </w:rPr>
              <w:t>Changes in other assets and liabilities:</w:t>
            </w:r>
          </w:p>
        </w:tc>
        <w:tc>
          <w:tcPr>
            <w:tcW w:w="86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r>
      <w:tr>
        <w:trPr>
          <w:trHeight w:val="176"/>
        </w:trPr>
        <w:tc>
          <w:tcPr>
            <w:tcW w:w="6880" w:type="dxa"/>
            <w:vAlign w:val="bottom"/>
          </w:tcPr>
          <w:p>
            <w:pPr>
              <w:ind w:left="560"/>
              <w:spacing w:after="0"/>
              <w:rPr>
                <w:sz w:val="20"/>
                <w:szCs w:val="20"/>
                <w:color w:val="auto"/>
              </w:rPr>
            </w:pPr>
            <w:r>
              <w:rPr>
                <w:rFonts w:ascii="Arial" w:cs="Arial" w:eastAsia="Arial" w:hAnsi="Arial"/>
                <w:sz w:val="14"/>
                <w:szCs w:val="14"/>
                <w:color w:val="auto"/>
              </w:rPr>
              <w:t>Accounts receivable, net</w:t>
            </w:r>
          </w:p>
        </w:tc>
        <w:tc>
          <w:tcPr>
            <w:tcW w:w="860" w:type="dxa"/>
            <w:vAlign w:val="bottom"/>
          </w:tcPr>
          <w:p>
            <w:pPr>
              <w:spacing w:after="0"/>
              <w:rPr>
                <w:sz w:val="15"/>
                <w:szCs w:val="15"/>
                <w:color w:val="auto"/>
              </w:rPr>
            </w:pPr>
          </w:p>
        </w:tc>
        <w:tc>
          <w:tcPr>
            <w:tcW w:w="780" w:type="dxa"/>
            <w:vAlign w:val="bottom"/>
            <w:gridSpan w:val="2"/>
          </w:tcPr>
          <w:p>
            <w:pPr>
              <w:jc w:val="right"/>
              <w:ind w:right="108"/>
              <w:spacing w:after="0"/>
              <w:rPr>
                <w:sz w:val="20"/>
                <w:szCs w:val="20"/>
                <w:color w:val="auto"/>
              </w:rPr>
            </w:pPr>
            <w:r>
              <w:rPr>
                <w:rFonts w:ascii="Arial" w:cs="Arial" w:eastAsia="Arial" w:hAnsi="Arial"/>
                <w:sz w:val="14"/>
                <w:szCs w:val="14"/>
                <w:color w:val="auto"/>
              </w:rPr>
              <w:t>(11,117 )</w:t>
            </w:r>
          </w:p>
        </w:tc>
        <w:tc>
          <w:tcPr>
            <w:tcW w:w="320" w:type="dxa"/>
            <w:vAlign w:val="bottom"/>
          </w:tcPr>
          <w:p>
            <w:pPr>
              <w:spacing w:after="0"/>
              <w:rPr>
                <w:sz w:val="15"/>
                <w:szCs w:val="15"/>
                <w:color w:val="auto"/>
              </w:rPr>
            </w:pPr>
          </w:p>
        </w:tc>
        <w:tc>
          <w:tcPr>
            <w:tcW w:w="1260" w:type="dxa"/>
            <w:vAlign w:val="bottom"/>
            <w:gridSpan w:val="2"/>
          </w:tcPr>
          <w:p>
            <w:pPr>
              <w:jc w:val="right"/>
              <w:ind w:right="68"/>
              <w:spacing w:after="0"/>
              <w:rPr>
                <w:sz w:val="20"/>
                <w:szCs w:val="20"/>
                <w:color w:val="auto"/>
              </w:rPr>
            </w:pPr>
            <w:r>
              <w:rPr>
                <w:rFonts w:ascii="Arial" w:cs="Arial" w:eastAsia="Arial" w:hAnsi="Arial"/>
                <w:sz w:val="14"/>
                <w:szCs w:val="14"/>
                <w:color w:val="auto"/>
              </w:rPr>
              <w:t>(2,130 )</w:t>
            </w:r>
          </w:p>
        </w:tc>
        <w:tc>
          <w:tcPr>
            <w:tcW w:w="240" w:type="dxa"/>
            <w:vAlign w:val="bottom"/>
          </w:tcPr>
          <w:p>
            <w:pPr>
              <w:spacing w:after="0"/>
              <w:rPr>
                <w:sz w:val="15"/>
                <w:szCs w:val="15"/>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(5,505 )</w:t>
            </w:r>
          </w:p>
        </w:tc>
      </w:tr>
      <w:tr>
        <w:trPr>
          <w:trHeight w:val="175"/>
        </w:trPr>
        <w:tc>
          <w:tcPr>
            <w:tcW w:w="6880" w:type="dxa"/>
            <w:vAlign w:val="bottom"/>
            <w:shd w:val="clear" w:color="auto" w:fill="CFF0FC"/>
          </w:tcPr>
          <w:p>
            <w:pPr>
              <w:ind w:left="560"/>
              <w:spacing w:after="0"/>
              <w:rPr>
                <w:sz w:val="20"/>
                <w:szCs w:val="20"/>
                <w:color w:val="auto"/>
              </w:rPr>
            </w:pPr>
            <w:r>
              <w:rPr>
                <w:rFonts w:ascii="Arial" w:cs="Arial" w:eastAsia="Arial" w:hAnsi="Arial"/>
                <w:sz w:val="14"/>
                <w:szCs w:val="14"/>
                <w:color w:val="auto"/>
              </w:rPr>
              <w:t>Inventory</w:t>
            </w:r>
          </w:p>
        </w:tc>
        <w:tc>
          <w:tcPr>
            <w:tcW w:w="860" w:type="dxa"/>
            <w:vAlign w:val="bottom"/>
            <w:shd w:val="clear" w:color="auto" w:fill="CFF0FC"/>
          </w:tcPr>
          <w:p>
            <w:pPr>
              <w:spacing w:after="0"/>
              <w:rPr>
                <w:sz w:val="15"/>
                <w:szCs w:val="15"/>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293</w:t>
            </w:r>
          </w:p>
        </w:tc>
        <w:tc>
          <w:tcPr>
            <w:tcW w:w="24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260" w:type="dxa"/>
            <w:vAlign w:val="bottom"/>
            <w:gridSpan w:val="2"/>
            <w:shd w:val="clear" w:color="auto" w:fill="CFF0FC"/>
          </w:tcPr>
          <w:p>
            <w:pPr>
              <w:jc w:val="right"/>
              <w:ind w:right="68"/>
              <w:spacing w:after="0"/>
              <w:rPr>
                <w:sz w:val="20"/>
                <w:szCs w:val="20"/>
                <w:color w:val="auto"/>
              </w:rPr>
            </w:pPr>
            <w:r>
              <w:rPr>
                <w:rFonts w:ascii="Arial" w:cs="Arial" w:eastAsia="Arial" w:hAnsi="Arial"/>
                <w:sz w:val="14"/>
                <w:szCs w:val="14"/>
                <w:color w:val="auto"/>
              </w:rPr>
              <w:t>(956 )</w:t>
            </w:r>
          </w:p>
        </w:tc>
        <w:tc>
          <w:tcPr>
            <w:tcW w:w="24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(555 )</w:t>
            </w:r>
          </w:p>
        </w:tc>
      </w:tr>
      <w:tr>
        <w:trPr>
          <w:trHeight w:val="176"/>
        </w:trPr>
        <w:tc>
          <w:tcPr>
            <w:tcW w:w="6880" w:type="dxa"/>
            <w:vAlign w:val="bottom"/>
          </w:tcPr>
          <w:p>
            <w:pPr>
              <w:ind w:left="560"/>
              <w:spacing w:after="0"/>
              <w:rPr>
                <w:sz w:val="20"/>
                <w:szCs w:val="20"/>
                <w:color w:val="auto"/>
              </w:rPr>
            </w:pPr>
            <w:r>
              <w:rPr>
                <w:rFonts w:ascii="Arial" w:cs="Arial" w:eastAsia="Arial" w:hAnsi="Arial"/>
                <w:sz w:val="14"/>
                <w:szCs w:val="14"/>
                <w:color w:val="auto"/>
              </w:rPr>
              <w:t>Prepaid expenses</w:t>
            </w:r>
          </w:p>
        </w:tc>
        <w:tc>
          <w:tcPr>
            <w:tcW w:w="860" w:type="dxa"/>
            <w:vAlign w:val="bottom"/>
          </w:tcPr>
          <w:p>
            <w:pPr>
              <w:spacing w:after="0"/>
              <w:rPr>
                <w:sz w:val="15"/>
                <w:szCs w:val="15"/>
                <w:color w:val="auto"/>
              </w:rPr>
            </w:pPr>
          </w:p>
        </w:tc>
        <w:tc>
          <w:tcPr>
            <w:tcW w:w="780" w:type="dxa"/>
            <w:vAlign w:val="bottom"/>
            <w:gridSpan w:val="2"/>
          </w:tcPr>
          <w:p>
            <w:pPr>
              <w:jc w:val="right"/>
              <w:ind w:right="108"/>
              <w:spacing w:after="0"/>
              <w:rPr>
                <w:sz w:val="20"/>
                <w:szCs w:val="20"/>
                <w:color w:val="auto"/>
              </w:rPr>
            </w:pPr>
            <w:r>
              <w:rPr>
                <w:rFonts w:ascii="Arial" w:cs="Arial" w:eastAsia="Arial" w:hAnsi="Arial"/>
                <w:sz w:val="14"/>
                <w:szCs w:val="14"/>
                <w:color w:val="auto"/>
              </w:rPr>
              <w:t>(4,025 )</w:t>
            </w:r>
          </w:p>
        </w:tc>
        <w:tc>
          <w:tcPr>
            <w:tcW w:w="320" w:type="dxa"/>
            <w:vAlign w:val="bottom"/>
          </w:tcPr>
          <w:p>
            <w:pPr>
              <w:spacing w:after="0"/>
              <w:rPr>
                <w:sz w:val="15"/>
                <w:szCs w:val="15"/>
                <w:color w:val="auto"/>
              </w:rPr>
            </w:pPr>
          </w:p>
        </w:tc>
        <w:tc>
          <w:tcPr>
            <w:tcW w:w="1260" w:type="dxa"/>
            <w:vAlign w:val="bottom"/>
            <w:gridSpan w:val="2"/>
          </w:tcPr>
          <w:p>
            <w:pPr>
              <w:jc w:val="right"/>
              <w:ind w:right="68"/>
              <w:spacing w:after="0"/>
              <w:rPr>
                <w:sz w:val="20"/>
                <w:szCs w:val="20"/>
                <w:color w:val="auto"/>
              </w:rPr>
            </w:pPr>
            <w:r>
              <w:rPr>
                <w:rFonts w:ascii="Arial" w:cs="Arial" w:eastAsia="Arial" w:hAnsi="Arial"/>
                <w:sz w:val="14"/>
                <w:szCs w:val="14"/>
                <w:color w:val="auto"/>
              </w:rPr>
              <w:t>(210 )</w:t>
            </w:r>
          </w:p>
        </w:tc>
        <w:tc>
          <w:tcPr>
            <w:tcW w:w="240" w:type="dxa"/>
            <w:vAlign w:val="bottom"/>
          </w:tcPr>
          <w:p>
            <w:pPr>
              <w:spacing w:after="0"/>
              <w:rPr>
                <w:sz w:val="15"/>
                <w:szCs w:val="15"/>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(2 )</w:t>
            </w:r>
          </w:p>
        </w:tc>
      </w:tr>
      <w:tr>
        <w:trPr>
          <w:trHeight w:val="175"/>
        </w:trPr>
        <w:tc>
          <w:tcPr>
            <w:tcW w:w="6880" w:type="dxa"/>
            <w:vAlign w:val="bottom"/>
            <w:shd w:val="clear" w:color="auto" w:fill="CFF0FC"/>
          </w:tcPr>
          <w:p>
            <w:pPr>
              <w:ind w:left="560"/>
              <w:spacing w:after="0"/>
              <w:rPr>
                <w:sz w:val="20"/>
                <w:szCs w:val="20"/>
                <w:color w:val="auto"/>
              </w:rPr>
            </w:pPr>
            <w:r>
              <w:rPr>
                <w:rFonts w:ascii="Arial" w:cs="Arial" w:eastAsia="Arial" w:hAnsi="Arial"/>
                <w:sz w:val="14"/>
                <w:szCs w:val="14"/>
                <w:color w:val="auto"/>
              </w:rPr>
              <w:t>Deferred commissions</w:t>
            </w:r>
          </w:p>
        </w:tc>
        <w:tc>
          <w:tcPr>
            <w:tcW w:w="860" w:type="dxa"/>
            <w:vAlign w:val="bottom"/>
            <w:shd w:val="clear" w:color="auto" w:fill="CFF0FC"/>
          </w:tcPr>
          <w:p>
            <w:pPr>
              <w:spacing w:after="0"/>
              <w:rPr>
                <w:sz w:val="15"/>
                <w:szCs w:val="15"/>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147</w:t>
            </w:r>
          </w:p>
        </w:tc>
        <w:tc>
          <w:tcPr>
            <w:tcW w:w="24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260" w:type="dxa"/>
            <w:vAlign w:val="bottom"/>
            <w:gridSpan w:val="2"/>
            <w:shd w:val="clear" w:color="auto" w:fill="CFF0FC"/>
          </w:tcPr>
          <w:p>
            <w:pPr>
              <w:jc w:val="right"/>
              <w:ind w:right="128"/>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ind w:right="8"/>
              <w:spacing w:after="0"/>
              <w:rPr>
                <w:sz w:val="20"/>
                <w:szCs w:val="20"/>
                <w:color w:val="auto"/>
              </w:rPr>
            </w:pPr>
            <w:r>
              <w:rPr>
                <w:rFonts w:ascii="Arial" w:cs="Arial" w:eastAsia="Arial" w:hAnsi="Arial"/>
                <w:sz w:val="14"/>
                <w:szCs w:val="14"/>
                <w:color w:val="auto"/>
              </w:rPr>
              <w:t>—</w:t>
            </w:r>
          </w:p>
        </w:tc>
      </w:tr>
      <w:tr>
        <w:trPr>
          <w:trHeight w:val="176"/>
        </w:trPr>
        <w:tc>
          <w:tcPr>
            <w:tcW w:w="6880" w:type="dxa"/>
            <w:vAlign w:val="bottom"/>
          </w:tcPr>
          <w:p>
            <w:pPr>
              <w:ind w:left="560"/>
              <w:spacing w:after="0"/>
              <w:rPr>
                <w:sz w:val="20"/>
                <w:szCs w:val="20"/>
                <w:color w:val="auto"/>
              </w:rPr>
            </w:pPr>
            <w:r>
              <w:rPr>
                <w:rFonts w:ascii="Arial" w:cs="Arial" w:eastAsia="Arial" w:hAnsi="Arial"/>
                <w:sz w:val="14"/>
                <w:szCs w:val="14"/>
                <w:color w:val="auto"/>
              </w:rPr>
              <w:t>Other assets</w:t>
            </w:r>
          </w:p>
        </w:tc>
        <w:tc>
          <w:tcPr>
            <w:tcW w:w="86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317</w:t>
            </w: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60" w:type="dxa"/>
            <w:vAlign w:val="bottom"/>
            <w:gridSpan w:val="2"/>
          </w:tcPr>
          <w:p>
            <w:pPr>
              <w:jc w:val="right"/>
              <w:ind w:right="68"/>
              <w:spacing w:after="0"/>
              <w:rPr>
                <w:sz w:val="20"/>
                <w:szCs w:val="20"/>
                <w:color w:val="auto"/>
              </w:rPr>
            </w:pPr>
            <w:r>
              <w:rPr>
                <w:rFonts w:ascii="Arial" w:cs="Arial" w:eastAsia="Arial" w:hAnsi="Arial"/>
                <w:sz w:val="14"/>
                <w:szCs w:val="14"/>
                <w:color w:val="auto"/>
              </w:rPr>
              <w:t>(469 )</w:t>
            </w:r>
          </w:p>
        </w:tc>
        <w:tc>
          <w:tcPr>
            <w:tcW w:w="240" w:type="dxa"/>
            <w:vAlign w:val="bottom"/>
          </w:tcPr>
          <w:p>
            <w:pPr>
              <w:spacing w:after="0"/>
              <w:rPr>
                <w:sz w:val="15"/>
                <w:szCs w:val="15"/>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(137 )</w:t>
            </w:r>
          </w:p>
        </w:tc>
      </w:tr>
      <w:tr>
        <w:trPr>
          <w:trHeight w:val="176"/>
        </w:trPr>
        <w:tc>
          <w:tcPr>
            <w:tcW w:w="6880" w:type="dxa"/>
            <w:vAlign w:val="bottom"/>
            <w:shd w:val="clear" w:color="auto" w:fill="CFF0FC"/>
          </w:tcPr>
          <w:p>
            <w:pPr>
              <w:ind w:left="560"/>
              <w:spacing w:after="0"/>
              <w:rPr>
                <w:sz w:val="20"/>
                <w:szCs w:val="20"/>
                <w:color w:val="auto"/>
              </w:rPr>
            </w:pPr>
            <w:r>
              <w:rPr>
                <w:rFonts w:ascii="Arial" w:cs="Arial" w:eastAsia="Arial" w:hAnsi="Arial"/>
                <w:sz w:val="14"/>
                <w:szCs w:val="14"/>
                <w:color w:val="auto"/>
              </w:rPr>
              <w:t>Accounts payable</w:t>
            </w:r>
          </w:p>
        </w:tc>
        <w:tc>
          <w:tcPr>
            <w:tcW w:w="860" w:type="dxa"/>
            <w:vAlign w:val="bottom"/>
            <w:shd w:val="clear" w:color="auto" w:fill="CFF0FC"/>
          </w:tcPr>
          <w:p>
            <w:pPr>
              <w:spacing w:after="0"/>
              <w:rPr>
                <w:sz w:val="15"/>
                <w:szCs w:val="15"/>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5,215</w:t>
            </w:r>
          </w:p>
        </w:tc>
        <w:tc>
          <w:tcPr>
            <w:tcW w:w="24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260" w:type="dxa"/>
            <w:vAlign w:val="bottom"/>
            <w:gridSpan w:val="2"/>
            <w:shd w:val="clear" w:color="auto" w:fill="CFF0FC"/>
          </w:tcPr>
          <w:p>
            <w:pPr>
              <w:jc w:val="right"/>
              <w:ind w:right="68"/>
              <w:spacing w:after="0"/>
              <w:rPr>
                <w:sz w:val="20"/>
                <w:szCs w:val="20"/>
                <w:color w:val="auto"/>
              </w:rPr>
            </w:pPr>
            <w:r>
              <w:rPr>
                <w:rFonts w:ascii="Arial" w:cs="Arial" w:eastAsia="Arial" w:hAnsi="Arial"/>
                <w:sz w:val="14"/>
                <w:szCs w:val="14"/>
                <w:color w:val="auto"/>
              </w:rPr>
              <w:t>(2,350 )</w:t>
            </w:r>
          </w:p>
        </w:tc>
        <w:tc>
          <w:tcPr>
            <w:tcW w:w="24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2,813</w:t>
            </w:r>
          </w:p>
        </w:tc>
        <w:tc>
          <w:tcPr>
            <w:tcW w:w="60" w:type="dxa"/>
            <w:vAlign w:val="bottom"/>
            <w:shd w:val="clear" w:color="auto" w:fill="CFF0FC"/>
          </w:tcPr>
          <w:p>
            <w:pPr>
              <w:spacing w:after="0"/>
              <w:rPr>
                <w:sz w:val="15"/>
                <w:szCs w:val="15"/>
                <w:color w:val="auto"/>
              </w:rPr>
            </w:pPr>
          </w:p>
        </w:tc>
      </w:tr>
      <w:tr>
        <w:trPr>
          <w:trHeight w:val="175"/>
        </w:trPr>
        <w:tc>
          <w:tcPr>
            <w:tcW w:w="6880" w:type="dxa"/>
            <w:vAlign w:val="bottom"/>
          </w:tcPr>
          <w:p>
            <w:pPr>
              <w:ind w:left="560"/>
              <w:spacing w:after="0"/>
              <w:rPr>
                <w:sz w:val="20"/>
                <w:szCs w:val="20"/>
                <w:color w:val="auto"/>
              </w:rPr>
            </w:pPr>
            <w:r>
              <w:rPr>
                <w:rFonts w:ascii="Arial" w:cs="Arial" w:eastAsia="Arial" w:hAnsi="Arial"/>
                <w:sz w:val="14"/>
                <w:szCs w:val="14"/>
                <w:color w:val="auto"/>
              </w:rPr>
              <w:t>Accrued expenses</w:t>
            </w:r>
          </w:p>
        </w:tc>
        <w:tc>
          <w:tcPr>
            <w:tcW w:w="860" w:type="dxa"/>
            <w:vAlign w:val="bottom"/>
          </w:tcPr>
          <w:p>
            <w:pPr>
              <w:spacing w:after="0"/>
              <w:rPr>
                <w:sz w:val="15"/>
                <w:szCs w:val="15"/>
                <w:color w:val="auto"/>
              </w:rPr>
            </w:pPr>
          </w:p>
        </w:tc>
        <w:tc>
          <w:tcPr>
            <w:tcW w:w="780" w:type="dxa"/>
            <w:vAlign w:val="bottom"/>
            <w:gridSpan w:val="2"/>
          </w:tcPr>
          <w:p>
            <w:pPr>
              <w:jc w:val="right"/>
              <w:ind w:right="108"/>
              <w:spacing w:after="0"/>
              <w:rPr>
                <w:sz w:val="20"/>
                <w:szCs w:val="20"/>
                <w:color w:val="auto"/>
              </w:rPr>
            </w:pPr>
            <w:r>
              <w:rPr>
                <w:rFonts w:ascii="Arial" w:cs="Arial" w:eastAsia="Arial" w:hAnsi="Arial"/>
                <w:sz w:val="14"/>
                <w:szCs w:val="14"/>
                <w:color w:val="auto"/>
              </w:rPr>
              <w:t>(12,008 )</w:t>
            </w:r>
          </w:p>
        </w:tc>
        <w:tc>
          <w:tcPr>
            <w:tcW w:w="3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8,569</w:t>
            </w: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2,562</w:t>
            </w:r>
          </w:p>
        </w:tc>
        <w:tc>
          <w:tcPr>
            <w:tcW w:w="60" w:type="dxa"/>
            <w:vAlign w:val="bottom"/>
          </w:tcPr>
          <w:p>
            <w:pPr>
              <w:spacing w:after="0"/>
              <w:rPr>
                <w:sz w:val="15"/>
                <w:szCs w:val="15"/>
                <w:color w:val="auto"/>
              </w:rPr>
            </w:pPr>
          </w:p>
        </w:tc>
      </w:tr>
      <w:tr>
        <w:trPr>
          <w:trHeight w:val="176"/>
        </w:trPr>
        <w:tc>
          <w:tcPr>
            <w:tcW w:w="6880" w:type="dxa"/>
            <w:vAlign w:val="bottom"/>
            <w:shd w:val="clear" w:color="auto" w:fill="CFF0FC"/>
          </w:tcPr>
          <w:p>
            <w:pPr>
              <w:ind w:left="560"/>
              <w:spacing w:after="0"/>
              <w:rPr>
                <w:sz w:val="20"/>
                <w:szCs w:val="20"/>
                <w:color w:val="auto"/>
              </w:rPr>
            </w:pPr>
            <w:r>
              <w:rPr>
                <w:rFonts w:ascii="Arial" w:cs="Arial" w:eastAsia="Arial" w:hAnsi="Arial"/>
                <w:sz w:val="14"/>
                <w:szCs w:val="14"/>
                <w:color w:val="auto"/>
              </w:rPr>
              <w:t>Contract liabilities</w:t>
            </w:r>
          </w:p>
        </w:tc>
        <w:tc>
          <w:tcPr>
            <w:tcW w:w="860" w:type="dxa"/>
            <w:vAlign w:val="bottom"/>
            <w:shd w:val="clear" w:color="auto" w:fill="CFF0FC"/>
          </w:tcPr>
          <w:p>
            <w:pPr>
              <w:spacing w:after="0"/>
              <w:rPr>
                <w:sz w:val="15"/>
                <w:szCs w:val="15"/>
                <w:color w:val="auto"/>
              </w:rPr>
            </w:pPr>
          </w:p>
        </w:tc>
        <w:tc>
          <w:tcPr>
            <w:tcW w:w="780" w:type="dxa"/>
            <w:vAlign w:val="bottom"/>
            <w:gridSpan w:val="2"/>
            <w:shd w:val="clear" w:color="auto" w:fill="CFF0FC"/>
          </w:tcPr>
          <w:p>
            <w:pPr>
              <w:jc w:val="right"/>
              <w:ind w:right="108"/>
              <w:spacing w:after="0"/>
              <w:rPr>
                <w:sz w:val="20"/>
                <w:szCs w:val="20"/>
                <w:color w:val="auto"/>
              </w:rPr>
            </w:pPr>
            <w:r>
              <w:rPr>
                <w:rFonts w:ascii="Arial" w:cs="Arial" w:eastAsia="Arial" w:hAnsi="Arial"/>
                <w:sz w:val="14"/>
                <w:szCs w:val="14"/>
                <w:color w:val="auto"/>
              </w:rPr>
              <w:t>(1,625 )</w:t>
            </w:r>
          </w:p>
        </w:tc>
        <w:tc>
          <w:tcPr>
            <w:tcW w:w="32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518</w:t>
            </w:r>
          </w:p>
        </w:tc>
        <w:tc>
          <w:tcPr>
            <w:tcW w:w="2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636</w:t>
            </w:r>
          </w:p>
        </w:tc>
        <w:tc>
          <w:tcPr>
            <w:tcW w:w="60" w:type="dxa"/>
            <w:vAlign w:val="bottom"/>
            <w:shd w:val="clear" w:color="auto" w:fill="CFF0FC"/>
          </w:tcPr>
          <w:p>
            <w:pPr>
              <w:spacing w:after="0"/>
              <w:rPr>
                <w:sz w:val="15"/>
                <w:szCs w:val="15"/>
                <w:color w:val="auto"/>
              </w:rPr>
            </w:pPr>
          </w:p>
        </w:tc>
      </w:tr>
      <w:tr>
        <w:trPr>
          <w:trHeight w:val="175"/>
        </w:trPr>
        <w:tc>
          <w:tcPr>
            <w:tcW w:w="6880" w:type="dxa"/>
            <w:vAlign w:val="bottom"/>
          </w:tcPr>
          <w:p>
            <w:pPr>
              <w:ind w:left="560"/>
              <w:spacing w:after="0"/>
              <w:rPr>
                <w:sz w:val="20"/>
                <w:szCs w:val="20"/>
                <w:color w:val="auto"/>
              </w:rPr>
            </w:pPr>
            <w:r>
              <w:rPr>
                <w:rFonts w:ascii="Arial" w:cs="Arial" w:eastAsia="Arial" w:hAnsi="Arial"/>
                <w:sz w:val="14"/>
                <w:szCs w:val="14"/>
                <w:color w:val="auto"/>
              </w:rPr>
              <w:t>Lease liabilities</w:t>
            </w:r>
          </w:p>
        </w:tc>
        <w:tc>
          <w:tcPr>
            <w:tcW w:w="860" w:type="dxa"/>
            <w:vAlign w:val="bottom"/>
          </w:tcPr>
          <w:p>
            <w:pPr>
              <w:spacing w:after="0"/>
              <w:rPr>
                <w:sz w:val="15"/>
                <w:szCs w:val="15"/>
                <w:color w:val="auto"/>
              </w:rPr>
            </w:pPr>
          </w:p>
        </w:tc>
        <w:tc>
          <w:tcPr>
            <w:tcW w:w="780" w:type="dxa"/>
            <w:vAlign w:val="bottom"/>
            <w:gridSpan w:val="2"/>
          </w:tcPr>
          <w:p>
            <w:pPr>
              <w:jc w:val="right"/>
              <w:ind w:right="108"/>
              <w:spacing w:after="0"/>
              <w:rPr>
                <w:sz w:val="20"/>
                <w:szCs w:val="20"/>
                <w:color w:val="auto"/>
              </w:rPr>
            </w:pPr>
            <w:r>
              <w:rPr>
                <w:rFonts w:ascii="Arial" w:cs="Arial" w:eastAsia="Arial" w:hAnsi="Arial"/>
                <w:sz w:val="14"/>
                <w:szCs w:val="14"/>
                <w:color w:val="auto"/>
              </w:rPr>
              <w:t>(845 )</w:t>
            </w:r>
          </w:p>
        </w:tc>
        <w:tc>
          <w:tcPr>
            <w:tcW w:w="320" w:type="dxa"/>
            <w:vAlign w:val="bottom"/>
          </w:tcPr>
          <w:p>
            <w:pPr>
              <w:spacing w:after="0"/>
              <w:rPr>
                <w:sz w:val="15"/>
                <w:szCs w:val="15"/>
                <w:color w:val="auto"/>
              </w:rPr>
            </w:pPr>
          </w:p>
        </w:tc>
        <w:tc>
          <w:tcPr>
            <w:tcW w:w="1260" w:type="dxa"/>
            <w:vAlign w:val="bottom"/>
            <w:gridSpan w:val="2"/>
          </w:tcPr>
          <w:p>
            <w:pPr>
              <w:jc w:val="right"/>
              <w:ind w:right="68"/>
              <w:spacing w:after="0"/>
              <w:rPr>
                <w:sz w:val="20"/>
                <w:szCs w:val="20"/>
                <w:color w:val="auto"/>
              </w:rPr>
            </w:pPr>
            <w:r>
              <w:rPr>
                <w:rFonts w:ascii="Arial" w:cs="Arial" w:eastAsia="Arial" w:hAnsi="Arial"/>
                <w:sz w:val="14"/>
                <w:szCs w:val="14"/>
                <w:color w:val="auto"/>
              </w:rPr>
              <w:t>(1,004 )</w:t>
            </w:r>
          </w:p>
        </w:tc>
        <w:tc>
          <w:tcPr>
            <w:tcW w:w="240" w:type="dxa"/>
            <w:vAlign w:val="bottom"/>
          </w:tcPr>
          <w:p>
            <w:pPr>
              <w:spacing w:after="0"/>
              <w:rPr>
                <w:sz w:val="15"/>
                <w:szCs w:val="15"/>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(653 )</w:t>
            </w:r>
          </w:p>
        </w:tc>
      </w:tr>
      <w:tr>
        <w:trPr>
          <w:trHeight w:val="169"/>
        </w:trPr>
        <w:tc>
          <w:tcPr>
            <w:tcW w:w="688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4"/>
                <w:szCs w:val="14"/>
                <w:b w:val="1"/>
                <w:bCs w:val="1"/>
                <w:color w:val="auto"/>
              </w:rPr>
              <w:t>Net cash used in operating activities</w:t>
            </w:r>
          </w:p>
        </w:tc>
        <w:tc>
          <w:tcPr>
            <w:tcW w:w="860" w:type="dxa"/>
            <w:vAlign w:val="bottom"/>
            <w:tcBorders>
              <w:top w:val="single" w:sz="8" w:color="auto"/>
              <w:bottom w:val="single" w:sz="8" w:color="auto"/>
            </w:tcBorders>
            <w:shd w:val="clear" w:color="auto" w:fill="CFF0FC"/>
          </w:tcPr>
          <w:p>
            <w:pPr>
              <w:spacing w:after="0"/>
              <w:rPr>
                <w:sz w:val="14"/>
                <w:szCs w:val="14"/>
                <w:color w:val="auto"/>
              </w:rPr>
            </w:pPr>
          </w:p>
        </w:tc>
        <w:tc>
          <w:tcPr>
            <w:tcW w:w="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(68,571</w:t>
            </w:r>
          </w:p>
        </w:tc>
        <w:tc>
          <w:tcPr>
            <w:tcW w:w="240" w:type="dxa"/>
            <w:vAlign w:val="bottom"/>
            <w:tcBorders>
              <w:bottom w:val="single" w:sz="8" w:color="CFF0FC"/>
            </w:tcBorders>
            <w:shd w:val="clear" w:color="auto" w:fill="CFF0FC"/>
          </w:tcPr>
          <w:p>
            <w:pPr>
              <w:jc w:val="right"/>
              <w:ind w:right="108"/>
              <w:spacing w:after="0"/>
              <w:rPr>
                <w:sz w:val="20"/>
                <w:szCs w:val="20"/>
                <w:color w:val="auto"/>
              </w:rPr>
            </w:pPr>
            <w:r>
              <w:rPr>
                <w:rFonts w:ascii="Arial" w:cs="Arial" w:eastAsia="Arial" w:hAnsi="Arial"/>
                <w:sz w:val="14"/>
                <w:szCs w:val="14"/>
                <w:color w:val="auto"/>
                <w:w w:val="84"/>
              </w:rPr>
              <w:t>)</w:t>
            </w:r>
          </w:p>
        </w:tc>
        <w:tc>
          <w:tcPr>
            <w:tcW w:w="320" w:type="dxa"/>
            <w:vAlign w:val="bottom"/>
            <w:tcBorders>
              <w:top w:val="single" w:sz="8" w:color="auto"/>
              <w:bottom w:val="single" w:sz="8" w:color="auto"/>
            </w:tcBorders>
            <w:shd w:val="clear" w:color="auto" w:fill="CFF0FC"/>
          </w:tcPr>
          <w:p>
            <w:pPr>
              <w:spacing w:after="0"/>
              <w:rPr>
                <w:sz w:val="14"/>
                <w:szCs w:val="14"/>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(22,049</w:t>
            </w:r>
          </w:p>
        </w:tc>
        <w:tc>
          <w:tcPr>
            <w:tcW w:w="200" w:type="dxa"/>
            <w:vAlign w:val="bottom"/>
            <w:tcBorders>
              <w:bottom w:val="single" w:sz="8" w:color="CFF0FC"/>
            </w:tcBorders>
            <w:shd w:val="clear" w:color="auto" w:fill="CFF0FC"/>
          </w:tcPr>
          <w:p>
            <w:pPr>
              <w:jc w:val="right"/>
              <w:ind w:right="68"/>
              <w:spacing w:after="0"/>
              <w:rPr>
                <w:sz w:val="20"/>
                <w:szCs w:val="20"/>
                <w:color w:val="auto"/>
              </w:rPr>
            </w:pPr>
            <w:r>
              <w:rPr>
                <w:rFonts w:ascii="Arial" w:cs="Arial" w:eastAsia="Arial" w:hAnsi="Arial"/>
                <w:sz w:val="14"/>
                <w:szCs w:val="14"/>
                <w:color w:val="auto"/>
                <w:w w:val="84"/>
              </w:rPr>
              <w:t>)</w:t>
            </w:r>
          </w:p>
        </w:tc>
        <w:tc>
          <w:tcPr>
            <w:tcW w:w="240" w:type="dxa"/>
            <w:vAlign w:val="bottom"/>
            <w:tcBorders>
              <w:top w:val="single" w:sz="8" w:color="auto"/>
              <w:bottom w:val="single" w:sz="8" w:color="auto"/>
            </w:tcBorders>
            <w:shd w:val="clear" w:color="auto" w:fill="CFF0FC"/>
          </w:tcPr>
          <w:p>
            <w:pPr>
              <w:spacing w:after="0"/>
              <w:rPr>
                <w:sz w:val="14"/>
                <w:szCs w:val="14"/>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(27,125</w:t>
            </w:r>
          </w:p>
        </w:tc>
        <w:tc>
          <w:tcPr>
            <w:tcW w:w="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w w:val="84"/>
              </w:rPr>
              <w:t>)</w:t>
            </w:r>
          </w:p>
        </w:tc>
      </w:tr>
      <w:tr>
        <w:trPr>
          <w:trHeight w:val="169"/>
        </w:trPr>
        <w:tc>
          <w:tcPr>
            <w:tcW w:w="6880" w:type="dxa"/>
            <w:vAlign w:val="bottom"/>
          </w:tcPr>
          <w:p>
            <w:pPr>
              <w:ind w:left="20"/>
              <w:spacing w:after="0"/>
              <w:rPr>
                <w:sz w:val="20"/>
                <w:szCs w:val="20"/>
                <w:color w:val="auto"/>
              </w:rPr>
            </w:pPr>
            <w:r>
              <w:rPr>
                <w:rFonts w:ascii="Arial" w:cs="Arial" w:eastAsia="Arial" w:hAnsi="Arial"/>
                <w:sz w:val="14"/>
                <w:szCs w:val="14"/>
                <w:b w:val="1"/>
                <w:bCs w:val="1"/>
                <w:color w:val="auto"/>
              </w:rPr>
              <w:t>Cash flows from investing activities:</w:t>
            </w:r>
          </w:p>
        </w:tc>
        <w:tc>
          <w:tcPr>
            <w:tcW w:w="8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75"/>
        </w:trPr>
        <w:tc>
          <w:tcPr>
            <w:tcW w:w="6880" w:type="dxa"/>
            <w:vAlign w:val="bottom"/>
            <w:shd w:val="clear" w:color="auto" w:fill="CFF0FC"/>
          </w:tcPr>
          <w:p>
            <w:pPr>
              <w:ind w:left="200"/>
              <w:spacing w:after="0"/>
              <w:rPr>
                <w:sz w:val="20"/>
                <w:szCs w:val="20"/>
                <w:color w:val="auto"/>
              </w:rPr>
            </w:pPr>
            <w:r>
              <w:rPr>
                <w:rFonts w:ascii="Arial" w:cs="Arial" w:eastAsia="Arial" w:hAnsi="Arial"/>
                <w:sz w:val="14"/>
                <w:szCs w:val="14"/>
                <w:color w:val="auto"/>
              </w:rPr>
              <w:t>Purchase of marketable securities</w:t>
            </w:r>
          </w:p>
        </w:tc>
        <w:tc>
          <w:tcPr>
            <w:tcW w:w="860" w:type="dxa"/>
            <w:vAlign w:val="bottom"/>
            <w:shd w:val="clear" w:color="auto" w:fill="CFF0FC"/>
          </w:tcPr>
          <w:p>
            <w:pPr>
              <w:spacing w:after="0"/>
              <w:rPr>
                <w:sz w:val="15"/>
                <w:szCs w:val="15"/>
                <w:color w:val="auto"/>
              </w:rPr>
            </w:pPr>
          </w:p>
        </w:tc>
        <w:tc>
          <w:tcPr>
            <w:tcW w:w="780" w:type="dxa"/>
            <w:vAlign w:val="bottom"/>
            <w:gridSpan w:val="2"/>
            <w:shd w:val="clear" w:color="auto" w:fill="CFF0FC"/>
          </w:tcPr>
          <w:p>
            <w:pPr>
              <w:jc w:val="right"/>
              <w:ind w:right="108"/>
              <w:spacing w:after="0"/>
              <w:rPr>
                <w:sz w:val="20"/>
                <w:szCs w:val="20"/>
                <w:color w:val="auto"/>
              </w:rPr>
            </w:pPr>
            <w:r>
              <w:rPr>
                <w:rFonts w:ascii="Arial" w:cs="Arial" w:eastAsia="Arial" w:hAnsi="Arial"/>
                <w:sz w:val="14"/>
                <w:szCs w:val="14"/>
                <w:color w:val="auto"/>
                <w:w w:val="90"/>
              </w:rPr>
              <w:t>(267,467 )</w:t>
            </w:r>
          </w:p>
        </w:tc>
        <w:tc>
          <w:tcPr>
            <w:tcW w:w="320" w:type="dxa"/>
            <w:vAlign w:val="bottom"/>
            <w:shd w:val="clear" w:color="auto" w:fill="CFF0FC"/>
          </w:tcPr>
          <w:p>
            <w:pPr>
              <w:spacing w:after="0"/>
              <w:rPr>
                <w:sz w:val="15"/>
                <w:szCs w:val="15"/>
                <w:color w:val="auto"/>
              </w:rPr>
            </w:pPr>
          </w:p>
        </w:tc>
        <w:tc>
          <w:tcPr>
            <w:tcW w:w="1260" w:type="dxa"/>
            <w:vAlign w:val="bottom"/>
            <w:gridSpan w:val="2"/>
            <w:shd w:val="clear" w:color="auto" w:fill="CFF0FC"/>
          </w:tcPr>
          <w:p>
            <w:pPr>
              <w:jc w:val="right"/>
              <w:ind w:right="128"/>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ind w:right="8"/>
              <w:spacing w:after="0"/>
              <w:rPr>
                <w:sz w:val="20"/>
                <w:szCs w:val="20"/>
                <w:color w:val="auto"/>
              </w:rPr>
            </w:pPr>
            <w:r>
              <w:rPr>
                <w:rFonts w:ascii="Arial" w:cs="Arial" w:eastAsia="Arial" w:hAnsi="Arial"/>
                <w:sz w:val="14"/>
                <w:szCs w:val="14"/>
                <w:color w:val="auto"/>
              </w:rPr>
              <w:t>—</w:t>
            </w:r>
          </w:p>
        </w:tc>
      </w:tr>
      <w:tr>
        <w:trPr>
          <w:trHeight w:val="175"/>
        </w:trPr>
        <w:tc>
          <w:tcPr>
            <w:tcW w:w="6880" w:type="dxa"/>
            <w:vAlign w:val="bottom"/>
          </w:tcPr>
          <w:p>
            <w:pPr>
              <w:ind w:left="200"/>
              <w:spacing w:after="0"/>
              <w:rPr>
                <w:sz w:val="20"/>
                <w:szCs w:val="20"/>
                <w:color w:val="auto"/>
              </w:rPr>
            </w:pPr>
            <w:r>
              <w:rPr>
                <w:rFonts w:ascii="Arial" w:cs="Arial" w:eastAsia="Arial" w:hAnsi="Arial"/>
                <w:sz w:val="14"/>
                <w:szCs w:val="14"/>
                <w:color w:val="auto"/>
              </w:rPr>
              <w:t>Proceeds from sale of marketable securities</w:t>
            </w:r>
          </w:p>
        </w:tc>
        <w:tc>
          <w:tcPr>
            <w:tcW w:w="86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235,000</w:t>
            </w: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60" w:type="dxa"/>
            <w:vAlign w:val="bottom"/>
            <w:gridSpan w:val="2"/>
          </w:tcPr>
          <w:p>
            <w:pPr>
              <w:jc w:val="right"/>
              <w:ind w:right="12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900" w:type="dxa"/>
            <w:vAlign w:val="bottom"/>
            <w:gridSpan w:val="2"/>
          </w:tcPr>
          <w:p>
            <w:pPr>
              <w:jc w:val="right"/>
              <w:ind w:right="8"/>
              <w:spacing w:after="0"/>
              <w:rPr>
                <w:sz w:val="20"/>
                <w:szCs w:val="20"/>
                <w:color w:val="auto"/>
              </w:rPr>
            </w:pPr>
            <w:r>
              <w:rPr>
                <w:rFonts w:ascii="Arial" w:cs="Arial" w:eastAsia="Arial" w:hAnsi="Arial"/>
                <w:sz w:val="14"/>
                <w:szCs w:val="14"/>
                <w:color w:val="auto"/>
              </w:rPr>
              <w:t>—</w:t>
            </w:r>
          </w:p>
        </w:tc>
      </w:tr>
      <w:tr>
        <w:trPr>
          <w:trHeight w:val="175"/>
        </w:trPr>
        <w:tc>
          <w:tcPr>
            <w:tcW w:w="6880" w:type="dxa"/>
            <w:vAlign w:val="bottom"/>
            <w:shd w:val="clear" w:color="auto" w:fill="CFF0FC"/>
          </w:tcPr>
          <w:p>
            <w:pPr>
              <w:ind w:left="200"/>
              <w:spacing w:after="0"/>
              <w:rPr>
                <w:sz w:val="20"/>
                <w:szCs w:val="20"/>
                <w:color w:val="auto"/>
              </w:rPr>
            </w:pPr>
            <w:r>
              <w:rPr>
                <w:rFonts w:ascii="Arial" w:cs="Arial" w:eastAsia="Arial" w:hAnsi="Arial"/>
                <w:sz w:val="14"/>
                <w:szCs w:val="14"/>
                <w:color w:val="auto"/>
              </w:rPr>
              <w:t>Purchase of short-term investments</w:t>
            </w:r>
          </w:p>
        </w:tc>
        <w:tc>
          <w:tcPr>
            <w:tcW w:w="860" w:type="dxa"/>
            <w:vAlign w:val="bottom"/>
            <w:shd w:val="clear" w:color="auto" w:fill="CFF0FC"/>
          </w:tcPr>
          <w:p>
            <w:pPr>
              <w:spacing w:after="0"/>
              <w:rPr>
                <w:sz w:val="15"/>
                <w:szCs w:val="15"/>
                <w:color w:val="auto"/>
              </w:rPr>
            </w:pPr>
          </w:p>
        </w:tc>
        <w:tc>
          <w:tcPr>
            <w:tcW w:w="780" w:type="dxa"/>
            <w:vAlign w:val="bottom"/>
            <w:gridSpan w:val="2"/>
            <w:shd w:val="clear" w:color="auto" w:fill="CFF0FC"/>
          </w:tcPr>
          <w:p>
            <w:pPr>
              <w:jc w:val="right"/>
              <w:ind w:right="168"/>
              <w:spacing w:after="0"/>
              <w:rPr>
                <w:sz w:val="20"/>
                <w:szCs w:val="20"/>
                <w:color w:val="auto"/>
              </w:rPr>
            </w:pPr>
            <w:r>
              <w:rPr>
                <w:rFonts w:ascii="Arial" w:cs="Arial" w:eastAsia="Arial" w:hAnsi="Arial"/>
                <w:sz w:val="14"/>
                <w:szCs w:val="14"/>
                <w:color w:val="auto"/>
              </w:rPr>
              <w:t>—</w:t>
            </w:r>
          </w:p>
        </w:tc>
        <w:tc>
          <w:tcPr>
            <w:tcW w:w="320" w:type="dxa"/>
            <w:vAlign w:val="bottom"/>
            <w:shd w:val="clear" w:color="auto" w:fill="CFF0FC"/>
          </w:tcPr>
          <w:p>
            <w:pPr>
              <w:spacing w:after="0"/>
              <w:rPr>
                <w:sz w:val="15"/>
                <w:szCs w:val="15"/>
                <w:color w:val="auto"/>
              </w:rPr>
            </w:pPr>
          </w:p>
        </w:tc>
        <w:tc>
          <w:tcPr>
            <w:tcW w:w="1260" w:type="dxa"/>
            <w:vAlign w:val="bottom"/>
            <w:gridSpan w:val="2"/>
            <w:shd w:val="clear" w:color="auto" w:fill="CFF0FC"/>
          </w:tcPr>
          <w:p>
            <w:pPr>
              <w:jc w:val="right"/>
              <w:ind w:right="68"/>
              <w:spacing w:after="0"/>
              <w:rPr>
                <w:sz w:val="20"/>
                <w:szCs w:val="20"/>
                <w:color w:val="auto"/>
              </w:rPr>
            </w:pPr>
            <w:r>
              <w:rPr>
                <w:rFonts w:ascii="Arial" w:cs="Arial" w:eastAsia="Arial" w:hAnsi="Arial"/>
                <w:sz w:val="14"/>
                <w:szCs w:val="14"/>
                <w:color w:val="auto"/>
              </w:rPr>
              <w:t>(17,711 )</w:t>
            </w:r>
          </w:p>
        </w:tc>
        <w:tc>
          <w:tcPr>
            <w:tcW w:w="24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(28,850 )</w:t>
            </w:r>
          </w:p>
        </w:tc>
      </w:tr>
      <w:tr>
        <w:trPr>
          <w:trHeight w:val="176"/>
        </w:trPr>
        <w:tc>
          <w:tcPr>
            <w:tcW w:w="6880" w:type="dxa"/>
            <w:vAlign w:val="bottom"/>
          </w:tcPr>
          <w:p>
            <w:pPr>
              <w:ind w:left="200"/>
              <w:spacing w:after="0"/>
              <w:rPr>
                <w:sz w:val="20"/>
                <w:szCs w:val="20"/>
                <w:color w:val="auto"/>
              </w:rPr>
            </w:pPr>
            <w:r>
              <w:rPr>
                <w:rFonts w:ascii="Arial" w:cs="Arial" w:eastAsia="Arial" w:hAnsi="Arial"/>
                <w:sz w:val="14"/>
                <w:szCs w:val="14"/>
                <w:color w:val="auto"/>
              </w:rPr>
              <w:t>Proceeds from short-term investments</w:t>
            </w:r>
          </w:p>
        </w:tc>
        <w:tc>
          <w:tcPr>
            <w:tcW w:w="860" w:type="dxa"/>
            <w:vAlign w:val="bottom"/>
          </w:tcPr>
          <w:p>
            <w:pPr>
              <w:spacing w:after="0"/>
              <w:rPr>
                <w:sz w:val="15"/>
                <w:szCs w:val="15"/>
                <w:color w:val="auto"/>
              </w:rPr>
            </w:pPr>
          </w:p>
        </w:tc>
        <w:tc>
          <w:tcPr>
            <w:tcW w:w="780" w:type="dxa"/>
            <w:vAlign w:val="bottom"/>
            <w:gridSpan w:val="2"/>
          </w:tcPr>
          <w:p>
            <w:pPr>
              <w:jc w:val="right"/>
              <w:ind w:right="168"/>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28,571</w:t>
            </w: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30,470</w:t>
            </w:r>
          </w:p>
        </w:tc>
        <w:tc>
          <w:tcPr>
            <w:tcW w:w="60" w:type="dxa"/>
            <w:vAlign w:val="bottom"/>
          </w:tcPr>
          <w:p>
            <w:pPr>
              <w:spacing w:after="0"/>
              <w:rPr>
                <w:sz w:val="15"/>
                <w:szCs w:val="15"/>
                <w:color w:val="auto"/>
              </w:rPr>
            </w:pPr>
          </w:p>
        </w:tc>
      </w:tr>
      <w:tr>
        <w:trPr>
          <w:trHeight w:val="175"/>
        </w:trPr>
        <w:tc>
          <w:tcPr>
            <w:tcW w:w="6880" w:type="dxa"/>
            <w:vAlign w:val="bottom"/>
            <w:shd w:val="clear" w:color="auto" w:fill="CFF0FC"/>
          </w:tcPr>
          <w:p>
            <w:pPr>
              <w:ind w:left="200"/>
              <w:spacing w:after="0"/>
              <w:rPr>
                <w:sz w:val="20"/>
                <w:szCs w:val="20"/>
                <w:color w:val="auto"/>
              </w:rPr>
            </w:pPr>
            <w:r>
              <w:rPr>
                <w:rFonts w:ascii="Arial" w:cs="Arial" w:eastAsia="Arial" w:hAnsi="Arial"/>
                <w:sz w:val="14"/>
                <w:szCs w:val="14"/>
                <w:color w:val="auto"/>
              </w:rPr>
              <w:t>Purchases of property and equipment</w:t>
            </w:r>
          </w:p>
        </w:tc>
        <w:tc>
          <w:tcPr>
            <w:tcW w:w="860" w:type="dxa"/>
            <w:vAlign w:val="bottom"/>
            <w:shd w:val="clear" w:color="auto" w:fill="CFF0FC"/>
          </w:tcPr>
          <w:p>
            <w:pPr>
              <w:spacing w:after="0"/>
              <w:rPr>
                <w:sz w:val="15"/>
                <w:szCs w:val="15"/>
                <w:color w:val="auto"/>
              </w:rPr>
            </w:pPr>
          </w:p>
        </w:tc>
        <w:tc>
          <w:tcPr>
            <w:tcW w:w="780" w:type="dxa"/>
            <w:vAlign w:val="bottom"/>
            <w:gridSpan w:val="2"/>
            <w:shd w:val="clear" w:color="auto" w:fill="CFF0FC"/>
          </w:tcPr>
          <w:p>
            <w:pPr>
              <w:jc w:val="right"/>
              <w:ind w:right="108"/>
              <w:spacing w:after="0"/>
              <w:rPr>
                <w:sz w:val="20"/>
                <w:szCs w:val="20"/>
                <w:color w:val="auto"/>
              </w:rPr>
            </w:pPr>
            <w:r>
              <w:rPr>
                <w:rFonts w:ascii="Arial" w:cs="Arial" w:eastAsia="Arial" w:hAnsi="Arial"/>
                <w:sz w:val="14"/>
                <w:szCs w:val="14"/>
                <w:color w:val="auto"/>
              </w:rPr>
              <w:t>(6,262 )</w:t>
            </w:r>
          </w:p>
        </w:tc>
        <w:tc>
          <w:tcPr>
            <w:tcW w:w="320" w:type="dxa"/>
            <w:vAlign w:val="bottom"/>
            <w:shd w:val="clear" w:color="auto" w:fill="CFF0FC"/>
          </w:tcPr>
          <w:p>
            <w:pPr>
              <w:spacing w:after="0"/>
              <w:rPr>
                <w:sz w:val="15"/>
                <w:szCs w:val="15"/>
                <w:color w:val="auto"/>
              </w:rPr>
            </w:pPr>
          </w:p>
        </w:tc>
        <w:tc>
          <w:tcPr>
            <w:tcW w:w="1260" w:type="dxa"/>
            <w:vAlign w:val="bottom"/>
            <w:gridSpan w:val="2"/>
            <w:shd w:val="clear" w:color="auto" w:fill="CFF0FC"/>
          </w:tcPr>
          <w:p>
            <w:pPr>
              <w:jc w:val="right"/>
              <w:ind w:right="68"/>
              <w:spacing w:after="0"/>
              <w:rPr>
                <w:sz w:val="20"/>
                <w:szCs w:val="20"/>
                <w:color w:val="auto"/>
              </w:rPr>
            </w:pPr>
            <w:r>
              <w:rPr>
                <w:rFonts w:ascii="Arial" w:cs="Arial" w:eastAsia="Arial" w:hAnsi="Arial"/>
                <w:sz w:val="14"/>
                <w:szCs w:val="14"/>
                <w:color w:val="auto"/>
              </w:rPr>
              <w:t>(4,190 )</w:t>
            </w:r>
          </w:p>
        </w:tc>
        <w:tc>
          <w:tcPr>
            <w:tcW w:w="24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(2,693 )</w:t>
            </w:r>
          </w:p>
        </w:tc>
      </w:tr>
      <w:tr>
        <w:trPr>
          <w:trHeight w:val="175"/>
        </w:trPr>
        <w:tc>
          <w:tcPr>
            <w:tcW w:w="6880" w:type="dxa"/>
            <w:vAlign w:val="bottom"/>
          </w:tcPr>
          <w:p>
            <w:pPr>
              <w:ind w:left="200"/>
              <w:spacing w:after="0"/>
              <w:rPr>
                <w:sz w:val="20"/>
                <w:szCs w:val="20"/>
                <w:color w:val="auto"/>
              </w:rPr>
            </w:pPr>
            <w:r>
              <w:rPr>
                <w:rFonts w:ascii="Arial" w:cs="Arial" w:eastAsia="Arial" w:hAnsi="Arial"/>
                <w:sz w:val="14"/>
                <w:szCs w:val="14"/>
                <w:color w:val="auto"/>
              </w:rPr>
              <w:t>Proceeds from life insurance</w:t>
            </w:r>
          </w:p>
        </w:tc>
        <w:tc>
          <w:tcPr>
            <w:tcW w:w="86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627</w:t>
            </w: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60" w:type="dxa"/>
            <w:vAlign w:val="bottom"/>
            <w:gridSpan w:val="2"/>
          </w:tcPr>
          <w:p>
            <w:pPr>
              <w:jc w:val="right"/>
              <w:ind w:right="12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900" w:type="dxa"/>
            <w:vAlign w:val="bottom"/>
            <w:gridSpan w:val="2"/>
          </w:tcPr>
          <w:p>
            <w:pPr>
              <w:jc w:val="right"/>
              <w:ind w:right="8"/>
              <w:spacing w:after="0"/>
              <w:rPr>
                <w:sz w:val="20"/>
                <w:szCs w:val="20"/>
                <w:color w:val="auto"/>
              </w:rPr>
            </w:pPr>
            <w:r>
              <w:rPr>
                <w:rFonts w:ascii="Arial" w:cs="Arial" w:eastAsia="Arial" w:hAnsi="Arial"/>
                <w:sz w:val="14"/>
                <w:szCs w:val="14"/>
                <w:color w:val="auto"/>
              </w:rPr>
              <w:t>—</w:t>
            </w:r>
          </w:p>
        </w:tc>
      </w:tr>
      <w:tr>
        <w:trPr>
          <w:trHeight w:val="175"/>
        </w:trPr>
        <w:tc>
          <w:tcPr>
            <w:tcW w:w="6880" w:type="dxa"/>
            <w:vAlign w:val="bottom"/>
            <w:shd w:val="clear" w:color="auto" w:fill="CFF0FC"/>
          </w:tcPr>
          <w:p>
            <w:pPr>
              <w:ind w:left="200"/>
              <w:spacing w:after="0"/>
              <w:rPr>
                <w:sz w:val="20"/>
                <w:szCs w:val="20"/>
                <w:color w:val="auto"/>
              </w:rPr>
            </w:pPr>
            <w:r>
              <w:rPr>
                <w:rFonts w:ascii="Arial" w:cs="Arial" w:eastAsia="Arial" w:hAnsi="Arial"/>
                <w:sz w:val="14"/>
                <w:szCs w:val="14"/>
                <w:color w:val="auto"/>
              </w:rPr>
              <w:t>Proceeds from sale of property and equipment</w:t>
            </w:r>
          </w:p>
        </w:tc>
        <w:tc>
          <w:tcPr>
            <w:tcW w:w="860" w:type="dxa"/>
            <w:vAlign w:val="bottom"/>
            <w:shd w:val="clear" w:color="auto" w:fill="CFF0FC"/>
          </w:tcPr>
          <w:p>
            <w:pPr>
              <w:spacing w:after="0"/>
              <w:rPr>
                <w:sz w:val="15"/>
                <w:szCs w:val="15"/>
                <w:color w:val="auto"/>
              </w:rPr>
            </w:pPr>
          </w:p>
        </w:tc>
        <w:tc>
          <w:tcPr>
            <w:tcW w:w="780" w:type="dxa"/>
            <w:vAlign w:val="bottom"/>
            <w:gridSpan w:val="2"/>
            <w:shd w:val="clear" w:color="auto" w:fill="CFF0FC"/>
          </w:tcPr>
          <w:p>
            <w:pPr>
              <w:jc w:val="right"/>
              <w:ind w:right="168"/>
              <w:spacing w:after="0"/>
              <w:rPr>
                <w:sz w:val="20"/>
                <w:szCs w:val="20"/>
                <w:color w:val="auto"/>
              </w:rPr>
            </w:pPr>
            <w:r>
              <w:rPr>
                <w:rFonts w:ascii="Arial" w:cs="Arial" w:eastAsia="Arial" w:hAnsi="Arial"/>
                <w:sz w:val="14"/>
                <w:szCs w:val="14"/>
                <w:color w:val="auto"/>
              </w:rPr>
              <w:t>—</w:t>
            </w:r>
          </w:p>
        </w:tc>
        <w:tc>
          <w:tcPr>
            <w:tcW w:w="320" w:type="dxa"/>
            <w:vAlign w:val="bottom"/>
            <w:shd w:val="clear" w:color="auto" w:fill="CFF0FC"/>
          </w:tcPr>
          <w:p>
            <w:pPr>
              <w:spacing w:after="0"/>
              <w:rPr>
                <w:sz w:val="15"/>
                <w:szCs w:val="15"/>
                <w:color w:val="auto"/>
              </w:rPr>
            </w:pPr>
          </w:p>
        </w:tc>
        <w:tc>
          <w:tcPr>
            <w:tcW w:w="1260" w:type="dxa"/>
            <w:vAlign w:val="bottom"/>
            <w:gridSpan w:val="2"/>
            <w:shd w:val="clear" w:color="auto" w:fill="CFF0FC"/>
          </w:tcPr>
          <w:p>
            <w:pPr>
              <w:jc w:val="right"/>
              <w:ind w:right="128"/>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155</w:t>
            </w:r>
          </w:p>
        </w:tc>
        <w:tc>
          <w:tcPr>
            <w:tcW w:w="60" w:type="dxa"/>
            <w:vAlign w:val="bottom"/>
            <w:shd w:val="clear" w:color="auto" w:fill="CFF0FC"/>
          </w:tcPr>
          <w:p>
            <w:pPr>
              <w:spacing w:after="0"/>
              <w:rPr>
                <w:sz w:val="15"/>
                <w:szCs w:val="15"/>
                <w:color w:val="auto"/>
              </w:rPr>
            </w:pPr>
          </w:p>
        </w:tc>
      </w:tr>
      <w:tr>
        <w:trPr>
          <w:trHeight w:val="175"/>
        </w:trPr>
        <w:tc>
          <w:tcPr>
            <w:tcW w:w="6880" w:type="dxa"/>
            <w:vAlign w:val="bottom"/>
          </w:tcPr>
          <w:p>
            <w:pPr>
              <w:ind w:left="200"/>
              <w:spacing w:after="0"/>
              <w:rPr>
                <w:sz w:val="20"/>
                <w:szCs w:val="20"/>
                <w:color w:val="auto"/>
              </w:rPr>
            </w:pPr>
            <w:r>
              <w:rPr>
                <w:rFonts w:ascii="Arial" w:cs="Arial" w:eastAsia="Arial" w:hAnsi="Arial"/>
                <w:sz w:val="14"/>
                <w:szCs w:val="14"/>
                <w:color w:val="auto"/>
              </w:rPr>
              <w:t>Cash paid for business combinations, net of cash acquired</w:t>
            </w:r>
          </w:p>
        </w:tc>
        <w:tc>
          <w:tcPr>
            <w:tcW w:w="860" w:type="dxa"/>
            <w:vAlign w:val="bottom"/>
          </w:tcPr>
          <w:p>
            <w:pPr>
              <w:spacing w:after="0"/>
              <w:rPr>
                <w:sz w:val="15"/>
                <w:szCs w:val="15"/>
                <w:color w:val="auto"/>
              </w:rPr>
            </w:pPr>
          </w:p>
        </w:tc>
        <w:tc>
          <w:tcPr>
            <w:tcW w:w="780" w:type="dxa"/>
            <w:vAlign w:val="bottom"/>
            <w:gridSpan w:val="2"/>
          </w:tcPr>
          <w:p>
            <w:pPr>
              <w:jc w:val="right"/>
              <w:ind w:right="108"/>
              <w:spacing w:after="0"/>
              <w:rPr>
                <w:sz w:val="20"/>
                <w:szCs w:val="20"/>
                <w:color w:val="auto"/>
              </w:rPr>
            </w:pPr>
            <w:r>
              <w:rPr>
                <w:rFonts w:ascii="Arial" w:cs="Arial" w:eastAsia="Arial" w:hAnsi="Arial"/>
                <w:sz w:val="14"/>
                <w:szCs w:val="14"/>
                <w:color w:val="auto"/>
                <w:w w:val="90"/>
              </w:rPr>
              <w:t>(174,646 )</w:t>
            </w:r>
          </w:p>
        </w:tc>
        <w:tc>
          <w:tcPr>
            <w:tcW w:w="320" w:type="dxa"/>
            <w:vAlign w:val="bottom"/>
          </w:tcPr>
          <w:p>
            <w:pPr>
              <w:spacing w:after="0"/>
              <w:rPr>
                <w:sz w:val="15"/>
                <w:szCs w:val="15"/>
                <w:color w:val="auto"/>
              </w:rPr>
            </w:pPr>
          </w:p>
        </w:tc>
        <w:tc>
          <w:tcPr>
            <w:tcW w:w="1260" w:type="dxa"/>
            <w:vAlign w:val="bottom"/>
            <w:gridSpan w:val="2"/>
          </w:tcPr>
          <w:p>
            <w:pPr>
              <w:jc w:val="right"/>
              <w:ind w:right="12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(1,432 )</w:t>
            </w:r>
          </w:p>
        </w:tc>
      </w:tr>
      <w:tr>
        <w:trPr>
          <w:trHeight w:val="169"/>
        </w:trPr>
        <w:tc>
          <w:tcPr>
            <w:tcW w:w="688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4"/>
                <w:szCs w:val="14"/>
                <w:b w:val="1"/>
                <w:bCs w:val="1"/>
                <w:color w:val="auto"/>
              </w:rPr>
              <w:t>Net cash (used in) provided by investing activities</w:t>
            </w:r>
          </w:p>
        </w:tc>
        <w:tc>
          <w:tcPr>
            <w:tcW w:w="860" w:type="dxa"/>
            <w:vAlign w:val="bottom"/>
            <w:tcBorders>
              <w:top w:val="single" w:sz="8" w:color="auto"/>
              <w:bottom w:val="single" w:sz="8" w:color="auto"/>
            </w:tcBorders>
            <w:shd w:val="clear" w:color="auto" w:fill="CFF0FC"/>
          </w:tcPr>
          <w:p>
            <w:pPr>
              <w:spacing w:after="0"/>
              <w:rPr>
                <w:sz w:val="14"/>
                <w:szCs w:val="14"/>
                <w:color w:val="auto"/>
              </w:rPr>
            </w:pPr>
          </w:p>
        </w:tc>
        <w:tc>
          <w:tcPr>
            <w:tcW w:w="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94"/>
              </w:rPr>
              <w:t>(212,748</w:t>
            </w:r>
          </w:p>
        </w:tc>
        <w:tc>
          <w:tcPr>
            <w:tcW w:w="240" w:type="dxa"/>
            <w:vAlign w:val="bottom"/>
            <w:tcBorders>
              <w:bottom w:val="single" w:sz="8" w:color="CFF0FC"/>
            </w:tcBorders>
            <w:shd w:val="clear" w:color="auto" w:fill="CFF0FC"/>
          </w:tcPr>
          <w:p>
            <w:pPr>
              <w:jc w:val="right"/>
              <w:ind w:right="108"/>
              <w:spacing w:after="0"/>
              <w:rPr>
                <w:sz w:val="20"/>
                <w:szCs w:val="20"/>
                <w:color w:val="auto"/>
              </w:rPr>
            </w:pPr>
            <w:r>
              <w:rPr>
                <w:rFonts w:ascii="Arial" w:cs="Arial" w:eastAsia="Arial" w:hAnsi="Arial"/>
                <w:sz w:val="14"/>
                <w:szCs w:val="14"/>
                <w:color w:val="auto"/>
                <w:w w:val="84"/>
              </w:rPr>
              <w:t>)</w:t>
            </w:r>
          </w:p>
        </w:tc>
        <w:tc>
          <w:tcPr>
            <w:tcW w:w="320" w:type="dxa"/>
            <w:vAlign w:val="bottom"/>
            <w:tcBorders>
              <w:top w:val="single" w:sz="8" w:color="auto"/>
              <w:bottom w:val="single" w:sz="8" w:color="auto"/>
            </w:tcBorders>
            <w:shd w:val="clear" w:color="auto" w:fill="CFF0FC"/>
          </w:tcPr>
          <w:p>
            <w:pPr>
              <w:spacing w:after="0"/>
              <w:rPr>
                <w:sz w:val="14"/>
                <w:szCs w:val="14"/>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6,670</w:t>
            </w:r>
          </w:p>
        </w:tc>
        <w:tc>
          <w:tcPr>
            <w:tcW w:w="200" w:type="dxa"/>
            <w:vAlign w:val="bottom"/>
            <w:tcBorders>
              <w:bottom w:val="single" w:sz="8" w:color="CFF0FC"/>
            </w:tcBorders>
            <w:shd w:val="clear" w:color="auto" w:fill="CFF0FC"/>
          </w:tcPr>
          <w:p>
            <w:pPr>
              <w:spacing w:after="0"/>
              <w:rPr>
                <w:sz w:val="14"/>
                <w:szCs w:val="14"/>
                <w:color w:val="auto"/>
              </w:rPr>
            </w:pPr>
          </w:p>
        </w:tc>
        <w:tc>
          <w:tcPr>
            <w:tcW w:w="240" w:type="dxa"/>
            <w:vAlign w:val="bottom"/>
            <w:tcBorders>
              <w:top w:val="single" w:sz="8" w:color="auto"/>
              <w:bottom w:val="single" w:sz="8" w:color="auto"/>
            </w:tcBorders>
            <w:shd w:val="clear" w:color="auto" w:fill="CFF0FC"/>
          </w:tcPr>
          <w:p>
            <w:pPr>
              <w:spacing w:after="0"/>
              <w:rPr>
                <w:sz w:val="14"/>
                <w:szCs w:val="14"/>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(2,350</w:t>
            </w:r>
          </w:p>
        </w:tc>
        <w:tc>
          <w:tcPr>
            <w:tcW w:w="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w w:val="84"/>
              </w:rPr>
              <w:t>)</w:t>
            </w:r>
          </w:p>
        </w:tc>
      </w:tr>
      <w:tr>
        <w:trPr>
          <w:trHeight w:val="169"/>
        </w:trPr>
        <w:tc>
          <w:tcPr>
            <w:tcW w:w="6880" w:type="dxa"/>
            <w:vAlign w:val="bottom"/>
          </w:tcPr>
          <w:p>
            <w:pPr>
              <w:ind w:left="20"/>
              <w:spacing w:after="0"/>
              <w:rPr>
                <w:sz w:val="20"/>
                <w:szCs w:val="20"/>
                <w:color w:val="auto"/>
              </w:rPr>
            </w:pPr>
            <w:r>
              <w:rPr>
                <w:rFonts w:ascii="Arial" w:cs="Arial" w:eastAsia="Arial" w:hAnsi="Arial"/>
                <w:sz w:val="14"/>
                <w:szCs w:val="14"/>
                <w:b w:val="1"/>
                <w:bCs w:val="1"/>
                <w:color w:val="auto"/>
              </w:rPr>
              <w:t>Cash flows from financing activities:</w:t>
            </w:r>
          </w:p>
        </w:tc>
        <w:tc>
          <w:tcPr>
            <w:tcW w:w="8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43"/>
        </w:trPr>
        <w:tc>
          <w:tcPr>
            <w:tcW w:w="6880" w:type="dxa"/>
            <w:vAlign w:val="bottom"/>
            <w:shd w:val="clear" w:color="auto" w:fill="CFF0FC"/>
          </w:tcPr>
          <w:p>
            <w:pPr>
              <w:ind w:left="200"/>
              <w:spacing w:after="0" w:line="143" w:lineRule="exact"/>
              <w:rPr>
                <w:sz w:val="20"/>
                <w:szCs w:val="20"/>
                <w:color w:val="auto"/>
              </w:rPr>
            </w:pPr>
            <w:r>
              <w:rPr>
                <w:rFonts w:ascii="Arial" w:cs="Arial" w:eastAsia="Arial" w:hAnsi="Arial"/>
                <w:sz w:val="14"/>
                <w:szCs w:val="14"/>
                <w:color w:val="auto"/>
              </w:rPr>
              <w:t>Proceeds from issuance of Series A-2, Series B, Series C, Series D and Series E convertible preferred</w:t>
            </w:r>
          </w:p>
        </w:tc>
        <w:tc>
          <w:tcPr>
            <w:tcW w:w="86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r>
      <w:tr>
        <w:trPr>
          <w:trHeight w:val="181"/>
        </w:trPr>
        <w:tc>
          <w:tcPr>
            <w:tcW w:w="6880" w:type="dxa"/>
            <w:vAlign w:val="bottom"/>
            <w:shd w:val="clear" w:color="auto" w:fill="CFF0FC"/>
          </w:tcPr>
          <w:p>
            <w:pPr>
              <w:ind w:left="200"/>
              <w:spacing w:after="0"/>
              <w:rPr>
                <w:sz w:val="20"/>
                <w:szCs w:val="20"/>
                <w:color w:val="auto"/>
              </w:rPr>
            </w:pPr>
            <w:r>
              <w:rPr>
                <w:rFonts w:ascii="Arial" w:cs="Arial" w:eastAsia="Arial" w:hAnsi="Arial"/>
                <w:sz w:val="14"/>
                <w:szCs w:val="14"/>
                <w:color w:val="auto"/>
              </w:rPr>
              <w:t>stock, net of issuance costs</w:t>
            </w:r>
          </w:p>
        </w:tc>
        <w:tc>
          <w:tcPr>
            <w:tcW w:w="860" w:type="dxa"/>
            <w:vAlign w:val="bottom"/>
            <w:shd w:val="clear" w:color="auto" w:fill="CFF0FC"/>
          </w:tcPr>
          <w:p>
            <w:pPr>
              <w:spacing w:after="0"/>
              <w:rPr>
                <w:sz w:val="15"/>
                <w:szCs w:val="15"/>
                <w:color w:val="auto"/>
              </w:rPr>
            </w:pPr>
          </w:p>
        </w:tc>
        <w:tc>
          <w:tcPr>
            <w:tcW w:w="780" w:type="dxa"/>
            <w:vAlign w:val="bottom"/>
            <w:gridSpan w:val="2"/>
            <w:shd w:val="clear" w:color="auto" w:fill="CFF0FC"/>
          </w:tcPr>
          <w:p>
            <w:pPr>
              <w:jc w:val="right"/>
              <w:ind w:right="168"/>
              <w:spacing w:after="0"/>
              <w:rPr>
                <w:sz w:val="20"/>
                <w:szCs w:val="20"/>
                <w:color w:val="auto"/>
              </w:rPr>
            </w:pPr>
            <w:r>
              <w:rPr>
                <w:rFonts w:ascii="Arial" w:cs="Arial" w:eastAsia="Arial" w:hAnsi="Arial"/>
                <w:sz w:val="14"/>
                <w:szCs w:val="14"/>
                <w:color w:val="auto"/>
              </w:rPr>
              <w:t>—</w:t>
            </w:r>
          </w:p>
        </w:tc>
        <w:tc>
          <w:tcPr>
            <w:tcW w:w="32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52,409</w:t>
            </w:r>
          </w:p>
        </w:tc>
        <w:tc>
          <w:tcPr>
            <w:tcW w:w="2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54,929</w:t>
            </w:r>
          </w:p>
        </w:tc>
        <w:tc>
          <w:tcPr>
            <w:tcW w:w="60" w:type="dxa"/>
            <w:vAlign w:val="bottom"/>
            <w:shd w:val="clear" w:color="auto" w:fill="CFF0FC"/>
          </w:tcPr>
          <w:p>
            <w:pPr>
              <w:spacing w:after="0"/>
              <w:rPr>
                <w:sz w:val="15"/>
                <w:szCs w:val="15"/>
                <w:color w:val="auto"/>
              </w:rPr>
            </w:pPr>
          </w:p>
        </w:tc>
      </w:tr>
      <w:tr>
        <w:trPr>
          <w:trHeight w:val="175"/>
        </w:trPr>
        <w:tc>
          <w:tcPr>
            <w:tcW w:w="6880" w:type="dxa"/>
            <w:vAlign w:val="bottom"/>
          </w:tcPr>
          <w:p>
            <w:pPr>
              <w:ind w:left="200"/>
              <w:spacing w:after="0"/>
              <w:rPr>
                <w:sz w:val="20"/>
                <w:szCs w:val="20"/>
                <w:color w:val="auto"/>
              </w:rPr>
            </w:pPr>
            <w:r>
              <w:rPr>
                <w:rFonts w:ascii="Arial" w:cs="Arial" w:eastAsia="Arial" w:hAnsi="Arial"/>
                <w:sz w:val="14"/>
                <w:szCs w:val="14"/>
                <w:color w:val="auto"/>
              </w:rPr>
              <w:t>Repurchase of Series A-2, Series B, Series C and Series D convertible preferred stock</w:t>
            </w:r>
          </w:p>
        </w:tc>
        <w:tc>
          <w:tcPr>
            <w:tcW w:w="860" w:type="dxa"/>
            <w:vAlign w:val="bottom"/>
          </w:tcPr>
          <w:p>
            <w:pPr>
              <w:spacing w:after="0"/>
              <w:rPr>
                <w:sz w:val="15"/>
                <w:szCs w:val="15"/>
                <w:color w:val="auto"/>
              </w:rPr>
            </w:pPr>
          </w:p>
        </w:tc>
        <w:tc>
          <w:tcPr>
            <w:tcW w:w="780" w:type="dxa"/>
            <w:vAlign w:val="bottom"/>
            <w:gridSpan w:val="2"/>
          </w:tcPr>
          <w:p>
            <w:pPr>
              <w:jc w:val="right"/>
              <w:ind w:right="168"/>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5"/>
                <w:szCs w:val="15"/>
                <w:color w:val="auto"/>
              </w:rPr>
            </w:pPr>
          </w:p>
        </w:tc>
        <w:tc>
          <w:tcPr>
            <w:tcW w:w="1260" w:type="dxa"/>
            <w:vAlign w:val="bottom"/>
            <w:gridSpan w:val="2"/>
          </w:tcPr>
          <w:p>
            <w:pPr>
              <w:jc w:val="right"/>
              <w:ind w:right="68"/>
              <w:spacing w:after="0"/>
              <w:rPr>
                <w:sz w:val="20"/>
                <w:szCs w:val="20"/>
                <w:color w:val="auto"/>
              </w:rPr>
            </w:pPr>
            <w:r>
              <w:rPr>
                <w:rFonts w:ascii="Arial" w:cs="Arial" w:eastAsia="Arial" w:hAnsi="Arial"/>
                <w:sz w:val="14"/>
                <w:szCs w:val="14"/>
                <w:color w:val="auto"/>
              </w:rPr>
              <w:t>(12,852 )</w:t>
            </w:r>
          </w:p>
        </w:tc>
        <w:tc>
          <w:tcPr>
            <w:tcW w:w="240" w:type="dxa"/>
            <w:vAlign w:val="bottom"/>
          </w:tcPr>
          <w:p>
            <w:pPr>
              <w:spacing w:after="0"/>
              <w:rPr>
                <w:sz w:val="15"/>
                <w:szCs w:val="15"/>
                <w:color w:val="auto"/>
              </w:rPr>
            </w:pPr>
          </w:p>
        </w:tc>
        <w:tc>
          <w:tcPr>
            <w:tcW w:w="900" w:type="dxa"/>
            <w:vAlign w:val="bottom"/>
            <w:gridSpan w:val="2"/>
          </w:tcPr>
          <w:p>
            <w:pPr>
              <w:jc w:val="right"/>
              <w:ind w:right="8"/>
              <w:spacing w:after="0"/>
              <w:rPr>
                <w:sz w:val="20"/>
                <w:szCs w:val="20"/>
                <w:color w:val="auto"/>
              </w:rPr>
            </w:pPr>
            <w:r>
              <w:rPr>
                <w:rFonts w:ascii="Arial" w:cs="Arial" w:eastAsia="Arial" w:hAnsi="Arial"/>
                <w:sz w:val="14"/>
                <w:szCs w:val="14"/>
                <w:color w:val="auto"/>
              </w:rPr>
              <w:t>—</w:t>
            </w:r>
          </w:p>
        </w:tc>
      </w:tr>
      <w:tr>
        <w:trPr>
          <w:trHeight w:val="175"/>
        </w:trPr>
        <w:tc>
          <w:tcPr>
            <w:tcW w:w="6880" w:type="dxa"/>
            <w:vAlign w:val="bottom"/>
            <w:shd w:val="clear" w:color="auto" w:fill="CFF0FC"/>
          </w:tcPr>
          <w:p>
            <w:pPr>
              <w:ind w:left="200"/>
              <w:spacing w:after="0"/>
              <w:rPr>
                <w:sz w:val="20"/>
                <w:szCs w:val="20"/>
                <w:color w:val="auto"/>
              </w:rPr>
            </w:pPr>
            <w:r>
              <w:rPr>
                <w:rFonts w:ascii="Arial" w:cs="Arial" w:eastAsia="Arial" w:hAnsi="Arial"/>
                <w:sz w:val="14"/>
                <w:szCs w:val="14"/>
                <w:color w:val="auto"/>
              </w:rPr>
              <w:t>Deemed dividend to preferred stockholders</w:t>
            </w:r>
          </w:p>
        </w:tc>
        <w:tc>
          <w:tcPr>
            <w:tcW w:w="860" w:type="dxa"/>
            <w:vAlign w:val="bottom"/>
            <w:shd w:val="clear" w:color="auto" w:fill="CFF0FC"/>
          </w:tcPr>
          <w:p>
            <w:pPr>
              <w:spacing w:after="0"/>
              <w:rPr>
                <w:sz w:val="15"/>
                <w:szCs w:val="15"/>
                <w:color w:val="auto"/>
              </w:rPr>
            </w:pPr>
          </w:p>
        </w:tc>
        <w:tc>
          <w:tcPr>
            <w:tcW w:w="780" w:type="dxa"/>
            <w:vAlign w:val="bottom"/>
            <w:gridSpan w:val="2"/>
            <w:shd w:val="clear" w:color="auto" w:fill="CFF0FC"/>
          </w:tcPr>
          <w:p>
            <w:pPr>
              <w:jc w:val="right"/>
              <w:ind w:right="168"/>
              <w:spacing w:after="0"/>
              <w:rPr>
                <w:sz w:val="20"/>
                <w:szCs w:val="20"/>
                <w:color w:val="auto"/>
              </w:rPr>
            </w:pPr>
            <w:r>
              <w:rPr>
                <w:rFonts w:ascii="Arial" w:cs="Arial" w:eastAsia="Arial" w:hAnsi="Arial"/>
                <w:sz w:val="14"/>
                <w:szCs w:val="14"/>
                <w:color w:val="auto"/>
              </w:rPr>
              <w:t>—</w:t>
            </w:r>
          </w:p>
        </w:tc>
        <w:tc>
          <w:tcPr>
            <w:tcW w:w="320" w:type="dxa"/>
            <w:vAlign w:val="bottom"/>
            <w:shd w:val="clear" w:color="auto" w:fill="CFF0FC"/>
          </w:tcPr>
          <w:p>
            <w:pPr>
              <w:spacing w:after="0"/>
              <w:rPr>
                <w:sz w:val="15"/>
                <w:szCs w:val="15"/>
                <w:color w:val="auto"/>
              </w:rPr>
            </w:pPr>
          </w:p>
        </w:tc>
        <w:tc>
          <w:tcPr>
            <w:tcW w:w="1260" w:type="dxa"/>
            <w:vAlign w:val="bottom"/>
            <w:gridSpan w:val="2"/>
            <w:shd w:val="clear" w:color="auto" w:fill="CFF0FC"/>
          </w:tcPr>
          <w:p>
            <w:pPr>
              <w:jc w:val="right"/>
              <w:ind w:right="68"/>
              <w:spacing w:after="0"/>
              <w:rPr>
                <w:sz w:val="20"/>
                <w:szCs w:val="20"/>
                <w:color w:val="auto"/>
              </w:rPr>
            </w:pPr>
            <w:r>
              <w:rPr>
                <w:rFonts w:ascii="Arial" w:cs="Arial" w:eastAsia="Arial" w:hAnsi="Arial"/>
                <w:sz w:val="14"/>
                <w:szCs w:val="14"/>
                <w:color w:val="auto"/>
              </w:rPr>
              <w:t>(8,801 )</w:t>
            </w:r>
          </w:p>
        </w:tc>
        <w:tc>
          <w:tcPr>
            <w:tcW w:w="24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ind w:right="8"/>
              <w:spacing w:after="0"/>
              <w:rPr>
                <w:sz w:val="20"/>
                <w:szCs w:val="20"/>
                <w:color w:val="auto"/>
              </w:rPr>
            </w:pPr>
            <w:r>
              <w:rPr>
                <w:rFonts w:ascii="Arial" w:cs="Arial" w:eastAsia="Arial" w:hAnsi="Arial"/>
                <w:sz w:val="14"/>
                <w:szCs w:val="14"/>
                <w:color w:val="auto"/>
              </w:rPr>
              <w:t>—</w:t>
            </w:r>
          </w:p>
        </w:tc>
      </w:tr>
      <w:tr>
        <w:trPr>
          <w:trHeight w:val="175"/>
        </w:trPr>
        <w:tc>
          <w:tcPr>
            <w:tcW w:w="6880" w:type="dxa"/>
            <w:vAlign w:val="bottom"/>
          </w:tcPr>
          <w:p>
            <w:pPr>
              <w:ind w:left="200"/>
              <w:spacing w:after="0"/>
              <w:rPr>
                <w:sz w:val="20"/>
                <w:szCs w:val="20"/>
                <w:color w:val="auto"/>
              </w:rPr>
            </w:pPr>
            <w:r>
              <w:rPr>
                <w:rFonts w:ascii="Arial" w:cs="Arial" w:eastAsia="Arial" w:hAnsi="Arial"/>
                <w:sz w:val="14"/>
                <w:szCs w:val="14"/>
                <w:color w:val="auto"/>
              </w:rPr>
              <w:t>Proceeds from initial public offering, net of underwriters' discount</w:t>
            </w:r>
          </w:p>
        </w:tc>
        <w:tc>
          <w:tcPr>
            <w:tcW w:w="86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325,263</w:t>
            </w: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60" w:type="dxa"/>
            <w:vAlign w:val="bottom"/>
            <w:gridSpan w:val="2"/>
          </w:tcPr>
          <w:p>
            <w:pPr>
              <w:jc w:val="right"/>
              <w:ind w:right="12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900" w:type="dxa"/>
            <w:vAlign w:val="bottom"/>
            <w:gridSpan w:val="2"/>
          </w:tcPr>
          <w:p>
            <w:pPr>
              <w:jc w:val="right"/>
              <w:ind w:right="8"/>
              <w:spacing w:after="0"/>
              <w:rPr>
                <w:sz w:val="20"/>
                <w:szCs w:val="20"/>
                <w:color w:val="auto"/>
              </w:rPr>
            </w:pPr>
            <w:r>
              <w:rPr>
                <w:rFonts w:ascii="Arial" w:cs="Arial" w:eastAsia="Arial" w:hAnsi="Arial"/>
                <w:sz w:val="14"/>
                <w:szCs w:val="14"/>
                <w:color w:val="auto"/>
              </w:rPr>
              <w:t>—</w:t>
            </w:r>
          </w:p>
        </w:tc>
      </w:tr>
      <w:tr>
        <w:trPr>
          <w:trHeight w:val="176"/>
        </w:trPr>
        <w:tc>
          <w:tcPr>
            <w:tcW w:w="6880" w:type="dxa"/>
            <w:vAlign w:val="bottom"/>
            <w:shd w:val="clear" w:color="auto" w:fill="CFF0FC"/>
          </w:tcPr>
          <w:p>
            <w:pPr>
              <w:ind w:left="200"/>
              <w:spacing w:after="0"/>
              <w:rPr>
                <w:sz w:val="20"/>
                <w:szCs w:val="20"/>
                <w:color w:val="auto"/>
              </w:rPr>
            </w:pPr>
            <w:r>
              <w:rPr>
                <w:rFonts w:ascii="Arial" w:cs="Arial" w:eastAsia="Arial" w:hAnsi="Arial"/>
                <w:sz w:val="14"/>
                <w:szCs w:val="14"/>
                <w:color w:val="auto"/>
              </w:rPr>
              <w:t>Payments in connection with initial public offering</w:t>
            </w:r>
          </w:p>
        </w:tc>
        <w:tc>
          <w:tcPr>
            <w:tcW w:w="860" w:type="dxa"/>
            <w:vAlign w:val="bottom"/>
            <w:shd w:val="clear" w:color="auto" w:fill="CFF0FC"/>
          </w:tcPr>
          <w:p>
            <w:pPr>
              <w:spacing w:after="0"/>
              <w:rPr>
                <w:sz w:val="15"/>
                <w:szCs w:val="15"/>
                <w:color w:val="auto"/>
              </w:rPr>
            </w:pPr>
          </w:p>
        </w:tc>
        <w:tc>
          <w:tcPr>
            <w:tcW w:w="780" w:type="dxa"/>
            <w:vAlign w:val="bottom"/>
            <w:gridSpan w:val="2"/>
            <w:shd w:val="clear" w:color="auto" w:fill="CFF0FC"/>
          </w:tcPr>
          <w:p>
            <w:pPr>
              <w:jc w:val="right"/>
              <w:ind w:right="108"/>
              <w:spacing w:after="0"/>
              <w:rPr>
                <w:sz w:val="20"/>
                <w:szCs w:val="20"/>
                <w:color w:val="auto"/>
              </w:rPr>
            </w:pPr>
            <w:r>
              <w:rPr>
                <w:rFonts w:ascii="Arial" w:cs="Arial" w:eastAsia="Arial" w:hAnsi="Arial"/>
                <w:sz w:val="14"/>
                <w:szCs w:val="14"/>
                <w:color w:val="auto"/>
              </w:rPr>
              <w:t>(3,678 )</w:t>
            </w:r>
          </w:p>
        </w:tc>
        <w:tc>
          <w:tcPr>
            <w:tcW w:w="320" w:type="dxa"/>
            <w:vAlign w:val="bottom"/>
            <w:shd w:val="clear" w:color="auto" w:fill="CFF0FC"/>
          </w:tcPr>
          <w:p>
            <w:pPr>
              <w:spacing w:after="0"/>
              <w:rPr>
                <w:sz w:val="15"/>
                <w:szCs w:val="15"/>
                <w:color w:val="auto"/>
              </w:rPr>
            </w:pPr>
          </w:p>
        </w:tc>
        <w:tc>
          <w:tcPr>
            <w:tcW w:w="1260" w:type="dxa"/>
            <w:vAlign w:val="bottom"/>
            <w:gridSpan w:val="2"/>
            <w:shd w:val="clear" w:color="auto" w:fill="CFF0FC"/>
          </w:tcPr>
          <w:p>
            <w:pPr>
              <w:jc w:val="right"/>
              <w:ind w:right="128"/>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ind w:right="8"/>
              <w:spacing w:after="0"/>
              <w:rPr>
                <w:sz w:val="20"/>
                <w:szCs w:val="20"/>
                <w:color w:val="auto"/>
              </w:rPr>
            </w:pPr>
            <w:r>
              <w:rPr>
                <w:rFonts w:ascii="Arial" w:cs="Arial" w:eastAsia="Arial" w:hAnsi="Arial"/>
                <w:sz w:val="14"/>
                <w:szCs w:val="14"/>
                <w:color w:val="auto"/>
              </w:rPr>
              <w:t>—</w:t>
            </w:r>
          </w:p>
        </w:tc>
      </w:tr>
      <w:tr>
        <w:trPr>
          <w:trHeight w:val="175"/>
        </w:trPr>
        <w:tc>
          <w:tcPr>
            <w:tcW w:w="6880" w:type="dxa"/>
            <w:vAlign w:val="bottom"/>
          </w:tcPr>
          <w:p>
            <w:pPr>
              <w:ind w:left="200"/>
              <w:spacing w:after="0"/>
              <w:rPr>
                <w:sz w:val="20"/>
                <w:szCs w:val="20"/>
                <w:color w:val="auto"/>
              </w:rPr>
            </w:pPr>
            <w:r>
              <w:rPr>
                <w:rFonts w:ascii="Arial" w:cs="Arial" w:eastAsia="Arial" w:hAnsi="Arial"/>
                <w:sz w:val="14"/>
                <w:szCs w:val="14"/>
                <w:color w:val="auto"/>
              </w:rPr>
              <w:t>Proceeds from stock options exercised</w:t>
            </w:r>
          </w:p>
        </w:tc>
        <w:tc>
          <w:tcPr>
            <w:tcW w:w="86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2,291</w:t>
            </w: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518</w:t>
            </w: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450</w:t>
            </w:r>
          </w:p>
        </w:tc>
        <w:tc>
          <w:tcPr>
            <w:tcW w:w="60" w:type="dxa"/>
            <w:vAlign w:val="bottom"/>
          </w:tcPr>
          <w:p>
            <w:pPr>
              <w:spacing w:after="0"/>
              <w:rPr>
                <w:sz w:val="15"/>
                <w:szCs w:val="15"/>
                <w:color w:val="auto"/>
              </w:rPr>
            </w:pPr>
          </w:p>
        </w:tc>
      </w:tr>
      <w:tr>
        <w:trPr>
          <w:trHeight w:val="175"/>
        </w:trPr>
        <w:tc>
          <w:tcPr>
            <w:tcW w:w="6880" w:type="dxa"/>
            <w:vAlign w:val="bottom"/>
            <w:shd w:val="clear" w:color="auto" w:fill="CFF0FC"/>
          </w:tcPr>
          <w:p>
            <w:pPr>
              <w:ind w:left="200"/>
              <w:spacing w:after="0"/>
              <w:rPr>
                <w:sz w:val="20"/>
                <w:szCs w:val="20"/>
                <w:color w:val="auto"/>
              </w:rPr>
            </w:pPr>
            <w:r>
              <w:rPr>
                <w:rFonts w:ascii="Arial" w:cs="Arial" w:eastAsia="Arial" w:hAnsi="Arial"/>
                <w:sz w:val="14"/>
                <w:szCs w:val="14"/>
                <w:color w:val="auto"/>
              </w:rPr>
              <w:t>Proceeds from the exercise of warrants</w:t>
            </w:r>
          </w:p>
        </w:tc>
        <w:tc>
          <w:tcPr>
            <w:tcW w:w="860" w:type="dxa"/>
            <w:vAlign w:val="bottom"/>
            <w:shd w:val="clear" w:color="auto" w:fill="CFF0FC"/>
          </w:tcPr>
          <w:p>
            <w:pPr>
              <w:spacing w:after="0"/>
              <w:rPr>
                <w:sz w:val="15"/>
                <w:szCs w:val="15"/>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40</w:t>
            </w:r>
          </w:p>
        </w:tc>
        <w:tc>
          <w:tcPr>
            <w:tcW w:w="24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260" w:type="dxa"/>
            <w:vAlign w:val="bottom"/>
            <w:gridSpan w:val="2"/>
            <w:shd w:val="clear" w:color="auto" w:fill="CFF0FC"/>
          </w:tcPr>
          <w:p>
            <w:pPr>
              <w:jc w:val="right"/>
              <w:ind w:right="128"/>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ind w:right="8"/>
              <w:spacing w:after="0"/>
              <w:rPr>
                <w:sz w:val="20"/>
                <w:szCs w:val="20"/>
                <w:color w:val="auto"/>
              </w:rPr>
            </w:pPr>
            <w:r>
              <w:rPr>
                <w:rFonts w:ascii="Arial" w:cs="Arial" w:eastAsia="Arial" w:hAnsi="Arial"/>
                <w:sz w:val="14"/>
                <w:szCs w:val="14"/>
                <w:color w:val="auto"/>
              </w:rPr>
              <w:t>—</w:t>
            </w:r>
          </w:p>
        </w:tc>
      </w:tr>
      <w:tr>
        <w:trPr>
          <w:trHeight w:val="175"/>
        </w:trPr>
        <w:tc>
          <w:tcPr>
            <w:tcW w:w="6880" w:type="dxa"/>
            <w:vAlign w:val="bottom"/>
          </w:tcPr>
          <w:p>
            <w:pPr>
              <w:ind w:left="200"/>
              <w:spacing w:after="0"/>
              <w:rPr>
                <w:sz w:val="20"/>
                <w:szCs w:val="20"/>
                <w:color w:val="auto"/>
              </w:rPr>
            </w:pPr>
            <w:r>
              <w:rPr>
                <w:rFonts w:ascii="Arial" w:cs="Arial" w:eastAsia="Arial" w:hAnsi="Arial"/>
                <w:sz w:val="14"/>
                <w:szCs w:val="14"/>
                <w:color w:val="auto"/>
              </w:rPr>
              <w:t>Proceeds from term loan</w:t>
            </w:r>
          </w:p>
        </w:tc>
        <w:tc>
          <w:tcPr>
            <w:tcW w:w="860" w:type="dxa"/>
            <w:vAlign w:val="bottom"/>
          </w:tcPr>
          <w:p>
            <w:pPr>
              <w:spacing w:after="0"/>
              <w:rPr>
                <w:sz w:val="15"/>
                <w:szCs w:val="15"/>
                <w:color w:val="auto"/>
              </w:rPr>
            </w:pPr>
          </w:p>
        </w:tc>
        <w:tc>
          <w:tcPr>
            <w:tcW w:w="780" w:type="dxa"/>
            <w:vAlign w:val="bottom"/>
            <w:gridSpan w:val="2"/>
          </w:tcPr>
          <w:p>
            <w:pPr>
              <w:jc w:val="right"/>
              <w:ind w:right="168"/>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4,000</w:t>
            </w: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gridSpan w:val="2"/>
          </w:tcPr>
          <w:p>
            <w:pPr>
              <w:jc w:val="right"/>
              <w:ind w:right="8"/>
              <w:spacing w:after="0"/>
              <w:rPr>
                <w:sz w:val="20"/>
                <w:szCs w:val="20"/>
                <w:color w:val="auto"/>
              </w:rPr>
            </w:pPr>
            <w:r>
              <w:rPr>
                <w:rFonts w:ascii="Arial" w:cs="Arial" w:eastAsia="Arial" w:hAnsi="Arial"/>
                <w:sz w:val="14"/>
                <w:szCs w:val="14"/>
                <w:color w:val="auto"/>
              </w:rPr>
              <w:t>—</w:t>
            </w:r>
          </w:p>
        </w:tc>
      </w:tr>
      <w:tr>
        <w:trPr>
          <w:trHeight w:val="175"/>
        </w:trPr>
        <w:tc>
          <w:tcPr>
            <w:tcW w:w="6880" w:type="dxa"/>
            <w:vAlign w:val="bottom"/>
            <w:shd w:val="clear" w:color="auto" w:fill="CFF0FC"/>
          </w:tcPr>
          <w:p>
            <w:pPr>
              <w:ind w:left="200"/>
              <w:spacing w:after="0"/>
              <w:rPr>
                <w:sz w:val="20"/>
                <w:szCs w:val="20"/>
                <w:color w:val="auto"/>
              </w:rPr>
            </w:pPr>
            <w:r>
              <w:rPr>
                <w:rFonts w:ascii="Arial" w:cs="Arial" w:eastAsia="Arial" w:hAnsi="Arial"/>
                <w:sz w:val="14"/>
                <w:szCs w:val="14"/>
                <w:color w:val="auto"/>
              </w:rPr>
              <w:t>Payment on line of credit, net</w:t>
            </w:r>
          </w:p>
        </w:tc>
        <w:tc>
          <w:tcPr>
            <w:tcW w:w="860" w:type="dxa"/>
            <w:vAlign w:val="bottom"/>
            <w:shd w:val="clear" w:color="auto" w:fill="CFF0FC"/>
          </w:tcPr>
          <w:p>
            <w:pPr>
              <w:spacing w:after="0"/>
              <w:rPr>
                <w:sz w:val="15"/>
                <w:szCs w:val="15"/>
                <w:color w:val="auto"/>
              </w:rPr>
            </w:pPr>
          </w:p>
        </w:tc>
        <w:tc>
          <w:tcPr>
            <w:tcW w:w="780" w:type="dxa"/>
            <w:vAlign w:val="bottom"/>
            <w:gridSpan w:val="2"/>
            <w:shd w:val="clear" w:color="auto" w:fill="CFF0FC"/>
          </w:tcPr>
          <w:p>
            <w:pPr>
              <w:jc w:val="right"/>
              <w:ind w:right="168"/>
              <w:spacing w:after="0"/>
              <w:rPr>
                <w:sz w:val="20"/>
                <w:szCs w:val="20"/>
                <w:color w:val="auto"/>
              </w:rPr>
            </w:pPr>
            <w:r>
              <w:rPr>
                <w:rFonts w:ascii="Arial" w:cs="Arial" w:eastAsia="Arial" w:hAnsi="Arial"/>
                <w:sz w:val="14"/>
                <w:szCs w:val="14"/>
                <w:color w:val="auto"/>
              </w:rPr>
              <w:t>—</w:t>
            </w:r>
          </w:p>
        </w:tc>
        <w:tc>
          <w:tcPr>
            <w:tcW w:w="320" w:type="dxa"/>
            <w:vAlign w:val="bottom"/>
            <w:shd w:val="clear" w:color="auto" w:fill="CFF0FC"/>
          </w:tcPr>
          <w:p>
            <w:pPr>
              <w:spacing w:after="0"/>
              <w:rPr>
                <w:sz w:val="15"/>
                <w:szCs w:val="15"/>
                <w:color w:val="auto"/>
              </w:rPr>
            </w:pPr>
          </w:p>
        </w:tc>
        <w:tc>
          <w:tcPr>
            <w:tcW w:w="1260" w:type="dxa"/>
            <w:vAlign w:val="bottom"/>
            <w:gridSpan w:val="2"/>
            <w:shd w:val="clear" w:color="auto" w:fill="CFF0FC"/>
          </w:tcPr>
          <w:p>
            <w:pPr>
              <w:jc w:val="right"/>
              <w:ind w:right="128"/>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(500 )</w:t>
            </w:r>
          </w:p>
        </w:tc>
      </w:tr>
      <w:tr>
        <w:trPr>
          <w:trHeight w:val="175"/>
        </w:trPr>
        <w:tc>
          <w:tcPr>
            <w:tcW w:w="6880" w:type="dxa"/>
            <w:vAlign w:val="bottom"/>
          </w:tcPr>
          <w:p>
            <w:pPr>
              <w:ind w:left="200"/>
              <w:spacing w:after="0"/>
              <w:rPr>
                <w:sz w:val="20"/>
                <w:szCs w:val="20"/>
                <w:color w:val="auto"/>
              </w:rPr>
            </w:pPr>
            <w:r>
              <w:rPr>
                <w:rFonts w:ascii="Arial" w:cs="Arial" w:eastAsia="Arial" w:hAnsi="Arial"/>
                <w:sz w:val="14"/>
                <w:szCs w:val="14"/>
                <w:color w:val="auto"/>
              </w:rPr>
              <w:t>Repayment of term loan</w:t>
            </w:r>
          </w:p>
        </w:tc>
        <w:tc>
          <w:tcPr>
            <w:tcW w:w="860" w:type="dxa"/>
            <w:vAlign w:val="bottom"/>
          </w:tcPr>
          <w:p>
            <w:pPr>
              <w:spacing w:after="0"/>
              <w:rPr>
                <w:sz w:val="15"/>
                <w:szCs w:val="15"/>
                <w:color w:val="auto"/>
              </w:rPr>
            </w:pPr>
          </w:p>
        </w:tc>
        <w:tc>
          <w:tcPr>
            <w:tcW w:w="780" w:type="dxa"/>
            <w:vAlign w:val="bottom"/>
            <w:gridSpan w:val="2"/>
          </w:tcPr>
          <w:p>
            <w:pPr>
              <w:jc w:val="right"/>
              <w:ind w:right="108"/>
              <w:spacing w:after="0"/>
              <w:rPr>
                <w:sz w:val="20"/>
                <w:szCs w:val="20"/>
                <w:color w:val="auto"/>
              </w:rPr>
            </w:pPr>
            <w:r>
              <w:rPr>
                <w:rFonts w:ascii="Arial" w:cs="Arial" w:eastAsia="Arial" w:hAnsi="Arial"/>
                <w:sz w:val="14"/>
                <w:szCs w:val="14"/>
                <w:color w:val="auto"/>
              </w:rPr>
              <w:t>(16,136 )</w:t>
            </w:r>
          </w:p>
        </w:tc>
        <w:tc>
          <w:tcPr>
            <w:tcW w:w="320" w:type="dxa"/>
            <w:vAlign w:val="bottom"/>
          </w:tcPr>
          <w:p>
            <w:pPr>
              <w:spacing w:after="0"/>
              <w:rPr>
                <w:sz w:val="15"/>
                <w:szCs w:val="15"/>
                <w:color w:val="auto"/>
              </w:rPr>
            </w:pPr>
          </w:p>
        </w:tc>
        <w:tc>
          <w:tcPr>
            <w:tcW w:w="1260" w:type="dxa"/>
            <w:vAlign w:val="bottom"/>
            <w:gridSpan w:val="2"/>
          </w:tcPr>
          <w:p>
            <w:pPr>
              <w:jc w:val="right"/>
              <w:ind w:right="12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900" w:type="dxa"/>
            <w:vAlign w:val="bottom"/>
            <w:gridSpan w:val="2"/>
          </w:tcPr>
          <w:p>
            <w:pPr>
              <w:jc w:val="right"/>
              <w:ind w:right="8"/>
              <w:spacing w:after="0"/>
              <w:rPr>
                <w:sz w:val="20"/>
                <w:szCs w:val="20"/>
                <w:color w:val="auto"/>
              </w:rPr>
            </w:pPr>
            <w:r>
              <w:rPr>
                <w:rFonts w:ascii="Arial" w:cs="Arial" w:eastAsia="Arial" w:hAnsi="Arial"/>
                <w:sz w:val="14"/>
                <w:szCs w:val="14"/>
                <w:color w:val="auto"/>
              </w:rPr>
              <w:t>—</w:t>
            </w:r>
          </w:p>
        </w:tc>
      </w:tr>
      <w:tr>
        <w:trPr>
          <w:trHeight w:val="176"/>
        </w:trPr>
        <w:tc>
          <w:tcPr>
            <w:tcW w:w="6880" w:type="dxa"/>
            <w:vAlign w:val="bottom"/>
            <w:shd w:val="clear" w:color="auto" w:fill="CFF0FC"/>
          </w:tcPr>
          <w:p>
            <w:pPr>
              <w:ind w:left="200"/>
              <w:spacing w:after="0"/>
              <w:rPr>
                <w:sz w:val="20"/>
                <w:szCs w:val="20"/>
                <w:color w:val="auto"/>
              </w:rPr>
            </w:pPr>
            <w:r>
              <w:rPr>
                <w:rFonts w:ascii="Arial" w:cs="Arial" w:eastAsia="Arial" w:hAnsi="Arial"/>
                <w:sz w:val="14"/>
                <w:szCs w:val="14"/>
                <w:color w:val="auto"/>
              </w:rPr>
              <w:t>Proceeds from other borrowings</w:t>
            </w:r>
          </w:p>
        </w:tc>
        <w:tc>
          <w:tcPr>
            <w:tcW w:w="860" w:type="dxa"/>
            <w:vAlign w:val="bottom"/>
            <w:shd w:val="clear" w:color="auto" w:fill="CFF0FC"/>
          </w:tcPr>
          <w:p>
            <w:pPr>
              <w:spacing w:after="0"/>
              <w:rPr>
                <w:sz w:val="15"/>
                <w:szCs w:val="15"/>
                <w:color w:val="auto"/>
              </w:rPr>
            </w:pPr>
          </w:p>
        </w:tc>
        <w:tc>
          <w:tcPr>
            <w:tcW w:w="780" w:type="dxa"/>
            <w:vAlign w:val="bottom"/>
            <w:gridSpan w:val="2"/>
            <w:shd w:val="clear" w:color="auto" w:fill="CFF0FC"/>
          </w:tcPr>
          <w:p>
            <w:pPr>
              <w:jc w:val="right"/>
              <w:ind w:right="168"/>
              <w:spacing w:after="0"/>
              <w:rPr>
                <w:sz w:val="20"/>
                <w:szCs w:val="20"/>
                <w:color w:val="auto"/>
              </w:rPr>
            </w:pPr>
            <w:r>
              <w:rPr>
                <w:rFonts w:ascii="Arial" w:cs="Arial" w:eastAsia="Arial" w:hAnsi="Arial"/>
                <w:sz w:val="14"/>
                <w:szCs w:val="14"/>
                <w:color w:val="auto"/>
              </w:rPr>
              <w:t>—</w:t>
            </w:r>
          </w:p>
        </w:tc>
        <w:tc>
          <w:tcPr>
            <w:tcW w:w="32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4,783</w:t>
            </w:r>
          </w:p>
        </w:tc>
        <w:tc>
          <w:tcPr>
            <w:tcW w:w="2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ind w:right="8"/>
              <w:spacing w:after="0"/>
              <w:rPr>
                <w:sz w:val="20"/>
                <w:szCs w:val="20"/>
                <w:color w:val="auto"/>
              </w:rPr>
            </w:pPr>
            <w:r>
              <w:rPr>
                <w:rFonts w:ascii="Arial" w:cs="Arial" w:eastAsia="Arial" w:hAnsi="Arial"/>
                <w:sz w:val="14"/>
                <w:szCs w:val="14"/>
                <w:color w:val="auto"/>
              </w:rPr>
              <w:t>—</w:t>
            </w:r>
          </w:p>
        </w:tc>
      </w:tr>
      <w:tr>
        <w:trPr>
          <w:trHeight w:val="175"/>
        </w:trPr>
        <w:tc>
          <w:tcPr>
            <w:tcW w:w="6880" w:type="dxa"/>
            <w:vAlign w:val="bottom"/>
          </w:tcPr>
          <w:p>
            <w:pPr>
              <w:ind w:left="200"/>
              <w:spacing w:after="0"/>
              <w:rPr>
                <w:sz w:val="20"/>
                <w:szCs w:val="20"/>
                <w:color w:val="auto"/>
              </w:rPr>
            </w:pPr>
            <w:r>
              <w:rPr>
                <w:rFonts w:ascii="Arial" w:cs="Arial" w:eastAsia="Arial" w:hAnsi="Arial"/>
                <w:sz w:val="14"/>
                <w:szCs w:val="14"/>
                <w:color w:val="auto"/>
              </w:rPr>
              <w:t>Repayment of other borrowings</w:t>
            </w:r>
          </w:p>
        </w:tc>
        <w:tc>
          <w:tcPr>
            <w:tcW w:w="860" w:type="dxa"/>
            <w:vAlign w:val="bottom"/>
          </w:tcPr>
          <w:p>
            <w:pPr>
              <w:spacing w:after="0"/>
              <w:rPr>
                <w:sz w:val="15"/>
                <w:szCs w:val="15"/>
                <w:color w:val="auto"/>
              </w:rPr>
            </w:pPr>
          </w:p>
        </w:tc>
        <w:tc>
          <w:tcPr>
            <w:tcW w:w="780" w:type="dxa"/>
            <w:vAlign w:val="bottom"/>
            <w:gridSpan w:val="2"/>
          </w:tcPr>
          <w:p>
            <w:pPr>
              <w:jc w:val="right"/>
              <w:ind w:right="168"/>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5"/>
                <w:szCs w:val="15"/>
                <w:color w:val="auto"/>
              </w:rPr>
            </w:pPr>
          </w:p>
        </w:tc>
        <w:tc>
          <w:tcPr>
            <w:tcW w:w="1260" w:type="dxa"/>
            <w:vAlign w:val="bottom"/>
            <w:gridSpan w:val="2"/>
          </w:tcPr>
          <w:p>
            <w:pPr>
              <w:jc w:val="right"/>
              <w:ind w:right="68"/>
              <w:spacing w:after="0"/>
              <w:rPr>
                <w:sz w:val="20"/>
                <w:szCs w:val="20"/>
                <w:color w:val="auto"/>
              </w:rPr>
            </w:pPr>
            <w:r>
              <w:rPr>
                <w:rFonts w:ascii="Arial" w:cs="Arial" w:eastAsia="Arial" w:hAnsi="Arial"/>
                <w:sz w:val="14"/>
                <w:szCs w:val="14"/>
                <w:color w:val="auto"/>
              </w:rPr>
              <w:t>(4,783 )</w:t>
            </w:r>
          </w:p>
        </w:tc>
        <w:tc>
          <w:tcPr>
            <w:tcW w:w="240" w:type="dxa"/>
            <w:vAlign w:val="bottom"/>
          </w:tcPr>
          <w:p>
            <w:pPr>
              <w:spacing w:after="0"/>
              <w:rPr>
                <w:sz w:val="15"/>
                <w:szCs w:val="15"/>
                <w:color w:val="auto"/>
              </w:rPr>
            </w:pPr>
          </w:p>
        </w:tc>
        <w:tc>
          <w:tcPr>
            <w:tcW w:w="900" w:type="dxa"/>
            <w:vAlign w:val="bottom"/>
            <w:gridSpan w:val="2"/>
          </w:tcPr>
          <w:p>
            <w:pPr>
              <w:jc w:val="right"/>
              <w:ind w:right="8"/>
              <w:spacing w:after="0"/>
              <w:rPr>
                <w:sz w:val="20"/>
                <w:szCs w:val="20"/>
                <w:color w:val="auto"/>
              </w:rPr>
            </w:pPr>
            <w:r>
              <w:rPr>
                <w:rFonts w:ascii="Arial" w:cs="Arial" w:eastAsia="Arial" w:hAnsi="Arial"/>
                <w:sz w:val="14"/>
                <w:szCs w:val="14"/>
                <w:color w:val="auto"/>
              </w:rPr>
              <w:t>—</w:t>
            </w:r>
          </w:p>
        </w:tc>
      </w:tr>
      <w:tr>
        <w:trPr>
          <w:trHeight w:val="175"/>
        </w:trPr>
        <w:tc>
          <w:tcPr>
            <w:tcW w:w="6880" w:type="dxa"/>
            <w:vAlign w:val="bottom"/>
            <w:shd w:val="clear" w:color="auto" w:fill="CFF0FC"/>
          </w:tcPr>
          <w:p>
            <w:pPr>
              <w:ind w:left="200"/>
              <w:spacing w:after="0"/>
              <w:rPr>
                <w:sz w:val="20"/>
                <w:szCs w:val="20"/>
                <w:color w:val="auto"/>
              </w:rPr>
            </w:pPr>
            <w:r>
              <w:rPr>
                <w:rFonts w:ascii="Arial" w:cs="Arial" w:eastAsia="Arial" w:hAnsi="Arial"/>
                <w:sz w:val="14"/>
                <w:szCs w:val="14"/>
                <w:color w:val="auto"/>
              </w:rPr>
              <w:t>Payments on finance lease obligations</w:t>
            </w:r>
          </w:p>
        </w:tc>
        <w:tc>
          <w:tcPr>
            <w:tcW w:w="860" w:type="dxa"/>
            <w:vAlign w:val="bottom"/>
            <w:shd w:val="clear" w:color="auto" w:fill="CFF0FC"/>
          </w:tcPr>
          <w:p>
            <w:pPr>
              <w:spacing w:after="0"/>
              <w:rPr>
                <w:sz w:val="15"/>
                <w:szCs w:val="15"/>
                <w:color w:val="auto"/>
              </w:rPr>
            </w:pPr>
          </w:p>
        </w:tc>
        <w:tc>
          <w:tcPr>
            <w:tcW w:w="780" w:type="dxa"/>
            <w:vAlign w:val="bottom"/>
            <w:gridSpan w:val="2"/>
            <w:shd w:val="clear" w:color="auto" w:fill="CFF0FC"/>
          </w:tcPr>
          <w:p>
            <w:pPr>
              <w:jc w:val="right"/>
              <w:ind w:right="108"/>
              <w:spacing w:after="0"/>
              <w:rPr>
                <w:sz w:val="20"/>
                <w:szCs w:val="20"/>
                <w:color w:val="auto"/>
              </w:rPr>
            </w:pPr>
            <w:r>
              <w:rPr>
                <w:rFonts w:ascii="Arial" w:cs="Arial" w:eastAsia="Arial" w:hAnsi="Arial"/>
                <w:sz w:val="14"/>
                <w:szCs w:val="14"/>
                <w:color w:val="auto"/>
              </w:rPr>
              <w:t>(12 )</w:t>
            </w:r>
          </w:p>
        </w:tc>
        <w:tc>
          <w:tcPr>
            <w:tcW w:w="320" w:type="dxa"/>
            <w:vAlign w:val="bottom"/>
            <w:shd w:val="clear" w:color="auto" w:fill="CFF0FC"/>
          </w:tcPr>
          <w:p>
            <w:pPr>
              <w:spacing w:after="0"/>
              <w:rPr>
                <w:sz w:val="15"/>
                <w:szCs w:val="15"/>
                <w:color w:val="auto"/>
              </w:rPr>
            </w:pPr>
          </w:p>
        </w:tc>
        <w:tc>
          <w:tcPr>
            <w:tcW w:w="1260" w:type="dxa"/>
            <w:vAlign w:val="bottom"/>
            <w:gridSpan w:val="2"/>
            <w:shd w:val="clear" w:color="auto" w:fill="CFF0FC"/>
          </w:tcPr>
          <w:p>
            <w:pPr>
              <w:jc w:val="right"/>
              <w:ind w:right="68"/>
              <w:spacing w:after="0"/>
              <w:rPr>
                <w:sz w:val="20"/>
                <w:szCs w:val="20"/>
                <w:color w:val="auto"/>
              </w:rPr>
            </w:pPr>
            <w:r>
              <w:rPr>
                <w:rFonts w:ascii="Arial" w:cs="Arial" w:eastAsia="Arial" w:hAnsi="Arial"/>
                <w:sz w:val="14"/>
                <w:szCs w:val="14"/>
                <w:color w:val="auto"/>
              </w:rPr>
              <w:t>(13 )</w:t>
            </w:r>
          </w:p>
        </w:tc>
        <w:tc>
          <w:tcPr>
            <w:tcW w:w="24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(164 )</w:t>
            </w:r>
          </w:p>
        </w:tc>
      </w:tr>
      <w:tr>
        <w:trPr>
          <w:trHeight w:val="169"/>
        </w:trPr>
        <w:tc>
          <w:tcPr>
            <w:tcW w:w="6880" w:type="dxa"/>
            <w:vAlign w:val="bottom"/>
            <w:tcBorders>
              <w:top w:val="single" w:sz="8" w:color="CFF0FC"/>
            </w:tcBorders>
          </w:tcPr>
          <w:p>
            <w:pPr>
              <w:ind w:left="380"/>
              <w:spacing w:after="0"/>
              <w:rPr>
                <w:sz w:val="20"/>
                <w:szCs w:val="20"/>
                <w:color w:val="auto"/>
              </w:rPr>
            </w:pPr>
            <w:r>
              <w:rPr>
                <w:rFonts w:ascii="Arial" w:cs="Arial" w:eastAsia="Arial" w:hAnsi="Arial"/>
                <w:sz w:val="14"/>
                <w:szCs w:val="14"/>
                <w:b w:val="1"/>
                <w:bCs w:val="1"/>
                <w:color w:val="auto"/>
              </w:rPr>
              <w:t>Net cash provided by financing activities</w:t>
            </w:r>
          </w:p>
        </w:tc>
        <w:tc>
          <w:tcPr>
            <w:tcW w:w="860" w:type="dxa"/>
            <w:vAlign w:val="bottom"/>
            <w:tcBorders>
              <w:top w:val="single" w:sz="8" w:color="auto"/>
              <w:bottom w:val="single" w:sz="8" w:color="auto"/>
            </w:tcBorders>
          </w:tcPr>
          <w:p>
            <w:pPr>
              <w:spacing w:after="0"/>
              <w:rPr>
                <w:sz w:val="14"/>
                <w:szCs w:val="14"/>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307,768</w:t>
            </w:r>
          </w:p>
        </w:tc>
        <w:tc>
          <w:tcPr>
            <w:tcW w:w="240" w:type="dxa"/>
            <w:vAlign w:val="bottom"/>
            <w:tcBorders>
              <w:top w:val="single" w:sz="8" w:color="CFF0FC"/>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35,261</w:t>
            </w:r>
          </w:p>
        </w:tc>
        <w:tc>
          <w:tcPr>
            <w:tcW w:w="200" w:type="dxa"/>
            <w:vAlign w:val="bottom"/>
            <w:tcBorders>
              <w:top w:val="single" w:sz="8" w:color="CFF0FC"/>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54,715</w:t>
            </w:r>
          </w:p>
        </w:tc>
        <w:tc>
          <w:tcPr>
            <w:tcW w:w="60" w:type="dxa"/>
            <w:vAlign w:val="bottom"/>
            <w:tcBorders>
              <w:top w:val="single" w:sz="8" w:color="CFF0FC"/>
            </w:tcBorders>
          </w:tcPr>
          <w:p>
            <w:pPr>
              <w:spacing w:after="0"/>
              <w:rPr>
                <w:sz w:val="14"/>
                <w:szCs w:val="14"/>
                <w:color w:val="auto"/>
              </w:rPr>
            </w:pPr>
          </w:p>
        </w:tc>
      </w:tr>
      <w:tr>
        <w:trPr>
          <w:trHeight w:val="169"/>
        </w:trPr>
        <w:tc>
          <w:tcPr>
            <w:tcW w:w="688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4"/>
                <w:szCs w:val="14"/>
                <w:color w:val="auto"/>
              </w:rPr>
              <w:t>Effect of foreign currency translation on cash and cash equivalents</w:t>
            </w:r>
          </w:p>
        </w:tc>
        <w:tc>
          <w:tcPr>
            <w:tcW w:w="860" w:type="dxa"/>
            <w:vAlign w:val="bottom"/>
            <w:tcBorders>
              <w:bottom w:val="single" w:sz="8" w:color="auto"/>
            </w:tcBorders>
            <w:shd w:val="clear" w:color="auto" w:fill="CFF0FC"/>
          </w:tcPr>
          <w:p>
            <w:pPr>
              <w:spacing w:after="0"/>
              <w:rPr>
                <w:sz w:val="14"/>
                <w:szCs w:val="14"/>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(61</w:t>
            </w:r>
          </w:p>
        </w:tc>
        <w:tc>
          <w:tcPr>
            <w:tcW w:w="240" w:type="dxa"/>
            <w:vAlign w:val="bottom"/>
            <w:tcBorders>
              <w:bottom w:val="single" w:sz="8" w:color="CFF0FC"/>
            </w:tcBorders>
            <w:shd w:val="clear" w:color="auto" w:fill="CFF0FC"/>
          </w:tcPr>
          <w:p>
            <w:pPr>
              <w:jc w:val="right"/>
              <w:ind w:right="108"/>
              <w:spacing w:after="0"/>
              <w:rPr>
                <w:sz w:val="20"/>
                <w:szCs w:val="20"/>
                <w:color w:val="auto"/>
              </w:rPr>
            </w:pPr>
            <w:r>
              <w:rPr>
                <w:rFonts w:ascii="Arial" w:cs="Arial" w:eastAsia="Arial" w:hAnsi="Arial"/>
                <w:sz w:val="14"/>
                <w:szCs w:val="14"/>
                <w:color w:val="auto"/>
                <w:w w:val="84"/>
              </w:rPr>
              <w:t>)</w:t>
            </w:r>
          </w:p>
        </w:tc>
        <w:tc>
          <w:tcPr>
            <w:tcW w:w="320" w:type="dxa"/>
            <w:vAlign w:val="bottom"/>
            <w:tcBorders>
              <w:bottom w:val="single" w:sz="8" w:color="auto"/>
            </w:tcBorders>
            <w:shd w:val="clear" w:color="auto" w:fill="CFF0FC"/>
          </w:tcPr>
          <w:p>
            <w:pPr>
              <w:spacing w:after="0"/>
              <w:rPr>
                <w:sz w:val="14"/>
                <w:szCs w:val="14"/>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(130</w:t>
            </w:r>
          </w:p>
        </w:tc>
        <w:tc>
          <w:tcPr>
            <w:tcW w:w="200" w:type="dxa"/>
            <w:vAlign w:val="bottom"/>
            <w:tcBorders>
              <w:bottom w:val="single" w:sz="8" w:color="CFF0FC"/>
            </w:tcBorders>
            <w:shd w:val="clear" w:color="auto" w:fill="CFF0FC"/>
          </w:tcPr>
          <w:p>
            <w:pPr>
              <w:jc w:val="right"/>
              <w:ind w:right="68"/>
              <w:spacing w:after="0"/>
              <w:rPr>
                <w:sz w:val="20"/>
                <w:szCs w:val="20"/>
                <w:color w:val="auto"/>
              </w:rPr>
            </w:pPr>
            <w:r>
              <w:rPr>
                <w:rFonts w:ascii="Arial" w:cs="Arial" w:eastAsia="Arial" w:hAnsi="Arial"/>
                <w:sz w:val="14"/>
                <w:szCs w:val="14"/>
                <w:color w:val="auto"/>
                <w:w w:val="84"/>
              </w:rPr>
              <w:t>)</w:t>
            </w:r>
          </w:p>
        </w:tc>
        <w:tc>
          <w:tcPr>
            <w:tcW w:w="240" w:type="dxa"/>
            <w:vAlign w:val="bottom"/>
            <w:tcBorders>
              <w:bottom w:val="single" w:sz="8" w:color="auto"/>
            </w:tcBorders>
            <w:shd w:val="clear" w:color="auto" w:fill="CFF0FC"/>
          </w:tcPr>
          <w:p>
            <w:pPr>
              <w:spacing w:after="0"/>
              <w:rPr>
                <w:sz w:val="14"/>
                <w:szCs w:val="14"/>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CFF0FC"/>
            </w:tcBorders>
            <w:shd w:val="clear" w:color="auto" w:fill="CFF0FC"/>
          </w:tcPr>
          <w:p>
            <w:pPr>
              <w:spacing w:after="0"/>
              <w:rPr>
                <w:sz w:val="14"/>
                <w:szCs w:val="14"/>
                <w:color w:val="auto"/>
              </w:rPr>
            </w:pPr>
          </w:p>
        </w:tc>
      </w:tr>
      <w:tr>
        <w:trPr>
          <w:trHeight w:val="169"/>
        </w:trPr>
        <w:tc>
          <w:tcPr>
            <w:tcW w:w="6880" w:type="dxa"/>
            <w:vAlign w:val="bottom"/>
          </w:tcPr>
          <w:p>
            <w:pPr>
              <w:ind w:left="380"/>
              <w:spacing w:after="0"/>
              <w:rPr>
                <w:sz w:val="20"/>
                <w:szCs w:val="20"/>
                <w:color w:val="auto"/>
              </w:rPr>
            </w:pPr>
            <w:r>
              <w:rPr>
                <w:rFonts w:ascii="Arial" w:cs="Arial" w:eastAsia="Arial" w:hAnsi="Arial"/>
                <w:sz w:val="14"/>
                <w:szCs w:val="14"/>
                <w:b w:val="1"/>
                <w:bCs w:val="1"/>
                <w:color w:val="auto"/>
              </w:rPr>
              <w:t>Net increase in cash and cash equivalents</w:t>
            </w:r>
          </w:p>
        </w:tc>
        <w:tc>
          <w:tcPr>
            <w:tcW w:w="86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26,388</w:t>
            </w: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19,752</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25,240</w:t>
            </w:r>
          </w:p>
        </w:tc>
        <w:tc>
          <w:tcPr>
            <w:tcW w:w="60" w:type="dxa"/>
            <w:vAlign w:val="bottom"/>
          </w:tcPr>
          <w:p>
            <w:pPr>
              <w:spacing w:after="0"/>
              <w:rPr>
                <w:sz w:val="14"/>
                <w:szCs w:val="14"/>
                <w:color w:val="auto"/>
              </w:rPr>
            </w:pPr>
          </w:p>
        </w:tc>
      </w:tr>
      <w:tr>
        <w:trPr>
          <w:trHeight w:val="175"/>
        </w:trPr>
        <w:tc>
          <w:tcPr>
            <w:tcW w:w="68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b w:val="1"/>
                <w:bCs w:val="1"/>
                <w:color w:val="auto"/>
              </w:rPr>
              <w:t>Cash and cash equivalents at beginning of the year</w:t>
            </w:r>
          </w:p>
        </w:tc>
        <w:tc>
          <w:tcPr>
            <w:tcW w:w="860" w:type="dxa"/>
            <w:vAlign w:val="bottom"/>
            <w:tcBorders>
              <w:bottom w:val="single" w:sz="8" w:color="auto"/>
            </w:tcBorders>
            <w:shd w:val="clear" w:color="auto" w:fill="CFF0FC"/>
          </w:tcPr>
          <w:p>
            <w:pPr>
              <w:spacing w:after="0"/>
              <w:rPr>
                <w:sz w:val="15"/>
                <w:szCs w:val="15"/>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59,874</w:t>
            </w:r>
          </w:p>
        </w:tc>
        <w:tc>
          <w:tcPr>
            <w:tcW w:w="240" w:type="dxa"/>
            <w:vAlign w:val="bottom"/>
            <w:tcBorders>
              <w:bottom w:val="single" w:sz="8" w:color="CFF0FC"/>
            </w:tcBorders>
            <w:shd w:val="clear" w:color="auto" w:fill="CFF0FC"/>
          </w:tcPr>
          <w:p>
            <w:pPr>
              <w:spacing w:after="0"/>
              <w:rPr>
                <w:sz w:val="15"/>
                <w:szCs w:val="15"/>
                <w:color w:val="auto"/>
              </w:rPr>
            </w:pPr>
          </w:p>
        </w:tc>
        <w:tc>
          <w:tcPr>
            <w:tcW w:w="320" w:type="dxa"/>
            <w:vAlign w:val="bottom"/>
            <w:tcBorders>
              <w:bottom w:val="single" w:sz="8" w:color="auto"/>
            </w:tcBorders>
            <w:shd w:val="clear" w:color="auto" w:fill="CFF0FC"/>
          </w:tcPr>
          <w:p>
            <w:pPr>
              <w:spacing w:after="0"/>
              <w:rPr>
                <w:sz w:val="15"/>
                <w:szCs w:val="15"/>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40,122</w:t>
            </w:r>
          </w:p>
        </w:tc>
        <w:tc>
          <w:tcPr>
            <w:tcW w:w="200" w:type="dxa"/>
            <w:vAlign w:val="bottom"/>
            <w:tcBorders>
              <w:bottom w:val="single" w:sz="8" w:color="CFF0FC"/>
            </w:tcBorders>
            <w:shd w:val="clear" w:color="auto" w:fill="CFF0FC"/>
          </w:tcPr>
          <w:p>
            <w:pPr>
              <w:spacing w:after="0"/>
              <w:rPr>
                <w:sz w:val="15"/>
                <w:szCs w:val="15"/>
                <w:color w:val="auto"/>
              </w:rPr>
            </w:pPr>
          </w:p>
        </w:tc>
        <w:tc>
          <w:tcPr>
            <w:tcW w:w="240" w:type="dxa"/>
            <w:vAlign w:val="bottom"/>
            <w:tcBorders>
              <w:bottom w:val="single" w:sz="8" w:color="auto"/>
            </w:tcBorders>
            <w:shd w:val="clear" w:color="auto" w:fill="CFF0FC"/>
          </w:tcPr>
          <w:p>
            <w:pPr>
              <w:spacing w:after="0"/>
              <w:rPr>
                <w:sz w:val="15"/>
                <w:szCs w:val="15"/>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14,882</w:t>
            </w:r>
          </w:p>
        </w:tc>
        <w:tc>
          <w:tcPr>
            <w:tcW w:w="60" w:type="dxa"/>
            <w:vAlign w:val="bottom"/>
            <w:tcBorders>
              <w:bottom w:val="single" w:sz="8" w:color="CFF0FC"/>
            </w:tcBorders>
            <w:shd w:val="clear" w:color="auto" w:fill="CFF0FC"/>
          </w:tcPr>
          <w:p>
            <w:pPr>
              <w:spacing w:after="0"/>
              <w:rPr>
                <w:sz w:val="15"/>
                <w:szCs w:val="15"/>
                <w:color w:val="auto"/>
              </w:rPr>
            </w:pPr>
          </w:p>
        </w:tc>
      </w:tr>
      <w:tr>
        <w:trPr>
          <w:trHeight w:val="169"/>
        </w:trPr>
        <w:tc>
          <w:tcPr>
            <w:tcW w:w="6880" w:type="dxa"/>
            <w:vAlign w:val="bottom"/>
          </w:tcPr>
          <w:p>
            <w:pPr>
              <w:ind w:left="20"/>
              <w:spacing w:after="0"/>
              <w:rPr>
                <w:sz w:val="20"/>
                <w:szCs w:val="20"/>
                <w:color w:val="auto"/>
              </w:rPr>
            </w:pPr>
            <w:r>
              <w:rPr>
                <w:rFonts w:ascii="Arial" w:cs="Arial" w:eastAsia="Arial" w:hAnsi="Arial"/>
                <w:sz w:val="14"/>
                <w:szCs w:val="14"/>
                <w:b w:val="1"/>
                <w:bCs w:val="1"/>
                <w:color w:val="auto"/>
              </w:rPr>
              <w:t>Cash and cash equivalents at end of the year</w:t>
            </w:r>
          </w:p>
        </w:tc>
        <w:tc>
          <w:tcPr>
            <w:tcW w:w="860" w:type="dxa"/>
            <w:vAlign w:val="bottom"/>
            <w:tcBorders>
              <w:bottom w:val="single" w:sz="8" w:color="auto"/>
            </w:tcBorders>
          </w:tcPr>
          <w:p>
            <w:pPr>
              <w:jc w:val="right"/>
              <w:ind w:right="708"/>
              <w:spacing w:after="0"/>
              <w:rPr>
                <w:sz w:val="20"/>
                <w:szCs w:val="20"/>
                <w:color w:val="auto"/>
              </w:rPr>
            </w:pPr>
            <w:r>
              <w:rPr>
                <w:rFonts w:ascii="Arial" w:cs="Arial" w:eastAsia="Arial" w:hAnsi="Arial"/>
                <w:sz w:val="14"/>
                <w:szCs w:val="14"/>
                <w:color w:val="auto"/>
                <w:w w:val="76"/>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86,262</w:t>
            </w:r>
          </w:p>
        </w:tc>
        <w:tc>
          <w:tcPr>
            <w:tcW w:w="240" w:type="dxa"/>
            <w:vAlign w:val="bottom"/>
          </w:tcPr>
          <w:p>
            <w:pPr>
              <w:spacing w:after="0"/>
              <w:rPr>
                <w:sz w:val="14"/>
                <w:szCs w:val="14"/>
                <w:color w:val="auto"/>
              </w:rPr>
            </w:pPr>
          </w:p>
        </w:tc>
        <w:tc>
          <w:tcPr>
            <w:tcW w:w="3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59,874</w:t>
            </w:r>
          </w:p>
        </w:tc>
        <w:tc>
          <w:tcPr>
            <w:tcW w:w="200" w:type="dxa"/>
            <w:vAlign w:val="bottom"/>
          </w:tcPr>
          <w:p>
            <w:pPr>
              <w:spacing w:after="0"/>
              <w:rPr>
                <w:sz w:val="14"/>
                <w:szCs w:val="14"/>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40,122</w:t>
            </w:r>
          </w:p>
        </w:tc>
        <w:tc>
          <w:tcPr>
            <w:tcW w:w="60" w:type="dxa"/>
            <w:vAlign w:val="bottom"/>
          </w:tcPr>
          <w:p>
            <w:pPr>
              <w:spacing w:after="0"/>
              <w:rPr>
                <w:sz w:val="14"/>
                <w:szCs w:val="14"/>
                <w:color w:val="auto"/>
              </w:rPr>
            </w:pPr>
          </w:p>
        </w:tc>
      </w:tr>
      <w:tr>
        <w:trPr>
          <w:trHeight w:val="20"/>
        </w:trPr>
        <w:tc>
          <w:tcPr>
            <w:tcW w:w="68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56"/>
        </w:trPr>
        <w:tc>
          <w:tcPr>
            <w:tcW w:w="6880" w:type="dxa"/>
            <w:vAlign w:val="bottom"/>
            <w:shd w:val="clear" w:color="auto" w:fill="CFF0FC"/>
          </w:tcPr>
          <w:p>
            <w:pPr>
              <w:ind w:left="20"/>
              <w:spacing w:after="0" w:line="156" w:lineRule="exact"/>
              <w:rPr>
                <w:sz w:val="20"/>
                <w:szCs w:val="20"/>
                <w:color w:val="auto"/>
              </w:rPr>
            </w:pPr>
            <w:r>
              <w:rPr>
                <w:rFonts w:ascii="Arial" w:cs="Arial" w:eastAsia="Arial" w:hAnsi="Arial"/>
                <w:sz w:val="14"/>
                <w:szCs w:val="14"/>
                <w:b w:val="1"/>
                <w:bCs w:val="1"/>
                <w:color w:val="auto"/>
              </w:rPr>
              <w:t>Supplemental cash flow information:</w:t>
            </w:r>
          </w:p>
        </w:tc>
        <w:tc>
          <w:tcPr>
            <w:tcW w:w="86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0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r>
      <w:tr>
        <w:trPr>
          <w:trHeight w:val="176"/>
        </w:trPr>
        <w:tc>
          <w:tcPr>
            <w:tcW w:w="6880" w:type="dxa"/>
            <w:vAlign w:val="bottom"/>
          </w:tcPr>
          <w:p>
            <w:pPr>
              <w:ind w:left="20"/>
              <w:spacing w:after="0"/>
              <w:rPr>
                <w:sz w:val="20"/>
                <w:szCs w:val="20"/>
                <w:color w:val="auto"/>
              </w:rPr>
            </w:pPr>
            <w:r>
              <w:rPr>
                <w:rFonts w:ascii="Arial" w:cs="Arial" w:eastAsia="Arial" w:hAnsi="Arial"/>
                <w:sz w:val="14"/>
                <w:szCs w:val="14"/>
                <w:color w:val="auto"/>
              </w:rPr>
              <w:t>Cash paid for interest</w:t>
            </w:r>
          </w:p>
        </w:tc>
        <w:tc>
          <w:tcPr>
            <w:tcW w:w="860" w:type="dxa"/>
            <w:vAlign w:val="bottom"/>
          </w:tcPr>
          <w:p>
            <w:pPr>
              <w:jc w:val="right"/>
              <w:ind w:right="708"/>
              <w:spacing w:after="0"/>
              <w:rPr>
                <w:sz w:val="20"/>
                <w:szCs w:val="20"/>
                <w:color w:val="auto"/>
              </w:rPr>
            </w:pPr>
            <w:r>
              <w:rPr>
                <w:rFonts w:ascii="Arial" w:cs="Arial" w:eastAsia="Arial" w:hAnsi="Arial"/>
                <w:sz w:val="14"/>
                <w:szCs w:val="14"/>
                <w:color w:val="auto"/>
                <w:w w:val="76"/>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907</w:t>
            </w:r>
          </w:p>
        </w:tc>
        <w:tc>
          <w:tcPr>
            <w:tcW w:w="240" w:type="dxa"/>
            <w:vAlign w:val="bottom"/>
          </w:tcPr>
          <w:p>
            <w:pPr>
              <w:spacing w:after="0"/>
              <w:rPr>
                <w:sz w:val="15"/>
                <w:szCs w:val="15"/>
                <w:color w:val="auto"/>
              </w:rPr>
            </w:pPr>
          </w:p>
        </w:tc>
        <w:tc>
          <w:tcPr>
            <w:tcW w:w="320" w:type="dxa"/>
            <w:vAlign w:val="bottom"/>
          </w:tcPr>
          <w:p>
            <w:pPr>
              <w:jc w:val="right"/>
              <w:ind w:right="168"/>
              <w:spacing w:after="0"/>
              <w:rPr>
                <w:sz w:val="20"/>
                <w:szCs w:val="20"/>
                <w:color w:val="auto"/>
              </w:rPr>
            </w:pPr>
            <w:r>
              <w:rPr>
                <w:rFonts w:ascii="Arial" w:cs="Arial" w:eastAsia="Arial" w:hAnsi="Arial"/>
                <w:sz w:val="14"/>
                <w:szCs w:val="14"/>
                <w:color w:val="auto"/>
                <w:w w:val="76"/>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1,269</w:t>
            </w:r>
          </w:p>
        </w:tc>
        <w:tc>
          <w:tcPr>
            <w:tcW w:w="200" w:type="dxa"/>
            <w:vAlign w:val="bottom"/>
          </w:tcPr>
          <w:p>
            <w:pPr>
              <w:spacing w:after="0"/>
              <w:rPr>
                <w:sz w:val="15"/>
                <w:szCs w:val="15"/>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1,111</w:t>
            </w:r>
          </w:p>
        </w:tc>
        <w:tc>
          <w:tcPr>
            <w:tcW w:w="60" w:type="dxa"/>
            <w:vAlign w:val="bottom"/>
          </w:tcPr>
          <w:p>
            <w:pPr>
              <w:spacing w:after="0"/>
              <w:rPr>
                <w:sz w:val="15"/>
                <w:szCs w:val="15"/>
                <w:color w:val="auto"/>
              </w:rPr>
            </w:pPr>
          </w:p>
        </w:tc>
      </w:tr>
      <w:tr>
        <w:trPr>
          <w:trHeight w:val="175"/>
        </w:trPr>
        <w:tc>
          <w:tcPr>
            <w:tcW w:w="688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Non-cash investing activity:</w:t>
            </w:r>
          </w:p>
        </w:tc>
        <w:tc>
          <w:tcPr>
            <w:tcW w:w="86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r>
      <w:tr>
        <w:trPr>
          <w:trHeight w:val="182"/>
        </w:trPr>
        <w:tc>
          <w:tcPr>
            <w:tcW w:w="6880" w:type="dxa"/>
            <w:vAlign w:val="bottom"/>
          </w:tcPr>
          <w:p>
            <w:pPr>
              <w:ind w:left="20"/>
              <w:spacing w:after="0"/>
              <w:rPr>
                <w:sz w:val="20"/>
                <w:szCs w:val="20"/>
                <w:color w:val="auto"/>
              </w:rPr>
            </w:pPr>
            <w:r>
              <w:rPr>
                <w:rFonts w:ascii="Arial" w:cs="Arial" w:eastAsia="Arial" w:hAnsi="Arial"/>
                <w:sz w:val="14"/>
                <w:szCs w:val="14"/>
                <w:color w:val="auto"/>
              </w:rPr>
              <w:t>Non-cash consideration in connection with business combination</w:t>
            </w:r>
          </w:p>
        </w:tc>
        <w:tc>
          <w:tcPr>
            <w:tcW w:w="860" w:type="dxa"/>
            <w:vAlign w:val="bottom"/>
          </w:tcPr>
          <w:p>
            <w:pPr>
              <w:jc w:val="right"/>
              <w:ind w:right="708"/>
              <w:spacing w:after="0"/>
              <w:rPr>
                <w:sz w:val="20"/>
                <w:szCs w:val="20"/>
                <w:color w:val="auto"/>
              </w:rPr>
            </w:pPr>
            <w:r>
              <w:rPr>
                <w:rFonts w:ascii="Arial" w:cs="Arial" w:eastAsia="Arial" w:hAnsi="Arial"/>
                <w:sz w:val="14"/>
                <w:szCs w:val="14"/>
                <w:color w:val="auto"/>
                <w:w w:val="76"/>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105,227</w:t>
            </w:r>
          </w:p>
        </w:tc>
        <w:tc>
          <w:tcPr>
            <w:tcW w:w="240" w:type="dxa"/>
            <w:vAlign w:val="bottom"/>
          </w:tcPr>
          <w:p>
            <w:pPr>
              <w:spacing w:after="0"/>
              <w:rPr>
                <w:sz w:val="15"/>
                <w:szCs w:val="15"/>
                <w:color w:val="auto"/>
              </w:rPr>
            </w:pPr>
          </w:p>
        </w:tc>
        <w:tc>
          <w:tcPr>
            <w:tcW w:w="320" w:type="dxa"/>
            <w:vAlign w:val="bottom"/>
          </w:tcPr>
          <w:p>
            <w:pPr>
              <w:jc w:val="right"/>
              <w:ind w:right="168"/>
              <w:spacing w:after="0"/>
              <w:rPr>
                <w:sz w:val="20"/>
                <w:szCs w:val="20"/>
                <w:color w:val="auto"/>
              </w:rPr>
            </w:pPr>
            <w:r>
              <w:rPr>
                <w:rFonts w:ascii="Arial" w:cs="Arial" w:eastAsia="Arial" w:hAnsi="Arial"/>
                <w:sz w:val="14"/>
                <w:szCs w:val="14"/>
                <w:color w:val="auto"/>
                <w:w w:val="76"/>
              </w:rPr>
              <w:t>$</w:t>
            </w:r>
          </w:p>
        </w:tc>
        <w:tc>
          <w:tcPr>
            <w:tcW w:w="1260" w:type="dxa"/>
            <w:vAlign w:val="bottom"/>
            <w:gridSpan w:val="2"/>
          </w:tcPr>
          <w:p>
            <w:pPr>
              <w:jc w:val="right"/>
              <w:ind w:right="128"/>
              <w:spacing w:after="0"/>
              <w:rPr>
                <w:sz w:val="20"/>
                <w:szCs w:val="20"/>
                <w:color w:val="auto"/>
              </w:rPr>
            </w:pPr>
            <w:r>
              <w:rPr>
                <w:rFonts w:ascii="Arial" w:cs="Arial" w:eastAsia="Arial" w:hAnsi="Arial"/>
                <w:sz w:val="14"/>
                <w:szCs w:val="14"/>
                <w:color w:val="auto"/>
              </w:rPr>
              <w:t>—</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2,743</w:t>
            </w:r>
          </w:p>
        </w:tc>
        <w:tc>
          <w:tcPr>
            <w:tcW w:w="60" w:type="dxa"/>
            <w:vAlign w:val="bottom"/>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5259705</wp:posOffset>
            </wp:positionH>
            <wp:positionV relativeFrom="paragraph">
              <wp:posOffset>-3858260</wp:posOffset>
            </wp:positionV>
            <wp:extent cx="51435" cy="571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9">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-3858260</wp:posOffset>
            </wp:positionV>
            <wp:extent cx="42545" cy="571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0">
                      <a:extLst>
                        <a:ext uri="{28A0092B-C50C-407E-A947-70E740481C1C}"/>
                      </a:extLst>
                    </a:blip>
                    <a:srcRect/>
                    <a:stretch>
                      <a:fillRect/>
                    </a:stretch>
                  </pic:blipFill>
                  <pic:spPr bwMode="auto">
                    <a:xfrm>
                      <a:off x="0" y="0"/>
                      <a:ext cx="42545" cy="571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-3858260</wp:posOffset>
            </wp:positionV>
            <wp:extent cx="43180" cy="571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1">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-2726690</wp:posOffset>
            </wp:positionV>
            <wp:extent cx="51435" cy="571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2">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-2726690</wp:posOffset>
            </wp:positionV>
            <wp:extent cx="42545" cy="571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3">
                      <a:extLst>
                        <a:ext uri="{28A0092B-C50C-407E-A947-70E740481C1C}"/>
                      </a:extLst>
                    </a:blip>
                    <a:srcRect/>
                    <a:stretch>
                      <a:fillRect/>
                    </a:stretch>
                  </pic:blipFill>
                  <pic:spPr bwMode="auto">
                    <a:xfrm>
                      <a:off x="0" y="0"/>
                      <a:ext cx="42545" cy="571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-2726690</wp:posOffset>
            </wp:positionV>
            <wp:extent cx="43180" cy="571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4">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-1063625</wp:posOffset>
            </wp:positionV>
            <wp:extent cx="51435" cy="571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5">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-1063625</wp:posOffset>
            </wp:positionV>
            <wp:extent cx="42545" cy="571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6">
                      <a:extLst>
                        <a:ext uri="{28A0092B-C50C-407E-A947-70E740481C1C}"/>
                      </a:extLst>
                    </a:blip>
                    <a:srcRect/>
                    <a:stretch>
                      <a:fillRect/>
                    </a:stretch>
                  </pic:blipFill>
                  <pic:spPr bwMode="auto">
                    <a:xfrm>
                      <a:off x="0" y="0"/>
                      <a:ext cx="42545" cy="571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-1063625</wp:posOffset>
            </wp:positionV>
            <wp:extent cx="43180" cy="571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7">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-823595</wp:posOffset>
            </wp:positionV>
            <wp:extent cx="51435" cy="571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8">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-823595</wp:posOffset>
            </wp:positionV>
            <wp:extent cx="42545" cy="571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9">
                      <a:extLst>
                        <a:ext uri="{28A0092B-C50C-407E-A947-70E740481C1C}"/>
                      </a:extLst>
                    </a:blip>
                    <a:srcRect/>
                    <a:stretch>
                      <a:fillRect/>
                    </a:stretch>
                  </pic:blipFill>
                  <pic:spPr bwMode="auto">
                    <a:xfrm>
                      <a:off x="0" y="0"/>
                      <a:ext cx="42545" cy="571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-823595</wp:posOffset>
            </wp:positionV>
            <wp:extent cx="43180" cy="571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10">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-592455</wp:posOffset>
            </wp:positionV>
            <wp:extent cx="51435" cy="571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1">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-592455</wp:posOffset>
            </wp:positionV>
            <wp:extent cx="42545" cy="571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2">
                      <a:extLst>
                        <a:ext uri="{28A0092B-C50C-407E-A947-70E740481C1C}"/>
                      </a:extLst>
                    </a:blip>
                    <a:srcRect/>
                    <a:stretch>
                      <a:fillRect/>
                    </a:stretch>
                  </pic:blipFill>
                  <pic:spPr bwMode="auto">
                    <a:xfrm>
                      <a:off x="0" y="0"/>
                      <a:ext cx="42545" cy="571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-592455</wp:posOffset>
            </wp:positionV>
            <wp:extent cx="43180" cy="571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3">
                      <a:extLst>
                        <a:ext uri="{28A0092B-C50C-407E-A947-70E740481C1C}"/>
                      </a:extLst>
                    </a:blip>
                    <a:srcRect/>
                    <a:stretch>
                      <a:fillRect/>
                    </a:stretch>
                  </pic:blipFill>
                  <pic:spPr bwMode="auto">
                    <a:xfrm>
                      <a:off x="0" y="0"/>
                      <a:ext cx="43180" cy="5715"/>
                    </a:xfrm>
                    <a:prstGeom prst="rect">
                      <a:avLst/>
                    </a:prstGeom>
                    <a:noFill/>
                  </pic:spPr>
                </pic:pic>
              </a:graphicData>
            </a:graphic>
          </wp:anchor>
        </w:drawing>
      </w:r>
    </w:p>
    <w:p>
      <w:pPr>
        <w:spacing w:after="0" w:line="6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See accompanying notes to the consolidated financial statements.</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42" w:right="339" w:bottom="1440" w:gutter="0" w:footer="0" w:header="0"/>
        </w:sectPr>
      </w:pPr>
    </w:p>
    <w:bookmarkStart w:id="64" w:name="page65"/>
    <w:bookmarkEnd w:id="64"/>
    <w:p>
      <w:pPr>
        <w:ind w:left="4040"/>
        <w:spacing w:after="0"/>
        <w:rPr>
          <w:sz w:val="20"/>
          <w:szCs w:val="20"/>
          <w:color w:val="auto"/>
        </w:rPr>
      </w:pPr>
      <w:r>
        <w:rPr>
          <w:rFonts w:ascii="Arial" w:cs="Arial" w:eastAsia="Arial" w:hAnsi="Arial"/>
          <w:sz w:val="18"/>
          <w:szCs w:val="18"/>
          <w:b w:val="1"/>
          <w:bCs w:val="1"/>
          <w:color w:val="auto"/>
        </w:rPr>
        <w:t>XOMETRY, INC. AND SUBSIDIARIES</w:t>
      </w:r>
    </w:p>
    <w:p>
      <w:pPr>
        <w:spacing w:after="0" w:line="16" w:lineRule="exact"/>
        <w:rPr>
          <w:sz w:val="20"/>
          <w:szCs w:val="20"/>
          <w:color w:val="auto"/>
        </w:rPr>
      </w:pPr>
    </w:p>
    <w:p>
      <w:pPr>
        <w:ind w:left="4020"/>
        <w:spacing w:after="0"/>
        <w:rPr>
          <w:sz w:val="20"/>
          <w:szCs w:val="20"/>
          <w:color w:val="auto"/>
        </w:rPr>
      </w:pPr>
      <w:r>
        <w:rPr>
          <w:rFonts w:ascii="Arial" w:cs="Arial" w:eastAsia="Arial" w:hAnsi="Arial"/>
          <w:sz w:val="18"/>
          <w:szCs w:val="18"/>
          <w:color w:val="auto"/>
        </w:rPr>
        <w:t>Notes to Consolidated Financial Statements</w:t>
      </w:r>
    </w:p>
    <w:p>
      <w:pPr>
        <w:spacing w:after="0" w:line="192" w:lineRule="exact"/>
        <w:rPr>
          <w:sz w:val="20"/>
          <w:szCs w:val="20"/>
          <w:color w:val="auto"/>
        </w:rPr>
      </w:pPr>
    </w:p>
    <w:p>
      <w:pPr>
        <w:ind w:left="660" w:hanging="652"/>
        <w:spacing w:after="0"/>
        <w:tabs>
          <w:tab w:leader="none" w:pos="66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and Description of Business</w:t>
      </w:r>
    </w:p>
    <w:p>
      <w:pPr>
        <w:spacing w:after="0" w:line="108" w:lineRule="exact"/>
        <w:rPr>
          <w:sz w:val="20"/>
          <w:szCs w:val="20"/>
          <w:color w:val="auto"/>
        </w:rPr>
      </w:pPr>
    </w:p>
    <w:p>
      <w:pPr>
        <w:ind w:right="260" w:firstLine="644"/>
        <w:spacing w:after="0" w:line="259" w:lineRule="auto"/>
        <w:rPr>
          <w:sz w:val="20"/>
          <w:szCs w:val="20"/>
          <w:color w:val="auto"/>
        </w:rPr>
      </w:pPr>
      <w:r>
        <w:rPr>
          <w:rFonts w:ascii="Arial" w:cs="Arial" w:eastAsia="Arial" w:hAnsi="Arial"/>
          <w:sz w:val="17"/>
          <w:szCs w:val="17"/>
          <w:color w:val="auto"/>
        </w:rPr>
        <w:t>Xometry, Inc. (“Xometry”, the “Company”, “we”, or “our”) was incorporated in the State of Delaware in May 2013. Xometry uses proprietary technology to enable product designers, engineers, buyers, and supply chain professionals to instantly access the capacity of a global network of manufacturing facilities. The Company’s platform makes it possible for customers to quickly receive pricing, expected lead times, manufacturability feedback and place orders on the Company’s platform. The network allows the Company to provide high volumes of unique parts, including custom components and aftermarket parts for its customers. Xometry's corporate headquarters is located in Derwood, Maryland.</w:t>
      </w:r>
    </w:p>
    <w:p>
      <w:pPr>
        <w:spacing w:after="0" w:line="268" w:lineRule="exact"/>
        <w:rPr>
          <w:sz w:val="20"/>
          <w:szCs w:val="20"/>
          <w:color w:val="auto"/>
        </w:rPr>
      </w:pPr>
    </w:p>
    <w:p>
      <w:pPr>
        <w:ind w:right="20" w:firstLine="644"/>
        <w:spacing w:after="0" w:line="270" w:lineRule="auto"/>
        <w:rPr>
          <w:sz w:val="20"/>
          <w:szCs w:val="20"/>
          <w:color w:val="auto"/>
        </w:rPr>
      </w:pPr>
      <w:r>
        <w:rPr>
          <w:rFonts w:ascii="Arial" w:cs="Arial" w:eastAsia="Arial" w:hAnsi="Arial"/>
          <w:sz w:val="17"/>
          <w:szCs w:val="17"/>
          <w:color w:val="auto"/>
        </w:rPr>
        <w:t>Xometry’s seller capabilities include computer numerical control manufacturing, sheet metal manufacturing, 3D printing (including fused deposition modeling, direct metal laser sintering, PolyJet, stereolithography, selective laser sintering, binder jetting, carbon digital light synthesis and multi jet fusion), die casting, injection molding, urethane casting, as well as finishing services, rapid prototyping and high-volume production.</w:t>
      </w:r>
    </w:p>
    <w:p>
      <w:pPr>
        <w:spacing w:after="0" w:line="150" w:lineRule="exact"/>
        <w:rPr>
          <w:sz w:val="20"/>
          <w:szCs w:val="20"/>
          <w:color w:val="auto"/>
        </w:rPr>
      </w:pPr>
    </w:p>
    <w:p>
      <w:pPr>
        <w:ind w:right="20" w:firstLine="495"/>
        <w:spacing w:after="0" w:line="294" w:lineRule="auto"/>
        <w:rPr>
          <w:sz w:val="20"/>
          <w:szCs w:val="20"/>
          <w:color w:val="auto"/>
        </w:rPr>
      </w:pPr>
      <w:r>
        <w:rPr>
          <w:rFonts w:ascii="Arial" w:cs="Arial" w:eastAsia="Arial" w:hAnsi="Arial"/>
          <w:sz w:val="16"/>
          <w:szCs w:val="16"/>
          <w:color w:val="auto"/>
        </w:rPr>
        <w:t>On November 1, 2021, the Company acquired certain assets and liabilities from Big Blue Saw LLC ("Big Blue Saw"), subject to an Asset Purchase Agreement for total consideration of $2.5 million. The total consideration includes cash consideration at closing of $1.25 million, $250,000 of Class A common stock at closing and contingent consideration up to $1.0 million. Big Blue Saw extends our marketplace capabilities in water jet and laser cutting.</w:t>
      </w:r>
    </w:p>
    <w:p>
      <w:pPr>
        <w:spacing w:after="0" w:line="134" w:lineRule="exact"/>
        <w:rPr>
          <w:sz w:val="20"/>
          <w:szCs w:val="20"/>
          <w:color w:val="auto"/>
        </w:rPr>
      </w:pPr>
    </w:p>
    <w:p>
      <w:pPr>
        <w:ind w:right="220" w:firstLine="450"/>
        <w:spacing w:after="0" w:line="262" w:lineRule="auto"/>
        <w:rPr>
          <w:sz w:val="20"/>
          <w:szCs w:val="20"/>
          <w:color w:val="auto"/>
        </w:rPr>
      </w:pPr>
      <w:r>
        <w:rPr>
          <w:rFonts w:ascii="Arial" w:cs="Arial" w:eastAsia="Arial" w:hAnsi="Arial"/>
          <w:sz w:val="17"/>
          <w:szCs w:val="17"/>
          <w:color w:val="auto"/>
        </w:rPr>
        <w:t>On November 5, 2021, the Company acquired certain assets and liabilities from Fusiform, Inc. (d.b.a FactoryFour), subject to an Asset Purchase Agreement for total consideration of $6.3 million. The total consideration includes cash consideration at closing of $1.9 million, $1.9 million of Class A common stock at closing and contingent consideration up to $2.5 million. FactoryFour provides a SaaS based solution to help manufacturers in the Xometry marketplace improve lead times and make strong, data-driven decisions through real-time production tracking.</w:t>
      </w:r>
    </w:p>
    <w:p>
      <w:pPr>
        <w:spacing w:after="0" w:line="159" w:lineRule="exact"/>
        <w:rPr>
          <w:sz w:val="20"/>
          <w:szCs w:val="20"/>
          <w:color w:val="auto"/>
        </w:rPr>
      </w:pPr>
    </w:p>
    <w:p>
      <w:pPr>
        <w:ind w:right="80" w:firstLine="644"/>
        <w:spacing w:after="0" w:line="241" w:lineRule="auto"/>
        <w:rPr>
          <w:sz w:val="20"/>
          <w:szCs w:val="20"/>
          <w:color w:val="auto"/>
        </w:rPr>
      </w:pPr>
      <w:r>
        <w:rPr>
          <w:rFonts w:ascii="Arial" w:cs="Arial" w:eastAsia="Arial" w:hAnsi="Arial"/>
          <w:sz w:val="18"/>
          <w:szCs w:val="18"/>
          <w:color w:val="auto"/>
        </w:rPr>
        <w:t>On December 7, 2021, the Company entered into an Agreement and Plan of Merger (the “Merger Agreement”) by and among the Company, Thomas Publishing Company, a New York corporation (“Thomas”), NAASOM Merger Sub Inc., a Delaware corporation and wholly owned subsidiary of the Company (“Merger Sub”), and Shareholder Representative Services LLC, as the shareholders’ representative thereunder. Pursuant to the Merger Agreement, Merger Sub merged with and into Thomas, with Thomas continuing as the surviving corporation and becoming a wholly owned subsidiary of the Company (the “Acquisition”), effective December 9, 2021.</w:t>
      </w:r>
    </w:p>
    <w:p>
      <w:pPr>
        <w:spacing w:after="0" w:line="176" w:lineRule="exact"/>
        <w:rPr>
          <w:sz w:val="20"/>
          <w:szCs w:val="20"/>
          <w:color w:val="auto"/>
        </w:rPr>
      </w:pPr>
    </w:p>
    <w:p>
      <w:pPr>
        <w:ind w:right="20" w:firstLine="644"/>
        <w:spacing w:after="0" w:line="279" w:lineRule="auto"/>
        <w:rPr>
          <w:sz w:val="20"/>
          <w:szCs w:val="20"/>
          <w:color w:val="auto"/>
        </w:rPr>
      </w:pPr>
      <w:r>
        <w:rPr>
          <w:rFonts w:ascii="Arial" w:cs="Arial" w:eastAsia="Arial" w:hAnsi="Arial"/>
          <w:sz w:val="16"/>
          <w:szCs w:val="16"/>
          <w:color w:val="auto"/>
        </w:rPr>
        <w:t>The aggregate consideration payable in exchange for all of the outstanding equity interests of Thomas was $300 million subject to customary adjustments as set forth in the Merger Agreement, payable in cash and shares of the Company’s Class A common stock. The Company paid approximately $198.5 million of cash and issued 2,073,422 shares of the Company’s Class A common stock to holders of Thomas shares. The acquisition of Thomas is expected to expand Xometry’s buyer and seller base, enhancing Xometry’s global digital marketplace for manufacturers. Xometry also expects to leverage Thomas’ marketing and data services to deliver a suite of end-to-end services for sellers with additional financial services and digital marketing products.</w:t>
      </w:r>
    </w:p>
    <w:p>
      <w:pPr>
        <w:spacing w:after="0" w:line="146" w:lineRule="exact"/>
        <w:rPr>
          <w:sz w:val="20"/>
          <w:szCs w:val="20"/>
          <w:color w:val="auto"/>
        </w:rPr>
      </w:pPr>
    </w:p>
    <w:p>
      <w:pPr>
        <w:ind w:right="380" w:firstLine="644"/>
        <w:spacing w:after="0" w:line="261" w:lineRule="auto"/>
        <w:rPr>
          <w:sz w:val="20"/>
          <w:szCs w:val="20"/>
          <w:color w:val="auto"/>
        </w:rPr>
      </w:pPr>
      <w:r>
        <w:rPr>
          <w:rFonts w:ascii="Arial" w:cs="Arial" w:eastAsia="Arial" w:hAnsi="Arial"/>
          <w:sz w:val="18"/>
          <w:szCs w:val="18"/>
          <w:color w:val="auto"/>
        </w:rPr>
        <w:t>The financial results of Big Blue Saw, FactoryFour and Thomas have been included in our consolidated financial statements from the date of acquisition. See “Note 13—Acquisitions.”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Initial Public Offering</w:t>
      </w:r>
    </w:p>
    <w:p>
      <w:pPr>
        <w:spacing w:after="0" w:line="198" w:lineRule="exact"/>
        <w:rPr>
          <w:sz w:val="20"/>
          <w:szCs w:val="20"/>
          <w:color w:val="auto"/>
        </w:rPr>
      </w:pPr>
    </w:p>
    <w:p>
      <w:pPr>
        <w:ind w:firstLine="495"/>
        <w:spacing w:after="0" w:line="243" w:lineRule="auto"/>
        <w:rPr>
          <w:sz w:val="20"/>
          <w:szCs w:val="20"/>
          <w:color w:val="auto"/>
        </w:rPr>
      </w:pPr>
      <w:r>
        <w:rPr>
          <w:rFonts w:ascii="Arial" w:cs="Arial" w:eastAsia="Arial" w:hAnsi="Arial"/>
          <w:sz w:val="18"/>
          <w:szCs w:val="18"/>
          <w:color w:val="auto"/>
        </w:rPr>
        <w:t>On July 2, 2021, the Company closed its planned initial public offering ("IPO"), in which it issued and sold 7,906,250 shares of its Class A common stock. The initial offering price was $44.00 per share. The Company received net proceeds of approximately $325.3 million from the IPO after deducting underwriting discounts and commissions of $22.6 million. The Company also incurred approximately $3.7 million of other offering costs in connection with its IPO.</w:t>
      </w:r>
    </w:p>
    <w:p>
      <w:pPr>
        <w:spacing w:after="0" w:line="174" w:lineRule="exact"/>
        <w:rPr>
          <w:sz w:val="20"/>
          <w:szCs w:val="20"/>
          <w:color w:val="auto"/>
        </w:rPr>
      </w:pPr>
    </w:p>
    <w:p>
      <w:pPr>
        <w:ind w:right="100" w:firstLine="495"/>
        <w:spacing w:after="0" w:line="294" w:lineRule="auto"/>
        <w:rPr>
          <w:sz w:val="20"/>
          <w:szCs w:val="20"/>
          <w:color w:val="auto"/>
        </w:rPr>
      </w:pPr>
      <w:r>
        <w:rPr>
          <w:rFonts w:ascii="Arial" w:cs="Arial" w:eastAsia="Arial" w:hAnsi="Arial"/>
          <w:sz w:val="16"/>
          <w:szCs w:val="16"/>
          <w:color w:val="auto"/>
        </w:rPr>
        <w:t>Upon the closing of the IPO on July 2, 2021, 8,665,797 shares of outstanding common stock were reclassified into Class A common stock, 27,758,941 shares of outstanding convertible preferred stock were converted into Class A common stock, and 2,676,154 shares of Class A common stock were exchanged by our co-founders for an equivalent number of shares of Class B common stock pursuant to the terms of the exchange agreement.</w:t>
      </w:r>
    </w:p>
    <w:p>
      <w:pPr>
        <w:spacing w:after="0" w:line="13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24" w:right="399" w:bottom="1440" w:gutter="0" w:footer="0" w:header="0"/>
        </w:sectPr>
      </w:pPr>
    </w:p>
    <w:bookmarkStart w:id="65" w:name="page66"/>
    <w:bookmarkEnd w:id="65"/>
    <w:p>
      <w:pPr>
        <w:ind w:right="60" w:firstLine="495"/>
        <w:spacing w:after="0" w:line="259" w:lineRule="auto"/>
        <w:rPr>
          <w:sz w:val="20"/>
          <w:szCs w:val="20"/>
          <w:color w:val="auto"/>
        </w:rPr>
      </w:pPr>
      <w:r>
        <w:rPr>
          <w:rFonts w:ascii="Arial" w:cs="Arial" w:eastAsia="Arial" w:hAnsi="Arial"/>
          <w:sz w:val="17"/>
          <w:szCs w:val="17"/>
          <w:color w:val="auto"/>
        </w:rPr>
        <w:t>Also on July 2, 2021, the Company reserved 402,658 shares of its Class A common stock, representing 1% of the Company's fully diluted capitalization as of the date of approval by our board of directors, for charitable contributions to non-profit organizations. These shares will be issued over the next five years, in an amount not to exceed 20% of the initial reserve amount per calendar year. During 2021, the Company donated 40,266 shares of Class A common stock to a donor advised fund and recognized an expense associated with the charitable contribution of approximately $2.2 million which is recorded in general and administrative expense in the Consolidated Statements of Operations and Comprehensive Loss.</w:t>
      </w:r>
    </w:p>
    <w:p>
      <w:pPr>
        <w:spacing w:after="0" w:line="129" w:lineRule="exact"/>
        <w:rPr>
          <w:sz w:val="20"/>
          <w:szCs w:val="20"/>
          <w:color w:val="auto"/>
        </w:rPr>
      </w:pPr>
    </w:p>
    <w:p>
      <w:pPr>
        <w:ind w:left="660" w:hanging="652"/>
        <w:spacing w:after="0"/>
        <w:tabs>
          <w:tab w:leader="none" w:pos="66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107" w:lineRule="exact"/>
        <w:rPr>
          <w:rFonts w:ascii="Arial" w:cs="Arial" w:eastAsia="Arial" w:hAnsi="Arial"/>
          <w:sz w:val="18"/>
          <w:szCs w:val="18"/>
          <w:b w:val="1"/>
          <w:bCs w:val="1"/>
          <w:color w:val="auto"/>
        </w:rPr>
      </w:pPr>
    </w:p>
    <w:p>
      <w:pPr>
        <w:ind w:left="1300" w:hanging="648"/>
        <w:spacing w:after="0"/>
        <w:tabs>
          <w:tab w:leader="none" w:pos="1300" w:val="left"/>
        </w:tabs>
        <w:numPr>
          <w:ilvl w:val="1"/>
          <w:numId w:val="30"/>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Principles of Consolidation and Basis of Presentation</w:t>
      </w:r>
    </w:p>
    <w:p>
      <w:pPr>
        <w:spacing w:after="0" w:line="104" w:lineRule="exact"/>
        <w:rPr>
          <w:sz w:val="20"/>
          <w:szCs w:val="20"/>
          <w:color w:val="auto"/>
        </w:rPr>
      </w:pPr>
    </w:p>
    <w:p>
      <w:pPr>
        <w:ind w:right="20" w:firstLine="644"/>
        <w:spacing w:after="0" w:line="294" w:lineRule="auto"/>
        <w:rPr>
          <w:sz w:val="20"/>
          <w:szCs w:val="20"/>
          <w:color w:val="auto"/>
        </w:rPr>
      </w:pPr>
      <w:r>
        <w:rPr>
          <w:rFonts w:ascii="Arial" w:cs="Arial" w:eastAsia="Arial" w:hAnsi="Arial"/>
          <w:sz w:val="16"/>
          <w:szCs w:val="16"/>
          <w:color w:val="auto"/>
        </w:rPr>
        <w:t>The consolidated financial statements include the accounts of Xometry and its subsidiaries. All intercompany transactions and balances have been eliminated. The accompanying consolidated financial statements and related disclosures are presented in accordance with U.S. generally accepted accounting principles ("GAAP"). The Company has two reporting segments which are referred to as: (1) the United States (“U.S.”) and (2) International.</w:t>
      </w:r>
    </w:p>
    <w:p>
      <w:pPr>
        <w:spacing w:after="0" w:line="12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Foreign Operations and Comprehensive Loss</w:t>
      </w:r>
    </w:p>
    <w:p>
      <w:pPr>
        <w:spacing w:after="0" w:line="104" w:lineRule="exact"/>
        <w:rPr>
          <w:sz w:val="20"/>
          <w:szCs w:val="20"/>
          <w:color w:val="auto"/>
        </w:rPr>
      </w:pPr>
    </w:p>
    <w:p>
      <w:pPr>
        <w:ind w:right="40" w:firstLine="644"/>
        <w:spacing w:after="0"/>
        <w:rPr>
          <w:sz w:val="20"/>
          <w:szCs w:val="20"/>
          <w:color w:val="auto"/>
        </w:rPr>
      </w:pPr>
      <w:r>
        <w:rPr>
          <w:rFonts w:ascii="Arial" w:cs="Arial" w:eastAsia="Arial" w:hAnsi="Arial"/>
          <w:sz w:val="18"/>
          <w:szCs w:val="18"/>
          <w:color w:val="auto"/>
        </w:rPr>
        <w:t>The U.S. dollar (“USD”) is the functional currency for Xometry’s consolidated subsidiary operating in the U.S. The primary functional currency for the Company's consolidated subsidiaries operating in Germany and to a lesser extent Japan is the Euro ("Euro") and the Yen, respectively. For the Company’s consolidated subsidiaries whose functional currencies are not the USD, the Company translates their financial statements into USD. The Company translates assets and liabilities at the exchange rate in effect as of the financial statement date. Revenue and expense accounts are translated using an average exchange rate for the period. Gains and losses resulting from translation are included in accumulated other comprehensive income (“AOCI”), as a separate component of equity.</w:t>
      </w:r>
    </w:p>
    <w:p>
      <w:pPr>
        <w:spacing w:after="0" w:line="14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Noncontrolling Interest</w:t>
      </w:r>
    </w:p>
    <w:p>
      <w:pPr>
        <w:spacing w:after="0" w:line="104" w:lineRule="exact"/>
        <w:rPr>
          <w:sz w:val="20"/>
          <w:szCs w:val="20"/>
          <w:color w:val="auto"/>
        </w:rPr>
      </w:pPr>
    </w:p>
    <w:p>
      <w:pPr>
        <w:ind w:right="100" w:firstLine="644"/>
        <w:spacing w:after="0"/>
        <w:rPr>
          <w:sz w:val="20"/>
          <w:szCs w:val="20"/>
          <w:color w:val="auto"/>
        </w:rPr>
      </w:pPr>
      <w:r>
        <w:rPr>
          <w:rFonts w:ascii="Arial" w:cs="Arial" w:eastAsia="Arial" w:hAnsi="Arial"/>
          <w:sz w:val="18"/>
          <w:szCs w:val="18"/>
          <w:color w:val="auto"/>
        </w:rPr>
        <w:t>In connection with the acquisition of Thomas on December 9, 2021, we assumed a 66.67% ownership in Incom Co., LTD. As we have a controlling interest in Incom Co., LTD, we have consolidated Incom Co., LTD into our financial statements since December 9, 2021. The portion of equity in Incom Co., LTD not owned by the Company is accounted for as a noncontrolling interest. We present the portion of any equity that we do not own in consolidated entity as noncontrolling interest and classify their interest as a component of total equity, separate from total stockholders’ equity (deficit) on our Consolidated Balance Sheets. We include net income (loss) attributable to the noncontrolling interests in net income (loss) in our Consolidated Statements of Operations and Comprehensive Loss.</w:t>
      </w:r>
    </w:p>
    <w:p>
      <w:pPr>
        <w:spacing w:after="0" w:line="81" w:lineRule="exact"/>
        <w:rPr>
          <w:sz w:val="20"/>
          <w:szCs w:val="20"/>
          <w:color w:val="auto"/>
        </w:rPr>
      </w:pPr>
    </w:p>
    <w:p>
      <w:pPr>
        <w:ind w:left="1300" w:hanging="648"/>
        <w:spacing w:after="0"/>
        <w:tabs>
          <w:tab w:leader="none" w:pos="130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Reclassifications</w:t>
      </w:r>
    </w:p>
    <w:p>
      <w:pPr>
        <w:spacing w:after="0" w:line="104" w:lineRule="exact"/>
        <w:rPr>
          <w:sz w:val="20"/>
          <w:szCs w:val="20"/>
          <w:color w:val="auto"/>
        </w:rPr>
      </w:pPr>
    </w:p>
    <w:p>
      <w:pPr>
        <w:ind w:right="60" w:firstLine="644"/>
        <w:spacing w:after="0" w:line="261" w:lineRule="auto"/>
        <w:rPr>
          <w:sz w:val="20"/>
          <w:szCs w:val="20"/>
          <w:color w:val="auto"/>
        </w:rPr>
      </w:pPr>
      <w:r>
        <w:rPr>
          <w:rFonts w:ascii="Arial" w:cs="Arial" w:eastAsia="Arial" w:hAnsi="Arial"/>
          <w:sz w:val="18"/>
          <w:szCs w:val="18"/>
          <w:color w:val="auto"/>
        </w:rPr>
        <w:t>Certain line items on the Company’s consolidated financial statements have been reclassified to conform to the current period presentation. These reclassifications have not changed the results of operations of prior periods.</w:t>
      </w:r>
    </w:p>
    <w:p>
      <w:pPr>
        <w:spacing w:after="0" w:line="63" w:lineRule="exact"/>
        <w:rPr>
          <w:sz w:val="20"/>
          <w:szCs w:val="20"/>
          <w:color w:val="auto"/>
        </w:rPr>
      </w:pPr>
    </w:p>
    <w:p>
      <w:pPr>
        <w:ind w:left="1300" w:hanging="648"/>
        <w:spacing w:after="0"/>
        <w:tabs>
          <w:tab w:leader="none" w:pos="1300"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Use of Estimates</w:t>
      </w:r>
    </w:p>
    <w:p>
      <w:pPr>
        <w:spacing w:after="0" w:line="104" w:lineRule="exact"/>
        <w:rPr>
          <w:sz w:val="20"/>
          <w:szCs w:val="20"/>
          <w:color w:val="auto"/>
        </w:rPr>
      </w:pPr>
    </w:p>
    <w:p>
      <w:pPr>
        <w:jc w:val="both"/>
        <w:ind w:right="500" w:firstLine="644"/>
        <w:spacing w:after="0" w:line="324" w:lineRule="auto"/>
        <w:rPr>
          <w:sz w:val="20"/>
          <w:szCs w:val="20"/>
          <w:color w:val="auto"/>
        </w:rPr>
      </w:pPr>
      <w:r>
        <w:rPr>
          <w:rFonts w:ascii="Arial" w:cs="Arial" w:eastAsia="Arial" w:hAnsi="Arial"/>
          <w:sz w:val="16"/>
          <w:szCs w:val="16"/>
          <w:color w:val="auto"/>
        </w:rPr>
        <w:t>The preparation of the Company’s consolidated financial statements in conformity with GAAP requires management to make estimates and assumptions, which affect the reported amounts in the financial statements and accompanying notes. Actual results could differ from those estimates.</w:t>
      </w:r>
    </w:p>
    <w:p>
      <w:pPr>
        <w:spacing w:after="0" w:line="16" w:lineRule="exact"/>
        <w:rPr>
          <w:sz w:val="20"/>
          <w:szCs w:val="20"/>
          <w:color w:val="auto"/>
        </w:rPr>
      </w:pPr>
    </w:p>
    <w:p>
      <w:pPr>
        <w:ind w:firstLine="644"/>
        <w:spacing w:after="0" w:line="259" w:lineRule="auto"/>
        <w:rPr>
          <w:sz w:val="20"/>
          <w:szCs w:val="20"/>
          <w:color w:val="auto"/>
        </w:rPr>
      </w:pPr>
      <w:r>
        <w:rPr>
          <w:rFonts w:ascii="Arial" w:cs="Arial" w:eastAsia="Arial" w:hAnsi="Arial"/>
          <w:sz w:val="17"/>
          <w:szCs w:val="17"/>
          <w:color w:val="auto"/>
        </w:rPr>
        <w:t>In light of the currently unknown duration and severity of the COVID-19 pandemic, we face a greater degree of uncertainty than normal in making the judgments and estimates needed to apply our significant accounting policies. As of the date these consolidated financial statements were issued, the impacts of the COVID-19 pandemic did not have a significant impact on our estimates or judgments. Judgments and assumptions may change, as new events occur and additional information is obtained, as well as other factors related to COVID-19 and economic recovery that could result in a meaningful impact on our consolidated financial statements in future reporting periods.</w:t>
      </w:r>
    </w:p>
    <w:p>
      <w:pPr>
        <w:spacing w:after="0" w:line="66" w:lineRule="exact"/>
        <w:rPr>
          <w:sz w:val="20"/>
          <w:szCs w:val="20"/>
          <w:color w:val="auto"/>
        </w:rPr>
      </w:pPr>
    </w:p>
    <w:p>
      <w:pPr>
        <w:ind w:left="1300" w:hanging="648"/>
        <w:spacing w:after="0"/>
        <w:tabs>
          <w:tab w:leader="none" w:pos="130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Business Combinations</w:t>
      </w:r>
    </w:p>
    <w:p>
      <w:pPr>
        <w:spacing w:after="0" w:line="104" w:lineRule="exact"/>
        <w:rPr>
          <w:sz w:val="20"/>
          <w:szCs w:val="20"/>
          <w:color w:val="auto"/>
        </w:rPr>
      </w:pPr>
    </w:p>
    <w:p>
      <w:pPr>
        <w:ind w:right="20" w:firstLine="644"/>
        <w:spacing w:after="0" w:line="251" w:lineRule="auto"/>
        <w:rPr>
          <w:sz w:val="20"/>
          <w:szCs w:val="20"/>
          <w:color w:val="auto"/>
        </w:rPr>
      </w:pPr>
      <w:r>
        <w:rPr>
          <w:rFonts w:ascii="Arial" w:cs="Arial" w:eastAsia="Arial" w:hAnsi="Arial"/>
          <w:sz w:val="17"/>
          <w:szCs w:val="17"/>
          <w:color w:val="auto"/>
        </w:rPr>
        <w:t>The Company accounts for business combinations using the acquisition method of accounting, which requires, among other things, allocation of the fair value of purchase consideration to the tangible and intangible assets acquired and liabilities assumed at their estimated fair values on the acquisition date. The excess of the fair value of purchase consideration over the values of these identifiable assets and liabilities is recorded as goodwill. When determining the fair value of assets acquired and liabilities assumed, management makes significant estimates and assumptions, especially with respect to the valuation of intangible assets. Management’s estimates of fair value are based upon assumptions believed to be reasonable, but which are inherently uncertain and unpredictable and, as a result, actual results may differ from estimates. During the measurement period, not to exceed one year from the date of acquisition, the Company may record adjustments to the assets acquired and liabilities assumed, with a corresponding offset to goodwill if new information is obtained related to facts and circumstances</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43180</wp:posOffset>
            </wp:positionV>
            <wp:extent cx="71577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66" w:name="page67"/>
    <w:bookmarkEnd w:id="66"/>
    <w:p>
      <w:pPr>
        <w:ind w:right="180"/>
        <w:spacing w:after="0" w:line="248" w:lineRule="auto"/>
        <w:rPr>
          <w:sz w:val="20"/>
          <w:szCs w:val="20"/>
          <w:color w:val="auto"/>
        </w:rPr>
      </w:pPr>
      <w:r>
        <w:rPr>
          <w:rFonts w:ascii="Arial" w:cs="Arial" w:eastAsia="Arial" w:hAnsi="Arial"/>
          <w:sz w:val="18"/>
          <w:szCs w:val="18"/>
          <w:color w:val="auto"/>
        </w:rPr>
        <w:t>that existed as of the acquisition date. Upon the conclusion of the measurement period or final determination of the fair value of assets acquired or liabilities assumed, whichever comes first, any subsequent adjustments are reflected in the consolidated statements of operations. Acquisition costs, such as legal and consulting fees, are expensed as incurred.</w:t>
      </w:r>
    </w:p>
    <w:p>
      <w:pPr>
        <w:spacing w:after="0" w:line="74" w:lineRule="exact"/>
        <w:rPr>
          <w:sz w:val="20"/>
          <w:szCs w:val="20"/>
          <w:color w:val="auto"/>
        </w:rPr>
      </w:pPr>
    </w:p>
    <w:p>
      <w:pPr>
        <w:ind w:left="1300" w:hanging="648"/>
        <w:spacing w:after="0"/>
        <w:tabs>
          <w:tab w:leader="none" w:pos="130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Fair Value Measurements and Financial Instruments</w:t>
      </w:r>
    </w:p>
    <w:p>
      <w:pPr>
        <w:spacing w:after="0" w:line="104" w:lineRule="exact"/>
        <w:rPr>
          <w:sz w:val="20"/>
          <w:szCs w:val="20"/>
          <w:color w:val="auto"/>
        </w:rPr>
      </w:pPr>
    </w:p>
    <w:p>
      <w:pPr>
        <w:jc w:val="both"/>
        <w:ind w:right="20" w:firstLine="644"/>
        <w:spacing w:after="0" w:line="248" w:lineRule="auto"/>
        <w:rPr>
          <w:sz w:val="20"/>
          <w:szCs w:val="20"/>
          <w:color w:val="auto"/>
        </w:rPr>
      </w:pPr>
      <w:r>
        <w:rPr>
          <w:rFonts w:ascii="Arial" w:cs="Arial" w:eastAsia="Arial" w:hAnsi="Arial"/>
          <w:sz w:val="18"/>
          <w:szCs w:val="18"/>
          <w:color w:val="auto"/>
        </w:rPr>
        <w:t>The Company measures certain assets and liabilities at fair value on a recurring basis based on an expected exit price, which represents the amount that would be received on the sale of an asset or paid to transfer a liability in an orderly transaction between market participants. As such, fair value may be based on assumptions that market participants would use in pricing an asset or liability.</w:t>
      </w:r>
    </w:p>
    <w:p>
      <w:pPr>
        <w:spacing w:after="0" w:line="141" w:lineRule="exact"/>
        <w:rPr>
          <w:sz w:val="20"/>
          <w:szCs w:val="20"/>
          <w:color w:val="auto"/>
        </w:rPr>
      </w:pPr>
    </w:p>
    <w:p>
      <w:pPr>
        <w:ind w:right="360" w:firstLine="644"/>
        <w:spacing w:after="0" w:line="248" w:lineRule="auto"/>
        <w:rPr>
          <w:sz w:val="20"/>
          <w:szCs w:val="20"/>
          <w:color w:val="auto"/>
        </w:rPr>
      </w:pPr>
      <w:r>
        <w:rPr>
          <w:rFonts w:ascii="Arial" w:cs="Arial" w:eastAsia="Arial" w:hAnsi="Arial"/>
          <w:sz w:val="18"/>
          <w:szCs w:val="18"/>
          <w:color w:val="auto"/>
        </w:rPr>
        <w:t>The authoritative guidance on fair value measurements establishes a consistent framework for measuring fair value on either a recurring or nonrecurring basis, whereby inputs used in valuation techniques, are assigned a hierarchical level. The following are the hierarchical levels of inputs to measure fair value:</w:t>
      </w:r>
    </w:p>
    <w:p>
      <w:pPr>
        <w:spacing w:after="0" w:line="15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Level 1 - Observable inputs that reflect quoted prices (unadjusted) for identical assets or liabilities in active markets.</w:t>
      </w:r>
    </w:p>
    <w:p>
      <w:pPr>
        <w:spacing w:after="0" w:line="171" w:lineRule="exact"/>
        <w:rPr>
          <w:sz w:val="20"/>
          <w:szCs w:val="20"/>
          <w:color w:val="auto"/>
        </w:rPr>
      </w:pPr>
    </w:p>
    <w:p>
      <w:pPr>
        <w:jc w:val="both"/>
        <w:ind w:right="80" w:firstLine="644"/>
        <w:spacing w:after="0" w:line="248" w:lineRule="auto"/>
        <w:rPr>
          <w:sz w:val="20"/>
          <w:szCs w:val="20"/>
          <w:color w:val="auto"/>
        </w:rPr>
      </w:pPr>
      <w:r>
        <w:rPr>
          <w:rFonts w:ascii="Arial" w:cs="Arial" w:eastAsia="Arial" w:hAnsi="Arial"/>
          <w:sz w:val="18"/>
          <w:szCs w:val="18"/>
          <w:color w:val="auto"/>
        </w:rPr>
        <w:t>Level 2 - Inputs reflect quoted prices for identical assets or liabilities in markets that are not active; quoted prices for similar assets or liabilities in active markets; inputs other than quoted prices that are observable for the assets or liabilities; or inputs that are derived principally from or corroborated by observable market data by correlation or other means.</w:t>
      </w:r>
    </w:p>
    <w:p>
      <w:pPr>
        <w:spacing w:after="0" w:line="141" w:lineRule="exact"/>
        <w:rPr>
          <w:sz w:val="20"/>
          <w:szCs w:val="20"/>
          <w:color w:val="auto"/>
        </w:rPr>
      </w:pPr>
    </w:p>
    <w:p>
      <w:pPr>
        <w:ind w:right="20" w:firstLine="644"/>
        <w:spacing w:after="0" w:line="261" w:lineRule="auto"/>
        <w:rPr>
          <w:sz w:val="20"/>
          <w:szCs w:val="20"/>
          <w:color w:val="auto"/>
        </w:rPr>
      </w:pPr>
      <w:r>
        <w:rPr>
          <w:rFonts w:ascii="Arial" w:cs="Arial" w:eastAsia="Arial" w:hAnsi="Arial"/>
          <w:sz w:val="18"/>
          <w:szCs w:val="18"/>
          <w:color w:val="auto"/>
        </w:rPr>
        <w:t>Level 3 - Unobservable inputs reflecting the Company’s own assumptions incorporated in valuation techniques used to determine fair value. These assumptions are required to be consistent with market participant assumptions that are reasonably available.</w:t>
      </w:r>
    </w:p>
    <w:p>
      <w:pPr>
        <w:spacing w:after="0" w:line="144" w:lineRule="exact"/>
        <w:rPr>
          <w:sz w:val="20"/>
          <w:szCs w:val="20"/>
          <w:color w:val="auto"/>
        </w:rPr>
      </w:pPr>
    </w:p>
    <w:p>
      <w:pPr>
        <w:ind w:right="220" w:firstLine="644"/>
        <w:spacing w:after="0" w:line="248" w:lineRule="auto"/>
        <w:rPr>
          <w:sz w:val="20"/>
          <w:szCs w:val="20"/>
          <w:color w:val="auto"/>
        </w:rPr>
      </w:pPr>
      <w:r>
        <w:rPr>
          <w:rFonts w:ascii="Arial" w:cs="Arial" w:eastAsia="Arial" w:hAnsi="Arial"/>
          <w:sz w:val="18"/>
          <w:szCs w:val="18"/>
          <w:color w:val="auto"/>
        </w:rPr>
        <w:t>The carrying amounts of certain of the Company’s financial instruments, which include cash and cash equivalents, accounts receivable, prepaid expenses and other assets, accounts payable, accrued expenses and contract liabilities approximate their fair values due to their short maturities. The Company's marketable securities are recorded at fair value.</w:t>
      </w:r>
    </w:p>
    <w:p>
      <w:pPr>
        <w:spacing w:after="0" w:line="74" w:lineRule="exact"/>
        <w:rPr>
          <w:sz w:val="20"/>
          <w:szCs w:val="20"/>
          <w:color w:val="auto"/>
        </w:rPr>
      </w:pPr>
    </w:p>
    <w:p>
      <w:pPr>
        <w:ind w:left="1300" w:hanging="648"/>
        <w:spacing w:after="0"/>
        <w:tabs>
          <w:tab w:leader="none" w:pos="1300"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Cash and Cash Equivalents</w:t>
      </w:r>
    </w:p>
    <w:p>
      <w:pPr>
        <w:spacing w:after="0" w:line="104" w:lineRule="exact"/>
        <w:rPr>
          <w:sz w:val="20"/>
          <w:szCs w:val="20"/>
          <w:color w:val="auto"/>
        </w:rPr>
      </w:pPr>
    </w:p>
    <w:p>
      <w:pPr>
        <w:ind w:right="100" w:firstLine="644"/>
        <w:spacing w:after="0" w:line="248" w:lineRule="auto"/>
        <w:rPr>
          <w:sz w:val="20"/>
          <w:szCs w:val="20"/>
          <w:color w:val="auto"/>
        </w:rPr>
      </w:pPr>
      <w:r>
        <w:rPr>
          <w:rFonts w:ascii="Arial" w:cs="Arial" w:eastAsia="Arial" w:hAnsi="Arial"/>
          <w:sz w:val="18"/>
          <w:szCs w:val="18"/>
          <w:color w:val="auto"/>
        </w:rPr>
        <w:t>Cash and cash equivalents consist of cash held in checking accounts and investments in money market funds. The Company considers all highly liquid securities purchased with an initial maturity of three months or less to be cash equivalents. These investments are stated at cost, which approximates fair value.</w:t>
      </w:r>
    </w:p>
    <w:p>
      <w:pPr>
        <w:spacing w:after="0" w:line="74" w:lineRule="exact"/>
        <w:rPr>
          <w:sz w:val="20"/>
          <w:szCs w:val="20"/>
          <w:color w:val="auto"/>
        </w:rPr>
      </w:pPr>
    </w:p>
    <w:p>
      <w:pPr>
        <w:ind w:left="1300" w:hanging="648"/>
        <w:spacing w:after="0"/>
        <w:tabs>
          <w:tab w:leader="none" w:pos="1300"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Marketable Securities</w:t>
      </w:r>
    </w:p>
    <w:p>
      <w:pPr>
        <w:spacing w:after="0" w:line="104" w:lineRule="exact"/>
        <w:rPr>
          <w:sz w:val="20"/>
          <w:szCs w:val="20"/>
          <w:color w:val="auto"/>
        </w:rPr>
      </w:pPr>
    </w:p>
    <w:p>
      <w:pPr>
        <w:ind w:firstLine="689"/>
        <w:spacing w:after="0" w:line="270" w:lineRule="auto"/>
        <w:rPr>
          <w:sz w:val="20"/>
          <w:szCs w:val="20"/>
          <w:color w:val="auto"/>
        </w:rPr>
      </w:pPr>
      <w:r>
        <w:rPr>
          <w:rFonts w:ascii="Arial" w:cs="Arial" w:eastAsia="Arial" w:hAnsi="Arial"/>
          <w:sz w:val="16"/>
          <w:szCs w:val="16"/>
          <w:color w:val="auto"/>
        </w:rPr>
        <w:t>The Company measures its marketable securities at fair value and recognizes any changes in fair value in net loss. Our marketable securities represent our investment in the short term bond fund. We consider our marketable securities as available for use in current operations, and therefore classify these securities as current assets on the Consolidated Balance Sheets. As of December 31, 2021, the Company's marketable securities of $30.5 million were recorded at fair value, within Level 1 of the fair value hierarchy. The fair value of the Company’s Level 1 financial instruments is based on quoted prices in active markets, total fair value is the published market price per unit multiplied by the number of units held without consideration of transaction costs, discounts or blockage factors. During the period from August 2021 through December 31, 2021, the Company recorded an unrealized loss of $2.0 million</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related to these securities which is recorded in other expenses on the Consolidated Statements of Operations and Comprehensive Loss.</w:t>
      </w:r>
    </w:p>
    <w:p>
      <w:pPr>
        <w:spacing w:after="0" w:line="116" w:lineRule="exact"/>
        <w:rPr>
          <w:sz w:val="20"/>
          <w:szCs w:val="20"/>
          <w:color w:val="auto"/>
        </w:rPr>
      </w:pPr>
    </w:p>
    <w:p>
      <w:pPr>
        <w:ind w:left="1300" w:hanging="648"/>
        <w:spacing w:after="0"/>
        <w:tabs>
          <w:tab w:leader="none" w:pos="130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Accounts Receivable</w:t>
      </w:r>
    </w:p>
    <w:p>
      <w:pPr>
        <w:spacing w:after="0" w:line="104" w:lineRule="exact"/>
        <w:rPr>
          <w:sz w:val="20"/>
          <w:szCs w:val="20"/>
          <w:color w:val="auto"/>
        </w:rPr>
      </w:pPr>
    </w:p>
    <w:p>
      <w:pPr>
        <w:ind w:right="20" w:firstLine="644"/>
        <w:spacing w:after="0"/>
        <w:rPr>
          <w:sz w:val="20"/>
          <w:szCs w:val="20"/>
          <w:color w:val="auto"/>
        </w:rPr>
      </w:pPr>
      <w:r>
        <w:rPr>
          <w:rFonts w:ascii="Arial" w:cs="Arial" w:eastAsia="Arial" w:hAnsi="Arial"/>
          <w:sz w:val="18"/>
          <w:szCs w:val="18"/>
          <w:color w:val="auto"/>
        </w:rPr>
        <w:t>Accounts receivable are stated at the amount the Company expects to collect from outstanding balances. For customers for which Xometry provides credit, the Company performs credit inquiries, including references checks, and query credit ratings services and other publicly available information. Amounts collected on accounts receivable are included in net cash provided by operating activities in the statements of cash flows. Management provides for probable uncollectible amounts through a provision for bad debt expense and an adjustment to a valuation allowance based on its experience and judgment. Balances that are still outstanding after management has used reasonable collection efforts are written off through a charge to the valuation allowance and a credit to accounts receivable.</w:t>
      </w:r>
    </w:p>
    <w:p>
      <w:pPr>
        <w:spacing w:after="0" w:line="81" w:lineRule="exact"/>
        <w:rPr>
          <w:sz w:val="20"/>
          <w:szCs w:val="20"/>
          <w:color w:val="auto"/>
        </w:rPr>
      </w:pPr>
    </w:p>
    <w:p>
      <w:pPr>
        <w:ind w:left="1300" w:hanging="648"/>
        <w:spacing w:after="0"/>
        <w:tabs>
          <w:tab w:leader="none" w:pos="1300"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Inventory</w:t>
      </w:r>
    </w:p>
    <w:p>
      <w:pPr>
        <w:spacing w:after="0" w:line="104" w:lineRule="exact"/>
        <w:rPr>
          <w:sz w:val="20"/>
          <w:szCs w:val="20"/>
          <w:color w:val="auto"/>
        </w:rPr>
      </w:pPr>
    </w:p>
    <w:p>
      <w:pPr>
        <w:ind w:right="240" w:firstLine="644"/>
        <w:spacing w:after="0" w:line="248" w:lineRule="auto"/>
        <w:rPr>
          <w:sz w:val="20"/>
          <w:szCs w:val="20"/>
          <w:color w:val="auto"/>
        </w:rPr>
      </w:pPr>
      <w:r>
        <w:rPr>
          <w:rFonts w:ascii="Arial" w:cs="Arial" w:eastAsia="Arial" w:hAnsi="Arial"/>
          <w:sz w:val="18"/>
          <w:szCs w:val="18"/>
          <w:color w:val="auto"/>
        </w:rPr>
        <w:t>Inventory consists primarily of work-in-progress, raw materials and tools. Inventory is stated at the lower of cost or net realizable value. Cost is determined using the first-in, first-out (“FIFO”) method. The Company periodically reviews its inventory for slow-moving, damaged and discontinued items and provides allowances to reduce such items identified to their recoverable amounts, if needed.</w:t>
      </w: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67" w:name="page68"/>
    <w:bookmarkEnd w:id="67"/>
    <w:p>
      <w:pPr>
        <w:ind w:left="1300" w:hanging="648"/>
        <w:spacing w:after="0"/>
        <w:tabs>
          <w:tab w:leader="none" w:pos="1300"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Property and Equipment and Long-Lived Assets</w:t>
      </w:r>
    </w:p>
    <w:p>
      <w:pPr>
        <w:spacing w:after="0" w:line="104" w:lineRule="exact"/>
        <w:rPr>
          <w:sz w:val="20"/>
          <w:szCs w:val="20"/>
          <w:color w:val="auto"/>
        </w:rPr>
      </w:pPr>
    </w:p>
    <w:p>
      <w:pPr>
        <w:ind w:right="40" w:firstLine="644"/>
        <w:spacing w:after="0" w:line="248" w:lineRule="auto"/>
        <w:rPr>
          <w:sz w:val="20"/>
          <w:szCs w:val="20"/>
          <w:color w:val="auto"/>
        </w:rPr>
      </w:pPr>
      <w:r>
        <w:rPr>
          <w:rFonts w:ascii="Arial" w:cs="Arial" w:eastAsia="Arial" w:hAnsi="Arial"/>
          <w:sz w:val="18"/>
          <w:szCs w:val="18"/>
          <w:color w:val="auto"/>
        </w:rPr>
        <w:t>Property and equipment are stated at cost. Equipment under finance leases is stated at the present value of minimum lease payments. Depreciation is calculated on the straight-line method over the estimated useful life of the assets, which range from three to seven years, or in the case of leasehold improvements, over the shorter of the remaining lease term or the useful life of the asset.</w:t>
      </w:r>
    </w:p>
    <w:p>
      <w:pPr>
        <w:spacing w:after="0" w:line="141" w:lineRule="exact"/>
        <w:rPr>
          <w:sz w:val="20"/>
          <w:szCs w:val="20"/>
          <w:color w:val="auto"/>
        </w:rPr>
      </w:pPr>
    </w:p>
    <w:p>
      <w:pPr>
        <w:ind w:right="20" w:firstLine="644"/>
        <w:spacing w:after="0" w:line="257" w:lineRule="auto"/>
        <w:rPr>
          <w:sz w:val="20"/>
          <w:szCs w:val="20"/>
          <w:color w:val="auto"/>
        </w:rPr>
      </w:pPr>
      <w:r>
        <w:rPr>
          <w:rFonts w:ascii="Arial" w:cs="Arial" w:eastAsia="Arial" w:hAnsi="Arial"/>
          <w:sz w:val="17"/>
          <w:szCs w:val="17"/>
          <w:color w:val="auto"/>
        </w:rPr>
        <w:t>Property and equipment and intangible assets subject to amortization are reviewed for impairment whenever events or changes in circumstances indicate that the carrying amount of an asset may not be recoverable. If circumstances require a long-lived asset or asset group to be tested for possible impairment, the Company first compares undiscounted cash flows expected to be generated by that asset or asset group to its carrying amount. If the carrying amount of the long-lived asset or asset group is not recoverable on an undiscounted cash flow basis, an impairment is recognized to the extent that the carrying amount exceeds its fair value. Fair value is determined through various valuation techniques including discounted cash flow models, quoted market values and third-party independent appraisals, as considered necessary.</w:t>
      </w:r>
    </w:p>
    <w:p>
      <w:pPr>
        <w:spacing w:after="0" w:line="148" w:lineRule="exact"/>
        <w:rPr>
          <w:sz w:val="20"/>
          <w:szCs w:val="20"/>
          <w:color w:val="auto"/>
        </w:rPr>
      </w:pPr>
    </w:p>
    <w:p>
      <w:pPr>
        <w:ind w:right="140" w:firstLine="644"/>
        <w:spacing w:after="0" w:line="259" w:lineRule="auto"/>
        <w:rPr>
          <w:sz w:val="20"/>
          <w:szCs w:val="20"/>
          <w:color w:val="auto"/>
        </w:rPr>
      </w:pPr>
      <w:r>
        <w:rPr>
          <w:rFonts w:ascii="Arial" w:cs="Arial" w:eastAsia="Arial" w:hAnsi="Arial"/>
          <w:sz w:val="17"/>
          <w:szCs w:val="17"/>
          <w:color w:val="auto"/>
        </w:rPr>
        <w:t>Property and equipment includes capitalized internal-use software development costs. Eligible internal-use software development costs are capitalized subsequent to the completion of the preliminary project stage. Such costs include internal and external direct development costs totaling $5.2 million and $3.6 million for the years ended December 31, 2021 and 2020, respectively. After all substantial testing and deployment is completed and the software is ready for its intended use, capitalization is discontinued and the internal-use software costs are placed in service and amortized using the straight-line method over the estimated useful life of the software, generally three years.</w:t>
      </w:r>
    </w:p>
    <w:p>
      <w:pPr>
        <w:spacing w:after="0" w:line="66" w:lineRule="exact"/>
        <w:rPr>
          <w:sz w:val="20"/>
          <w:szCs w:val="20"/>
          <w:color w:val="auto"/>
        </w:rPr>
      </w:pPr>
    </w:p>
    <w:p>
      <w:pPr>
        <w:ind w:left="1300" w:hanging="648"/>
        <w:spacing w:after="0"/>
        <w:tabs>
          <w:tab w:leader="none" w:pos="1300"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Investment In Unconsolidated Joint Venture</w:t>
      </w:r>
    </w:p>
    <w:p>
      <w:pPr>
        <w:spacing w:after="0" w:line="171" w:lineRule="exact"/>
        <w:rPr>
          <w:sz w:val="20"/>
          <w:szCs w:val="20"/>
          <w:color w:val="auto"/>
        </w:rPr>
      </w:pPr>
    </w:p>
    <w:p>
      <w:pPr>
        <w:jc w:val="both"/>
        <w:ind w:right="40" w:firstLine="644"/>
        <w:spacing w:after="0" w:line="243" w:lineRule="auto"/>
        <w:rPr>
          <w:sz w:val="20"/>
          <w:szCs w:val="20"/>
          <w:color w:val="auto"/>
        </w:rPr>
      </w:pPr>
      <w:r>
        <w:rPr>
          <w:rFonts w:ascii="Arial" w:cs="Arial" w:eastAsia="Arial" w:hAnsi="Arial"/>
          <w:sz w:val="18"/>
          <w:szCs w:val="18"/>
          <w:color w:val="auto"/>
        </w:rPr>
        <w:t>We account for our investment in unconsolidated joint venture using the equity method of accounting as we exercise significant influence, but do not control the entity. Under the equity method of accounting, the net equity investments of the Company are reflected in the accompanying Consolidated Balance Sheets and the Company’s share of net income from the joint venture is included in the accompanying Consolidated Statements of Operations and Comprehensive Loss.</w:t>
      </w:r>
    </w:p>
    <w:p>
      <w:pPr>
        <w:spacing w:after="0" w:line="147" w:lineRule="exact"/>
        <w:rPr>
          <w:sz w:val="20"/>
          <w:szCs w:val="20"/>
          <w:color w:val="auto"/>
        </w:rPr>
      </w:pPr>
    </w:p>
    <w:p>
      <w:pPr>
        <w:ind w:firstLine="644"/>
        <w:spacing w:after="0" w:line="274" w:lineRule="auto"/>
        <w:rPr>
          <w:sz w:val="20"/>
          <w:szCs w:val="20"/>
          <w:color w:val="auto"/>
        </w:rPr>
      </w:pPr>
      <w:r>
        <w:rPr>
          <w:rFonts w:ascii="Arial" w:cs="Arial" w:eastAsia="Arial" w:hAnsi="Arial"/>
          <w:sz w:val="16"/>
          <w:szCs w:val="16"/>
          <w:color w:val="auto"/>
        </w:rPr>
        <w:t>On a periodic basis, management assesses whether there are any indicators that the value of the Company’s investment in the unconsolidated joint venture may be other-than-temporarily-impaired. An investment is impaired only if management’s estimate of the value of the investment is less than the carrying value of the investment, and such a decline in value is deemed to be other than-temporary. To the extent impairment has occurred, the loss is measured as the excess of the carrying amount of the investment over the estimated fair value of the investment. Evidence of a loss in value might include, but would not necessarily be limited to, absence of an ability to recover the carrying amount of the investment or inability of the investee to sustain an earnings capacity that would justify the carrying amount of the investment. This evaluation consists of several qualitative and quantitative factors including recent financial results and operating trends of the investee and available information that may affect the value of our investment.</w:t>
      </w:r>
    </w:p>
    <w:p>
      <w:pPr>
        <w:spacing w:after="0" w:line="13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 impairment loss on our investment in unconsolidated joint venture was recognized during the year ended December 31, 2021.</w:t>
      </w:r>
    </w:p>
    <w:p>
      <w:pPr>
        <w:spacing w:after="0" w:line="104" w:lineRule="exact"/>
        <w:rPr>
          <w:sz w:val="20"/>
          <w:szCs w:val="20"/>
          <w:color w:val="auto"/>
        </w:rPr>
      </w:pPr>
    </w:p>
    <w:p>
      <w:pPr>
        <w:ind w:left="1300" w:hanging="648"/>
        <w:spacing w:after="0"/>
        <w:tabs>
          <w:tab w:leader="none" w:pos="1300"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Revenue</w:t>
      </w:r>
    </w:p>
    <w:p>
      <w:pPr>
        <w:spacing w:after="0" w:line="104" w:lineRule="exact"/>
        <w:rPr>
          <w:sz w:val="20"/>
          <w:szCs w:val="20"/>
          <w:color w:val="auto"/>
        </w:rPr>
      </w:pPr>
    </w:p>
    <w:p>
      <w:pPr>
        <w:ind w:right="20" w:firstLine="644"/>
        <w:spacing w:after="0" w:line="248" w:lineRule="auto"/>
        <w:rPr>
          <w:sz w:val="20"/>
          <w:szCs w:val="20"/>
          <w:color w:val="auto"/>
        </w:rPr>
      </w:pPr>
      <w:r>
        <w:rPr>
          <w:rFonts w:ascii="Arial" w:cs="Arial" w:eastAsia="Arial" w:hAnsi="Arial"/>
          <w:sz w:val="18"/>
          <w:szCs w:val="18"/>
          <w:color w:val="auto"/>
        </w:rPr>
        <w:t>The Company derives substantially all of its revenue in the U.S. and Europe from the sale of parts and assemblies fulfilled using a vast network of manufacturers. The Company recognizes revenue from the sales to its buyers pursuant to Financial Accounting Standard Board’s (“FASB”) Accounting Standards Codification (“ASC”) Topic 606, Revenue from Contracts with Customers (“ASC 606”).</w:t>
      </w:r>
    </w:p>
    <w:p>
      <w:pPr>
        <w:spacing w:after="0" w:line="141" w:lineRule="exact"/>
        <w:rPr>
          <w:sz w:val="20"/>
          <w:szCs w:val="20"/>
          <w:color w:val="auto"/>
        </w:rPr>
      </w:pPr>
    </w:p>
    <w:p>
      <w:pPr>
        <w:ind w:right="20" w:firstLine="644"/>
        <w:spacing w:after="0"/>
        <w:rPr>
          <w:sz w:val="20"/>
          <w:szCs w:val="20"/>
          <w:color w:val="auto"/>
        </w:rPr>
      </w:pPr>
      <w:r>
        <w:rPr>
          <w:rFonts w:ascii="Arial" w:cs="Arial" w:eastAsia="Arial" w:hAnsi="Arial"/>
          <w:sz w:val="18"/>
          <w:szCs w:val="18"/>
          <w:color w:val="auto"/>
        </w:rPr>
        <w:t>The Company determines that a contract exists between the Company and the customer when the customer accepts the quote and places the order, all of which are governed by the Company’s standard terms and conditions or other agreed terms with Xometry’s customers. Upon completion of an order through Xometry’s platform, the Company identifies the performance obligation(s) within that order to complete the sale of the manufactured part(s) or assembly. Using Xometry’s in-house technology, the Company determines the price for the manufactured part(s) or assembly on a stand-alone basis at order initiation. The Company recognizes revenue from sales to Xometry’s customers upon shipment, at which point control over the part(s) or assembly have transferred.</w:t>
      </w:r>
    </w:p>
    <w:p>
      <w:pPr>
        <w:spacing w:after="0" w:line="149" w:lineRule="exact"/>
        <w:rPr>
          <w:sz w:val="20"/>
          <w:szCs w:val="20"/>
          <w:color w:val="auto"/>
        </w:rPr>
      </w:pPr>
    </w:p>
    <w:p>
      <w:pPr>
        <w:ind w:right="40" w:firstLine="644"/>
        <w:spacing w:after="0" w:line="269" w:lineRule="auto"/>
        <w:rPr>
          <w:sz w:val="20"/>
          <w:szCs w:val="20"/>
          <w:color w:val="auto"/>
        </w:rPr>
      </w:pPr>
      <w:r>
        <w:rPr>
          <w:rFonts w:ascii="Arial" w:cs="Arial" w:eastAsia="Arial" w:hAnsi="Arial"/>
          <w:sz w:val="16"/>
          <w:szCs w:val="16"/>
          <w:color w:val="auto"/>
        </w:rPr>
        <w:t>The Company has concluded that the Company is principal in the sale of part(s) and assemblies that use the Company’s network of third-party manufacturers because the Company controls the manufacturing by obtaining a right to direct a third-party manufacturer to fulfill the performance obligation Xometry has with the Company’s customer on Xometry’s behalf. The Company has considered the following conditions of the sale: (i) the Company has the obligation of providing the specified product to the customer, (ii) the Company has discretion with respect to establishing the price of the</w:t>
      </w:r>
    </w:p>
    <w:p>
      <w:pPr>
        <w:spacing w:after="0" w:line="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43180</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36" w:right="379" w:bottom="1440" w:gutter="0" w:footer="0" w:header="0"/>
        </w:sectPr>
      </w:pPr>
    </w:p>
    <w:bookmarkStart w:id="68" w:name="page69"/>
    <w:bookmarkEnd w:id="68"/>
    <w:p>
      <w:pPr>
        <w:ind w:right="360"/>
        <w:spacing w:after="0" w:line="248" w:lineRule="auto"/>
        <w:rPr>
          <w:sz w:val="20"/>
          <w:szCs w:val="20"/>
          <w:color w:val="auto"/>
        </w:rPr>
      </w:pPr>
      <w:r>
        <w:rPr>
          <w:rFonts w:ascii="Arial" w:cs="Arial" w:eastAsia="Arial" w:hAnsi="Arial"/>
          <w:sz w:val="18"/>
          <w:szCs w:val="18"/>
          <w:color w:val="auto"/>
        </w:rPr>
        <w:t>product and the price the Company pays the sellers and the Company has margin risk on all of Xometry’s sales, (iii) the Company has discretion in determining how to fulfill each order, including selecting the seller and (iv) Xometry bears certain risk for product quality to the extent the buyer is not satisfied with the final product.</w:t>
      </w:r>
    </w:p>
    <w:p>
      <w:pPr>
        <w:spacing w:after="0" w:line="155" w:lineRule="exact"/>
        <w:rPr>
          <w:sz w:val="20"/>
          <w:szCs w:val="20"/>
          <w:color w:val="auto"/>
        </w:rPr>
      </w:pPr>
    </w:p>
    <w:p>
      <w:pPr>
        <w:jc w:val="both"/>
        <w:ind w:right="320" w:firstLine="644"/>
        <w:spacing w:after="0" w:line="271" w:lineRule="auto"/>
        <w:rPr>
          <w:sz w:val="20"/>
          <w:szCs w:val="20"/>
          <w:color w:val="auto"/>
        </w:rPr>
      </w:pPr>
      <w:r>
        <w:rPr>
          <w:rFonts w:ascii="Arial" w:cs="Arial" w:eastAsia="Arial" w:hAnsi="Arial"/>
          <w:sz w:val="16"/>
          <w:szCs w:val="16"/>
          <w:color w:val="auto"/>
        </w:rPr>
        <w:t>In connection with the acquisition of Thomas on December 9, 2021, our revenue also includes the sale of internet advertising. This revenue is generally recognized as control is transferred to the customer, in an amount reflecting the consideration we expect to be entitled to in exchange for such product. A purchase order with a customer may involve multiple performance obligations, including a combination of some or all of the products.</w:t>
      </w:r>
    </w:p>
    <w:p>
      <w:pPr>
        <w:ind w:right="220"/>
        <w:spacing w:after="0" w:line="254" w:lineRule="auto"/>
        <w:rPr>
          <w:sz w:val="20"/>
          <w:szCs w:val="20"/>
          <w:color w:val="auto"/>
        </w:rPr>
      </w:pPr>
      <w:r>
        <w:rPr>
          <w:rFonts w:ascii="Arial" w:cs="Arial" w:eastAsia="Arial" w:hAnsi="Arial"/>
          <w:sz w:val="17"/>
          <w:szCs w:val="17"/>
          <w:color w:val="auto"/>
        </w:rPr>
        <w:t>Judgment may be required in determining whether products are considered distinct performance obligations that should be accounted for separately or as one combined performance obligation. Revenue is recognized over the period or at the point in time in which the performance obligations are satisfied. Consideration is typically determined based on a fixed unit price for the quantity of product transferred. For purchase orders involving multiple performance obligations, the transaction price is allocated to each performance obligation based on relative standalone selling price, and recognized as revenue when each individual product is transferred to the customer.</w:t>
      </w:r>
    </w:p>
    <w:p>
      <w:pPr>
        <w:spacing w:after="0" w:line="138" w:lineRule="exact"/>
        <w:rPr>
          <w:sz w:val="20"/>
          <w:szCs w:val="20"/>
          <w:color w:val="auto"/>
        </w:rPr>
      </w:pPr>
    </w:p>
    <w:p>
      <w:pPr>
        <w:ind w:right="240" w:firstLine="644"/>
        <w:spacing w:after="0" w:line="324" w:lineRule="auto"/>
        <w:rPr>
          <w:sz w:val="20"/>
          <w:szCs w:val="20"/>
          <w:color w:val="auto"/>
        </w:rPr>
      </w:pPr>
      <w:r>
        <w:rPr>
          <w:rFonts w:ascii="Arial" w:cs="Arial" w:eastAsia="Arial" w:hAnsi="Arial"/>
          <w:sz w:val="16"/>
          <w:szCs w:val="16"/>
          <w:color w:val="auto"/>
        </w:rPr>
        <w:t>Revenue is shown net of estimated returns, refunds, and allowances. At December 31, 2021, the Company has a $0.2 million provision for estimated returns, refunds or allowances. At December 31, 2020, the Company has a $0.1 million provision for estimated returns, refunds or allowances.</w:t>
      </w:r>
    </w:p>
    <w:p>
      <w:pPr>
        <w:spacing w:after="0" w:line="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Sales tax collected from customers and remitted to governmental authorities is excluded from revenue.</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Contract Liabilities</w:t>
      </w:r>
    </w:p>
    <w:p>
      <w:pPr>
        <w:spacing w:after="0" w:line="171" w:lineRule="exact"/>
        <w:rPr>
          <w:sz w:val="20"/>
          <w:szCs w:val="20"/>
          <w:color w:val="auto"/>
        </w:rPr>
      </w:pPr>
    </w:p>
    <w:p>
      <w:pPr>
        <w:ind w:right="200" w:firstLine="644"/>
        <w:spacing w:after="0" w:line="291" w:lineRule="auto"/>
        <w:rPr>
          <w:sz w:val="20"/>
          <w:szCs w:val="20"/>
          <w:color w:val="auto"/>
        </w:rPr>
      </w:pPr>
      <w:r>
        <w:rPr>
          <w:rFonts w:ascii="Arial" w:cs="Arial" w:eastAsia="Arial" w:hAnsi="Arial"/>
          <w:sz w:val="17"/>
          <w:szCs w:val="17"/>
          <w:color w:val="auto"/>
        </w:rPr>
        <w:t>Contract liabilities are derived from payments received at the time an order is placed, for which the associated performance obligations have not been satisfied and revenue has not been recognized based on the Company’s revenue recognition criteria described above.</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220" w:type="dxa"/>
            <w:vAlign w:val="bottom"/>
          </w:tcPr>
          <w:p>
            <w:pPr>
              <w:ind w:left="660"/>
              <w:spacing w:after="0"/>
              <w:rPr>
                <w:sz w:val="20"/>
                <w:szCs w:val="20"/>
                <w:color w:val="auto"/>
              </w:rPr>
            </w:pPr>
            <w:r>
              <w:rPr>
                <w:rFonts w:ascii="Arial" w:cs="Arial" w:eastAsia="Arial" w:hAnsi="Arial"/>
                <w:sz w:val="18"/>
                <w:szCs w:val="18"/>
                <w:color w:val="auto"/>
              </w:rPr>
              <w:t>The following table is a summary of the contract liabilities (in thousands):</w:t>
            </w:r>
          </w:p>
        </w:tc>
        <w:tc>
          <w:tcPr>
            <w:tcW w:w="6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29"/>
        </w:trPr>
        <w:tc>
          <w:tcPr>
            <w:tcW w:w="9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3"/>
        </w:trPr>
        <w:tc>
          <w:tcPr>
            <w:tcW w:w="92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Contract liabilities at December 31, 2019</w:t>
            </w:r>
          </w:p>
        </w:tc>
        <w:tc>
          <w:tcPr>
            <w:tcW w:w="680" w:type="dxa"/>
            <w:vAlign w:val="bottom"/>
            <w:shd w:val="clear" w:color="auto" w:fill="CFF0FC"/>
          </w:tcPr>
          <w:p>
            <w:pPr>
              <w:jc w:val="right"/>
              <w:ind w:right="490"/>
              <w:spacing w:after="0" w:line="202" w:lineRule="exact"/>
              <w:rPr>
                <w:sz w:val="20"/>
                <w:szCs w:val="20"/>
                <w:color w:val="auto"/>
              </w:rPr>
            </w:pPr>
            <w:r>
              <w:rPr>
                <w:rFonts w:ascii="Arial" w:cs="Arial" w:eastAsia="Arial" w:hAnsi="Arial"/>
                <w:sz w:val="18"/>
                <w:szCs w:val="18"/>
                <w:color w:val="auto"/>
                <w:w w:val="79"/>
              </w:rPr>
              <w:t>$</w:t>
            </w:r>
          </w:p>
        </w:tc>
        <w:tc>
          <w:tcPr>
            <w:tcW w:w="12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1,821</w:t>
            </w:r>
          </w:p>
        </w:tc>
        <w:tc>
          <w:tcPr>
            <w:tcW w:w="100" w:type="dxa"/>
            <w:vAlign w:val="bottom"/>
            <w:shd w:val="clear" w:color="auto" w:fill="CFF0FC"/>
          </w:tcPr>
          <w:p>
            <w:pPr>
              <w:spacing w:after="0"/>
              <w:rPr>
                <w:sz w:val="17"/>
                <w:szCs w:val="17"/>
                <w:color w:val="auto"/>
              </w:rPr>
            </w:pPr>
          </w:p>
        </w:tc>
      </w:tr>
      <w:tr>
        <w:trPr>
          <w:trHeight w:val="203"/>
        </w:trPr>
        <w:tc>
          <w:tcPr>
            <w:tcW w:w="9220" w:type="dxa"/>
            <w:vAlign w:val="bottom"/>
          </w:tcPr>
          <w:p>
            <w:pPr>
              <w:ind w:left="20"/>
              <w:spacing w:after="0" w:line="202" w:lineRule="exact"/>
              <w:rPr>
                <w:sz w:val="20"/>
                <w:szCs w:val="20"/>
                <w:color w:val="auto"/>
              </w:rPr>
            </w:pPr>
            <w:r>
              <w:rPr>
                <w:rFonts w:ascii="Arial" w:cs="Arial" w:eastAsia="Arial" w:hAnsi="Arial"/>
                <w:sz w:val="18"/>
                <w:szCs w:val="18"/>
                <w:color w:val="auto"/>
              </w:rPr>
              <w:t>Revenue recognized</w:t>
            </w:r>
          </w:p>
        </w:tc>
        <w:tc>
          <w:tcPr>
            <w:tcW w:w="680" w:type="dxa"/>
            <w:vAlign w:val="bottom"/>
          </w:tcPr>
          <w:p>
            <w:pPr>
              <w:spacing w:after="0"/>
              <w:rPr>
                <w:sz w:val="17"/>
                <w:szCs w:val="17"/>
                <w:color w:val="auto"/>
              </w:rPr>
            </w:pPr>
          </w:p>
        </w:tc>
        <w:tc>
          <w:tcPr>
            <w:tcW w:w="13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(67,450 )</w:t>
            </w:r>
          </w:p>
        </w:tc>
      </w:tr>
      <w:tr>
        <w:trPr>
          <w:trHeight w:val="203"/>
        </w:trPr>
        <w:tc>
          <w:tcPr>
            <w:tcW w:w="922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Payments received in advance</w:t>
            </w:r>
          </w:p>
        </w:tc>
        <w:tc>
          <w:tcPr>
            <w:tcW w:w="680" w:type="dxa"/>
            <w:vAlign w:val="bottom"/>
            <w:tcBorders>
              <w:bottom w:val="single" w:sz="8" w:color="auto"/>
            </w:tcBorders>
            <w:shd w:val="clear" w:color="auto" w:fill="CFF0FC"/>
          </w:tcPr>
          <w:p>
            <w:pPr>
              <w:spacing w:after="0"/>
              <w:rPr>
                <w:sz w:val="17"/>
                <w:szCs w:val="17"/>
                <w:color w:val="auto"/>
              </w:rPr>
            </w:pPr>
          </w:p>
        </w:tc>
        <w:tc>
          <w:tcPr>
            <w:tcW w:w="12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67,984</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9220" w:type="dxa"/>
            <w:vAlign w:val="bottom"/>
          </w:tcPr>
          <w:p>
            <w:pPr>
              <w:ind w:left="20"/>
              <w:spacing w:after="0" w:line="196" w:lineRule="exact"/>
              <w:rPr>
                <w:sz w:val="20"/>
                <w:szCs w:val="20"/>
                <w:color w:val="auto"/>
              </w:rPr>
            </w:pPr>
            <w:r>
              <w:rPr>
                <w:rFonts w:ascii="Arial" w:cs="Arial" w:eastAsia="Arial" w:hAnsi="Arial"/>
                <w:sz w:val="18"/>
                <w:szCs w:val="18"/>
                <w:color w:val="auto"/>
              </w:rPr>
              <w:t>Contract liabilities at December 31, 2020</w:t>
            </w:r>
          </w:p>
        </w:tc>
        <w:tc>
          <w:tcPr>
            <w:tcW w:w="680" w:type="dxa"/>
            <w:vAlign w:val="bottom"/>
          </w:tcPr>
          <w:p>
            <w:pPr>
              <w:jc w:val="right"/>
              <w:ind w:right="490"/>
              <w:spacing w:after="0" w:line="196" w:lineRule="exact"/>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line="196" w:lineRule="exact"/>
              <w:rPr>
                <w:sz w:val="20"/>
                <w:szCs w:val="20"/>
                <w:color w:val="auto"/>
              </w:rPr>
            </w:pPr>
            <w:r>
              <w:rPr>
                <w:rFonts w:ascii="Arial" w:cs="Arial" w:eastAsia="Arial" w:hAnsi="Arial"/>
                <w:sz w:val="18"/>
                <w:szCs w:val="18"/>
                <w:color w:val="auto"/>
              </w:rPr>
              <w:t>2,355</w:t>
            </w:r>
          </w:p>
        </w:tc>
        <w:tc>
          <w:tcPr>
            <w:tcW w:w="100" w:type="dxa"/>
            <w:vAlign w:val="bottom"/>
          </w:tcPr>
          <w:p>
            <w:pPr>
              <w:spacing w:after="0"/>
              <w:rPr>
                <w:sz w:val="17"/>
                <w:szCs w:val="17"/>
                <w:color w:val="auto"/>
              </w:rPr>
            </w:pPr>
          </w:p>
        </w:tc>
      </w:tr>
      <w:tr>
        <w:trPr>
          <w:trHeight w:val="203"/>
        </w:trPr>
        <w:tc>
          <w:tcPr>
            <w:tcW w:w="92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Acquired contract liabilities</w:t>
            </w:r>
          </w:p>
        </w:tc>
        <w:tc>
          <w:tcPr>
            <w:tcW w:w="68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6,634</w:t>
            </w:r>
          </w:p>
        </w:tc>
        <w:tc>
          <w:tcPr>
            <w:tcW w:w="100" w:type="dxa"/>
            <w:vAlign w:val="bottom"/>
            <w:shd w:val="clear" w:color="auto" w:fill="CFF0FC"/>
          </w:tcPr>
          <w:p>
            <w:pPr>
              <w:spacing w:after="0"/>
              <w:rPr>
                <w:sz w:val="17"/>
                <w:szCs w:val="17"/>
                <w:color w:val="auto"/>
              </w:rPr>
            </w:pPr>
          </w:p>
        </w:tc>
      </w:tr>
      <w:tr>
        <w:trPr>
          <w:trHeight w:val="203"/>
        </w:trPr>
        <w:tc>
          <w:tcPr>
            <w:tcW w:w="9220" w:type="dxa"/>
            <w:vAlign w:val="bottom"/>
          </w:tcPr>
          <w:p>
            <w:pPr>
              <w:ind w:left="20"/>
              <w:spacing w:after="0" w:line="202" w:lineRule="exact"/>
              <w:rPr>
                <w:sz w:val="20"/>
                <w:szCs w:val="20"/>
                <w:color w:val="auto"/>
              </w:rPr>
            </w:pPr>
            <w:r>
              <w:rPr>
                <w:rFonts w:ascii="Arial" w:cs="Arial" w:eastAsia="Arial" w:hAnsi="Arial"/>
                <w:sz w:val="18"/>
                <w:szCs w:val="18"/>
                <w:color w:val="auto"/>
              </w:rPr>
              <w:t>Revenue recognized</w:t>
            </w:r>
          </w:p>
        </w:tc>
        <w:tc>
          <w:tcPr>
            <w:tcW w:w="680" w:type="dxa"/>
            <w:vAlign w:val="bottom"/>
          </w:tcPr>
          <w:p>
            <w:pPr>
              <w:spacing w:after="0"/>
              <w:rPr>
                <w:sz w:val="17"/>
                <w:szCs w:val="17"/>
                <w:color w:val="auto"/>
              </w:rPr>
            </w:pPr>
          </w:p>
        </w:tc>
        <w:tc>
          <w:tcPr>
            <w:tcW w:w="13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(126,997 )</w:t>
            </w:r>
          </w:p>
        </w:tc>
      </w:tr>
      <w:tr>
        <w:trPr>
          <w:trHeight w:val="203"/>
        </w:trPr>
        <w:tc>
          <w:tcPr>
            <w:tcW w:w="922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Payments received in advance</w:t>
            </w:r>
          </w:p>
        </w:tc>
        <w:tc>
          <w:tcPr>
            <w:tcW w:w="680" w:type="dxa"/>
            <w:vAlign w:val="bottom"/>
            <w:tcBorders>
              <w:bottom w:val="single" w:sz="8" w:color="auto"/>
            </w:tcBorders>
            <w:shd w:val="clear" w:color="auto" w:fill="CFF0FC"/>
          </w:tcPr>
          <w:p>
            <w:pPr>
              <w:spacing w:after="0"/>
              <w:rPr>
                <w:sz w:val="17"/>
                <w:szCs w:val="17"/>
                <w:color w:val="auto"/>
              </w:rPr>
            </w:pPr>
          </w:p>
        </w:tc>
        <w:tc>
          <w:tcPr>
            <w:tcW w:w="12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125,871</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9220" w:type="dxa"/>
            <w:vAlign w:val="bottom"/>
          </w:tcPr>
          <w:p>
            <w:pPr>
              <w:ind w:left="20"/>
              <w:spacing w:after="0" w:line="196" w:lineRule="exact"/>
              <w:rPr>
                <w:sz w:val="20"/>
                <w:szCs w:val="20"/>
                <w:color w:val="auto"/>
              </w:rPr>
            </w:pPr>
            <w:r>
              <w:rPr>
                <w:rFonts w:ascii="Arial" w:cs="Arial" w:eastAsia="Arial" w:hAnsi="Arial"/>
                <w:sz w:val="18"/>
                <w:szCs w:val="18"/>
                <w:color w:val="auto"/>
              </w:rPr>
              <w:t>Contract liabilities at December 31, 2021</w:t>
            </w:r>
          </w:p>
        </w:tc>
        <w:tc>
          <w:tcPr>
            <w:tcW w:w="680" w:type="dxa"/>
            <w:vAlign w:val="bottom"/>
            <w:tcBorders>
              <w:bottom w:val="single" w:sz="8" w:color="auto"/>
            </w:tcBorders>
          </w:tcPr>
          <w:p>
            <w:pPr>
              <w:jc w:val="right"/>
              <w:ind w:right="490"/>
              <w:spacing w:after="0" w:line="196" w:lineRule="exact"/>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7,863</w:t>
            </w:r>
          </w:p>
        </w:tc>
        <w:tc>
          <w:tcPr>
            <w:tcW w:w="100" w:type="dxa"/>
            <w:vAlign w:val="bottom"/>
          </w:tcPr>
          <w:p>
            <w:pPr>
              <w:spacing w:after="0"/>
              <w:rPr>
                <w:sz w:val="17"/>
                <w:szCs w:val="17"/>
                <w:color w:val="auto"/>
              </w:rPr>
            </w:pPr>
          </w:p>
        </w:tc>
      </w:tr>
      <w:tr>
        <w:trPr>
          <w:trHeight w:val="20"/>
        </w:trPr>
        <w:tc>
          <w:tcPr>
            <w:tcW w:w="92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7077075</wp:posOffset>
            </wp:positionH>
            <wp:positionV relativeFrom="paragraph">
              <wp:posOffset>-681990</wp:posOffset>
            </wp:positionV>
            <wp:extent cx="59690" cy="571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9">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-159385</wp:posOffset>
            </wp:positionV>
            <wp:extent cx="59690" cy="571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20">
                      <a:extLst>
                        <a:ext uri="{28A0092B-C50C-407E-A947-70E740481C1C}"/>
                      </a:extLst>
                    </a:blip>
                    <a:srcRect/>
                    <a:stretch>
                      <a:fillRect/>
                    </a:stretch>
                  </pic:blipFill>
                  <pic:spPr bwMode="auto">
                    <a:xfrm>
                      <a:off x="0" y="0"/>
                      <a:ext cx="59690" cy="5715"/>
                    </a:xfrm>
                    <a:prstGeom prst="rect">
                      <a:avLst/>
                    </a:prstGeom>
                    <a:noFill/>
                  </pic:spPr>
                </pic:pic>
              </a:graphicData>
            </a:graphic>
          </wp:anchor>
        </w:drawing>
      </w:r>
    </w:p>
    <w:p>
      <w:pPr>
        <w:spacing w:after="0" w:line="16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Sales Contract Acquisition Costs</w:t>
      </w:r>
    </w:p>
    <w:p>
      <w:pPr>
        <w:spacing w:after="0" w:line="104" w:lineRule="exact"/>
        <w:rPr>
          <w:sz w:val="20"/>
          <w:szCs w:val="20"/>
          <w:color w:val="auto"/>
        </w:rPr>
      </w:pPr>
    </w:p>
    <w:p>
      <w:pPr>
        <w:ind w:right="20" w:firstLine="644"/>
        <w:spacing w:after="0" w:line="259" w:lineRule="auto"/>
        <w:rPr>
          <w:sz w:val="20"/>
          <w:szCs w:val="20"/>
          <w:color w:val="auto"/>
        </w:rPr>
      </w:pPr>
      <w:r>
        <w:rPr>
          <w:rFonts w:ascii="Arial" w:cs="Arial" w:eastAsia="Arial" w:hAnsi="Arial"/>
          <w:sz w:val="17"/>
          <w:szCs w:val="17"/>
          <w:color w:val="auto"/>
        </w:rPr>
        <w:t>The Company’s incremental costs to obtain a contract may include a sales commission which is generally determined on a per order basis. For contracts in excess of one year, the Company amortizes such costs on a straight-line basis over the average customer life of two years for new customers and over the renewal period for existing customers which is generally one year. Sales commissions are included in Xometry’s sales and marketing expenses and cost of revenue in the Consolidated Statements of Operations and Comprehensive Loss. For the period from December 9, 2021 through December 31, 2021, we recognized approximately $0.5 million of amortization related to deferred sales commissions.</w:t>
      </w:r>
    </w:p>
    <w:p>
      <w:pPr>
        <w:spacing w:after="0" w:line="66" w:lineRule="exact"/>
        <w:rPr>
          <w:sz w:val="20"/>
          <w:szCs w:val="20"/>
          <w:color w:val="auto"/>
        </w:rPr>
      </w:pPr>
    </w:p>
    <w:p>
      <w:pPr>
        <w:ind w:left="1300" w:hanging="648"/>
        <w:spacing w:after="0"/>
        <w:tabs>
          <w:tab w:leader="none" w:pos="1300"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Cost of Revenue</w:t>
      </w:r>
    </w:p>
    <w:p>
      <w:pPr>
        <w:spacing w:after="0" w:line="104" w:lineRule="exact"/>
        <w:rPr>
          <w:sz w:val="20"/>
          <w:szCs w:val="20"/>
          <w:color w:val="auto"/>
        </w:rPr>
      </w:pPr>
    </w:p>
    <w:p>
      <w:pPr>
        <w:ind w:right="220" w:firstLine="644"/>
        <w:spacing w:after="0" w:line="261" w:lineRule="auto"/>
        <w:rPr>
          <w:sz w:val="20"/>
          <w:szCs w:val="20"/>
          <w:color w:val="auto"/>
        </w:rPr>
      </w:pPr>
      <w:r>
        <w:rPr>
          <w:rFonts w:ascii="Arial" w:cs="Arial" w:eastAsia="Arial" w:hAnsi="Arial"/>
          <w:sz w:val="18"/>
          <w:szCs w:val="18"/>
          <w:color w:val="auto"/>
        </w:rPr>
        <w:t>Cost of revenue primarily consists of the cost of the products that are manufactured or produced by the Company’s sellers for delivery to buyers on the Company's platforms, internal and external production costs, shipping costs, and certain internal depreciation.</w:t>
      </w:r>
    </w:p>
    <w:p>
      <w:pPr>
        <w:spacing w:after="0" w:line="63" w:lineRule="exact"/>
        <w:rPr>
          <w:sz w:val="20"/>
          <w:szCs w:val="20"/>
          <w:color w:val="auto"/>
        </w:rPr>
      </w:pPr>
    </w:p>
    <w:p>
      <w:pPr>
        <w:ind w:left="1300" w:hanging="648"/>
        <w:spacing w:after="0"/>
        <w:tabs>
          <w:tab w:leader="none" w:pos="1300"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Leases</w:t>
      </w:r>
    </w:p>
    <w:p>
      <w:pPr>
        <w:spacing w:after="0" w:line="104" w:lineRule="exact"/>
        <w:rPr>
          <w:sz w:val="20"/>
          <w:szCs w:val="20"/>
          <w:color w:val="auto"/>
        </w:rPr>
      </w:pPr>
    </w:p>
    <w:p>
      <w:pPr>
        <w:ind w:right="60" w:firstLine="644"/>
        <w:spacing w:after="0" w:line="268" w:lineRule="auto"/>
        <w:rPr>
          <w:sz w:val="20"/>
          <w:szCs w:val="20"/>
          <w:color w:val="auto"/>
        </w:rPr>
      </w:pPr>
      <w:r>
        <w:rPr>
          <w:rFonts w:ascii="Arial" w:cs="Arial" w:eastAsia="Arial" w:hAnsi="Arial"/>
          <w:sz w:val="16"/>
          <w:szCs w:val="16"/>
          <w:color w:val="auto"/>
        </w:rPr>
        <w:t>The Company determines if an arrangement contains a lease and the classification of that lease, if applicable, at its inception. Operating leases are included in operating lease right-of-use ("ROU") assets, operating lease liabilities and operating lease liabilities (net of current portion) in the Consolidated Balance Sheets. The Company has finance leases as detailed in the Long-Lived Assets section above. For leases with terms of twelve months or less, the Company does not recognize a ROU assets or lease liabilities on the Consolidated Balance Sheets. Additionally, the Company elected to use the practical expedient to not separate lease and non-lease components for leases of real estate, meaning that for these leases, the</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43180</wp:posOffset>
            </wp:positionV>
            <wp:extent cx="715772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69" w:name="page70"/>
    <w:bookmarkEnd w:id="69"/>
    <w:p>
      <w:pPr>
        <w:spacing w:after="0"/>
        <w:rPr>
          <w:sz w:val="20"/>
          <w:szCs w:val="20"/>
          <w:color w:val="auto"/>
        </w:rPr>
      </w:pPr>
      <w:r>
        <w:rPr>
          <w:rFonts w:ascii="Arial" w:cs="Arial" w:eastAsia="Arial" w:hAnsi="Arial"/>
          <w:sz w:val="17"/>
          <w:szCs w:val="17"/>
          <w:color w:val="auto"/>
        </w:rPr>
        <w:t>non-lease components are included in the associated ROU asset and lease liability balances on the Company’s Consolidated Balance Sheets.</w:t>
      </w:r>
    </w:p>
    <w:p>
      <w:pPr>
        <w:spacing w:after="0" w:line="183" w:lineRule="exact"/>
        <w:rPr>
          <w:sz w:val="20"/>
          <w:szCs w:val="20"/>
          <w:color w:val="auto"/>
        </w:rPr>
      </w:pPr>
    </w:p>
    <w:p>
      <w:pPr>
        <w:ind w:firstLine="644"/>
        <w:spacing w:after="0" w:line="276" w:lineRule="auto"/>
        <w:rPr>
          <w:sz w:val="20"/>
          <w:szCs w:val="20"/>
          <w:color w:val="auto"/>
        </w:rPr>
      </w:pPr>
      <w:r>
        <w:rPr>
          <w:rFonts w:ascii="Arial" w:cs="Arial" w:eastAsia="Arial" w:hAnsi="Arial"/>
          <w:sz w:val="16"/>
          <w:szCs w:val="16"/>
          <w:color w:val="auto"/>
        </w:rPr>
        <w:t>ROU assets represent the Company’s right to use an underlying asset for the lease term and lease liabilities represent the Company’s obligation to make lease payments under the lease. Operating lease ROU assets and lease liabilities are recognized at the lease commencement date based on the present value of lease payments over the lease term. The implicit rate within the Company’s operating leases is generally not determinable, as such the Company uses its incremental borrowing rate at lease commencement to determine the present value of lease payments. The operating lease ROU asset also includes any lease prepayments, offset by lease incentives. Certain of the Company’s leases include options to extend or terminate the lease. The expected lease term includes options to extend or terminate the lease when it is reasonably certain the Company will exercise such option.</w:t>
      </w:r>
    </w:p>
    <w:p>
      <w:pPr>
        <w:spacing w:after="0" w:line="13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Lease expense for lease payments is recognized on a straight-line basis over the term of the lease.</w:t>
      </w:r>
    </w:p>
    <w:p>
      <w:pPr>
        <w:spacing w:after="0" w:line="104" w:lineRule="exact"/>
        <w:rPr>
          <w:sz w:val="20"/>
          <w:szCs w:val="20"/>
          <w:color w:val="auto"/>
        </w:rPr>
      </w:pPr>
    </w:p>
    <w:p>
      <w:pPr>
        <w:ind w:left="1300" w:hanging="648"/>
        <w:spacing w:after="0"/>
        <w:tabs>
          <w:tab w:leader="none" w:pos="1300"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Sales and Marketing</w:t>
      </w:r>
    </w:p>
    <w:p>
      <w:pPr>
        <w:spacing w:after="0" w:line="104" w:lineRule="exact"/>
        <w:rPr>
          <w:sz w:val="20"/>
          <w:szCs w:val="20"/>
          <w:color w:val="auto"/>
        </w:rPr>
      </w:pPr>
    </w:p>
    <w:p>
      <w:pPr>
        <w:ind w:right="180" w:firstLine="644"/>
        <w:spacing w:after="0" w:line="243" w:lineRule="auto"/>
        <w:rPr>
          <w:sz w:val="20"/>
          <w:szCs w:val="20"/>
          <w:color w:val="auto"/>
        </w:rPr>
      </w:pPr>
      <w:r>
        <w:rPr>
          <w:rFonts w:ascii="Arial" w:cs="Arial" w:eastAsia="Arial" w:hAnsi="Arial"/>
          <w:sz w:val="18"/>
          <w:szCs w:val="18"/>
          <w:color w:val="auto"/>
        </w:rPr>
        <w:t>Sales and marketing expenses are expensed as incurred and include the costs of digital marketing strategies, branding costs and other advertising costs, certain depreciation and amortization expense, and compensation expenses, including stock-based compensation, to the Company’s sales and marketing employees. For the years ended December 31, 2021 and 2020, the Company’s advertising costs were $20.7 million and $12.0 million, respectively.</w:t>
      </w:r>
    </w:p>
    <w:p>
      <w:pPr>
        <w:spacing w:after="0" w:line="80" w:lineRule="exact"/>
        <w:rPr>
          <w:sz w:val="20"/>
          <w:szCs w:val="20"/>
          <w:color w:val="auto"/>
        </w:rPr>
      </w:pPr>
    </w:p>
    <w:p>
      <w:pPr>
        <w:ind w:left="1300" w:hanging="648"/>
        <w:spacing w:after="0"/>
        <w:tabs>
          <w:tab w:leader="none" w:pos="1300"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Operations and Support</w:t>
      </w:r>
    </w:p>
    <w:p>
      <w:pPr>
        <w:spacing w:after="0" w:line="104" w:lineRule="exact"/>
        <w:rPr>
          <w:sz w:val="20"/>
          <w:szCs w:val="20"/>
          <w:color w:val="auto"/>
        </w:rPr>
      </w:pPr>
    </w:p>
    <w:p>
      <w:pPr>
        <w:ind w:right="20" w:firstLine="644"/>
        <w:spacing w:after="0" w:line="243" w:lineRule="auto"/>
        <w:rPr>
          <w:sz w:val="20"/>
          <w:szCs w:val="20"/>
          <w:color w:val="auto"/>
        </w:rPr>
      </w:pPr>
      <w:r>
        <w:rPr>
          <w:rFonts w:ascii="Arial" w:cs="Arial" w:eastAsia="Arial" w:hAnsi="Arial"/>
          <w:sz w:val="18"/>
          <w:szCs w:val="18"/>
          <w:color w:val="auto"/>
        </w:rPr>
        <w:t>Operations and support expenses are the costs the Company incurs in support of the customers and sellers on Xometry’s platforms which are provided by phone, email and chat for purposes of resolving customer and seller related matters. These costs primarily consist of compensation expenses of the support staff, including stock-based compensation, certain depreciation and amortization expense and software costs used in delivering customer and seller service.</w:t>
      </w:r>
    </w:p>
    <w:p>
      <w:pPr>
        <w:spacing w:after="0" w:line="80" w:lineRule="exact"/>
        <w:rPr>
          <w:sz w:val="20"/>
          <w:szCs w:val="20"/>
          <w:color w:val="auto"/>
        </w:rPr>
      </w:pPr>
    </w:p>
    <w:p>
      <w:pPr>
        <w:ind w:left="1300" w:hanging="648"/>
        <w:spacing w:after="0"/>
        <w:tabs>
          <w:tab w:leader="none" w:pos="1300"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Product Development</w:t>
      </w:r>
    </w:p>
    <w:p>
      <w:pPr>
        <w:spacing w:after="0" w:line="104" w:lineRule="exact"/>
        <w:rPr>
          <w:sz w:val="20"/>
          <w:szCs w:val="20"/>
          <w:color w:val="auto"/>
        </w:rPr>
      </w:pPr>
    </w:p>
    <w:p>
      <w:pPr>
        <w:ind w:right="180" w:firstLine="644"/>
        <w:spacing w:after="0" w:line="324" w:lineRule="auto"/>
        <w:rPr>
          <w:sz w:val="20"/>
          <w:szCs w:val="20"/>
          <w:color w:val="auto"/>
        </w:rPr>
      </w:pPr>
      <w:r>
        <w:rPr>
          <w:rFonts w:ascii="Arial" w:cs="Arial" w:eastAsia="Arial" w:hAnsi="Arial"/>
          <w:sz w:val="16"/>
          <w:szCs w:val="16"/>
          <w:color w:val="auto"/>
        </w:rPr>
        <w:t>Product development costs which are not eligible for capitalization are expensed as incurred. This account also includes compensation expenses, including stock-based compensation to the Company’s employees performing these functions and certain depreciation and amortization expense.</w:t>
      </w:r>
    </w:p>
    <w:p>
      <w:pPr>
        <w:spacing w:after="0" w:line="16" w:lineRule="exact"/>
        <w:rPr>
          <w:sz w:val="20"/>
          <w:szCs w:val="20"/>
          <w:color w:val="auto"/>
        </w:rPr>
      </w:pPr>
    </w:p>
    <w:p>
      <w:pPr>
        <w:ind w:left="1300" w:hanging="648"/>
        <w:spacing w:after="0"/>
        <w:tabs>
          <w:tab w:leader="none" w:pos="1300"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General and Administrative</w:t>
      </w:r>
    </w:p>
    <w:p>
      <w:pPr>
        <w:spacing w:after="0" w:line="104" w:lineRule="exact"/>
        <w:rPr>
          <w:sz w:val="20"/>
          <w:szCs w:val="20"/>
          <w:color w:val="auto"/>
        </w:rPr>
      </w:pPr>
    </w:p>
    <w:p>
      <w:pPr>
        <w:ind w:right="480" w:firstLine="644"/>
        <w:spacing w:after="0" w:line="324" w:lineRule="auto"/>
        <w:rPr>
          <w:sz w:val="20"/>
          <w:szCs w:val="20"/>
          <w:color w:val="auto"/>
        </w:rPr>
      </w:pPr>
      <w:r>
        <w:rPr>
          <w:rFonts w:ascii="Arial" w:cs="Arial" w:eastAsia="Arial" w:hAnsi="Arial"/>
          <w:sz w:val="16"/>
          <w:szCs w:val="16"/>
          <w:color w:val="auto"/>
        </w:rPr>
        <w:t>General and administrative expenses primarily consist of professional service fees and certain depreciation and amortization expense. It also includes compensation expenses, including stock-based compensation expenses, for executive, finance, legal and other administrative personnel.</w:t>
      </w:r>
    </w:p>
    <w:p>
      <w:pPr>
        <w:spacing w:after="0" w:line="300" w:lineRule="exact"/>
        <w:rPr>
          <w:sz w:val="20"/>
          <w:szCs w:val="20"/>
          <w:color w:val="auto"/>
        </w:rPr>
      </w:pPr>
    </w:p>
    <w:p>
      <w:pPr>
        <w:ind w:left="1300" w:hanging="648"/>
        <w:spacing w:after="0"/>
        <w:tabs>
          <w:tab w:leader="none" w:pos="1300" w:val="left"/>
        </w:tabs>
        <w:numPr>
          <w:ilvl w:val="0"/>
          <w:numId w:val="48"/>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Stock Based Compensation</w:t>
      </w:r>
    </w:p>
    <w:p>
      <w:pPr>
        <w:spacing w:after="0" w:line="104" w:lineRule="exact"/>
        <w:rPr>
          <w:sz w:val="20"/>
          <w:szCs w:val="20"/>
          <w:color w:val="auto"/>
        </w:rPr>
      </w:pPr>
    </w:p>
    <w:p>
      <w:pPr>
        <w:ind w:right="40" w:firstLine="644"/>
        <w:spacing w:after="0" w:line="241" w:lineRule="auto"/>
        <w:rPr>
          <w:sz w:val="20"/>
          <w:szCs w:val="20"/>
          <w:color w:val="auto"/>
        </w:rPr>
      </w:pPr>
      <w:r>
        <w:rPr>
          <w:rFonts w:ascii="Arial" w:cs="Arial" w:eastAsia="Arial" w:hAnsi="Arial"/>
          <w:sz w:val="18"/>
          <w:szCs w:val="18"/>
          <w:color w:val="auto"/>
        </w:rPr>
        <w:t>All stock based compensation, including stock options and restricted stock units are measured at the grant date fair value of the award. The Company estimates grant date fair value of stock options using the Black-Scholes option-pricing model. The fair value of stock options and restricted stock units is recognized as compensation expense on a straight-line basis over the requisite service period, which is typically four years. The fair value of the restricted stock units is determined using the fair value of the Company's Class A common stock on the date of grant. Forfeitures are recorded in the period in which they occur.</w:t>
      </w:r>
    </w:p>
    <w:p>
      <w:pPr>
        <w:spacing w:after="0" w:line="14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Black-Scholes model considers several variables and assumptions in estimating the fair value of stock-based awards. These variables include:</w:t>
      </w:r>
    </w:p>
    <w:p>
      <w:pPr>
        <w:spacing w:after="0" w:line="127" w:lineRule="exact"/>
        <w:rPr>
          <w:sz w:val="20"/>
          <w:szCs w:val="20"/>
          <w:color w:val="auto"/>
        </w:rPr>
      </w:pPr>
    </w:p>
    <w:p>
      <w:pPr>
        <w:ind w:left="900" w:hanging="248"/>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expected annual dividend yield;</w:t>
      </w:r>
    </w:p>
    <w:p>
      <w:pPr>
        <w:spacing w:after="0" w:line="103" w:lineRule="exact"/>
        <w:rPr>
          <w:rFonts w:ascii="Arial" w:cs="Arial" w:eastAsia="Arial" w:hAnsi="Arial"/>
          <w:sz w:val="18"/>
          <w:szCs w:val="18"/>
          <w:color w:val="auto"/>
        </w:rPr>
      </w:pPr>
    </w:p>
    <w:p>
      <w:pPr>
        <w:ind w:left="900" w:hanging="248"/>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expected volatility over the expected term;</w:t>
      </w:r>
    </w:p>
    <w:p>
      <w:pPr>
        <w:spacing w:after="0" w:line="103" w:lineRule="exact"/>
        <w:rPr>
          <w:rFonts w:ascii="Arial" w:cs="Arial" w:eastAsia="Arial" w:hAnsi="Arial"/>
          <w:sz w:val="18"/>
          <w:szCs w:val="18"/>
          <w:color w:val="auto"/>
        </w:rPr>
      </w:pPr>
    </w:p>
    <w:p>
      <w:pPr>
        <w:ind w:left="900" w:hanging="248"/>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expected term;</w:t>
      </w:r>
    </w:p>
    <w:p>
      <w:pPr>
        <w:spacing w:after="0" w:line="103" w:lineRule="exact"/>
        <w:rPr>
          <w:rFonts w:ascii="Arial" w:cs="Arial" w:eastAsia="Arial" w:hAnsi="Arial"/>
          <w:sz w:val="18"/>
          <w:szCs w:val="18"/>
          <w:color w:val="auto"/>
        </w:rPr>
      </w:pPr>
    </w:p>
    <w:p>
      <w:pPr>
        <w:ind w:left="900" w:hanging="248"/>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risk free interest rate;</w:t>
      </w:r>
    </w:p>
    <w:p>
      <w:pPr>
        <w:spacing w:after="0" w:line="103" w:lineRule="exact"/>
        <w:rPr>
          <w:rFonts w:ascii="Arial" w:cs="Arial" w:eastAsia="Arial" w:hAnsi="Arial"/>
          <w:sz w:val="18"/>
          <w:szCs w:val="18"/>
          <w:color w:val="auto"/>
        </w:rPr>
      </w:pPr>
    </w:p>
    <w:p>
      <w:pPr>
        <w:ind w:left="900" w:hanging="248"/>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per share value of the underlying common stock; and</w:t>
      </w:r>
    </w:p>
    <w:p>
      <w:pPr>
        <w:spacing w:after="0" w:line="103" w:lineRule="exact"/>
        <w:rPr>
          <w:rFonts w:ascii="Arial" w:cs="Arial" w:eastAsia="Arial" w:hAnsi="Arial"/>
          <w:sz w:val="18"/>
          <w:szCs w:val="18"/>
          <w:color w:val="auto"/>
        </w:rPr>
      </w:pPr>
    </w:p>
    <w:p>
      <w:pPr>
        <w:ind w:left="900" w:hanging="248"/>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exercise price.</w:t>
      </w:r>
    </w:p>
    <w:p>
      <w:pPr>
        <w:spacing w:after="0" w:line="104" w:lineRule="exact"/>
        <w:rPr>
          <w:sz w:val="20"/>
          <w:szCs w:val="20"/>
          <w:color w:val="auto"/>
        </w:rPr>
      </w:pPr>
    </w:p>
    <w:p>
      <w:pPr>
        <w:jc w:val="both"/>
        <w:ind w:right="40" w:firstLine="644"/>
        <w:spacing w:after="0"/>
        <w:rPr>
          <w:sz w:val="20"/>
          <w:szCs w:val="20"/>
          <w:color w:val="auto"/>
        </w:rPr>
      </w:pPr>
      <w:r>
        <w:rPr>
          <w:rFonts w:ascii="Arial" w:cs="Arial" w:eastAsia="Arial" w:hAnsi="Arial"/>
          <w:sz w:val="18"/>
          <w:szCs w:val="18"/>
          <w:color w:val="auto"/>
        </w:rPr>
        <w:t>For all stock options granted, the Company calculated the expected term using the simplified method for “plain vanilla” stock option awards. The risk-free interest rate is based on the yield available on U.S. Treasury issues similar in duration to the expected term of the stock-based award. As there was no public market for the Company's common stock</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43180</wp:posOffset>
            </wp:positionV>
            <wp:extent cx="715772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70" w:name="page71"/>
    <w:bookmarkEnd w:id="70"/>
    <w:p>
      <w:pPr>
        <w:ind w:right="20"/>
        <w:spacing w:after="0" w:line="248" w:lineRule="auto"/>
        <w:rPr>
          <w:sz w:val="20"/>
          <w:szCs w:val="20"/>
          <w:color w:val="auto"/>
        </w:rPr>
      </w:pPr>
      <w:r>
        <w:rPr>
          <w:rFonts w:ascii="Arial" w:cs="Arial" w:eastAsia="Arial" w:hAnsi="Arial"/>
          <w:sz w:val="18"/>
          <w:szCs w:val="18"/>
          <w:color w:val="auto"/>
        </w:rPr>
        <w:t>prior to the IPO, the Company estimates its expected share price volatility based on the historical volatility of publicly traded peer companies and expects to continue to do so until such time as it has adequate historical data regarding the volatility of its own traded share price. The Company utilized a dividend yield of zero, as it had no history or plan of declaring dividends on its common stock.</w:t>
      </w:r>
    </w:p>
    <w:p>
      <w:pPr>
        <w:spacing w:after="0" w:line="74" w:lineRule="exact"/>
        <w:rPr>
          <w:sz w:val="20"/>
          <w:szCs w:val="20"/>
          <w:color w:val="auto"/>
        </w:rPr>
      </w:pPr>
    </w:p>
    <w:p>
      <w:pPr>
        <w:ind w:left="1300" w:hanging="648"/>
        <w:spacing w:after="0"/>
        <w:tabs>
          <w:tab w:leader="none" w:pos="1300" w:val="left"/>
        </w:tabs>
        <w:numPr>
          <w:ilvl w:val="0"/>
          <w:numId w:val="50"/>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Net Loss Per Share Attributable to Common Stockholders</w:t>
      </w:r>
    </w:p>
    <w:p>
      <w:pPr>
        <w:spacing w:after="0" w:line="104" w:lineRule="exact"/>
        <w:rPr>
          <w:sz w:val="20"/>
          <w:szCs w:val="20"/>
          <w:color w:val="auto"/>
        </w:rPr>
      </w:pPr>
    </w:p>
    <w:p>
      <w:pPr>
        <w:ind w:firstLine="644"/>
        <w:spacing w:after="0" w:line="241" w:lineRule="auto"/>
        <w:rPr>
          <w:sz w:val="20"/>
          <w:szCs w:val="20"/>
          <w:color w:val="auto"/>
        </w:rPr>
      </w:pPr>
      <w:r>
        <w:rPr>
          <w:rFonts w:ascii="Arial" w:cs="Arial" w:eastAsia="Arial" w:hAnsi="Arial"/>
          <w:sz w:val="18"/>
          <w:szCs w:val="18"/>
          <w:color w:val="auto"/>
        </w:rPr>
        <w:t>Basic net loss per share is computed by dividing the net loss attributable to common stockholders by the weighted-average number of shares of common stock outstanding during the year. The diluted net loss per share is computed by giving effect to all potentially dilutive securities outstanding for the year. For the years in which the Company reports net losses, diluted net loss per common share is the same as basic net loss per common share, because all potentially dilutive securities are anti-dilutive. Vested RSUs that have not been settled have been included in the appropriate common share class used to calculate basic net loss per share.</w:t>
      </w:r>
    </w:p>
    <w:p>
      <w:pPr>
        <w:spacing w:after="0" w:line="81" w:lineRule="exact"/>
        <w:rPr>
          <w:sz w:val="20"/>
          <w:szCs w:val="20"/>
          <w:color w:val="auto"/>
        </w:rPr>
      </w:pPr>
    </w:p>
    <w:p>
      <w:pPr>
        <w:ind w:firstLine="644"/>
        <w:spacing w:after="0" w:line="239" w:lineRule="auto"/>
        <w:rPr>
          <w:sz w:val="20"/>
          <w:szCs w:val="20"/>
          <w:color w:val="auto"/>
        </w:rPr>
      </w:pPr>
      <w:r>
        <w:rPr>
          <w:rFonts w:ascii="Arial" w:cs="Arial" w:eastAsia="Arial" w:hAnsi="Arial"/>
          <w:sz w:val="18"/>
          <w:szCs w:val="18"/>
          <w:color w:val="auto"/>
        </w:rPr>
        <w:t>Subsequent to the Company's IPO on July 2, 2021, the Company computes net loss per share using the two-class method required for multiple classes of common stock and participating securities. The two-class method requires income available to common stockholders for the year to be allocated between common stock and participating securities based upon their respective rights to receive dividends as if all income for the year had been distributed. Certain unvested share-based payment awards that contain nonforfeitable rights to dividends are treated as participating securities and therefore included in computing net income per share using the two-class method. The rights, including the liquidation and dividend rights, of the Class A common stock and Class B common stock are substantially identical, other than voting rights. Accordingly, the Class A common stock and Class B common stock share proportionately in the Company’s net losses.</w:t>
      </w:r>
    </w:p>
    <w:p>
      <w:pPr>
        <w:spacing w:after="0" w:line="83" w:lineRule="exact"/>
        <w:rPr>
          <w:sz w:val="20"/>
          <w:szCs w:val="20"/>
          <w:color w:val="auto"/>
        </w:rPr>
      </w:pPr>
    </w:p>
    <w:p>
      <w:pPr>
        <w:ind w:left="1300" w:hanging="648"/>
        <w:spacing w:after="0"/>
        <w:tabs>
          <w:tab w:leader="none" w:pos="1300"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Income Taxes</w:t>
      </w:r>
    </w:p>
    <w:p>
      <w:pPr>
        <w:spacing w:after="0" w:line="104" w:lineRule="exact"/>
        <w:rPr>
          <w:sz w:val="20"/>
          <w:szCs w:val="20"/>
          <w:color w:val="auto"/>
        </w:rPr>
      </w:pPr>
    </w:p>
    <w:p>
      <w:pPr>
        <w:ind w:right="40" w:firstLine="644"/>
        <w:spacing w:after="0" w:line="241" w:lineRule="auto"/>
        <w:rPr>
          <w:sz w:val="20"/>
          <w:szCs w:val="20"/>
          <w:color w:val="auto"/>
        </w:rPr>
      </w:pPr>
      <w:r>
        <w:rPr>
          <w:rFonts w:ascii="Arial" w:cs="Arial" w:eastAsia="Arial" w:hAnsi="Arial"/>
          <w:sz w:val="18"/>
          <w:szCs w:val="18"/>
          <w:color w:val="auto"/>
        </w:rPr>
        <w:t>Income taxes are accounted for under the asset and liability method.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w:t>
      </w:r>
    </w:p>
    <w:p>
      <w:pPr>
        <w:spacing w:after="0" w:line="8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To the extent that it is not considered to be more likely than not that a deferred tax asset will be realized, a valuation allowance is established.</w:t>
      </w:r>
    </w:p>
    <w:p>
      <w:pPr>
        <w:spacing w:after="0" w:line="127" w:lineRule="exact"/>
        <w:rPr>
          <w:sz w:val="20"/>
          <w:szCs w:val="20"/>
          <w:color w:val="auto"/>
        </w:rPr>
      </w:pPr>
    </w:p>
    <w:p>
      <w:pPr>
        <w:ind w:right="40" w:firstLine="644"/>
        <w:spacing w:after="0" w:line="294" w:lineRule="auto"/>
        <w:rPr>
          <w:sz w:val="20"/>
          <w:szCs w:val="20"/>
          <w:color w:val="auto"/>
        </w:rPr>
      </w:pPr>
      <w:r>
        <w:rPr>
          <w:rFonts w:ascii="Arial" w:cs="Arial" w:eastAsia="Arial" w:hAnsi="Arial"/>
          <w:sz w:val="16"/>
          <w:szCs w:val="16"/>
          <w:color w:val="auto"/>
        </w:rPr>
        <w:t>The Company recognizes the effect of income tax positions only if those positions are more likely than not of being sustained and are measured at the largest amount that is greater than 50% likely of being realized. The Company’s policy is to recognize interest and penalties related to income tax matters in income tax expense. Changes in recognition or measurement are reflected in the year in which the change in judgment occurs.</w:t>
      </w:r>
    </w:p>
    <w:p>
      <w:pPr>
        <w:spacing w:after="0" w:line="39" w:lineRule="exact"/>
        <w:rPr>
          <w:sz w:val="20"/>
          <w:szCs w:val="20"/>
          <w:color w:val="auto"/>
        </w:rPr>
      </w:pPr>
    </w:p>
    <w:p>
      <w:pPr>
        <w:ind w:left="1300" w:hanging="648"/>
        <w:spacing w:after="0"/>
        <w:tabs>
          <w:tab w:leader="none" w:pos="1300"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Commitments and Contingencies</w:t>
      </w:r>
    </w:p>
    <w:p>
      <w:pPr>
        <w:spacing w:after="0" w:line="104" w:lineRule="exact"/>
        <w:rPr>
          <w:sz w:val="20"/>
          <w:szCs w:val="20"/>
          <w:color w:val="auto"/>
        </w:rPr>
      </w:pPr>
    </w:p>
    <w:p>
      <w:pPr>
        <w:ind w:right="440" w:firstLine="644"/>
        <w:spacing w:after="0" w:line="248" w:lineRule="auto"/>
        <w:rPr>
          <w:sz w:val="20"/>
          <w:szCs w:val="20"/>
          <w:color w:val="auto"/>
        </w:rPr>
      </w:pPr>
      <w:r>
        <w:rPr>
          <w:rFonts w:ascii="Arial" w:cs="Arial" w:eastAsia="Arial" w:hAnsi="Arial"/>
          <w:sz w:val="18"/>
          <w:szCs w:val="18"/>
          <w:color w:val="auto"/>
        </w:rPr>
        <w:t>Liabilities for loss contingencies arising from claims, assessments, litigation, fines, and penalties and other sources are recorded when it is probable that a liability has been incurred and the amount can be reasonably estimated. Legal costs incurred in connection with loss contingencies are expensed as incurred.</w:t>
      </w:r>
    </w:p>
    <w:p>
      <w:pPr>
        <w:spacing w:after="0" w:line="74" w:lineRule="exact"/>
        <w:rPr>
          <w:sz w:val="20"/>
          <w:szCs w:val="20"/>
          <w:color w:val="auto"/>
        </w:rPr>
      </w:pPr>
    </w:p>
    <w:p>
      <w:pPr>
        <w:ind w:left="1300" w:hanging="648"/>
        <w:spacing w:after="0"/>
        <w:tabs>
          <w:tab w:leader="none" w:pos="1300" w:val="left"/>
        </w:tabs>
        <w:numPr>
          <w:ilvl w:val="0"/>
          <w:numId w:val="53"/>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Intangible Assets</w:t>
      </w:r>
    </w:p>
    <w:p>
      <w:pPr>
        <w:spacing w:after="0" w:line="104" w:lineRule="exact"/>
        <w:rPr>
          <w:sz w:val="20"/>
          <w:szCs w:val="20"/>
          <w:color w:val="auto"/>
        </w:rPr>
      </w:pPr>
    </w:p>
    <w:p>
      <w:pPr>
        <w:ind w:right="260" w:firstLine="644"/>
        <w:spacing w:after="0" w:line="248" w:lineRule="auto"/>
        <w:rPr>
          <w:sz w:val="20"/>
          <w:szCs w:val="20"/>
          <w:color w:val="auto"/>
        </w:rPr>
      </w:pPr>
      <w:r>
        <w:rPr>
          <w:rFonts w:ascii="Arial" w:cs="Arial" w:eastAsia="Arial" w:hAnsi="Arial"/>
          <w:sz w:val="18"/>
          <w:szCs w:val="18"/>
          <w:color w:val="auto"/>
        </w:rPr>
        <w:t>Intangible assets are carried at cost and amortized on a straight-line basis over their estimated useful lives, which range from one to 15 years. Xometry reviews definite-lived intangible assets for impairment under the long-lived asset model described in Property and Equipment and Long-Lived Assets above.</w:t>
      </w:r>
    </w:p>
    <w:p>
      <w:pPr>
        <w:spacing w:after="0" w:line="74" w:lineRule="exact"/>
        <w:rPr>
          <w:sz w:val="20"/>
          <w:szCs w:val="20"/>
          <w:color w:val="auto"/>
        </w:rPr>
      </w:pPr>
    </w:p>
    <w:p>
      <w:pPr>
        <w:ind w:left="1300" w:hanging="648"/>
        <w:spacing w:after="0"/>
        <w:tabs>
          <w:tab w:leader="none" w:pos="1300" w:val="left"/>
        </w:tabs>
        <w:numPr>
          <w:ilvl w:val="0"/>
          <w:numId w:val="54"/>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Goodwill</w:t>
      </w:r>
    </w:p>
    <w:p>
      <w:pPr>
        <w:spacing w:after="0" w:line="104" w:lineRule="exact"/>
        <w:rPr>
          <w:sz w:val="20"/>
          <w:szCs w:val="20"/>
          <w:color w:val="auto"/>
        </w:rPr>
      </w:pPr>
    </w:p>
    <w:p>
      <w:pPr>
        <w:ind w:right="280" w:firstLine="644"/>
        <w:spacing w:after="0" w:line="248" w:lineRule="auto"/>
        <w:rPr>
          <w:sz w:val="20"/>
          <w:szCs w:val="20"/>
          <w:color w:val="auto"/>
        </w:rPr>
      </w:pPr>
      <w:r>
        <w:rPr>
          <w:rFonts w:ascii="Arial" w:cs="Arial" w:eastAsia="Arial" w:hAnsi="Arial"/>
          <w:sz w:val="18"/>
          <w:szCs w:val="18"/>
          <w:color w:val="auto"/>
        </w:rPr>
        <w:t>Goodwill represents the excess purchase price over the estimated fair value of net assets acquired in a business combination. Goodwill is not amortized. The Company test goodwill for impairment annually in the fourth quarter, or more frequently, if needed, and when there is a triggering event (e.g., a deterioration in general economic conditions or in the environment in which Xometry operates).</w:t>
      </w:r>
    </w:p>
    <w:p>
      <w:pPr>
        <w:spacing w:after="0" w:line="141" w:lineRule="exact"/>
        <w:rPr>
          <w:sz w:val="20"/>
          <w:szCs w:val="20"/>
          <w:color w:val="auto"/>
        </w:rPr>
      </w:pPr>
    </w:p>
    <w:p>
      <w:pPr>
        <w:ind w:right="20" w:firstLine="644"/>
        <w:spacing w:after="0"/>
        <w:rPr>
          <w:sz w:val="20"/>
          <w:szCs w:val="20"/>
          <w:color w:val="auto"/>
        </w:rPr>
      </w:pPr>
      <w:r>
        <w:rPr>
          <w:rFonts w:ascii="Arial" w:cs="Arial" w:eastAsia="Arial" w:hAnsi="Arial"/>
          <w:sz w:val="18"/>
          <w:szCs w:val="18"/>
          <w:color w:val="auto"/>
        </w:rPr>
        <w:t>When impairment indicators are identified the Company compares each reporting unit’s fair value to its carrying amount, including goodwill. An impairment loss is recognized as the difference, if any, between each reporting unit’s carrying amount and its fair value to the extent the difference does not exceed the total amount of goodwill allocated to the reporting unit.</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43180</wp:posOffset>
            </wp:positionV>
            <wp:extent cx="715772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71" w:name="page72"/>
    <w:bookmarkEnd w:id="71"/>
    <w:p>
      <w:pPr>
        <w:jc w:val="both"/>
        <w:ind w:right="40" w:firstLine="644"/>
        <w:spacing w:after="0" w:line="243" w:lineRule="auto"/>
        <w:rPr>
          <w:sz w:val="20"/>
          <w:szCs w:val="20"/>
          <w:color w:val="auto"/>
        </w:rPr>
      </w:pPr>
      <w:r>
        <w:rPr>
          <w:rFonts w:ascii="Arial" w:cs="Arial" w:eastAsia="Arial" w:hAnsi="Arial"/>
          <w:sz w:val="18"/>
          <w:szCs w:val="18"/>
          <w:color w:val="auto"/>
        </w:rPr>
        <w:t>Xometry determines the fair value of each reporting unit using an income approach. Under the income approach, the Company based fair value on estimated discounted future cash flows of each reporting unit. Determining the fair value of each reporting unit is judgmental in nature and requires the use of significant estimates and assumptions, including revenue growth rates and EBITDA margins, discount rates and future market conditions, among others (Level 3).</w:t>
      </w:r>
    </w:p>
    <w:p>
      <w:pPr>
        <w:spacing w:after="0" w:line="80" w:lineRule="exact"/>
        <w:rPr>
          <w:sz w:val="20"/>
          <w:szCs w:val="20"/>
          <w:color w:val="auto"/>
        </w:rPr>
      </w:pPr>
    </w:p>
    <w:p>
      <w:pPr>
        <w:ind w:left="1300" w:hanging="648"/>
        <w:spacing w:after="0"/>
        <w:tabs>
          <w:tab w:leader="none" w:pos="1300" w:val="left"/>
        </w:tabs>
        <w:numPr>
          <w:ilvl w:val="0"/>
          <w:numId w:val="55"/>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Recently Issued Accounting Standards</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New Accounting Pronouncements Effective in the Year Ended December 31, 2021</w:t>
      </w:r>
    </w:p>
    <w:p>
      <w:pPr>
        <w:spacing w:after="0" w:line="171" w:lineRule="exact"/>
        <w:rPr>
          <w:sz w:val="20"/>
          <w:szCs w:val="20"/>
          <w:color w:val="auto"/>
        </w:rPr>
      </w:pPr>
    </w:p>
    <w:p>
      <w:pPr>
        <w:ind w:right="40" w:firstLine="644"/>
        <w:spacing w:after="0" w:line="255" w:lineRule="auto"/>
        <w:rPr>
          <w:sz w:val="20"/>
          <w:szCs w:val="20"/>
          <w:color w:val="auto"/>
        </w:rPr>
      </w:pPr>
      <w:r>
        <w:rPr>
          <w:rFonts w:ascii="Arial" w:cs="Arial" w:eastAsia="Arial" w:hAnsi="Arial"/>
          <w:sz w:val="17"/>
          <w:szCs w:val="17"/>
          <w:color w:val="auto"/>
        </w:rPr>
        <w:t xml:space="preserve">In October 2021, the FASB issued a new accounting standard on the topic of business combinations, accounting for contract assets and contract liabilities from contracts with customers, Accounting Standard Update ("ASU") 2021-08, </w:t>
      </w:r>
      <w:r>
        <w:rPr>
          <w:rFonts w:ascii="Arial" w:cs="Arial" w:eastAsia="Arial" w:hAnsi="Arial"/>
          <w:sz w:val="17"/>
          <w:szCs w:val="17"/>
          <w:i w:val="1"/>
          <w:iCs w:val="1"/>
          <w:color w:val="auto"/>
        </w:rPr>
        <w:t>Business Combinations</w:t>
      </w:r>
      <w:r>
        <w:rPr>
          <w:rFonts w:ascii="Arial" w:cs="Arial" w:eastAsia="Arial" w:hAnsi="Arial"/>
          <w:sz w:val="17"/>
          <w:szCs w:val="17"/>
          <w:color w:val="auto"/>
        </w:rPr>
        <w:t xml:space="preserve"> (Topic 805). The amendment in this update improves the accounting for acquired revenue contracts with customers in a business combination by addressing diversity in practice and inconsistency. This update requires entities to recognize and measure contract assets and contract liabilities acquired in a business combination in accordance with ASC 606. The guidance is effective for interim and annual periods beginning after December 15, 2022 with early adoption permitted. The Company adopted ASU 2021-08 on November 1, 2021. In connection with the Company's business combinations during the fourth quarter of 2021, the Company recognized its acquired contract asset and liabilities in accordance with ASC 606.</w:t>
      </w:r>
    </w:p>
    <w:p>
      <w:pPr>
        <w:spacing w:after="0" w:line="13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New Accounting Pronouncements Effective in Future Periods</w:t>
      </w:r>
    </w:p>
    <w:p>
      <w:pPr>
        <w:spacing w:after="0" w:line="104" w:lineRule="exact"/>
        <w:rPr>
          <w:sz w:val="20"/>
          <w:szCs w:val="20"/>
          <w:color w:val="auto"/>
        </w:rPr>
      </w:pPr>
    </w:p>
    <w:p>
      <w:pPr>
        <w:ind w:right="80" w:firstLine="644"/>
        <w:spacing w:after="0" w:line="276" w:lineRule="auto"/>
        <w:rPr>
          <w:sz w:val="20"/>
          <w:szCs w:val="20"/>
          <w:color w:val="auto"/>
        </w:rPr>
      </w:pPr>
      <w:r>
        <w:rPr>
          <w:rFonts w:ascii="Arial" w:cs="Arial" w:eastAsia="Arial" w:hAnsi="Arial"/>
          <w:sz w:val="16"/>
          <w:szCs w:val="16"/>
          <w:color w:val="auto"/>
        </w:rPr>
        <w:t xml:space="preserve">In June 2016, the FASB issued ASU 2016-13, </w:t>
      </w:r>
      <w:r>
        <w:rPr>
          <w:rFonts w:ascii="Arial" w:cs="Arial" w:eastAsia="Arial" w:hAnsi="Arial"/>
          <w:sz w:val="16"/>
          <w:szCs w:val="16"/>
          <w:i w:val="1"/>
          <w:iCs w:val="1"/>
          <w:color w:val="auto"/>
        </w:rPr>
        <w:t>Financial Instruments-Credit Losses</w:t>
      </w:r>
      <w:r>
        <w:rPr>
          <w:rFonts w:ascii="Arial" w:cs="Arial" w:eastAsia="Arial" w:hAnsi="Arial"/>
          <w:sz w:val="16"/>
          <w:szCs w:val="16"/>
          <w:color w:val="auto"/>
        </w:rPr>
        <w:t xml:space="preserve"> ("Topic 326"), </w:t>
      </w:r>
      <w:r>
        <w:rPr>
          <w:rFonts w:ascii="Arial" w:cs="Arial" w:eastAsia="Arial" w:hAnsi="Arial"/>
          <w:sz w:val="16"/>
          <w:szCs w:val="16"/>
          <w:i w:val="1"/>
          <w:iCs w:val="1"/>
          <w:color w:val="auto"/>
        </w:rPr>
        <w:t>Measurement of Credit Losses on 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Instruments</w:t>
      </w:r>
      <w:r>
        <w:rPr>
          <w:rFonts w:ascii="Arial" w:cs="Arial" w:eastAsia="Arial" w:hAnsi="Arial"/>
          <w:sz w:val="16"/>
          <w:szCs w:val="16"/>
          <w:color w:val="auto"/>
        </w:rPr>
        <w:t>. Topic 326 changes the impairment model for most financial assets and certain other instruments. Under the new standard, entities holding</w:t>
      </w:r>
      <w:r>
        <w:rPr>
          <w:rFonts w:ascii="Arial" w:cs="Arial" w:eastAsia="Arial" w:hAnsi="Arial"/>
          <w:sz w:val="16"/>
          <w:szCs w:val="16"/>
          <w:i w:val="1"/>
          <w:iCs w:val="1"/>
          <w:color w:val="auto"/>
        </w:rPr>
        <w:t xml:space="preserve"> </w:t>
      </w:r>
      <w:r>
        <w:rPr>
          <w:rFonts w:ascii="Arial" w:cs="Arial" w:eastAsia="Arial" w:hAnsi="Arial"/>
          <w:sz w:val="16"/>
          <w:szCs w:val="16"/>
          <w:color w:val="auto"/>
        </w:rPr>
        <w:t>financial assets and net investment in leases that are not accounted for at fair value through net income are to be presented at the net amount expected to be collected. An allowance for credit losses will be a valuation account that will be deducted from the amortized cost basis of the financial asset to present the net carrying value at the amount expected to be collected on the financial asset. Topic 326 is effective as of January 1, 2023. Early adoption is permitted. The Company is currently evaluating the impact of Topic 326 on its consolidated financial statements and related disclosures.</w:t>
      </w:r>
    </w:p>
    <w:p>
      <w:pPr>
        <w:spacing w:after="0" w:line="134" w:lineRule="exact"/>
        <w:rPr>
          <w:sz w:val="20"/>
          <w:szCs w:val="20"/>
          <w:color w:val="auto"/>
        </w:rPr>
      </w:pPr>
    </w:p>
    <w:p>
      <w:pPr>
        <w:ind w:right="120" w:firstLine="644"/>
        <w:spacing w:after="0" w:line="261" w:lineRule="auto"/>
        <w:rPr>
          <w:sz w:val="20"/>
          <w:szCs w:val="20"/>
          <w:color w:val="auto"/>
        </w:rPr>
      </w:pPr>
      <w:r>
        <w:rPr>
          <w:rFonts w:ascii="Arial" w:cs="Arial" w:eastAsia="Arial" w:hAnsi="Arial"/>
          <w:sz w:val="18"/>
          <w:szCs w:val="18"/>
          <w:color w:val="auto"/>
        </w:rPr>
        <w:t>There are currently no other accounting standards that have been issued, but not yet adopted, that are expected to have a significant impact on the Company’s consolidated financial position, results of operations or cash flows upon adoption.</w:t>
      </w:r>
    </w:p>
    <w:p>
      <w:pPr>
        <w:spacing w:after="0" w:line="126" w:lineRule="exact"/>
        <w:rPr>
          <w:sz w:val="20"/>
          <w:szCs w:val="20"/>
          <w:color w:val="auto"/>
        </w:rPr>
      </w:pPr>
    </w:p>
    <w:p>
      <w:pPr>
        <w:ind w:left="660" w:hanging="652"/>
        <w:spacing w:after="0"/>
        <w:tabs>
          <w:tab w:leader="none" w:pos="660" w:val="left"/>
        </w:tabs>
        <w:numPr>
          <w:ilvl w:val="0"/>
          <w:numId w:val="56"/>
        </w:numPr>
        <w:rPr>
          <w:rFonts w:ascii="Arial" w:cs="Arial" w:eastAsia="Arial" w:hAnsi="Arial"/>
          <w:sz w:val="18"/>
          <w:szCs w:val="18"/>
          <w:b w:val="1"/>
          <w:bCs w:val="1"/>
          <w:color w:val="auto"/>
        </w:rPr>
      </w:pPr>
      <w:r>
        <w:rPr>
          <w:rFonts w:ascii="Arial" w:cs="Arial" w:eastAsia="Arial" w:hAnsi="Arial"/>
          <w:sz w:val="18"/>
          <w:szCs w:val="18"/>
          <w:b w:val="1"/>
          <w:bCs w:val="1"/>
          <w:color w:val="auto"/>
        </w:rPr>
        <w:t>Credit Concentrations</w:t>
      </w:r>
    </w:p>
    <w:p>
      <w:pPr>
        <w:spacing w:after="0" w:line="108" w:lineRule="exact"/>
        <w:rPr>
          <w:sz w:val="20"/>
          <w:szCs w:val="20"/>
          <w:color w:val="auto"/>
        </w:rPr>
      </w:pPr>
    </w:p>
    <w:p>
      <w:pPr>
        <w:ind w:right="300" w:firstLine="644"/>
        <w:spacing w:after="0" w:line="248" w:lineRule="auto"/>
        <w:rPr>
          <w:sz w:val="20"/>
          <w:szCs w:val="20"/>
          <w:color w:val="auto"/>
        </w:rPr>
      </w:pPr>
      <w:r>
        <w:rPr>
          <w:rFonts w:ascii="Arial" w:cs="Arial" w:eastAsia="Arial" w:hAnsi="Arial"/>
          <w:sz w:val="18"/>
          <w:szCs w:val="18"/>
          <w:color w:val="auto"/>
        </w:rPr>
        <w:t>Financial instruments which potentially subject the Company to concentrations of credit risk consist primarily of cash and accounts receivable. The Company maintains its cash, which at times may exceed federally insured limits, in deposit accounts at major financial institutions. Most of the Company’s customers are located in the United States.</w:t>
      </w:r>
    </w:p>
    <w:p>
      <w:pPr>
        <w:spacing w:after="0" w:line="141" w:lineRule="exact"/>
        <w:rPr>
          <w:sz w:val="20"/>
          <w:szCs w:val="20"/>
          <w:color w:val="auto"/>
        </w:rPr>
      </w:pPr>
    </w:p>
    <w:p>
      <w:pPr>
        <w:ind w:right="240" w:firstLine="644"/>
        <w:spacing w:after="0" w:line="248" w:lineRule="auto"/>
        <w:rPr>
          <w:sz w:val="20"/>
          <w:szCs w:val="20"/>
          <w:color w:val="auto"/>
        </w:rPr>
      </w:pPr>
      <w:r>
        <w:rPr>
          <w:rFonts w:ascii="Arial" w:cs="Arial" w:eastAsia="Arial" w:hAnsi="Arial"/>
          <w:sz w:val="18"/>
          <w:szCs w:val="18"/>
          <w:color w:val="auto"/>
        </w:rPr>
        <w:t>For 2021, no customer accounted for more than 10% of the Company's revenues. For 2020, one customer accounted for more than 10% of the Company’s revenue with a total concentration of approximately 11.2%. As of December 31, 2021 and 2020, no single customer accounted for more than 10% of the Company’s accounts receivable.</w:t>
      </w:r>
    </w:p>
    <w:p>
      <w:pPr>
        <w:spacing w:after="0" w:line="151" w:lineRule="exact"/>
        <w:rPr>
          <w:sz w:val="20"/>
          <w:szCs w:val="20"/>
          <w:color w:val="auto"/>
        </w:rPr>
      </w:pPr>
    </w:p>
    <w:p>
      <w:pPr>
        <w:ind w:left="660" w:hanging="652"/>
        <w:spacing w:after="0"/>
        <w:tabs>
          <w:tab w:leader="none" w:pos="660" w:val="left"/>
        </w:tabs>
        <w:numPr>
          <w:ilvl w:val="0"/>
          <w:numId w:val="57"/>
        </w:numPr>
        <w:rPr>
          <w:rFonts w:ascii="Arial" w:cs="Arial" w:eastAsia="Arial" w:hAnsi="Arial"/>
          <w:sz w:val="18"/>
          <w:szCs w:val="18"/>
          <w:b w:val="1"/>
          <w:bCs w:val="1"/>
          <w:color w:val="auto"/>
        </w:rPr>
      </w:pPr>
      <w:r>
        <w:rPr>
          <w:rFonts w:ascii="Arial" w:cs="Arial" w:eastAsia="Arial" w:hAnsi="Arial"/>
          <w:sz w:val="18"/>
          <w:szCs w:val="18"/>
          <w:b w:val="1"/>
          <w:bCs w:val="1"/>
          <w:color w:val="auto"/>
        </w:rPr>
        <w:t>Inventory</w:t>
      </w:r>
    </w:p>
    <w:p>
      <w:pPr>
        <w:spacing w:after="0" w:line="108" w:lineRule="exact"/>
        <w:rPr>
          <w:sz w:val="20"/>
          <w:szCs w:val="20"/>
          <w:color w:val="auto"/>
        </w:rPr>
      </w:pPr>
    </w:p>
    <w:p>
      <w:pPr>
        <w:ind w:right="60" w:firstLine="644"/>
        <w:spacing w:after="0" w:line="262" w:lineRule="auto"/>
        <w:rPr>
          <w:sz w:val="20"/>
          <w:szCs w:val="20"/>
          <w:color w:val="auto"/>
        </w:rPr>
      </w:pPr>
      <w:r>
        <w:rPr>
          <w:rFonts w:ascii="Arial" w:cs="Arial" w:eastAsia="Arial" w:hAnsi="Arial"/>
          <w:sz w:val="17"/>
          <w:szCs w:val="17"/>
          <w:color w:val="auto"/>
        </w:rPr>
        <w:t>Inventory consists of raw materials, work-in-process, tools inventory and finished goods. Raw materials (plastics and metals) become manufactured products in the additive and subtractive manufacturing processes. Work-in-progress represents manufacturing costs associated with customer orders that are not yet complete. The tools inventory primarily consists of small consumable machine tools, cutting devices, etc. Finished goods represents product awaiting shipment. Inventory consists of the following as of December 31, 2021 and 2020 (in thousands):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420" w:type="dxa"/>
            <w:vAlign w:val="bottom"/>
          </w:tcPr>
          <w:p>
            <w:pPr>
              <w:spacing w:after="0"/>
              <w:rPr>
                <w:sz w:val="16"/>
                <w:szCs w:val="16"/>
                <w:color w:val="auto"/>
              </w:rPr>
            </w:pPr>
          </w:p>
        </w:tc>
        <w:tc>
          <w:tcPr>
            <w:tcW w:w="4320" w:type="dxa"/>
            <w:vAlign w:val="bottom"/>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December 31,</w:t>
            </w:r>
          </w:p>
        </w:tc>
        <w:tc>
          <w:tcPr>
            <w:tcW w:w="114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169"/>
        </w:trPr>
        <w:tc>
          <w:tcPr>
            <w:tcW w:w="342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110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rPr>
              <w:t>2021</w:t>
            </w:r>
          </w:p>
        </w:tc>
        <w:tc>
          <w:tcPr>
            <w:tcW w:w="5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93"/>
              <w:spacing w:after="0"/>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4"/>
                <w:szCs w:val="14"/>
                <w:color w:val="auto"/>
              </w:rPr>
            </w:pPr>
          </w:p>
        </w:tc>
      </w:tr>
      <w:tr>
        <w:trPr>
          <w:trHeight w:val="169"/>
        </w:trPr>
        <w:tc>
          <w:tcPr>
            <w:tcW w:w="3420" w:type="dxa"/>
            <w:vAlign w:val="bottom"/>
          </w:tcPr>
          <w:p>
            <w:pPr>
              <w:spacing w:after="0"/>
              <w:rPr>
                <w:sz w:val="14"/>
                <w:szCs w:val="14"/>
                <w:color w:val="auto"/>
              </w:rPr>
            </w:pPr>
          </w:p>
        </w:tc>
        <w:tc>
          <w:tcPr>
            <w:tcW w:w="5420" w:type="dxa"/>
            <w:vAlign w:val="bottom"/>
            <w:gridSpan w:val="2"/>
          </w:tcPr>
          <w:p>
            <w:pPr>
              <w:spacing w:after="0"/>
              <w:rPr>
                <w:sz w:val="14"/>
                <w:szCs w:val="14"/>
                <w:color w:val="auto"/>
              </w:rPr>
            </w:pPr>
          </w:p>
        </w:tc>
        <w:tc>
          <w:tcPr>
            <w:tcW w:w="560" w:type="dxa"/>
            <w:vAlign w:val="bottom"/>
          </w:tcPr>
          <w:p>
            <w:pPr>
              <w:spacing w:after="0"/>
              <w:rPr>
                <w:sz w:val="14"/>
                <w:szCs w:val="14"/>
                <w:color w:val="auto"/>
              </w:rPr>
            </w:pPr>
          </w:p>
        </w:tc>
        <w:tc>
          <w:tcPr>
            <w:tcW w:w="640" w:type="dxa"/>
            <w:vAlign w:val="bottom"/>
            <w:gridSpan w:val="2"/>
          </w:tcPr>
          <w:p>
            <w:pPr>
              <w:spacing w:after="0"/>
              <w:rPr>
                <w:sz w:val="14"/>
                <w:szCs w:val="14"/>
                <w:color w:val="auto"/>
              </w:rPr>
            </w:pP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03"/>
        </w:trPr>
        <w:tc>
          <w:tcPr>
            <w:tcW w:w="34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Raw materials</w:t>
            </w:r>
          </w:p>
        </w:tc>
        <w:tc>
          <w:tcPr>
            <w:tcW w:w="5420" w:type="dxa"/>
            <w:vAlign w:val="bottom"/>
            <w:gridSpan w:val="2"/>
            <w:shd w:val="clear" w:color="auto" w:fill="CFF0FC"/>
          </w:tcPr>
          <w:p>
            <w:pPr>
              <w:jc w:val="right"/>
              <w:ind w:right="919"/>
              <w:spacing w:after="0" w:line="202" w:lineRule="exact"/>
              <w:rPr>
                <w:sz w:val="20"/>
                <w:szCs w:val="20"/>
                <w:color w:val="auto"/>
              </w:rPr>
            </w:pPr>
            <w:r>
              <w:rPr>
                <w:rFonts w:ascii="Arial" w:cs="Arial" w:eastAsia="Arial" w:hAnsi="Arial"/>
                <w:sz w:val="18"/>
                <w:szCs w:val="18"/>
                <w:color w:val="auto"/>
              </w:rPr>
              <w:t>$</w:t>
            </w:r>
          </w:p>
        </w:tc>
        <w:tc>
          <w:tcPr>
            <w:tcW w:w="5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105</w:t>
            </w:r>
          </w:p>
        </w:tc>
        <w:tc>
          <w:tcPr>
            <w:tcW w:w="640" w:type="dxa"/>
            <w:vAlign w:val="bottom"/>
            <w:gridSpan w:val="2"/>
            <w:shd w:val="clear" w:color="auto" w:fill="CFF0FC"/>
          </w:tcPr>
          <w:p>
            <w:pPr>
              <w:jc w:val="right"/>
              <w:ind w:right="290"/>
              <w:spacing w:after="0" w:line="202" w:lineRule="exact"/>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634</w:t>
            </w:r>
          </w:p>
        </w:tc>
        <w:tc>
          <w:tcPr>
            <w:tcW w:w="60" w:type="dxa"/>
            <w:vAlign w:val="bottom"/>
            <w:shd w:val="clear" w:color="auto" w:fill="CFF0FC"/>
          </w:tcPr>
          <w:p>
            <w:pPr>
              <w:spacing w:after="0"/>
              <w:rPr>
                <w:sz w:val="17"/>
                <w:szCs w:val="17"/>
                <w:color w:val="auto"/>
              </w:rPr>
            </w:pPr>
          </w:p>
        </w:tc>
      </w:tr>
      <w:tr>
        <w:trPr>
          <w:trHeight w:val="203"/>
        </w:trPr>
        <w:tc>
          <w:tcPr>
            <w:tcW w:w="3420" w:type="dxa"/>
            <w:vAlign w:val="bottom"/>
          </w:tcPr>
          <w:p>
            <w:pPr>
              <w:ind w:left="20"/>
              <w:spacing w:after="0" w:line="202" w:lineRule="exact"/>
              <w:rPr>
                <w:sz w:val="20"/>
                <w:szCs w:val="20"/>
                <w:color w:val="auto"/>
              </w:rPr>
            </w:pPr>
            <w:r>
              <w:rPr>
                <w:rFonts w:ascii="Arial" w:cs="Arial" w:eastAsia="Arial" w:hAnsi="Arial"/>
                <w:sz w:val="18"/>
                <w:szCs w:val="18"/>
                <w:color w:val="auto"/>
              </w:rPr>
              <w:t>Work-in-progress</w:t>
            </w:r>
          </w:p>
        </w:tc>
        <w:tc>
          <w:tcPr>
            <w:tcW w:w="4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1,324</w:t>
            </w: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1,247</w:t>
            </w:r>
          </w:p>
        </w:tc>
        <w:tc>
          <w:tcPr>
            <w:tcW w:w="60" w:type="dxa"/>
            <w:vAlign w:val="bottom"/>
          </w:tcPr>
          <w:p>
            <w:pPr>
              <w:spacing w:after="0"/>
              <w:rPr>
                <w:sz w:val="17"/>
                <w:szCs w:val="17"/>
                <w:color w:val="auto"/>
              </w:rPr>
            </w:pPr>
          </w:p>
        </w:tc>
      </w:tr>
      <w:tr>
        <w:trPr>
          <w:trHeight w:val="203"/>
        </w:trPr>
        <w:tc>
          <w:tcPr>
            <w:tcW w:w="34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Tools inventory</w:t>
            </w:r>
          </w:p>
        </w:tc>
        <w:tc>
          <w:tcPr>
            <w:tcW w:w="432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5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365</w:t>
            </w:r>
          </w:p>
        </w:tc>
        <w:tc>
          <w:tcPr>
            <w:tcW w:w="16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312</w:t>
            </w:r>
          </w:p>
        </w:tc>
        <w:tc>
          <w:tcPr>
            <w:tcW w:w="60" w:type="dxa"/>
            <w:vAlign w:val="bottom"/>
            <w:shd w:val="clear" w:color="auto" w:fill="CFF0FC"/>
          </w:tcPr>
          <w:p>
            <w:pPr>
              <w:spacing w:after="0"/>
              <w:rPr>
                <w:sz w:val="17"/>
                <w:szCs w:val="17"/>
                <w:color w:val="auto"/>
              </w:rPr>
            </w:pPr>
          </w:p>
        </w:tc>
      </w:tr>
      <w:tr>
        <w:trPr>
          <w:trHeight w:val="203"/>
        </w:trPr>
        <w:tc>
          <w:tcPr>
            <w:tcW w:w="3420" w:type="dxa"/>
            <w:vAlign w:val="bottom"/>
          </w:tcPr>
          <w:p>
            <w:pPr>
              <w:ind w:left="20"/>
              <w:spacing w:after="0" w:line="202" w:lineRule="exact"/>
              <w:rPr>
                <w:sz w:val="20"/>
                <w:szCs w:val="20"/>
                <w:color w:val="auto"/>
              </w:rPr>
            </w:pPr>
            <w:r>
              <w:rPr>
                <w:rFonts w:ascii="Arial" w:cs="Arial" w:eastAsia="Arial" w:hAnsi="Arial"/>
                <w:sz w:val="18"/>
                <w:szCs w:val="18"/>
                <w:color w:val="auto"/>
              </w:rPr>
              <w:t>Finished goods</w:t>
            </w:r>
          </w:p>
        </w:tc>
        <w:tc>
          <w:tcPr>
            <w:tcW w:w="4320" w:type="dxa"/>
            <w:vAlign w:val="bottom"/>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239</w:t>
            </w:r>
          </w:p>
        </w:tc>
        <w:tc>
          <w:tcPr>
            <w:tcW w:w="16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101</w:t>
            </w:r>
          </w:p>
        </w:tc>
        <w:tc>
          <w:tcPr>
            <w:tcW w:w="60" w:type="dxa"/>
            <w:vAlign w:val="bottom"/>
          </w:tcPr>
          <w:p>
            <w:pPr>
              <w:spacing w:after="0"/>
              <w:rPr>
                <w:sz w:val="17"/>
                <w:szCs w:val="17"/>
                <w:color w:val="auto"/>
              </w:rPr>
            </w:pPr>
          </w:p>
        </w:tc>
      </w:tr>
      <w:tr>
        <w:trPr>
          <w:trHeight w:val="236"/>
        </w:trPr>
        <w:tc>
          <w:tcPr>
            <w:tcW w:w="342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Total</w:t>
            </w:r>
          </w:p>
        </w:tc>
        <w:tc>
          <w:tcPr>
            <w:tcW w:w="4320" w:type="dxa"/>
            <w:vAlign w:val="bottom"/>
            <w:tcBorders>
              <w:bottom w:val="single" w:sz="8" w:color="CFF0FC"/>
            </w:tcBorders>
            <w:shd w:val="clear" w:color="auto" w:fill="CFF0FC"/>
          </w:tcPr>
          <w:p>
            <w:pPr>
              <w:spacing w:after="0"/>
              <w:rPr>
                <w:sz w:val="20"/>
                <w:szCs w:val="20"/>
                <w:color w:val="auto"/>
              </w:rPr>
            </w:pPr>
          </w:p>
        </w:tc>
        <w:tc>
          <w:tcPr>
            <w:tcW w:w="1100" w:type="dxa"/>
            <w:vAlign w:val="bottom"/>
            <w:tcBorders>
              <w:bottom w:val="single" w:sz="8" w:color="auto"/>
            </w:tcBorders>
            <w:shd w:val="clear" w:color="auto" w:fill="CFF0FC"/>
          </w:tcPr>
          <w:p>
            <w:pPr>
              <w:jc w:val="right"/>
              <w:ind w:right="919"/>
              <w:spacing w:after="0" w:line="196" w:lineRule="exact"/>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2,033</w:t>
            </w:r>
          </w:p>
        </w:tc>
        <w:tc>
          <w:tcPr>
            <w:tcW w:w="160" w:type="dxa"/>
            <w:vAlign w:val="bottom"/>
            <w:tcBorders>
              <w:bottom w:val="single" w:sz="8" w:color="CFF0FC"/>
            </w:tcBorders>
            <w:shd w:val="clear" w:color="auto" w:fill="CFF0FC"/>
          </w:tcPr>
          <w:p>
            <w:pPr>
              <w:spacing w:after="0"/>
              <w:rPr>
                <w:sz w:val="20"/>
                <w:szCs w:val="20"/>
                <w:color w:val="auto"/>
              </w:rPr>
            </w:pPr>
          </w:p>
        </w:tc>
        <w:tc>
          <w:tcPr>
            <w:tcW w:w="480" w:type="dxa"/>
            <w:vAlign w:val="bottom"/>
            <w:tcBorders>
              <w:bottom w:val="single" w:sz="8" w:color="auto"/>
            </w:tcBorders>
            <w:shd w:val="clear" w:color="auto" w:fill="CFF0FC"/>
          </w:tcPr>
          <w:p>
            <w:pPr>
              <w:jc w:val="right"/>
              <w:ind w:right="290"/>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2,294</w:t>
            </w:r>
          </w:p>
        </w:tc>
        <w:tc>
          <w:tcPr>
            <w:tcW w:w="60" w:type="dxa"/>
            <w:vAlign w:val="bottom"/>
            <w:tcBorders>
              <w:bottom w:val="single" w:sz="8" w:color="CFF0FC"/>
            </w:tcBorders>
            <w:shd w:val="clear" w:color="auto" w:fill="CFF0FC"/>
          </w:tcPr>
          <w:p>
            <w:pPr>
              <w:spacing w:after="0"/>
              <w:rPr>
                <w:sz w:val="20"/>
                <w:szCs w:val="20"/>
                <w:color w:val="auto"/>
              </w:rPr>
            </w:pPr>
          </w:p>
        </w:tc>
      </w:tr>
      <w:tr>
        <w:trPr>
          <w:trHeight w:val="399"/>
        </w:trPr>
        <w:tc>
          <w:tcPr>
            <w:tcW w:w="3420" w:type="dxa"/>
            <w:vAlign w:val="bottom"/>
          </w:tcPr>
          <w:p>
            <w:pPr>
              <w:spacing w:after="0"/>
              <w:rPr>
                <w:sz w:val="24"/>
                <w:szCs w:val="24"/>
                <w:color w:val="auto"/>
              </w:rPr>
            </w:pPr>
          </w:p>
        </w:tc>
        <w:tc>
          <w:tcPr>
            <w:tcW w:w="4320" w:type="dxa"/>
            <w:vAlign w:val="bottom"/>
          </w:tcPr>
          <w:p>
            <w:pPr>
              <w:jc w:val="right"/>
              <w:ind w:right="1930"/>
              <w:spacing w:after="0"/>
              <w:rPr>
                <w:sz w:val="20"/>
                <w:szCs w:val="20"/>
                <w:color w:val="auto"/>
              </w:rPr>
            </w:pPr>
            <w:r>
              <w:rPr>
                <w:rFonts w:ascii="Arial" w:cs="Arial" w:eastAsia="Arial" w:hAnsi="Arial"/>
                <w:sz w:val="18"/>
                <w:szCs w:val="18"/>
                <w:color w:val="auto"/>
              </w:rPr>
              <w:t>69</w:t>
            </w:r>
          </w:p>
        </w:tc>
        <w:tc>
          <w:tcPr>
            <w:tcW w:w="1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01"/>
        </w:trPr>
        <w:tc>
          <w:tcPr>
            <w:tcW w:w="3420" w:type="dxa"/>
            <w:vAlign w:val="bottom"/>
            <w:tcBorders>
              <w:bottom w:val="single" w:sz="8" w:color="9A9A9A"/>
            </w:tcBorders>
          </w:tcPr>
          <w:p>
            <w:pPr>
              <w:spacing w:after="0"/>
              <w:rPr>
                <w:sz w:val="8"/>
                <w:szCs w:val="8"/>
                <w:color w:val="auto"/>
              </w:rPr>
            </w:pPr>
          </w:p>
        </w:tc>
        <w:tc>
          <w:tcPr>
            <w:tcW w:w="4320" w:type="dxa"/>
            <w:vAlign w:val="bottom"/>
            <w:tcBorders>
              <w:bottom w:val="single" w:sz="8" w:color="9A9A9A"/>
            </w:tcBorders>
          </w:tcPr>
          <w:p>
            <w:pPr>
              <w:spacing w:after="0"/>
              <w:rPr>
                <w:sz w:val="8"/>
                <w:szCs w:val="8"/>
                <w:color w:val="auto"/>
              </w:rPr>
            </w:pPr>
          </w:p>
        </w:tc>
        <w:tc>
          <w:tcPr>
            <w:tcW w:w="110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480" w:type="dxa"/>
            <w:vAlign w:val="bottom"/>
            <w:tcBorders>
              <w:bottom w:val="single" w:sz="8" w:color="9A9A9A"/>
            </w:tcBorders>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5962650</wp:posOffset>
            </wp:positionH>
            <wp:positionV relativeFrom="paragraph">
              <wp:posOffset>-367665</wp:posOffset>
            </wp:positionV>
            <wp:extent cx="51435"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-350520</wp:posOffset>
            </wp:positionV>
            <wp:extent cx="51435"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-367665</wp:posOffset>
            </wp:positionV>
            <wp:extent cx="4318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6">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-350520</wp:posOffset>
            </wp:positionV>
            <wp:extent cx="4318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7">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72" w:name="page73"/>
    <w:bookmarkEnd w:id="72"/>
    <w:p>
      <w:pPr>
        <w:ind w:left="660" w:hanging="652"/>
        <w:spacing w:after="0"/>
        <w:tabs>
          <w:tab w:leader="none" w:pos="660" w:val="left"/>
        </w:tabs>
        <w:numPr>
          <w:ilvl w:val="0"/>
          <w:numId w:val="58"/>
        </w:numPr>
        <w:rPr>
          <w:rFonts w:ascii="Arial" w:cs="Arial" w:eastAsia="Arial" w:hAnsi="Arial"/>
          <w:sz w:val="18"/>
          <w:szCs w:val="18"/>
          <w:b w:val="1"/>
          <w:bCs w:val="1"/>
          <w:color w:val="auto"/>
        </w:rPr>
      </w:pPr>
      <w:r>
        <w:rPr>
          <w:rFonts w:ascii="Arial" w:cs="Arial" w:eastAsia="Arial" w:hAnsi="Arial"/>
          <w:sz w:val="18"/>
          <w:szCs w:val="18"/>
          <w:b w:val="1"/>
          <w:bCs w:val="1"/>
          <w:color w:val="auto"/>
        </w:rPr>
        <w:t>Property and Equipment and Long-Lived Assets</w:t>
      </w:r>
    </w:p>
    <w:p>
      <w:pPr>
        <w:spacing w:after="0" w:line="107"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Property and equipment consist of the following as of December 31, 2021 and 2020 (in thousands):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9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5"/>
          </w:tcPr>
          <w:p>
            <w:pPr>
              <w:jc w:val="right"/>
              <w:ind w:right="18"/>
              <w:spacing w:after="0"/>
              <w:rPr>
                <w:sz w:val="20"/>
                <w:szCs w:val="20"/>
                <w:color w:val="auto"/>
              </w:rPr>
            </w:pPr>
            <w:r>
              <w:rPr>
                <w:rFonts w:ascii="Arial" w:cs="Arial" w:eastAsia="Arial" w:hAnsi="Arial"/>
                <w:sz w:val="14"/>
                <w:szCs w:val="14"/>
                <w:b w:val="1"/>
                <w:bCs w:val="1"/>
                <w:color w:val="auto"/>
              </w:rPr>
              <w:t>December 31,</w:t>
            </w:r>
          </w:p>
        </w:tc>
        <w:tc>
          <w:tcPr>
            <w:tcW w:w="88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980" w:type="dxa"/>
            <w:vAlign w:val="bottom"/>
          </w:tcPr>
          <w:p>
            <w:pPr>
              <w:spacing w:after="0"/>
              <w:rPr>
                <w:sz w:val="14"/>
                <w:szCs w:val="14"/>
                <w:color w:val="auto"/>
              </w:rPr>
            </w:pPr>
          </w:p>
        </w:tc>
        <w:tc>
          <w:tcPr>
            <w:tcW w:w="2220" w:type="dxa"/>
            <w:vAlign w:val="bottom"/>
            <w:tcBorders>
              <w:bottom w:val="single" w:sz="8" w:color="auto"/>
            </w:tcBorders>
            <w:gridSpan w:val="4"/>
          </w:tcPr>
          <w:p>
            <w:pPr>
              <w:jc w:val="right"/>
              <w:ind w:right="708"/>
              <w:spacing w:after="0"/>
              <w:rPr>
                <w:sz w:val="20"/>
                <w:szCs w:val="20"/>
                <w:color w:val="auto"/>
              </w:rPr>
            </w:pPr>
            <w:r>
              <w:rPr>
                <w:rFonts w:ascii="Arial" w:cs="Arial" w:eastAsia="Arial" w:hAnsi="Arial"/>
                <w:sz w:val="14"/>
                <w:szCs w:val="14"/>
                <w:b w:val="1"/>
                <w:bCs w:val="1"/>
                <w:color w:val="auto"/>
              </w:rPr>
              <w:t>Useful Life</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2021</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2020</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9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gridSpan w:val="2"/>
          </w:tcPr>
          <w:p>
            <w:pPr>
              <w:spacing w:after="0"/>
              <w:rPr>
                <w:sz w:val="14"/>
                <w:szCs w:val="14"/>
                <w:color w:val="auto"/>
              </w:rPr>
            </w:pPr>
          </w:p>
        </w:tc>
        <w:tc>
          <w:tcPr>
            <w:tcW w:w="9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59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Technology hardware</w:t>
            </w:r>
          </w:p>
        </w:tc>
        <w:tc>
          <w:tcPr>
            <w:tcW w:w="8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3 years</w:t>
            </w:r>
          </w:p>
        </w:tc>
        <w:tc>
          <w:tcPr>
            <w:tcW w:w="460" w:type="dxa"/>
            <w:vAlign w:val="bottom"/>
            <w:gridSpan w:val="3"/>
            <w:shd w:val="clear" w:color="auto" w:fill="CFF0FC"/>
          </w:tcPr>
          <w:p>
            <w:pPr>
              <w:jc w:val="right"/>
              <w:ind w:right="130"/>
              <w:spacing w:after="0" w:line="202" w:lineRule="exact"/>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2,220</w:t>
            </w:r>
          </w:p>
        </w:tc>
        <w:tc>
          <w:tcPr>
            <w:tcW w:w="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tcBorders>
              <w:right w:val="single" w:sz="8" w:color="CFF0FC"/>
            </w:tcBorders>
            <w:shd w:val="clear" w:color="auto" w:fill="CFF0FC"/>
          </w:tcPr>
          <w:p>
            <w:pPr>
              <w:spacing w:after="0"/>
              <w:rPr>
                <w:sz w:val="17"/>
                <w:szCs w:val="17"/>
                <w:color w:val="auto"/>
              </w:rPr>
            </w:pPr>
          </w:p>
        </w:tc>
        <w:tc>
          <w:tcPr>
            <w:tcW w:w="400" w:type="dxa"/>
            <w:vAlign w:val="bottom"/>
            <w:shd w:val="clear" w:color="auto" w:fill="CFF0FC"/>
          </w:tcPr>
          <w:p>
            <w:pPr>
              <w:jc w:val="right"/>
              <w:ind w:right="218"/>
              <w:spacing w:after="0" w:line="202" w:lineRule="exact"/>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1,452</w:t>
            </w:r>
          </w:p>
        </w:tc>
        <w:tc>
          <w:tcPr>
            <w:tcW w:w="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80" w:type="dxa"/>
            <w:vAlign w:val="bottom"/>
          </w:tcPr>
          <w:p>
            <w:pPr>
              <w:ind w:left="20"/>
              <w:spacing w:after="0" w:line="202" w:lineRule="exact"/>
              <w:rPr>
                <w:sz w:val="20"/>
                <w:szCs w:val="20"/>
                <w:color w:val="auto"/>
              </w:rPr>
            </w:pPr>
            <w:r>
              <w:rPr>
                <w:rFonts w:ascii="Arial" w:cs="Arial" w:eastAsia="Arial" w:hAnsi="Arial"/>
                <w:sz w:val="18"/>
                <w:szCs w:val="18"/>
                <w:color w:val="auto"/>
              </w:rPr>
              <w:t>Manufacturing equipment</w:t>
            </w: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 years</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2,946</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2,603</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Capitalized software development</w:t>
            </w:r>
          </w:p>
        </w:tc>
        <w:tc>
          <w:tcPr>
            <w:tcW w:w="8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3 years</w:t>
            </w:r>
          </w:p>
        </w:tc>
        <w:tc>
          <w:tcPr>
            <w:tcW w:w="1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13,126</w:t>
            </w:r>
          </w:p>
        </w:tc>
        <w:tc>
          <w:tcPr>
            <w:tcW w:w="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tcBorders>
              <w:right w:val="single" w:sz="8" w:color="CFF0FC"/>
            </w:tcBorders>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8,123</w:t>
            </w:r>
          </w:p>
        </w:tc>
        <w:tc>
          <w:tcPr>
            <w:tcW w:w="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80" w:type="dxa"/>
            <w:vAlign w:val="bottom"/>
          </w:tcPr>
          <w:p>
            <w:pPr>
              <w:ind w:left="20"/>
              <w:spacing w:after="0" w:line="202" w:lineRule="exact"/>
              <w:rPr>
                <w:sz w:val="20"/>
                <w:szCs w:val="20"/>
                <w:color w:val="auto"/>
              </w:rPr>
            </w:pPr>
            <w:r>
              <w:rPr>
                <w:rFonts w:ascii="Arial" w:cs="Arial" w:eastAsia="Arial" w:hAnsi="Arial"/>
                <w:sz w:val="18"/>
                <w:szCs w:val="18"/>
                <w:color w:val="auto"/>
              </w:rPr>
              <w:t>Patent</w:t>
            </w: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17 years</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157</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157</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5980" w:type="dxa"/>
            <w:vAlign w:val="bottom"/>
            <w:shd w:val="clear" w:color="auto" w:fill="CFF0FC"/>
          </w:tcPr>
          <w:p>
            <w:pPr>
              <w:ind w:left="20"/>
              <w:spacing w:after="0" w:line="162" w:lineRule="exact"/>
              <w:rPr>
                <w:sz w:val="20"/>
                <w:szCs w:val="20"/>
                <w:color w:val="auto"/>
              </w:rPr>
            </w:pPr>
            <w:r>
              <w:rPr>
                <w:rFonts w:ascii="Arial" w:cs="Arial" w:eastAsia="Arial" w:hAnsi="Arial"/>
                <w:sz w:val="18"/>
                <w:szCs w:val="18"/>
                <w:color w:val="auto"/>
              </w:rPr>
              <w:t>Leasehold improvements</w:t>
            </w:r>
          </w:p>
        </w:tc>
        <w:tc>
          <w:tcPr>
            <w:tcW w:w="8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60" w:type="dxa"/>
            <w:vAlign w:val="bottom"/>
            <w:gridSpan w:val="2"/>
            <w:shd w:val="clear" w:color="auto" w:fill="CFF0FC"/>
          </w:tcPr>
          <w:p>
            <w:pPr>
              <w:jc w:val="right"/>
              <w:spacing w:after="0" w:line="162" w:lineRule="exact"/>
              <w:rPr>
                <w:sz w:val="20"/>
                <w:szCs w:val="20"/>
                <w:color w:val="auto"/>
              </w:rPr>
            </w:pPr>
            <w:r>
              <w:rPr>
                <w:rFonts w:ascii="Arial" w:cs="Arial" w:eastAsia="Arial" w:hAnsi="Arial"/>
                <w:sz w:val="18"/>
                <w:szCs w:val="18"/>
                <w:color w:val="auto"/>
                <w:w w:val="92"/>
              </w:rPr>
              <w:t>Shorter of useful</w:t>
            </w:r>
          </w:p>
        </w:tc>
        <w:tc>
          <w:tcPr>
            <w:tcW w:w="12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9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1,222</w:t>
            </w:r>
          </w:p>
        </w:tc>
        <w:tc>
          <w:tcPr>
            <w:tcW w:w="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tcBorders>
              <w:right w:val="single" w:sz="8" w:color="CFF0FC"/>
            </w:tcBorders>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8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717</w:t>
            </w:r>
          </w:p>
        </w:tc>
        <w:tc>
          <w:tcPr>
            <w:tcW w:w="4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91"/>
              </w:rPr>
              <w:t>life or lease term</w:t>
            </w:r>
          </w:p>
        </w:tc>
        <w:tc>
          <w:tcPr>
            <w:tcW w:w="1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980" w:type="dxa"/>
            <w:vAlign w:val="bottom"/>
            <w:vMerge w:val="continue"/>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tcBorders>
              <w:right w:val="single" w:sz="8" w:color="CFF0FC"/>
            </w:tcBorders>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880" w:type="dxa"/>
            <w:vAlign w:val="bottom"/>
            <w:vMerge w:val="continue"/>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980" w:type="dxa"/>
            <w:vAlign w:val="bottom"/>
          </w:tcPr>
          <w:p>
            <w:pPr>
              <w:ind w:left="20"/>
              <w:spacing w:after="0" w:line="202" w:lineRule="exact"/>
              <w:rPr>
                <w:sz w:val="20"/>
                <w:szCs w:val="20"/>
                <w:color w:val="auto"/>
              </w:rPr>
            </w:pPr>
            <w:r>
              <w:rPr>
                <w:rFonts w:ascii="Arial" w:cs="Arial" w:eastAsia="Arial" w:hAnsi="Arial"/>
                <w:sz w:val="18"/>
                <w:szCs w:val="18"/>
                <w:color w:val="auto"/>
              </w:rPr>
              <w:t>Furniture and fixtures</w:t>
            </w: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7 years</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1,155</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675</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9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Total</w:t>
            </w:r>
          </w:p>
        </w:tc>
        <w:tc>
          <w:tcPr>
            <w:tcW w:w="8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20,826</w:t>
            </w:r>
          </w:p>
        </w:tc>
        <w:tc>
          <w:tcPr>
            <w:tcW w:w="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tcBorders>
              <w:right w:val="single" w:sz="8" w:color="CFF0FC"/>
            </w:tcBorders>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13,727</w:t>
            </w:r>
          </w:p>
        </w:tc>
        <w:tc>
          <w:tcPr>
            <w:tcW w:w="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80" w:type="dxa"/>
            <w:vAlign w:val="bottom"/>
          </w:tcPr>
          <w:p>
            <w:pPr>
              <w:ind w:left="20"/>
              <w:spacing w:after="0" w:line="202" w:lineRule="exact"/>
              <w:rPr>
                <w:sz w:val="20"/>
                <w:szCs w:val="20"/>
                <w:color w:val="auto"/>
              </w:rPr>
            </w:pPr>
            <w:r>
              <w:rPr>
                <w:rFonts w:ascii="Arial" w:cs="Arial" w:eastAsia="Arial" w:hAnsi="Arial"/>
                <w:sz w:val="18"/>
                <w:szCs w:val="18"/>
                <w:color w:val="auto"/>
              </w:rPr>
              <w:t>Less accumulated depreciation</w:t>
            </w: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(10,539 )</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80" w:type="dxa"/>
            <w:vAlign w:val="bottom"/>
            <w:gridSpan w:val="3"/>
          </w:tcPr>
          <w:p>
            <w:pPr>
              <w:jc w:val="right"/>
              <w:ind w:right="20"/>
              <w:spacing w:after="0" w:line="202" w:lineRule="exact"/>
              <w:rPr>
                <w:sz w:val="20"/>
                <w:szCs w:val="20"/>
                <w:color w:val="auto"/>
              </w:rPr>
            </w:pPr>
            <w:r>
              <w:rPr>
                <w:rFonts w:ascii="Arial" w:cs="Arial" w:eastAsia="Arial" w:hAnsi="Arial"/>
                <w:sz w:val="18"/>
                <w:szCs w:val="18"/>
                <w:color w:val="auto"/>
              </w:rPr>
              <w:t>(7,614 )</w:t>
            </w:r>
          </w:p>
        </w:tc>
        <w:tc>
          <w:tcPr>
            <w:tcW w:w="0" w:type="dxa"/>
            <w:vAlign w:val="bottom"/>
          </w:tcPr>
          <w:p>
            <w:pPr>
              <w:spacing w:after="0"/>
              <w:rPr>
                <w:sz w:val="1"/>
                <w:szCs w:val="1"/>
                <w:color w:val="auto"/>
              </w:rPr>
            </w:pPr>
          </w:p>
        </w:tc>
      </w:tr>
      <w:tr>
        <w:trPr>
          <w:trHeight w:val="236"/>
        </w:trPr>
        <w:tc>
          <w:tcPr>
            <w:tcW w:w="598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Property and Equipment, net</w:t>
            </w:r>
          </w:p>
        </w:tc>
        <w:tc>
          <w:tcPr>
            <w:tcW w:w="82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spacing w:after="0"/>
              <w:rPr>
                <w:sz w:val="20"/>
                <w:szCs w:val="20"/>
                <w:color w:val="auto"/>
              </w:rPr>
            </w:pPr>
          </w:p>
        </w:tc>
        <w:tc>
          <w:tcPr>
            <w:tcW w:w="1220" w:type="dxa"/>
            <w:vAlign w:val="bottom"/>
            <w:tcBorders>
              <w:bottom w:val="single" w:sz="8" w:color="CFF0FC"/>
            </w:tcBorders>
            <w:shd w:val="clear" w:color="auto" w:fill="CFF0FC"/>
          </w:tcPr>
          <w:p>
            <w:pPr>
              <w:spacing w:after="0"/>
              <w:rPr>
                <w:sz w:val="20"/>
                <w:szCs w:val="20"/>
                <w:color w:val="auto"/>
              </w:rPr>
            </w:pPr>
          </w:p>
        </w:tc>
        <w:tc>
          <w:tcPr>
            <w:tcW w:w="4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2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top w:val="single" w:sz="8" w:color="auto"/>
              <w:bottom w:val="single" w:sz="8" w:color="auto"/>
            </w:tcBorders>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10,287</w:t>
            </w:r>
          </w:p>
        </w:tc>
        <w:tc>
          <w:tcPr>
            <w:tcW w:w="40" w:type="dxa"/>
            <w:vAlign w:val="bottom"/>
            <w:tcBorders>
              <w:bottom w:val="single" w:sz="8" w:color="CFF0FC"/>
            </w:tcBorders>
            <w:shd w:val="clear" w:color="auto" w:fill="CFF0FC"/>
          </w:tcPr>
          <w:p>
            <w:pPr>
              <w:spacing w:after="0"/>
              <w:rPr>
                <w:sz w:val="20"/>
                <w:szCs w:val="20"/>
                <w:color w:val="auto"/>
              </w:rPr>
            </w:pPr>
          </w:p>
        </w:tc>
        <w:tc>
          <w:tcPr>
            <w:tcW w:w="8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right w:val="single" w:sz="8" w:color="CFF0FC"/>
            </w:tcBorders>
            <w:shd w:val="clear" w:color="auto" w:fill="CFF0FC"/>
          </w:tcPr>
          <w:p>
            <w:pPr>
              <w:spacing w:after="0"/>
              <w:rPr>
                <w:sz w:val="20"/>
                <w:szCs w:val="20"/>
                <w:color w:val="auto"/>
              </w:rPr>
            </w:pPr>
          </w:p>
        </w:tc>
        <w:tc>
          <w:tcPr>
            <w:tcW w:w="400" w:type="dxa"/>
            <w:vAlign w:val="bottom"/>
            <w:tcBorders>
              <w:top w:val="single" w:sz="8" w:color="auto"/>
              <w:bottom w:val="single" w:sz="8" w:color="auto"/>
            </w:tcBorders>
            <w:shd w:val="clear" w:color="auto" w:fill="CFF0FC"/>
          </w:tcPr>
          <w:p>
            <w:pPr>
              <w:jc w:val="right"/>
              <w:ind w:right="218"/>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6,113</w:t>
            </w:r>
          </w:p>
        </w:tc>
        <w:tc>
          <w:tcPr>
            <w:tcW w:w="40" w:type="dxa"/>
            <w:vAlign w:val="bottom"/>
            <w:tcBorders>
              <w:bottom w:val="single" w:sz="8" w:color="CFF0FC"/>
            </w:tcBorders>
            <w:shd w:val="clear" w:color="auto" w:fill="CFF0FC"/>
          </w:tcPr>
          <w:p>
            <w:pPr>
              <w:spacing w:after="0"/>
              <w:rPr>
                <w:sz w:val="20"/>
                <w:szCs w:val="20"/>
                <w:color w:val="auto"/>
              </w:rPr>
            </w:pPr>
          </w:p>
        </w:tc>
        <w:tc>
          <w:tcPr>
            <w:tcW w:w="6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399"/>
        </w:trPr>
        <w:tc>
          <w:tcPr>
            <w:tcW w:w="8660" w:type="dxa"/>
            <w:vAlign w:val="bottom"/>
            <w:gridSpan w:val="8"/>
          </w:tcPr>
          <w:p>
            <w:pPr>
              <w:ind w:left="660"/>
              <w:spacing w:after="0"/>
              <w:rPr>
                <w:sz w:val="20"/>
                <w:szCs w:val="20"/>
                <w:color w:val="auto"/>
              </w:rPr>
            </w:pPr>
            <w:r>
              <w:rPr>
                <w:rFonts w:ascii="Arial" w:cs="Arial" w:eastAsia="Arial" w:hAnsi="Arial"/>
                <w:sz w:val="18"/>
                <w:szCs w:val="18"/>
                <w:color w:val="auto"/>
                <w:w w:val="91"/>
              </w:rPr>
              <w:t>Depreciation expense for the years ended December 31, 2021, 2020 and 2019 was as follows (in thousands):</w:t>
            </w: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59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8"/>
          </w:tcPr>
          <w:p>
            <w:pPr>
              <w:ind w:left="20"/>
              <w:spacing w:after="0"/>
              <w:rPr>
                <w:sz w:val="20"/>
                <w:szCs w:val="20"/>
                <w:color w:val="auto"/>
              </w:rPr>
            </w:pPr>
            <w:r>
              <w:rPr>
                <w:rFonts w:ascii="Arial" w:cs="Arial" w:eastAsia="Arial" w:hAnsi="Arial"/>
                <w:sz w:val="14"/>
                <w:szCs w:val="14"/>
                <w:b w:val="1"/>
                <w:bCs w:val="1"/>
                <w:color w:val="auto"/>
                <w:w w:val="95"/>
              </w:rPr>
              <w:t>Year Ended December 31,</w:t>
            </w:r>
          </w:p>
        </w:tc>
        <w:tc>
          <w:tcPr>
            <w:tcW w:w="4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59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2021</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2020</w:t>
            </w:r>
          </w:p>
        </w:tc>
        <w:tc>
          <w:tcPr>
            <w:tcW w:w="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2019</w:t>
            </w:r>
          </w:p>
        </w:tc>
        <w:tc>
          <w:tcPr>
            <w:tcW w:w="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98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Cost of revenue</w:t>
            </w:r>
          </w:p>
        </w:tc>
        <w:tc>
          <w:tcPr>
            <w:tcW w:w="9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w:t>
            </w:r>
          </w:p>
        </w:tc>
        <w:tc>
          <w:tcPr>
            <w:tcW w:w="40" w:type="dxa"/>
            <w:vAlign w:val="bottom"/>
            <w:shd w:val="clear" w:color="auto" w:fill="CFF0FC"/>
          </w:tcPr>
          <w:p>
            <w:pPr>
              <w:spacing w:after="0"/>
              <w:rPr>
                <w:sz w:val="19"/>
                <w:szCs w:val="19"/>
                <w:color w:val="auto"/>
              </w:rPr>
            </w:pPr>
          </w:p>
        </w:tc>
        <w:tc>
          <w:tcPr>
            <w:tcW w:w="460" w:type="dxa"/>
            <w:vAlign w:val="bottom"/>
            <w:gridSpan w:val="3"/>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230</w:t>
            </w:r>
          </w:p>
        </w:tc>
        <w:tc>
          <w:tcPr>
            <w:tcW w:w="80" w:type="dxa"/>
            <w:vAlign w:val="bottom"/>
            <w:shd w:val="clear" w:color="auto" w:fill="CFF0FC"/>
          </w:tcPr>
          <w:p>
            <w:pPr>
              <w:spacing w:after="0"/>
              <w:rPr>
                <w:sz w:val="19"/>
                <w:szCs w:val="19"/>
                <w:color w:val="auto"/>
              </w:rPr>
            </w:pPr>
          </w:p>
        </w:tc>
        <w:tc>
          <w:tcPr>
            <w:tcW w:w="100" w:type="dxa"/>
            <w:vAlign w:val="bottom"/>
            <w:tcBorders>
              <w:right w:val="single" w:sz="8" w:color="CFF0FC"/>
            </w:tcBorders>
          </w:tcPr>
          <w:p>
            <w:pPr>
              <w:spacing w:after="0"/>
              <w:rPr>
                <w:sz w:val="19"/>
                <w:szCs w:val="19"/>
                <w:color w:val="auto"/>
              </w:rPr>
            </w:pPr>
          </w:p>
        </w:tc>
        <w:tc>
          <w:tcPr>
            <w:tcW w:w="400" w:type="dxa"/>
            <w:vAlign w:val="bottom"/>
            <w:shd w:val="clear" w:color="auto" w:fill="CFF0FC"/>
          </w:tcPr>
          <w:p>
            <w:pPr>
              <w:jc w:val="right"/>
              <w:ind w:right="238"/>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282</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80" w:type="dxa"/>
            <w:vAlign w:val="bottom"/>
          </w:tcPr>
          <w:p>
            <w:pPr>
              <w:ind w:left="20"/>
              <w:spacing w:after="0"/>
              <w:rPr>
                <w:sz w:val="20"/>
                <w:szCs w:val="20"/>
                <w:color w:val="auto"/>
              </w:rPr>
            </w:pPr>
            <w:r>
              <w:rPr>
                <w:rFonts w:ascii="Arial" w:cs="Arial" w:eastAsia="Arial" w:hAnsi="Arial"/>
                <w:sz w:val="18"/>
                <w:szCs w:val="18"/>
                <w:color w:val="auto"/>
              </w:rPr>
              <w:t>Sales and marketing</w:t>
            </w: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23</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23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8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Operations and support</w:t>
            </w:r>
          </w:p>
        </w:tc>
        <w:tc>
          <w:tcPr>
            <w:tcW w:w="8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w:t>
            </w: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193</w:t>
            </w:r>
          </w:p>
        </w:tc>
        <w:tc>
          <w:tcPr>
            <w:tcW w:w="80" w:type="dxa"/>
            <w:vAlign w:val="bottom"/>
            <w:shd w:val="clear" w:color="auto" w:fill="CFF0FC"/>
          </w:tcPr>
          <w:p>
            <w:pPr>
              <w:spacing w:after="0"/>
              <w:rPr>
                <w:sz w:val="19"/>
                <w:szCs w:val="19"/>
                <w:color w:val="auto"/>
              </w:rPr>
            </w:pPr>
          </w:p>
        </w:tc>
        <w:tc>
          <w:tcPr>
            <w:tcW w:w="100" w:type="dxa"/>
            <w:vAlign w:val="bottom"/>
            <w:tcBorders>
              <w:right w:val="single" w:sz="8" w:color="CFF0FC"/>
            </w:tcBorders>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136</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80" w:type="dxa"/>
            <w:vAlign w:val="bottom"/>
          </w:tcPr>
          <w:p>
            <w:pPr>
              <w:ind w:left="20"/>
              <w:spacing w:after="0"/>
              <w:rPr>
                <w:sz w:val="20"/>
                <w:szCs w:val="20"/>
                <w:color w:val="auto"/>
              </w:rPr>
            </w:pPr>
            <w:r>
              <w:rPr>
                <w:rFonts w:ascii="Arial" w:cs="Arial" w:eastAsia="Arial" w:hAnsi="Arial"/>
                <w:sz w:val="18"/>
                <w:szCs w:val="18"/>
                <w:color w:val="auto"/>
              </w:rPr>
              <w:t>Product development</w:t>
            </w: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2,655</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1,543</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975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9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General and administrative</w:t>
            </w:r>
          </w:p>
        </w:tc>
        <w:tc>
          <w:tcPr>
            <w:tcW w:w="8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207</w:t>
            </w:r>
          </w:p>
        </w:tc>
        <w:tc>
          <w:tcPr>
            <w:tcW w:w="4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auto"/>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298</w:t>
            </w:r>
          </w:p>
        </w:tc>
        <w:tc>
          <w:tcPr>
            <w:tcW w:w="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right w:val="single" w:sz="8" w:color="CFF0FC"/>
            </w:tcBorders>
          </w:tcPr>
          <w:p>
            <w:pPr>
              <w:spacing w:after="0"/>
              <w:rPr>
                <w:sz w:val="18"/>
                <w:szCs w:val="18"/>
                <w:color w:val="auto"/>
              </w:rPr>
            </w:pPr>
          </w:p>
        </w:tc>
        <w:tc>
          <w:tcPr>
            <w:tcW w:w="40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130</w:t>
            </w:r>
          </w:p>
        </w:tc>
        <w:tc>
          <w:tcPr>
            <w:tcW w:w="6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5980" w:type="dxa"/>
            <w:vAlign w:val="bottom"/>
          </w:tcPr>
          <w:p>
            <w:pPr>
              <w:ind w:left="20"/>
              <w:spacing w:after="0" w:line="196" w:lineRule="exact"/>
              <w:rPr>
                <w:sz w:val="20"/>
                <w:szCs w:val="20"/>
                <w:color w:val="auto"/>
              </w:rPr>
            </w:pPr>
            <w:r>
              <w:rPr>
                <w:rFonts w:ascii="Arial" w:cs="Arial" w:eastAsia="Arial" w:hAnsi="Arial"/>
                <w:sz w:val="18"/>
                <w:szCs w:val="18"/>
                <w:color w:val="auto"/>
              </w:rPr>
              <w:t>Total depreciation expense</w:t>
            </w:r>
          </w:p>
        </w:tc>
        <w:tc>
          <w:tcPr>
            <w:tcW w:w="9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w:t>
            </w:r>
          </w:p>
        </w:tc>
        <w:tc>
          <w:tcPr>
            <w:tcW w:w="1220" w:type="dxa"/>
            <w:vAlign w:val="bottom"/>
          </w:tcPr>
          <w:p>
            <w:pPr>
              <w:jc w:val="right"/>
              <w:spacing w:after="0" w:line="196" w:lineRule="exact"/>
              <w:rPr>
                <w:sz w:val="20"/>
                <w:szCs w:val="20"/>
                <w:color w:val="auto"/>
              </w:rPr>
            </w:pPr>
            <w:r>
              <w:rPr>
                <w:rFonts w:ascii="Arial" w:cs="Arial" w:eastAsia="Arial" w:hAnsi="Arial"/>
                <w:sz w:val="18"/>
                <w:szCs w:val="18"/>
                <w:color w:val="auto"/>
              </w:rPr>
              <w:t>3,132</w:t>
            </w:r>
          </w:p>
        </w:tc>
        <w:tc>
          <w:tcPr>
            <w:tcW w:w="40" w:type="dxa"/>
            <w:vAlign w:val="bottom"/>
          </w:tcPr>
          <w:p>
            <w:pPr>
              <w:spacing w:after="0"/>
              <w:rPr>
                <w:sz w:val="17"/>
                <w:szCs w:val="17"/>
                <w:color w:val="auto"/>
              </w:rPr>
            </w:pPr>
          </w:p>
        </w:tc>
        <w:tc>
          <w:tcPr>
            <w:tcW w:w="460" w:type="dxa"/>
            <w:vAlign w:val="bottom"/>
            <w:gridSpan w:val="3"/>
          </w:tcPr>
          <w:p>
            <w:pPr>
              <w:jc w:val="right"/>
              <w:ind w:right="150"/>
              <w:spacing w:after="0" w:line="196" w:lineRule="exact"/>
              <w:rPr>
                <w:sz w:val="20"/>
                <w:szCs w:val="20"/>
                <w:color w:val="auto"/>
              </w:rPr>
            </w:pPr>
            <w:r>
              <w:rPr>
                <w:rFonts w:ascii="Arial" w:cs="Arial" w:eastAsia="Arial" w:hAnsi="Arial"/>
                <w:sz w:val="18"/>
                <w:szCs w:val="18"/>
                <w:color w:val="auto"/>
              </w:rPr>
              <w:t>$</w:t>
            </w:r>
          </w:p>
        </w:tc>
        <w:tc>
          <w:tcPr>
            <w:tcW w:w="10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2,287</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jc w:val="right"/>
              <w:ind w:right="238"/>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1,546</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6116955</wp:posOffset>
            </wp:positionH>
            <wp:positionV relativeFrom="paragraph">
              <wp:posOffset>-1559560</wp:posOffset>
            </wp:positionV>
            <wp:extent cx="5969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3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-1542415</wp:posOffset>
            </wp:positionV>
            <wp:extent cx="5969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1">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-1559560</wp:posOffset>
            </wp:positionV>
            <wp:extent cx="5969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-1542415</wp:posOffset>
            </wp:positionV>
            <wp:extent cx="5969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3">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-159385</wp:posOffset>
            </wp:positionV>
            <wp:extent cx="51435" cy="571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4">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-159385</wp:posOffset>
            </wp:positionV>
            <wp:extent cx="51435" cy="571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5">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-159385</wp:posOffset>
            </wp:positionV>
            <wp:extent cx="43180" cy="571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6">
                      <a:extLst>
                        <a:ext uri="{28A0092B-C50C-407E-A947-70E740481C1C}"/>
                      </a:extLst>
                    </a:blip>
                    <a:srcRect/>
                    <a:stretch>
                      <a:fillRect/>
                    </a:stretch>
                  </pic:blipFill>
                  <pic:spPr bwMode="auto">
                    <a:xfrm>
                      <a:off x="0" y="0"/>
                      <a:ext cx="43180" cy="5715"/>
                    </a:xfrm>
                    <a:prstGeom prst="rect">
                      <a:avLst/>
                    </a:prstGeom>
                    <a:noFill/>
                  </pic:spPr>
                </pic:pic>
              </a:graphicData>
            </a:graphic>
          </wp:anchor>
        </w:drawing>
      </w:r>
    </w:p>
    <w:p>
      <w:pPr>
        <w:spacing w:after="0" w:line="367" w:lineRule="exact"/>
        <w:rPr>
          <w:sz w:val="20"/>
          <w:szCs w:val="20"/>
          <w:color w:val="auto"/>
        </w:rPr>
      </w:pPr>
    </w:p>
    <w:p>
      <w:pPr>
        <w:ind w:left="700" w:hanging="692"/>
        <w:spacing w:after="0"/>
        <w:tabs>
          <w:tab w:leader="none" w:pos="700" w:val="left"/>
        </w:tabs>
        <w:numPr>
          <w:ilvl w:val="0"/>
          <w:numId w:val="59"/>
        </w:numPr>
        <w:rPr>
          <w:rFonts w:ascii="Arial" w:cs="Arial" w:eastAsia="Arial" w:hAnsi="Arial"/>
          <w:sz w:val="18"/>
          <w:szCs w:val="18"/>
          <w:b w:val="1"/>
          <w:bCs w:val="1"/>
          <w:color w:val="auto"/>
        </w:rPr>
      </w:pPr>
      <w:r>
        <w:rPr>
          <w:rFonts w:ascii="Arial" w:cs="Arial" w:eastAsia="Arial" w:hAnsi="Arial"/>
          <w:sz w:val="18"/>
          <w:szCs w:val="18"/>
          <w:b w:val="1"/>
          <w:bCs w:val="1"/>
          <w:color w:val="auto"/>
        </w:rPr>
        <w:t>Leases</w:t>
      </w:r>
    </w:p>
    <w:p>
      <w:pPr>
        <w:spacing w:after="0" w:line="10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Operating lease expense for the years ended December 31, 2021, 2020 and 2019 was as follows (in thousands):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52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5"/>
          </w:tcPr>
          <w:p>
            <w:pPr>
              <w:ind w:left="60"/>
              <w:spacing w:after="0"/>
              <w:rPr>
                <w:sz w:val="20"/>
                <w:szCs w:val="20"/>
                <w:color w:val="auto"/>
              </w:rPr>
            </w:pPr>
            <w:r>
              <w:rPr>
                <w:rFonts w:ascii="Arial" w:cs="Arial" w:eastAsia="Arial" w:hAnsi="Arial"/>
                <w:sz w:val="14"/>
                <w:szCs w:val="14"/>
                <w:b w:val="1"/>
                <w:bCs w:val="1"/>
                <w:color w:val="auto"/>
                <w:w w:val="97"/>
              </w:rPr>
              <w:t>Year Ended December 31,</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209"/>
        </w:trPr>
        <w:tc>
          <w:tcPr>
            <w:tcW w:w="6520" w:type="dxa"/>
            <w:vAlign w:val="bottom"/>
          </w:tcPr>
          <w:p>
            <w:pPr>
              <w:spacing w:after="0"/>
              <w:rPr>
                <w:sz w:val="18"/>
                <w:szCs w:val="18"/>
                <w:color w:val="auto"/>
              </w:rPr>
            </w:pPr>
          </w:p>
        </w:tc>
        <w:tc>
          <w:tcPr>
            <w:tcW w:w="96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2021</w:t>
            </w:r>
          </w:p>
        </w:tc>
        <w:tc>
          <w:tcPr>
            <w:tcW w:w="50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8"/>
                <w:szCs w:val="18"/>
                <w:color w:val="auto"/>
              </w:rPr>
            </w:pPr>
          </w:p>
        </w:tc>
      </w:tr>
      <w:tr>
        <w:trPr>
          <w:trHeight w:val="223"/>
        </w:trPr>
        <w:tc>
          <w:tcPr>
            <w:tcW w:w="65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gridSpan w:val="2"/>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03"/>
        </w:trPr>
        <w:tc>
          <w:tcPr>
            <w:tcW w:w="65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Cost of revenue</w:t>
            </w:r>
          </w:p>
        </w:tc>
        <w:tc>
          <w:tcPr>
            <w:tcW w:w="960" w:type="dxa"/>
            <w:vAlign w:val="bottom"/>
            <w:shd w:val="clear" w:color="auto" w:fill="CFF0FC"/>
          </w:tcPr>
          <w:p>
            <w:pPr>
              <w:jc w:val="right"/>
              <w:ind w:right="776"/>
              <w:spacing w:after="0" w:line="202" w:lineRule="exact"/>
              <w:rPr>
                <w:sz w:val="20"/>
                <w:szCs w:val="20"/>
                <w:color w:val="auto"/>
              </w:rPr>
            </w:pPr>
            <w:r>
              <w:rPr>
                <w:rFonts w:ascii="Arial" w:cs="Arial" w:eastAsia="Arial" w:hAnsi="Arial"/>
                <w:sz w:val="18"/>
                <w:szCs w:val="18"/>
                <w:color w:val="auto"/>
                <w:w w:val="79"/>
              </w:rPr>
              <w:t>$</w:t>
            </w:r>
          </w:p>
        </w:tc>
        <w:tc>
          <w:tcPr>
            <w:tcW w:w="5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93</w:t>
            </w:r>
          </w:p>
        </w:tc>
        <w:tc>
          <w:tcPr>
            <w:tcW w:w="500" w:type="dxa"/>
            <w:vAlign w:val="bottom"/>
            <w:gridSpan w:val="3"/>
            <w:shd w:val="clear" w:color="auto" w:fill="CFF0FC"/>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196</w:t>
            </w:r>
          </w:p>
        </w:tc>
        <w:tc>
          <w:tcPr>
            <w:tcW w:w="140" w:type="dxa"/>
            <w:vAlign w:val="bottom"/>
            <w:shd w:val="clear" w:color="auto" w:fill="CFF0FC"/>
          </w:tcPr>
          <w:p>
            <w:pPr>
              <w:spacing w:after="0"/>
              <w:rPr>
                <w:sz w:val="17"/>
                <w:szCs w:val="17"/>
                <w:color w:val="auto"/>
              </w:rPr>
            </w:pPr>
          </w:p>
        </w:tc>
        <w:tc>
          <w:tcPr>
            <w:tcW w:w="340" w:type="dxa"/>
            <w:vAlign w:val="bottom"/>
            <w:shd w:val="clear" w:color="auto" w:fill="CFF0FC"/>
          </w:tcPr>
          <w:p>
            <w:pPr>
              <w:jc w:val="right"/>
              <w:ind w:right="150"/>
              <w:spacing w:after="0" w:line="202" w:lineRule="exact"/>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169</w:t>
            </w:r>
          </w:p>
        </w:tc>
        <w:tc>
          <w:tcPr>
            <w:tcW w:w="60" w:type="dxa"/>
            <w:vAlign w:val="bottom"/>
            <w:shd w:val="clear" w:color="auto" w:fill="CFF0FC"/>
          </w:tcPr>
          <w:p>
            <w:pPr>
              <w:spacing w:after="0"/>
              <w:rPr>
                <w:sz w:val="17"/>
                <w:szCs w:val="17"/>
                <w:color w:val="auto"/>
              </w:rPr>
            </w:pPr>
          </w:p>
        </w:tc>
      </w:tr>
      <w:tr>
        <w:trPr>
          <w:trHeight w:val="203"/>
        </w:trPr>
        <w:tc>
          <w:tcPr>
            <w:tcW w:w="6520" w:type="dxa"/>
            <w:vAlign w:val="bottom"/>
          </w:tcPr>
          <w:p>
            <w:pPr>
              <w:ind w:left="20"/>
              <w:spacing w:after="0" w:line="202" w:lineRule="exact"/>
              <w:rPr>
                <w:sz w:val="20"/>
                <w:szCs w:val="20"/>
                <w:color w:val="auto"/>
              </w:rPr>
            </w:pPr>
            <w:r>
              <w:rPr>
                <w:rFonts w:ascii="Arial" w:cs="Arial" w:eastAsia="Arial" w:hAnsi="Arial"/>
                <w:sz w:val="18"/>
                <w:szCs w:val="18"/>
                <w:color w:val="auto"/>
              </w:rPr>
              <w:t>Operations and support</w:t>
            </w:r>
          </w:p>
        </w:tc>
        <w:tc>
          <w:tcPr>
            <w:tcW w:w="960" w:type="dxa"/>
            <w:vAlign w:val="bottom"/>
          </w:tcPr>
          <w:p>
            <w:pPr>
              <w:spacing w:after="0"/>
              <w:rPr>
                <w:sz w:val="17"/>
                <w:szCs w:val="17"/>
                <w:color w:val="auto"/>
              </w:rPr>
            </w:pPr>
          </w:p>
        </w:tc>
        <w:tc>
          <w:tcPr>
            <w:tcW w:w="500" w:type="dxa"/>
            <w:vAlign w:val="bottom"/>
          </w:tcPr>
          <w:p>
            <w:pPr>
              <w:jc w:val="right"/>
              <w:spacing w:after="0" w:line="202" w:lineRule="exact"/>
              <w:rPr>
                <w:sz w:val="20"/>
                <w:szCs w:val="20"/>
                <w:color w:val="auto"/>
              </w:rPr>
            </w:pPr>
            <w:r>
              <w:rPr>
                <w:rFonts w:ascii="Arial" w:cs="Arial" w:eastAsia="Arial" w:hAnsi="Arial"/>
                <w:sz w:val="18"/>
                <w:szCs w:val="18"/>
                <w:color w:val="auto"/>
              </w:rPr>
              <w:t>137</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34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r>
      <w:tr>
        <w:trPr>
          <w:trHeight w:val="203"/>
        </w:trPr>
        <w:tc>
          <w:tcPr>
            <w:tcW w:w="652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General and administrative</w:t>
            </w:r>
          </w:p>
        </w:tc>
        <w:tc>
          <w:tcPr>
            <w:tcW w:w="960" w:type="dxa"/>
            <w:vAlign w:val="bottom"/>
            <w:tcBorders>
              <w:bottom w:val="single" w:sz="8" w:color="auto"/>
            </w:tcBorders>
            <w:shd w:val="clear" w:color="auto" w:fill="CFF0FC"/>
          </w:tcPr>
          <w:p>
            <w:pPr>
              <w:spacing w:after="0"/>
              <w:rPr>
                <w:sz w:val="17"/>
                <w:szCs w:val="17"/>
                <w:color w:val="auto"/>
              </w:rPr>
            </w:pPr>
          </w:p>
        </w:tc>
        <w:tc>
          <w:tcPr>
            <w:tcW w:w="5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1,512</w:t>
            </w:r>
          </w:p>
        </w:tc>
        <w:tc>
          <w:tcPr>
            <w:tcW w:w="8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auto"/>
            </w:tcBorders>
            <w:shd w:val="clear" w:color="auto" w:fill="CFF0FC"/>
          </w:tcPr>
          <w:p>
            <w:pPr>
              <w:spacing w:after="0"/>
              <w:rPr>
                <w:sz w:val="17"/>
                <w:szCs w:val="17"/>
                <w:color w:val="auto"/>
              </w:rPr>
            </w:pPr>
          </w:p>
        </w:tc>
        <w:tc>
          <w:tcPr>
            <w:tcW w:w="11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1,024</w:t>
            </w:r>
          </w:p>
        </w:tc>
        <w:tc>
          <w:tcPr>
            <w:tcW w:w="14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auto"/>
            </w:tcBorders>
            <w:shd w:val="clear" w:color="auto" w:fill="CFF0FC"/>
          </w:tcPr>
          <w:p>
            <w:pPr>
              <w:spacing w:after="0"/>
              <w:rPr>
                <w:sz w:val="17"/>
                <w:szCs w:val="17"/>
                <w:color w:val="auto"/>
              </w:rPr>
            </w:pPr>
          </w:p>
        </w:tc>
        <w:tc>
          <w:tcPr>
            <w:tcW w:w="11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766</w:t>
            </w:r>
          </w:p>
        </w:tc>
        <w:tc>
          <w:tcPr>
            <w:tcW w:w="60" w:type="dxa"/>
            <w:vAlign w:val="bottom"/>
            <w:tcBorders>
              <w:bottom w:val="single" w:sz="8" w:color="CFF0FC"/>
            </w:tcBorders>
            <w:shd w:val="clear" w:color="auto" w:fill="CFF0FC"/>
          </w:tcPr>
          <w:p>
            <w:pPr>
              <w:spacing w:after="0"/>
              <w:rPr>
                <w:sz w:val="17"/>
                <w:szCs w:val="17"/>
                <w:color w:val="auto"/>
              </w:rPr>
            </w:pPr>
          </w:p>
        </w:tc>
      </w:tr>
      <w:tr>
        <w:trPr>
          <w:trHeight w:val="196"/>
        </w:trPr>
        <w:tc>
          <w:tcPr>
            <w:tcW w:w="6520" w:type="dxa"/>
            <w:vAlign w:val="bottom"/>
          </w:tcPr>
          <w:p>
            <w:pPr>
              <w:ind w:left="20"/>
              <w:spacing w:after="0" w:line="196" w:lineRule="exact"/>
              <w:rPr>
                <w:sz w:val="20"/>
                <w:szCs w:val="20"/>
                <w:color w:val="auto"/>
              </w:rPr>
            </w:pPr>
            <w:r>
              <w:rPr>
                <w:rFonts w:ascii="Arial" w:cs="Arial" w:eastAsia="Arial" w:hAnsi="Arial"/>
                <w:sz w:val="18"/>
                <w:szCs w:val="18"/>
                <w:color w:val="auto"/>
              </w:rPr>
              <w:t>Total operating lease expense</w:t>
            </w:r>
          </w:p>
        </w:tc>
        <w:tc>
          <w:tcPr>
            <w:tcW w:w="960" w:type="dxa"/>
            <w:vAlign w:val="bottom"/>
          </w:tcPr>
          <w:p>
            <w:pPr>
              <w:jc w:val="right"/>
              <w:ind w:right="776"/>
              <w:spacing w:after="0" w:line="196" w:lineRule="exact"/>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1,742</w:t>
            </w:r>
          </w:p>
        </w:tc>
        <w:tc>
          <w:tcPr>
            <w:tcW w:w="500" w:type="dxa"/>
            <w:vAlign w:val="bottom"/>
            <w:gridSpan w:val="3"/>
          </w:tcPr>
          <w:p>
            <w:pPr>
              <w:jc w:val="right"/>
              <w:ind w:right="220"/>
              <w:spacing w:after="0" w:line="196" w:lineRule="exact"/>
              <w:rPr>
                <w:sz w:val="20"/>
                <w:szCs w:val="20"/>
                <w:color w:val="auto"/>
              </w:rPr>
            </w:pPr>
            <w:r>
              <w:rPr>
                <w:rFonts w:ascii="Arial" w:cs="Arial" w:eastAsia="Arial" w:hAnsi="Arial"/>
                <w:sz w:val="18"/>
                <w:szCs w:val="18"/>
                <w:color w:val="auto"/>
              </w:rPr>
              <w:t>$</w:t>
            </w:r>
          </w:p>
        </w:tc>
        <w:tc>
          <w:tcPr>
            <w:tcW w:w="1120" w:type="dxa"/>
            <w:vAlign w:val="bottom"/>
          </w:tcPr>
          <w:p>
            <w:pPr>
              <w:jc w:val="right"/>
              <w:spacing w:after="0" w:line="196" w:lineRule="exact"/>
              <w:rPr>
                <w:sz w:val="20"/>
                <w:szCs w:val="20"/>
                <w:color w:val="auto"/>
              </w:rPr>
            </w:pPr>
            <w:r>
              <w:rPr>
                <w:rFonts w:ascii="Arial" w:cs="Arial" w:eastAsia="Arial" w:hAnsi="Arial"/>
                <w:sz w:val="18"/>
                <w:szCs w:val="18"/>
                <w:color w:val="auto"/>
              </w:rPr>
              <w:t>1,220</w:t>
            </w:r>
          </w:p>
        </w:tc>
        <w:tc>
          <w:tcPr>
            <w:tcW w:w="140" w:type="dxa"/>
            <w:vAlign w:val="bottom"/>
          </w:tcPr>
          <w:p>
            <w:pPr>
              <w:spacing w:after="0"/>
              <w:rPr>
                <w:sz w:val="17"/>
                <w:szCs w:val="17"/>
                <w:color w:val="auto"/>
              </w:rPr>
            </w:pPr>
          </w:p>
        </w:tc>
        <w:tc>
          <w:tcPr>
            <w:tcW w:w="340" w:type="dxa"/>
            <w:vAlign w:val="bottom"/>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line="196" w:lineRule="exact"/>
              <w:rPr>
                <w:sz w:val="20"/>
                <w:szCs w:val="20"/>
                <w:color w:val="auto"/>
              </w:rPr>
            </w:pPr>
            <w:r>
              <w:rPr>
                <w:rFonts w:ascii="Arial" w:cs="Arial" w:eastAsia="Arial" w:hAnsi="Arial"/>
                <w:sz w:val="18"/>
                <w:szCs w:val="18"/>
                <w:color w:val="auto"/>
              </w:rPr>
              <w:t>935</w:t>
            </w:r>
          </w:p>
        </w:tc>
        <w:tc>
          <w:tcPr>
            <w:tcW w:w="60" w:type="dxa"/>
            <w:vAlign w:val="bottom"/>
          </w:tcPr>
          <w:p>
            <w:pPr>
              <w:spacing w:after="0"/>
              <w:rPr>
                <w:sz w:val="17"/>
                <w:szCs w:val="17"/>
                <w:color w:val="auto"/>
              </w:rPr>
            </w:pPr>
          </w:p>
        </w:tc>
      </w:tr>
      <w:tr>
        <w:trPr>
          <w:trHeight w:val="20"/>
        </w:trPr>
        <w:tc>
          <w:tcPr>
            <w:tcW w:w="65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-159385</wp:posOffset>
            </wp:positionV>
            <wp:extent cx="51435" cy="571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7">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-159385</wp:posOffset>
            </wp:positionV>
            <wp:extent cx="43180" cy="571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8">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-159385</wp:posOffset>
            </wp:positionV>
            <wp:extent cx="43180" cy="571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9">
                      <a:extLst>
                        <a:ext uri="{28A0092B-C50C-407E-A947-70E740481C1C}"/>
                      </a:extLst>
                    </a:blip>
                    <a:srcRect/>
                    <a:stretch>
                      <a:fillRect/>
                    </a:stretch>
                  </pic:blipFill>
                  <pic:spPr bwMode="auto">
                    <a:xfrm>
                      <a:off x="0" y="0"/>
                      <a:ext cx="43180" cy="5715"/>
                    </a:xfrm>
                    <a:prstGeom prst="rect">
                      <a:avLst/>
                    </a:prstGeom>
                    <a:noFill/>
                  </pic:spPr>
                </pic:pic>
              </a:graphicData>
            </a:graphic>
          </wp:anchor>
        </w:drawing>
      </w:r>
    </w:p>
    <w:p>
      <w:pPr>
        <w:spacing w:after="0" w:line="16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includes supplemental cash and non-cash information related to Xometry’s leases during 2021, 2020 and 2019 (in thousands):</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706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200" w:type="dxa"/>
            <w:vAlign w:val="bottom"/>
            <w:tcBorders>
              <w:bottom w:val="single" w:sz="8" w:color="auto"/>
            </w:tcBorders>
            <w:gridSpan w:val="3"/>
          </w:tcPr>
          <w:p>
            <w:pPr>
              <w:jc w:val="right"/>
              <w:ind w:right="174"/>
              <w:spacing w:after="0"/>
              <w:rPr>
                <w:sz w:val="20"/>
                <w:szCs w:val="20"/>
                <w:color w:val="auto"/>
              </w:rPr>
            </w:pPr>
            <w:r>
              <w:rPr>
                <w:rFonts w:ascii="Arial" w:cs="Arial" w:eastAsia="Arial" w:hAnsi="Arial"/>
                <w:sz w:val="14"/>
                <w:szCs w:val="14"/>
                <w:b w:val="1"/>
                <w:bCs w:val="1"/>
                <w:color w:val="auto"/>
              </w:rPr>
              <w:t>Year Ended December 31,</w:t>
            </w: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210"/>
        </w:trPr>
        <w:tc>
          <w:tcPr>
            <w:tcW w:w="7980" w:type="dxa"/>
            <w:vAlign w:val="bottom"/>
            <w:gridSpan w:val="2"/>
          </w:tcPr>
          <w:p>
            <w:pPr>
              <w:ind w:left="7640"/>
              <w:spacing w:after="0"/>
              <w:rPr>
                <w:sz w:val="20"/>
                <w:szCs w:val="20"/>
                <w:color w:val="auto"/>
              </w:rPr>
            </w:pPr>
            <w:r>
              <w:rPr>
                <w:rFonts w:ascii="Arial" w:cs="Arial" w:eastAsia="Arial" w:hAnsi="Arial"/>
                <w:sz w:val="14"/>
                <w:szCs w:val="14"/>
                <w:b w:val="1"/>
                <w:bCs w:val="1"/>
                <w:color w:val="auto"/>
              </w:rPr>
              <w:t>2021</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jc w:val="right"/>
              <w:ind w:right="494"/>
              <w:spacing w:after="0"/>
              <w:rPr>
                <w:sz w:val="20"/>
                <w:szCs w:val="20"/>
                <w:color w:val="auto"/>
              </w:rPr>
            </w:pPr>
            <w:r>
              <w:rPr>
                <w:rFonts w:ascii="Arial" w:cs="Arial" w:eastAsia="Arial" w:hAnsi="Arial"/>
                <w:sz w:val="14"/>
                <w:szCs w:val="14"/>
                <w:b w:val="1"/>
                <w:bCs w:val="1"/>
                <w:color w:val="auto"/>
              </w:rPr>
              <w:t>2020</w:t>
            </w:r>
          </w:p>
        </w:tc>
        <w:tc>
          <w:tcPr>
            <w:tcW w:w="10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8"/>
                <w:szCs w:val="18"/>
                <w:color w:val="auto"/>
              </w:rPr>
            </w:pPr>
          </w:p>
        </w:tc>
      </w:tr>
      <w:tr>
        <w:trPr>
          <w:trHeight w:val="196"/>
        </w:trPr>
        <w:tc>
          <w:tcPr>
            <w:tcW w:w="706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Cash paid for amounts included in the measurement of lease liabilities:</w:t>
            </w:r>
          </w:p>
        </w:tc>
        <w:tc>
          <w:tcPr>
            <w:tcW w:w="920" w:type="dxa"/>
            <w:vAlign w:val="bottom"/>
            <w:tcBorders>
              <w:top w:val="single" w:sz="8" w:color="auto"/>
            </w:tcBorders>
            <w:shd w:val="clear" w:color="auto" w:fill="CFF0FC"/>
          </w:tcPr>
          <w:p>
            <w:pPr>
              <w:spacing w:after="0"/>
              <w:rPr>
                <w:sz w:val="17"/>
                <w:szCs w:val="17"/>
                <w:color w:val="auto"/>
              </w:rPr>
            </w:pPr>
          </w:p>
        </w:tc>
        <w:tc>
          <w:tcPr>
            <w:tcW w:w="54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560" w:type="dxa"/>
            <w:vAlign w:val="bottom"/>
            <w:tcBorders>
              <w:top w:val="single" w:sz="8" w:color="auto"/>
            </w:tcBorders>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20" w:type="dxa"/>
            <w:vAlign w:val="bottom"/>
            <w:tcBorders>
              <w:top w:val="single" w:sz="8" w:color="auto"/>
            </w:tcBorders>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r>
      <w:tr>
        <w:trPr>
          <w:trHeight w:val="203"/>
        </w:trPr>
        <w:tc>
          <w:tcPr>
            <w:tcW w:w="798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Operating cash flows from operating leases</w:t>
            </w: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1,600</w:t>
            </w:r>
          </w:p>
        </w:tc>
        <w:tc>
          <w:tcPr>
            <w:tcW w:w="100" w:type="dxa"/>
            <w:vAlign w:val="bottom"/>
          </w:tcPr>
          <w:p>
            <w:pPr>
              <w:spacing w:after="0"/>
              <w:rPr>
                <w:sz w:val="17"/>
                <w:szCs w:val="17"/>
                <w:color w:val="auto"/>
              </w:rPr>
            </w:pPr>
          </w:p>
        </w:tc>
        <w:tc>
          <w:tcPr>
            <w:tcW w:w="1560" w:type="dxa"/>
            <w:vAlign w:val="bottom"/>
          </w:tcPr>
          <w:p>
            <w:pPr>
              <w:jc w:val="right"/>
              <w:spacing w:after="0" w:line="202" w:lineRule="exact"/>
              <w:rPr>
                <w:sz w:val="20"/>
                <w:szCs w:val="20"/>
                <w:color w:val="auto"/>
              </w:rPr>
            </w:pPr>
            <w:r>
              <w:rPr>
                <w:rFonts w:ascii="Arial" w:cs="Arial" w:eastAsia="Arial" w:hAnsi="Arial"/>
                <w:sz w:val="18"/>
                <w:szCs w:val="18"/>
                <w:color w:val="auto"/>
              </w:rPr>
              <w:t>1,222</w:t>
            </w:r>
          </w:p>
        </w:tc>
        <w:tc>
          <w:tcPr>
            <w:tcW w:w="10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724</w:t>
            </w:r>
          </w:p>
        </w:tc>
        <w:tc>
          <w:tcPr>
            <w:tcW w:w="60" w:type="dxa"/>
            <w:vAlign w:val="bottom"/>
          </w:tcPr>
          <w:p>
            <w:pPr>
              <w:spacing w:after="0"/>
              <w:rPr>
                <w:sz w:val="17"/>
                <w:szCs w:val="17"/>
                <w:color w:val="auto"/>
              </w:rPr>
            </w:pPr>
          </w:p>
        </w:tc>
      </w:tr>
      <w:tr>
        <w:trPr>
          <w:trHeight w:val="203"/>
        </w:trPr>
        <w:tc>
          <w:tcPr>
            <w:tcW w:w="7980" w:type="dxa"/>
            <w:vAlign w:val="bottom"/>
            <w:gridSpan w:val="2"/>
            <w:shd w:val="clear" w:color="auto" w:fill="CFF0FC"/>
          </w:tcPr>
          <w:p>
            <w:pPr>
              <w:ind w:left="200"/>
              <w:spacing w:after="0" w:line="202" w:lineRule="exact"/>
              <w:rPr>
                <w:sz w:val="20"/>
                <w:szCs w:val="20"/>
                <w:color w:val="auto"/>
              </w:rPr>
            </w:pPr>
            <w:r>
              <w:rPr>
                <w:rFonts w:ascii="Arial" w:cs="Arial" w:eastAsia="Arial" w:hAnsi="Arial"/>
                <w:sz w:val="18"/>
                <w:szCs w:val="18"/>
                <w:color w:val="auto"/>
              </w:rPr>
              <w:t>Financing cash flows from financing leases</w:t>
            </w:r>
          </w:p>
        </w:tc>
        <w:tc>
          <w:tcPr>
            <w:tcW w:w="5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12</w:t>
            </w:r>
          </w:p>
        </w:tc>
        <w:tc>
          <w:tcPr>
            <w:tcW w:w="100" w:type="dxa"/>
            <w:vAlign w:val="bottom"/>
            <w:shd w:val="clear" w:color="auto" w:fill="CFF0FC"/>
          </w:tcPr>
          <w:p>
            <w:pPr>
              <w:spacing w:after="0"/>
              <w:rPr>
                <w:sz w:val="17"/>
                <w:szCs w:val="17"/>
                <w:color w:val="auto"/>
              </w:rPr>
            </w:pPr>
          </w:p>
        </w:tc>
        <w:tc>
          <w:tcPr>
            <w:tcW w:w="15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13</w:t>
            </w:r>
          </w:p>
        </w:tc>
        <w:tc>
          <w:tcPr>
            <w:tcW w:w="100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164</w:t>
            </w:r>
          </w:p>
        </w:tc>
        <w:tc>
          <w:tcPr>
            <w:tcW w:w="60" w:type="dxa"/>
            <w:vAlign w:val="bottom"/>
            <w:shd w:val="clear" w:color="auto" w:fill="CFF0FC"/>
          </w:tcPr>
          <w:p>
            <w:pPr>
              <w:spacing w:after="0"/>
              <w:rPr>
                <w:sz w:val="17"/>
                <w:szCs w:val="17"/>
                <w:color w:val="auto"/>
              </w:rPr>
            </w:pPr>
          </w:p>
        </w:tc>
      </w:tr>
      <w:tr>
        <w:trPr>
          <w:trHeight w:val="203"/>
        </w:trPr>
        <w:tc>
          <w:tcPr>
            <w:tcW w:w="798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Right of use assets obtained in exchange for lease obligations:</w:t>
            </w: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w w:val="94"/>
              </w:rPr>
              <w:t>26,706</w:t>
            </w:r>
          </w:p>
        </w:tc>
        <w:tc>
          <w:tcPr>
            <w:tcW w:w="100" w:type="dxa"/>
            <w:vAlign w:val="bottom"/>
          </w:tcPr>
          <w:p>
            <w:pPr>
              <w:spacing w:after="0"/>
              <w:rPr>
                <w:sz w:val="17"/>
                <w:szCs w:val="17"/>
                <w:color w:val="auto"/>
              </w:rPr>
            </w:pPr>
          </w:p>
        </w:tc>
        <w:tc>
          <w:tcPr>
            <w:tcW w:w="1560" w:type="dxa"/>
            <w:vAlign w:val="bottom"/>
          </w:tcPr>
          <w:p>
            <w:pPr>
              <w:jc w:val="right"/>
              <w:spacing w:after="0" w:line="202" w:lineRule="exact"/>
              <w:rPr>
                <w:sz w:val="20"/>
                <w:szCs w:val="20"/>
                <w:color w:val="auto"/>
              </w:rPr>
            </w:pPr>
            <w:r>
              <w:rPr>
                <w:rFonts w:ascii="Arial" w:cs="Arial" w:eastAsia="Arial" w:hAnsi="Arial"/>
                <w:sz w:val="18"/>
                <w:szCs w:val="18"/>
                <w:color w:val="auto"/>
              </w:rPr>
              <w:t>95</w:t>
            </w:r>
          </w:p>
        </w:tc>
        <w:tc>
          <w:tcPr>
            <w:tcW w:w="10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r>
      <w:tr>
        <w:trPr>
          <w:trHeight w:val="203"/>
        </w:trPr>
        <w:tc>
          <w:tcPr>
            <w:tcW w:w="7980" w:type="dxa"/>
            <w:vAlign w:val="bottom"/>
            <w:gridSpan w:val="2"/>
            <w:shd w:val="clear" w:color="auto" w:fill="CFF0FC"/>
          </w:tcPr>
          <w:p>
            <w:pPr>
              <w:ind w:left="20"/>
              <w:spacing w:after="0" w:line="202" w:lineRule="exact"/>
              <w:rPr>
                <w:sz w:val="20"/>
                <w:szCs w:val="20"/>
                <w:color w:val="auto"/>
              </w:rPr>
            </w:pPr>
            <w:r>
              <w:rPr>
                <w:rFonts w:ascii="Arial" w:cs="Arial" w:eastAsia="Arial" w:hAnsi="Arial"/>
                <w:sz w:val="18"/>
                <w:szCs w:val="18"/>
                <w:color w:val="auto"/>
              </w:rPr>
              <w:t>Reduction to right of use assets resulting from reductions to lease obligations:</w:t>
            </w:r>
          </w:p>
        </w:tc>
        <w:tc>
          <w:tcPr>
            <w:tcW w:w="64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(84 )</w:t>
            </w:r>
          </w:p>
        </w:tc>
        <w:tc>
          <w:tcPr>
            <w:tcW w:w="15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00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7"/>
                <w:szCs w:val="17"/>
                <w:color w:val="auto"/>
              </w:rPr>
            </w:pPr>
          </w:p>
        </w:tc>
      </w:tr>
      <w:tr>
        <w:trPr>
          <w:trHeight w:val="419"/>
        </w:trPr>
        <w:tc>
          <w:tcPr>
            <w:tcW w:w="7060" w:type="dxa"/>
            <w:vAlign w:val="bottom"/>
          </w:tcPr>
          <w:p>
            <w:pPr>
              <w:ind w:left="5540"/>
              <w:spacing w:after="0"/>
              <w:rPr>
                <w:sz w:val="20"/>
                <w:szCs w:val="20"/>
                <w:color w:val="auto"/>
              </w:rPr>
            </w:pPr>
            <w:r>
              <w:rPr>
                <w:rFonts w:ascii="Arial" w:cs="Arial" w:eastAsia="Arial" w:hAnsi="Arial"/>
                <w:sz w:val="18"/>
                <w:szCs w:val="18"/>
                <w:color w:val="auto"/>
              </w:rPr>
              <w:t>70</w:t>
            </w:r>
          </w:p>
        </w:tc>
        <w:tc>
          <w:tcPr>
            <w:tcW w:w="9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01"/>
        </w:trPr>
        <w:tc>
          <w:tcPr>
            <w:tcW w:w="7060" w:type="dxa"/>
            <w:vAlign w:val="bottom"/>
            <w:tcBorders>
              <w:bottom w:val="single" w:sz="8" w:color="9A9A9A"/>
            </w:tcBorders>
          </w:tcPr>
          <w:p>
            <w:pPr>
              <w:spacing w:after="0"/>
              <w:rPr>
                <w:sz w:val="8"/>
                <w:szCs w:val="8"/>
                <w:color w:val="auto"/>
              </w:rPr>
            </w:pPr>
          </w:p>
        </w:tc>
        <w:tc>
          <w:tcPr>
            <w:tcW w:w="920" w:type="dxa"/>
            <w:vAlign w:val="bottom"/>
            <w:tcBorders>
              <w:bottom w:val="single" w:sz="8" w:color="9A9A9A"/>
            </w:tcBorders>
          </w:tcPr>
          <w:p>
            <w:pPr>
              <w:spacing w:after="0"/>
              <w:rPr>
                <w:sz w:val="8"/>
                <w:szCs w:val="8"/>
                <w:color w:val="auto"/>
              </w:rPr>
            </w:pPr>
          </w:p>
        </w:tc>
        <w:tc>
          <w:tcPr>
            <w:tcW w:w="5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56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82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4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73" w:name="page74"/>
    <w:bookmarkEnd w:id="73"/>
    <w:p>
      <w:pPr>
        <w:ind w:right="920" w:firstLine="743"/>
        <w:spacing w:after="0" w:line="277" w:lineRule="auto"/>
        <w:rPr>
          <w:sz w:val="20"/>
          <w:szCs w:val="20"/>
          <w:color w:val="auto"/>
        </w:rPr>
      </w:pPr>
      <w:r>
        <w:rPr>
          <w:rFonts w:ascii="Arial" w:cs="Arial" w:eastAsia="Arial" w:hAnsi="Arial"/>
          <w:sz w:val="18"/>
          <w:szCs w:val="18"/>
          <w:color w:val="auto"/>
        </w:rPr>
        <w:t>The increases in our right-of-use lease assets are primarily related to our acquisitions during the fourth quarter of 2021, see Note 13 - Acquisitions.</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Xometry’s aggregate annual lease obligations at December 31, 2021 are as follows (in thousands):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2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w w:val="96"/>
              </w:rPr>
              <w:t>Operating Leases</w:t>
            </w:r>
          </w:p>
        </w:tc>
        <w:tc>
          <w:tcPr>
            <w:tcW w:w="220" w:type="dxa"/>
            <w:vAlign w:val="bottom"/>
          </w:tcPr>
          <w:p>
            <w:pPr>
              <w:spacing w:after="0"/>
              <w:rPr>
                <w:sz w:val="16"/>
                <w:szCs w:val="16"/>
                <w:color w:val="auto"/>
              </w:rPr>
            </w:pPr>
          </w:p>
        </w:tc>
        <w:tc>
          <w:tcPr>
            <w:tcW w:w="1400" w:type="dxa"/>
            <w:vAlign w:val="bottom"/>
          </w:tcPr>
          <w:p>
            <w:pPr>
              <w:jc w:val="right"/>
              <w:ind w:right="272"/>
              <w:spacing w:after="0"/>
              <w:rPr>
                <w:sz w:val="20"/>
                <w:szCs w:val="20"/>
                <w:color w:val="auto"/>
              </w:rPr>
            </w:pPr>
            <w:r>
              <w:rPr>
                <w:rFonts w:ascii="Arial" w:cs="Arial" w:eastAsia="Arial" w:hAnsi="Arial"/>
                <w:sz w:val="14"/>
                <w:szCs w:val="14"/>
                <w:b w:val="1"/>
                <w:bCs w:val="1"/>
                <w:color w:val="auto"/>
                <w:w w:val="97"/>
              </w:rPr>
              <w:t>Finance Leases</w:t>
            </w:r>
          </w:p>
        </w:tc>
        <w:tc>
          <w:tcPr>
            <w:tcW w:w="60" w:type="dxa"/>
            <w:vAlign w:val="bottom"/>
          </w:tcPr>
          <w:p>
            <w:pPr>
              <w:spacing w:after="0"/>
              <w:rPr>
                <w:sz w:val="16"/>
                <w:szCs w:val="16"/>
                <w:color w:val="auto"/>
              </w:rPr>
            </w:pPr>
          </w:p>
        </w:tc>
      </w:tr>
      <w:tr>
        <w:trPr>
          <w:trHeight w:val="196"/>
        </w:trPr>
        <w:tc>
          <w:tcPr>
            <w:tcW w:w="7640" w:type="dxa"/>
            <w:vAlign w:val="bottom"/>
            <w:shd w:val="clear" w:color="auto" w:fill="CFF0FC"/>
          </w:tcPr>
          <w:p>
            <w:pPr>
              <w:jc w:val="right"/>
              <w:ind w:right="7130"/>
              <w:spacing w:after="0" w:line="196" w:lineRule="exact"/>
              <w:rPr>
                <w:sz w:val="20"/>
                <w:szCs w:val="20"/>
                <w:color w:val="auto"/>
              </w:rPr>
            </w:pPr>
            <w:r>
              <w:rPr>
                <w:rFonts w:ascii="Arial" w:cs="Arial" w:eastAsia="Arial" w:hAnsi="Arial"/>
                <w:sz w:val="18"/>
                <w:szCs w:val="18"/>
                <w:color w:val="auto"/>
                <w:w w:val="99"/>
              </w:rPr>
              <w:t>2022</w:t>
            </w:r>
          </w:p>
        </w:tc>
        <w:tc>
          <w:tcPr>
            <w:tcW w:w="2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6,329</w:t>
            </w:r>
          </w:p>
        </w:tc>
        <w:tc>
          <w:tcPr>
            <w:tcW w:w="300" w:type="dxa"/>
            <w:vAlign w:val="bottom"/>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w:t>
            </w:r>
          </w:p>
        </w:tc>
        <w:tc>
          <w:tcPr>
            <w:tcW w:w="60" w:type="dxa"/>
            <w:vAlign w:val="bottom"/>
            <w:shd w:val="clear" w:color="auto" w:fill="CFF0FC"/>
          </w:tcPr>
          <w:p>
            <w:pPr>
              <w:spacing w:after="0"/>
              <w:rPr>
                <w:sz w:val="17"/>
                <w:szCs w:val="17"/>
                <w:color w:val="auto"/>
              </w:rPr>
            </w:pPr>
          </w:p>
        </w:tc>
      </w:tr>
      <w:tr>
        <w:trPr>
          <w:trHeight w:val="203"/>
        </w:trPr>
        <w:tc>
          <w:tcPr>
            <w:tcW w:w="7640" w:type="dxa"/>
            <w:vAlign w:val="bottom"/>
          </w:tcPr>
          <w:p>
            <w:pPr>
              <w:jc w:val="right"/>
              <w:ind w:right="7130"/>
              <w:spacing w:after="0" w:line="202" w:lineRule="exact"/>
              <w:rPr>
                <w:sz w:val="20"/>
                <w:szCs w:val="20"/>
                <w:color w:val="auto"/>
              </w:rPr>
            </w:pPr>
            <w:r>
              <w:rPr>
                <w:rFonts w:ascii="Arial" w:cs="Arial" w:eastAsia="Arial" w:hAnsi="Arial"/>
                <w:sz w:val="18"/>
                <w:szCs w:val="18"/>
                <w:color w:val="auto"/>
                <w:w w:val="99"/>
              </w:rPr>
              <w:t>2023</w:t>
            </w:r>
          </w:p>
        </w:tc>
        <w:tc>
          <w:tcPr>
            <w:tcW w:w="200" w:type="dxa"/>
            <w:vAlign w:val="bottom"/>
          </w:tcPr>
          <w:p>
            <w:pPr>
              <w:spacing w:after="0"/>
              <w:rPr>
                <w:sz w:val="17"/>
                <w:szCs w:val="17"/>
                <w:color w:val="auto"/>
              </w:rPr>
            </w:pPr>
          </w:p>
        </w:tc>
        <w:tc>
          <w:tcPr>
            <w:tcW w:w="1420" w:type="dxa"/>
            <w:vAlign w:val="bottom"/>
          </w:tcPr>
          <w:p>
            <w:pPr>
              <w:jc w:val="right"/>
              <w:spacing w:after="0" w:line="202" w:lineRule="exact"/>
              <w:rPr>
                <w:sz w:val="20"/>
                <w:szCs w:val="20"/>
                <w:color w:val="auto"/>
              </w:rPr>
            </w:pPr>
            <w:r>
              <w:rPr>
                <w:rFonts w:ascii="Arial" w:cs="Arial" w:eastAsia="Arial" w:hAnsi="Arial"/>
                <w:sz w:val="18"/>
                <w:szCs w:val="18"/>
                <w:color w:val="auto"/>
              </w:rPr>
              <w:t>6,386</w:t>
            </w: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r>
      <w:tr>
        <w:trPr>
          <w:trHeight w:val="203"/>
        </w:trPr>
        <w:tc>
          <w:tcPr>
            <w:tcW w:w="7640" w:type="dxa"/>
            <w:vAlign w:val="bottom"/>
            <w:shd w:val="clear" w:color="auto" w:fill="CFF0FC"/>
          </w:tcPr>
          <w:p>
            <w:pPr>
              <w:jc w:val="right"/>
              <w:ind w:right="7130"/>
              <w:spacing w:after="0" w:line="202" w:lineRule="exact"/>
              <w:rPr>
                <w:sz w:val="20"/>
                <w:szCs w:val="20"/>
                <w:color w:val="auto"/>
              </w:rPr>
            </w:pPr>
            <w:r>
              <w:rPr>
                <w:rFonts w:ascii="Arial" w:cs="Arial" w:eastAsia="Arial" w:hAnsi="Arial"/>
                <w:sz w:val="18"/>
                <w:szCs w:val="18"/>
                <w:color w:val="auto"/>
                <w:w w:val="99"/>
              </w:rPr>
              <w:t>2024</w:t>
            </w:r>
          </w:p>
        </w:tc>
        <w:tc>
          <w:tcPr>
            <w:tcW w:w="200" w:type="dxa"/>
            <w:vAlign w:val="bottom"/>
            <w:shd w:val="clear" w:color="auto" w:fill="CFF0FC"/>
          </w:tcPr>
          <w:p>
            <w:pPr>
              <w:spacing w:after="0"/>
              <w:rPr>
                <w:sz w:val="17"/>
                <w:szCs w:val="17"/>
                <w:color w:val="auto"/>
              </w:rPr>
            </w:pPr>
          </w:p>
        </w:tc>
        <w:tc>
          <w:tcPr>
            <w:tcW w:w="14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6,079</w:t>
            </w:r>
          </w:p>
        </w:tc>
        <w:tc>
          <w:tcPr>
            <w:tcW w:w="3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7"/>
                <w:szCs w:val="17"/>
                <w:color w:val="auto"/>
              </w:rPr>
            </w:pPr>
          </w:p>
        </w:tc>
      </w:tr>
      <w:tr>
        <w:trPr>
          <w:trHeight w:val="203"/>
        </w:trPr>
        <w:tc>
          <w:tcPr>
            <w:tcW w:w="7640" w:type="dxa"/>
            <w:vAlign w:val="bottom"/>
          </w:tcPr>
          <w:p>
            <w:pPr>
              <w:jc w:val="right"/>
              <w:ind w:right="7130"/>
              <w:spacing w:after="0" w:line="202" w:lineRule="exact"/>
              <w:rPr>
                <w:sz w:val="20"/>
                <w:szCs w:val="20"/>
                <w:color w:val="auto"/>
              </w:rPr>
            </w:pPr>
            <w:r>
              <w:rPr>
                <w:rFonts w:ascii="Arial" w:cs="Arial" w:eastAsia="Arial" w:hAnsi="Arial"/>
                <w:sz w:val="18"/>
                <w:szCs w:val="18"/>
                <w:color w:val="auto"/>
                <w:w w:val="99"/>
              </w:rPr>
              <w:t>2025</w:t>
            </w:r>
          </w:p>
        </w:tc>
        <w:tc>
          <w:tcPr>
            <w:tcW w:w="200" w:type="dxa"/>
            <w:vAlign w:val="bottom"/>
          </w:tcPr>
          <w:p>
            <w:pPr>
              <w:spacing w:after="0"/>
              <w:rPr>
                <w:sz w:val="17"/>
                <w:szCs w:val="17"/>
                <w:color w:val="auto"/>
              </w:rPr>
            </w:pPr>
          </w:p>
        </w:tc>
        <w:tc>
          <w:tcPr>
            <w:tcW w:w="1420" w:type="dxa"/>
            <w:vAlign w:val="bottom"/>
          </w:tcPr>
          <w:p>
            <w:pPr>
              <w:jc w:val="right"/>
              <w:spacing w:after="0" w:line="202" w:lineRule="exact"/>
              <w:rPr>
                <w:sz w:val="20"/>
                <w:szCs w:val="20"/>
                <w:color w:val="auto"/>
              </w:rPr>
            </w:pPr>
            <w:r>
              <w:rPr>
                <w:rFonts w:ascii="Arial" w:cs="Arial" w:eastAsia="Arial" w:hAnsi="Arial"/>
                <w:sz w:val="18"/>
                <w:szCs w:val="18"/>
                <w:color w:val="auto"/>
              </w:rPr>
              <w:t>5,119</w:t>
            </w: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r>
      <w:tr>
        <w:trPr>
          <w:trHeight w:val="203"/>
        </w:trPr>
        <w:tc>
          <w:tcPr>
            <w:tcW w:w="7640" w:type="dxa"/>
            <w:vAlign w:val="bottom"/>
            <w:tcBorders>
              <w:bottom w:val="single" w:sz="8" w:color="CFF0FC"/>
            </w:tcBorders>
            <w:shd w:val="clear" w:color="auto" w:fill="CFF0FC"/>
          </w:tcPr>
          <w:p>
            <w:pPr>
              <w:jc w:val="right"/>
              <w:ind w:right="7130"/>
              <w:spacing w:after="0" w:line="202" w:lineRule="exact"/>
              <w:rPr>
                <w:sz w:val="20"/>
                <w:szCs w:val="20"/>
                <w:color w:val="auto"/>
              </w:rPr>
            </w:pPr>
            <w:r>
              <w:rPr>
                <w:rFonts w:ascii="Arial" w:cs="Arial" w:eastAsia="Arial" w:hAnsi="Arial"/>
                <w:sz w:val="18"/>
                <w:szCs w:val="18"/>
                <w:color w:val="auto"/>
                <w:w w:val="99"/>
              </w:rPr>
              <w:t>2026</w:t>
            </w:r>
          </w:p>
        </w:tc>
        <w:tc>
          <w:tcPr>
            <w:tcW w:w="200" w:type="dxa"/>
            <w:vAlign w:val="bottom"/>
            <w:tcBorders>
              <w:bottom w:val="single" w:sz="8" w:color="auto"/>
            </w:tcBorders>
            <w:shd w:val="clear" w:color="auto" w:fill="CFF0FC"/>
          </w:tcPr>
          <w:p>
            <w:pPr>
              <w:spacing w:after="0"/>
              <w:rPr>
                <w:sz w:val="17"/>
                <w:szCs w:val="17"/>
                <w:color w:val="auto"/>
              </w:rPr>
            </w:pPr>
          </w:p>
        </w:tc>
        <w:tc>
          <w:tcPr>
            <w:tcW w:w="14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262</w:t>
            </w:r>
          </w:p>
        </w:tc>
        <w:tc>
          <w:tcPr>
            <w:tcW w:w="30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14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tcBorders>
              <w:bottom w:val="single" w:sz="8" w:color="CFF0FC"/>
            </w:tcBorders>
            <w:shd w:val="clear" w:color="auto" w:fill="CFF0FC"/>
          </w:tcPr>
          <w:p>
            <w:pPr>
              <w:spacing w:after="0"/>
              <w:rPr>
                <w:sz w:val="17"/>
                <w:szCs w:val="17"/>
                <w:color w:val="auto"/>
              </w:rPr>
            </w:pPr>
          </w:p>
        </w:tc>
      </w:tr>
      <w:tr>
        <w:trPr>
          <w:trHeight w:val="196"/>
        </w:trPr>
        <w:tc>
          <w:tcPr>
            <w:tcW w:w="7640" w:type="dxa"/>
            <w:vAlign w:val="bottom"/>
          </w:tcPr>
          <w:p>
            <w:pPr>
              <w:ind w:left="20"/>
              <w:spacing w:after="0" w:line="196" w:lineRule="exact"/>
              <w:rPr>
                <w:sz w:val="20"/>
                <w:szCs w:val="20"/>
                <w:color w:val="auto"/>
              </w:rPr>
            </w:pPr>
            <w:r>
              <w:rPr>
                <w:rFonts w:ascii="Arial" w:cs="Arial" w:eastAsia="Arial" w:hAnsi="Arial"/>
                <w:sz w:val="18"/>
                <w:szCs w:val="18"/>
                <w:b w:val="1"/>
                <w:bCs w:val="1"/>
                <w:color w:val="auto"/>
              </w:rPr>
              <w:t>Total undiscounted lease obligations</w:t>
            </w:r>
          </w:p>
        </w:tc>
        <w:tc>
          <w:tcPr>
            <w:tcW w:w="200" w:type="dxa"/>
            <w:vAlign w:val="bottom"/>
          </w:tcPr>
          <w:p>
            <w:pPr>
              <w:spacing w:after="0"/>
              <w:rPr>
                <w:sz w:val="17"/>
                <w:szCs w:val="17"/>
                <w:color w:val="auto"/>
              </w:rPr>
            </w:pPr>
          </w:p>
        </w:tc>
        <w:tc>
          <w:tcPr>
            <w:tcW w:w="1420" w:type="dxa"/>
            <w:vAlign w:val="bottom"/>
          </w:tcPr>
          <w:p>
            <w:pPr>
              <w:jc w:val="right"/>
              <w:spacing w:after="0" w:line="196" w:lineRule="exact"/>
              <w:rPr>
                <w:sz w:val="20"/>
                <w:szCs w:val="20"/>
                <w:color w:val="auto"/>
              </w:rPr>
            </w:pPr>
            <w:r>
              <w:rPr>
                <w:rFonts w:ascii="Arial" w:cs="Arial" w:eastAsia="Arial" w:hAnsi="Arial"/>
                <w:sz w:val="18"/>
                <w:szCs w:val="18"/>
                <w:color w:val="auto"/>
              </w:rPr>
              <w:t>24,175</w:t>
            </w: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c>
          <w:tcPr>
            <w:tcW w:w="60" w:type="dxa"/>
            <w:vAlign w:val="bottom"/>
          </w:tcPr>
          <w:p>
            <w:pPr>
              <w:spacing w:after="0"/>
              <w:rPr>
                <w:sz w:val="17"/>
                <w:szCs w:val="17"/>
                <w:color w:val="auto"/>
              </w:rPr>
            </w:pPr>
          </w:p>
        </w:tc>
      </w:tr>
      <w:tr>
        <w:trPr>
          <w:trHeight w:val="203"/>
        </w:trPr>
        <w:tc>
          <w:tcPr>
            <w:tcW w:w="76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Less imputed interest</w:t>
            </w:r>
          </w:p>
        </w:tc>
        <w:tc>
          <w:tcPr>
            <w:tcW w:w="200" w:type="dxa"/>
            <w:vAlign w:val="bottom"/>
            <w:shd w:val="clear" w:color="auto" w:fill="CFF0FC"/>
          </w:tcPr>
          <w:p>
            <w:pPr>
              <w:spacing w:after="0"/>
              <w:rPr>
                <w:sz w:val="17"/>
                <w:szCs w:val="17"/>
                <w:color w:val="auto"/>
              </w:rPr>
            </w:pPr>
          </w:p>
        </w:tc>
        <w:tc>
          <w:tcPr>
            <w:tcW w:w="1720" w:type="dxa"/>
            <w:vAlign w:val="bottom"/>
            <w:gridSpan w:val="2"/>
            <w:shd w:val="clear" w:color="auto" w:fill="CFF0FC"/>
          </w:tcPr>
          <w:p>
            <w:pPr>
              <w:jc w:val="right"/>
              <w:ind w:right="220"/>
              <w:spacing w:after="0" w:line="202" w:lineRule="exact"/>
              <w:rPr>
                <w:sz w:val="20"/>
                <w:szCs w:val="20"/>
                <w:color w:val="auto"/>
              </w:rPr>
            </w:pPr>
            <w:r>
              <w:rPr>
                <w:rFonts w:ascii="Arial" w:cs="Arial" w:eastAsia="Arial" w:hAnsi="Arial"/>
                <w:sz w:val="18"/>
                <w:szCs w:val="18"/>
                <w:color w:val="auto"/>
              </w:rPr>
              <w:t>(1,706 )</w:t>
            </w:r>
          </w:p>
        </w:tc>
        <w:tc>
          <w:tcPr>
            <w:tcW w:w="220" w:type="dxa"/>
            <w:vAlign w:val="bottom"/>
            <w:shd w:val="clear" w:color="auto" w:fill="CFF0FC"/>
          </w:tcPr>
          <w:p>
            <w:pPr>
              <w:spacing w:after="0"/>
              <w:rPr>
                <w:sz w:val="17"/>
                <w:szCs w:val="17"/>
                <w:color w:val="auto"/>
              </w:rPr>
            </w:pPr>
          </w:p>
        </w:tc>
        <w:tc>
          <w:tcPr>
            <w:tcW w:w="14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7"/>
                <w:szCs w:val="17"/>
                <w:color w:val="auto"/>
              </w:rPr>
            </w:pPr>
          </w:p>
        </w:tc>
      </w:tr>
      <w:tr>
        <w:trPr>
          <w:trHeight w:val="398"/>
        </w:trPr>
        <w:tc>
          <w:tcPr>
            <w:tcW w:w="7640" w:type="dxa"/>
            <w:vAlign w:val="bottom"/>
            <w:tcBorders>
              <w:top w:val="single" w:sz="8" w:color="CFF0FC"/>
            </w:tcBorders>
          </w:tcPr>
          <w:p>
            <w:pPr>
              <w:ind w:left="20"/>
              <w:spacing w:after="0"/>
              <w:rPr>
                <w:sz w:val="20"/>
                <w:szCs w:val="20"/>
                <w:color w:val="auto"/>
              </w:rPr>
            </w:pPr>
            <w:r>
              <w:rPr>
                <w:rFonts w:ascii="Arial" w:cs="Arial" w:eastAsia="Arial" w:hAnsi="Arial"/>
                <w:sz w:val="18"/>
                <w:szCs w:val="18"/>
                <w:b w:val="1"/>
                <w:bCs w:val="1"/>
                <w:color w:val="auto"/>
              </w:rPr>
              <w:t>Net lease obligations</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22,469</w:t>
            </w:r>
          </w:p>
        </w:tc>
        <w:tc>
          <w:tcPr>
            <w:tcW w:w="300" w:type="dxa"/>
            <w:vAlign w:val="bottom"/>
            <w:tcBorders>
              <w:top w:val="single" w:sz="8" w:color="CFF0FC"/>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60" w:type="dxa"/>
            <w:vAlign w:val="bottom"/>
            <w:tcBorders>
              <w:top w:val="single" w:sz="8" w:color="CFF0FC"/>
            </w:tcBorders>
          </w:tcPr>
          <w:p>
            <w:pPr>
              <w:spacing w:after="0"/>
              <w:rPr>
                <w:sz w:val="24"/>
                <w:szCs w:val="24"/>
                <w:color w:val="auto"/>
              </w:rPr>
            </w:pPr>
          </w:p>
        </w:tc>
      </w:tr>
      <w:tr>
        <w:trPr>
          <w:trHeight w:val="20"/>
        </w:trPr>
        <w:tc>
          <w:tcPr>
            <w:tcW w:w="76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5885815</wp:posOffset>
            </wp:positionH>
            <wp:positionV relativeFrom="paragraph">
              <wp:posOffset>-553720</wp:posOffset>
            </wp:positionV>
            <wp:extent cx="60325" cy="571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2">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-553720</wp:posOffset>
            </wp:positionV>
            <wp:extent cx="43180" cy="571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3">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-287655</wp:posOffset>
            </wp:positionV>
            <wp:extent cx="60325" cy="571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4">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-287655</wp:posOffset>
            </wp:positionV>
            <wp:extent cx="43180" cy="571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5">
                      <a:extLst>
                        <a:ext uri="{28A0092B-C50C-407E-A947-70E740481C1C}"/>
                      </a:extLst>
                    </a:blip>
                    <a:srcRect/>
                    <a:stretch>
                      <a:fillRect/>
                    </a:stretch>
                  </pic:blipFill>
                  <pic:spPr bwMode="auto">
                    <a:xfrm>
                      <a:off x="0" y="0"/>
                      <a:ext cx="43180" cy="5715"/>
                    </a:xfrm>
                    <a:prstGeom prst="rect">
                      <a:avLst/>
                    </a:prstGeom>
                    <a:noFill/>
                  </pic:spPr>
                </pic:pic>
              </a:graphicData>
            </a:graphic>
          </wp:anchor>
        </w:drawing>
      </w:r>
    </w:p>
    <w:p>
      <w:pPr>
        <w:spacing w:after="0" w:line="1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following are the remaining weighted average lease terms and discount rates for Xometry’s leases as of December 31, 2021 and 2020:</w:t>
      </w:r>
    </w:p>
    <w:p>
      <w:pPr>
        <w:spacing w:after="0" w:line="244" w:lineRule="exact"/>
        <w:rPr>
          <w:sz w:val="20"/>
          <w:szCs w:val="20"/>
          <w:color w:val="auto"/>
        </w:rPr>
      </w:pPr>
    </w:p>
    <w:p>
      <w:pPr>
        <w:ind w:left="8520"/>
        <w:spacing w:after="0"/>
        <w:rPr>
          <w:sz w:val="20"/>
          <w:szCs w:val="20"/>
          <w:color w:val="auto"/>
        </w:rPr>
      </w:pPr>
      <w:r>
        <w:rPr>
          <w:rFonts w:ascii="Arial" w:cs="Arial" w:eastAsia="Arial" w:hAnsi="Arial"/>
          <w:sz w:val="14"/>
          <w:szCs w:val="14"/>
          <w:b w:val="1"/>
          <w:bCs w:val="1"/>
          <w:color w:val="auto"/>
        </w:rPr>
        <w:t>Year Ended December 31,</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7620" w:type="dxa"/>
            <w:vAlign w:val="bottom"/>
          </w:tcPr>
          <w:p>
            <w:pPr>
              <w:spacing w:after="0"/>
              <w:rPr>
                <w:sz w:val="14"/>
                <w:szCs w:val="14"/>
                <w:color w:val="auto"/>
              </w:rPr>
            </w:pPr>
          </w:p>
        </w:tc>
        <w:tc>
          <w:tcPr>
            <w:tcW w:w="10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2021</w:t>
            </w:r>
          </w:p>
        </w:tc>
        <w:tc>
          <w:tcPr>
            <w:tcW w:w="460" w:type="dxa"/>
            <w:vAlign w:val="bottom"/>
            <w:tcBorders>
              <w:top w:val="single" w:sz="8" w:color="auto"/>
              <w:bottom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680" w:type="dxa"/>
            <w:vAlign w:val="bottom"/>
            <w:tcBorders>
              <w:top w:val="single" w:sz="8" w:color="auto"/>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4"/>
                <w:szCs w:val="14"/>
                <w:color w:val="auto"/>
              </w:rPr>
            </w:pPr>
          </w:p>
        </w:tc>
      </w:tr>
      <w:tr>
        <w:trPr>
          <w:trHeight w:val="196"/>
        </w:trPr>
        <w:tc>
          <w:tcPr>
            <w:tcW w:w="762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Weighted average remaining lease term (in years)</w:t>
            </w:r>
          </w:p>
        </w:tc>
        <w:tc>
          <w:tcPr>
            <w:tcW w:w="1040" w:type="dxa"/>
            <w:vAlign w:val="bottom"/>
            <w:shd w:val="clear" w:color="auto" w:fill="CFF0FC"/>
          </w:tcPr>
          <w:p>
            <w:pPr>
              <w:spacing w:after="0"/>
              <w:rPr>
                <w:sz w:val="17"/>
                <w:szCs w:val="17"/>
                <w:color w:val="auto"/>
              </w:rPr>
            </w:pPr>
          </w:p>
        </w:tc>
        <w:tc>
          <w:tcPr>
            <w:tcW w:w="4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4.0</w:t>
            </w:r>
          </w:p>
        </w:tc>
        <w:tc>
          <w:tcPr>
            <w:tcW w:w="220" w:type="dxa"/>
            <w:vAlign w:val="bottom"/>
            <w:shd w:val="clear" w:color="auto" w:fill="CFF0FC"/>
          </w:tcPr>
          <w:p>
            <w:pPr>
              <w:spacing w:after="0"/>
              <w:rPr>
                <w:sz w:val="17"/>
                <w:szCs w:val="17"/>
                <w:color w:val="auto"/>
              </w:rPr>
            </w:pPr>
          </w:p>
        </w:tc>
        <w:tc>
          <w:tcPr>
            <w:tcW w:w="16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2.7</w:t>
            </w:r>
          </w:p>
        </w:tc>
        <w:tc>
          <w:tcPr>
            <w:tcW w:w="220" w:type="dxa"/>
            <w:vAlign w:val="bottom"/>
            <w:shd w:val="clear" w:color="auto" w:fill="CFF0FC"/>
          </w:tcPr>
          <w:p>
            <w:pPr>
              <w:spacing w:after="0"/>
              <w:rPr>
                <w:sz w:val="17"/>
                <w:szCs w:val="17"/>
                <w:color w:val="auto"/>
              </w:rPr>
            </w:pPr>
          </w:p>
        </w:tc>
      </w:tr>
      <w:tr>
        <w:trPr>
          <w:trHeight w:val="230"/>
        </w:trPr>
        <w:tc>
          <w:tcPr>
            <w:tcW w:w="8660" w:type="dxa"/>
            <w:vAlign w:val="bottom"/>
            <w:gridSpan w:val="2"/>
          </w:tcPr>
          <w:p>
            <w:pPr>
              <w:ind w:left="20"/>
              <w:spacing w:after="0"/>
              <w:rPr>
                <w:sz w:val="20"/>
                <w:szCs w:val="20"/>
                <w:color w:val="auto"/>
              </w:rPr>
            </w:pPr>
            <w:r>
              <w:rPr>
                <w:rFonts w:ascii="Arial" w:cs="Arial" w:eastAsia="Arial" w:hAnsi="Arial"/>
                <w:sz w:val="18"/>
                <w:szCs w:val="18"/>
                <w:color w:val="auto"/>
              </w:rPr>
              <w:t>Weighted average discount rate</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4.05 %</w:t>
            </w:r>
          </w:p>
        </w:tc>
        <w:tc>
          <w:tcPr>
            <w:tcW w:w="1900" w:type="dxa"/>
            <w:vAlign w:val="bottom"/>
            <w:gridSpan w:val="2"/>
          </w:tcPr>
          <w:p>
            <w:pPr>
              <w:jc w:val="right"/>
              <w:ind w:right="60"/>
              <w:spacing w:after="0"/>
              <w:rPr>
                <w:sz w:val="20"/>
                <w:szCs w:val="20"/>
                <w:color w:val="auto"/>
              </w:rPr>
            </w:pPr>
            <w:r>
              <w:rPr>
                <w:rFonts w:ascii="Arial" w:cs="Arial" w:eastAsia="Arial" w:hAnsi="Arial"/>
                <w:sz w:val="18"/>
                <w:szCs w:val="18"/>
                <w:color w:val="auto"/>
              </w:rPr>
              <w:t>8.45 %</w:t>
            </w:r>
          </w:p>
        </w:tc>
      </w:tr>
    </w:tbl>
    <w:p>
      <w:pPr>
        <w:spacing w:after="0" w:line="156" w:lineRule="exact"/>
        <w:rPr>
          <w:sz w:val="20"/>
          <w:szCs w:val="20"/>
          <w:color w:val="auto"/>
        </w:rPr>
      </w:pPr>
    </w:p>
    <w:p>
      <w:pPr>
        <w:ind w:left="660" w:hanging="652"/>
        <w:spacing w:after="0"/>
        <w:tabs>
          <w:tab w:leader="none" w:pos="660" w:val="left"/>
        </w:tabs>
        <w:numPr>
          <w:ilvl w:val="0"/>
          <w:numId w:val="60"/>
        </w:numPr>
        <w:rPr>
          <w:rFonts w:ascii="Arial" w:cs="Arial" w:eastAsia="Arial" w:hAnsi="Arial"/>
          <w:sz w:val="18"/>
          <w:szCs w:val="18"/>
          <w:b w:val="1"/>
          <w:bCs w:val="1"/>
          <w:color w:val="auto"/>
        </w:rPr>
      </w:pPr>
      <w:r>
        <w:rPr>
          <w:rFonts w:ascii="Arial" w:cs="Arial" w:eastAsia="Arial" w:hAnsi="Arial"/>
          <w:sz w:val="18"/>
          <w:szCs w:val="18"/>
          <w:b w:val="1"/>
          <w:bCs w:val="1"/>
          <w:color w:val="auto"/>
        </w:rPr>
        <w:t>Common Stock</w:t>
      </w:r>
    </w:p>
    <w:p>
      <w:pPr>
        <w:spacing w:after="0" w:line="108" w:lineRule="exact"/>
        <w:rPr>
          <w:sz w:val="20"/>
          <w:szCs w:val="20"/>
          <w:color w:val="auto"/>
        </w:rPr>
      </w:pPr>
    </w:p>
    <w:p>
      <w:pPr>
        <w:ind w:right="80" w:firstLine="644"/>
        <w:spacing w:after="0" w:line="243" w:lineRule="auto"/>
        <w:rPr>
          <w:sz w:val="20"/>
          <w:szCs w:val="20"/>
          <w:color w:val="auto"/>
        </w:rPr>
      </w:pPr>
      <w:r>
        <w:rPr>
          <w:rFonts w:ascii="Arial" w:cs="Arial" w:eastAsia="Arial" w:hAnsi="Arial"/>
          <w:sz w:val="18"/>
          <w:szCs w:val="18"/>
          <w:color w:val="auto"/>
        </w:rPr>
        <w:t>Prior to the Company's IPO on July 2, 2021, holders of common stock were entitled to one vote per share, receive dividends and, upon liquidation or dissolution, were entitled to receive all assets available for distribution to stockholders. The holders had no preemptive or other subscription rights and there were no redemption or sinking fund provisions with respect to such shares. Common stock was subordinate to the preferred stock with respect to dividend rights, rights upon liquidation, and dissolution of the Company.</w:t>
      </w:r>
    </w:p>
    <w:p>
      <w:pPr>
        <w:spacing w:after="0" w:line="147" w:lineRule="exact"/>
        <w:rPr>
          <w:sz w:val="20"/>
          <w:szCs w:val="20"/>
          <w:color w:val="auto"/>
        </w:rPr>
      </w:pPr>
    </w:p>
    <w:p>
      <w:pPr>
        <w:ind w:right="180" w:firstLine="644"/>
        <w:spacing w:after="0" w:line="291" w:lineRule="auto"/>
        <w:rPr>
          <w:sz w:val="20"/>
          <w:szCs w:val="20"/>
          <w:color w:val="auto"/>
        </w:rPr>
      </w:pPr>
      <w:r>
        <w:rPr>
          <w:rFonts w:ascii="Arial" w:cs="Arial" w:eastAsia="Arial" w:hAnsi="Arial"/>
          <w:sz w:val="17"/>
          <w:szCs w:val="17"/>
          <w:color w:val="auto"/>
        </w:rPr>
        <w:t>In connection with the Company's IPO on July 2, 2021, the 8,665,797 shares of common stock outstanding on June 30, 2021 were reclassified to Class A common stock. Of those 8,665,797 shares of common stock, 2,268,846 were exchanged for Class B common stock.</w:t>
      </w:r>
    </w:p>
    <w:p>
      <w:pPr>
        <w:spacing w:after="0" w:line="120" w:lineRule="exact"/>
        <w:rPr>
          <w:sz w:val="20"/>
          <w:szCs w:val="20"/>
          <w:color w:val="auto"/>
        </w:rPr>
      </w:pPr>
    </w:p>
    <w:p>
      <w:pPr>
        <w:ind w:right="60" w:firstLine="644"/>
        <w:spacing w:after="0" w:line="248" w:lineRule="auto"/>
        <w:rPr>
          <w:sz w:val="20"/>
          <w:szCs w:val="20"/>
          <w:color w:val="auto"/>
        </w:rPr>
      </w:pPr>
      <w:r>
        <w:rPr>
          <w:rFonts w:ascii="Arial" w:cs="Arial" w:eastAsia="Arial" w:hAnsi="Arial"/>
          <w:sz w:val="18"/>
          <w:szCs w:val="18"/>
          <w:color w:val="auto"/>
        </w:rPr>
        <w:t>On July 2, 2021, the Company amended and restated its certificate of incorporation to provide for two classes of common stock: Class A common stock and Class B common stock. The Company's authorized capital stock consists of 805 million shares, all with a par value of $0.000001 per share, of which:</w:t>
      </w:r>
    </w:p>
    <w:p>
      <w:pPr>
        <w:spacing w:after="0" w:line="74" w:lineRule="exact"/>
        <w:rPr>
          <w:sz w:val="20"/>
          <w:szCs w:val="20"/>
          <w:color w:val="auto"/>
        </w:rPr>
      </w:pPr>
    </w:p>
    <w:p>
      <w:pPr>
        <w:ind w:left="1160" w:hanging="508"/>
        <w:spacing w:after="0"/>
        <w:tabs>
          <w:tab w:leader="none" w:pos="11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750,000,000 are designated Class A common stock;</w:t>
      </w:r>
    </w:p>
    <w:p>
      <w:pPr>
        <w:spacing w:after="0" w:line="103" w:lineRule="exact"/>
        <w:rPr>
          <w:rFonts w:ascii="Arial" w:cs="Arial" w:eastAsia="Arial" w:hAnsi="Arial"/>
          <w:sz w:val="18"/>
          <w:szCs w:val="18"/>
          <w:color w:val="auto"/>
        </w:rPr>
      </w:pPr>
    </w:p>
    <w:p>
      <w:pPr>
        <w:ind w:left="1160" w:hanging="508"/>
        <w:spacing w:after="0"/>
        <w:tabs>
          <w:tab w:leader="none" w:pos="11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5,000,000 are designated Class B common stock; and</w:t>
      </w:r>
    </w:p>
    <w:p>
      <w:pPr>
        <w:spacing w:after="0" w:line="103" w:lineRule="exact"/>
        <w:rPr>
          <w:rFonts w:ascii="Arial" w:cs="Arial" w:eastAsia="Arial" w:hAnsi="Arial"/>
          <w:sz w:val="18"/>
          <w:szCs w:val="18"/>
          <w:color w:val="auto"/>
        </w:rPr>
      </w:pPr>
    </w:p>
    <w:p>
      <w:pPr>
        <w:ind w:left="1160" w:hanging="508"/>
        <w:spacing w:after="0"/>
        <w:tabs>
          <w:tab w:leader="none" w:pos="11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50,000,000 are designated preferred stock.</w:t>
      </w:r>
    </w:p>
    <w:p>
      <w:pPr>
        <w:spacing w:after="0" w:line="171" w:lineRule="exact"/>
        <w:rPr>
          <w:sz w:val="20"/>
          <w:szCs w:val="20"/>
          <w:color w:val="auto"/>
        </w:rPr>
      </w:pPr>
    </w:p>
    <w:p>
      <w:pPr>
        <w:ind w:right="40" w:firstLine="644"/>
        <w:spacing w:after="0" w:line="248" w:lineRule="auto"/>
        <w:rPr>
          <w:sz w:val="20"/>
          <w:szCs w:val="20"/>
          <w:color w:val="auto"/>
        </w:rPr>
      </w:pPr>
      <w:r>
        <w:rPr>
          <w:rFonts w:ascii="Arial" w:cs="Arial" w:eastAsia="Arial" w:hAnsi="Arial"/>
          <w:sz w:val="18"/>
          <w:szCs w:val="18"/>
          <w:color w:val="auto"/>
        </w:rPr>
        <w:t>Shares of Class A common stock and Class B common stock have the same rights and privileges and rank equally, share ratably and are identical in all respects, including but not limited to dividends and distributions, liquidation rights, change of control transactions, subdivisions and combinations, no preemptive or similar rights, and conversion.</w:t>
      </w:r>
    </w:p>
    <w:p>
      <w:pPr>
        <w:spacing w:after="0" w:line="141" w:lineRule="exact"/>
        <w:rPr>
          <w:sz w:val="20"/>
          <w:szCs w:val="20"/>
          <w:color w:val="auto"/>
        </w:rPr>
      </w:pPr>
    </w:p>
    <w:p>
      <w:pPr>
        <w:ind w:right="220" w:firstLine="644"/>
        <w:spacing w:after="0" w:line="291" w:lineRule="auto"/>
        <w:rPr>
          <w:sz w:val="20"/>
          <w:szCs w:val="20"/>
          <w:color w:val="auto"/>
        </w:rPr>
      </w:pPr>
      <w:r>
        <w:rPr>
          <w:rFonts w:ascii="Arial" w:cs="Arial" w:eastAsia="Arial" w:hAnsi="Arial"/>
          <w:sz w:val="17"/>
          <w:szCs w:val="17"/>
          <w:color w:val="auto"/>
        </w:rPr>
        <w:t>Holders of our Class A common stock are entitled to one vote per share on any matter that is submitted to a vote of our stockholders. Holders of our Class B common stock are entitled to 20 votes per share on any matter submitted to a vote of our stockholders.</w:t>
      </w:r>
    </w:p>
    <w:p>
      <w:pPr>
        <w:spacing w:after="0" w:line="116" w:lineRule="exact"/>
        <w:rPr>
          <w:sz w:val="20"/>
          <w:szCs w:val="20"/>
          <w:color w:val="auto"/>
        </w:rPr>
      </w:pPr>
    </w:p>
    <w:p>
      <w:pPr>
        <w:ind w:left="660" w:hanging="652"/>
        <w:spacing w:after="0"/>
        <w:tabs>
          <w:tab w:leader="none" w:pos="660" w:val="left"/>
        </w:tabs>
        <w:numPr>
          <w:ilvl w:val="0"/>
          <w:numId w:val="62"/>
        </w:numPr>
        <w:rPr>
          <w:rFonts w:ascii="Arial" w:cs="Arial" w:eastAsia="Arial" w:hAnsi="Arial"/>
          <w:sz w:val="18"/>
          <w:szCs w:val="18"/>
          <w:b w:val="1"/>
          <w:bCs w:val="1"/>
          <w:color w:val="auto"/>
        </w:rPr>
      </w:pPr>
      <w:r>
        <w:rPr>
          <w:rFonts w:ascii="Arial" w:cs="Arial" w:eastAsia="Arial" w:hAnsi="Arial"/>
          <w:sz w:val="18"/>
          <w:szCs w:val="18"/>
          <w:b w:val="1"/>
          <w:bCs w:val="1"/>
          <w:color w:val="auto"/>
        </w:rPr>
        <w:t>Convertible Preferred Stock</w:t>
      </w:r>
    </w:p>
    <w:p>
      <w:pPr>
        <w:spacing w:after="0" w:line="108" w:lineRule="exact"/>
        <w:rPr>
          <w:sz w:val="20"/>
          <w:szCs w:val="20"/>
          <w:color w:val="auto"/>
        </w:rPr>
      </w:pPr>
    </w:p>
    <w:p>
      <w:pPr>
        <w:ind w:right="220" w:firstLine="644"/>
        <w:spacing w:after="0" w:line="239" w:lineRule="auto"/>
        <w:rPr>
          <w:sz w:val="20"/>
          <w:szCs w:val="20"/>
          <w:color w:val="auto"/>
        </w:rPr>
      </w:pPr>
      <w:r>
        <w:rPr>
          <w:rFonts w:ascii="Arial" w:cs="Arial" w:eastAsia="Arial" w:hAnsi="Arial"/>
          <w:sz w:val="18"/>
          <w:szCs w:val="18"/>
          <w:color w:val="auto"/>
        </w:rPr>
        <w:t>The Company issued the following series of its preferred stock–Series Seed-1 Convertible Preferred Stock in September 2013, Series Seed-2 Convertible Preferred Stock in July 2014, Series A-1 Convertible Preferred Stock in October 2015, Series A-2 Convertible Preferred Stock in December 2016 and July 2020, Series B Convertible Preferred Stock in June 2017 and July 2020, Series C Convertible Preferred Stock in June 2018 and July 2020, Series D Convertible Preferred Stock</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63" w:right="339" w:bottom="1440" w:gutter="0" w:footer="0" w:header="0"/>
        </w:sectPr>
      </w:pPr>
    </w:p>
    <w:bookmarkStart w:id="74" w:name="page75"/>
    <w:bookmarkEnd w:id="74"/>
    <w:p>
      <w:pPr>
        <w:spacing w:after="0"/>
        <w:rPr>
          <w:sz w:val="20"/>
          <w:szCs w:val="20"/>
          <w:color w:val="auto"/>
        </w:rPr>
      </w:pPr>
      <w:r>
        <w:rPr>
          <w:rFonts w:ascii="Arial" w:cs="Arial" w:eastAsia="Arial" w:hAnsi="Arial"/>
          <w:sz w:val="18"/>
          <w:szCs w:val="18"/>
          <w:color w:val="auto"/>
        </w:rPr>
        <w:t>in May 2019 and July 2020, Series E Convertible Preferred Stock in July 2020 (collectively referred to as the “Convertible Preferred Stock”).</w:t>
      </w:r>
    </w:p>
    <w:p>
      <w:pPr>
        <w:spacing w:after="0" w:line="171" w:lineRule="exact"/>
        <w:rPr>
          <w:sz w:val="20"/>
          <w:szCs w:val="20"/>
          <w:color w:val="auto"/>
        </w:rPr>
      </w:pPr>
    </w:p>
    <w:p>
      <w:pPr>
        <w:ind w:right="640" w:firstLine="644"/>
        <w:spacing w:after="0" w:line="261" w:lineRule="auto"/>
        <w:rPr>
          <w:sz w:val="20"/>
          <w:szCs w:val="20"/>
          <w:color w:val="auto"/>
        </w:rPr>
      </w:pPr>
      <w:r>
        <w:rPr>
          <w:rFonts w:ascii="Arial" w:cs="Arial" w:eastAsia="Arial" w:hAnsi="Arial"/>
          <w:sz w:val="18"/>
          <w:szCs w:val="18"/>
          <w:color w:val="auto"/>
        </w:rPr>
        <w:t>As of December 31, 2020, the numbers of authorized and outstanding shares in the Convertible Preferred Stock, with their total respective liquidation preferences, were as follows (in thousands, except share and per share data):</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020" w:type="dxa"/>
            <w:vAlign w:val="bottom"/>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680" w:type="dxa"/>
            <w:vAlign w:val="bottom"/>
            <w:tcBorders>
              <w:bottom w:val="single" w:sz="8" w:color="auto"/>
            </w:tcBorders>
            <w:gridSpan w:val="3"/>
          </w:tcPr>
          <w:p>
            <w:pPr>
              <w:ind w:left="1180"/>
              <w:spacing w:after="0"/>
              <w:rPr>
                <w:sz w:val="20"/>
                <w:szCs w:val="20"/>
                <w:color w:val="auto"/>
              </w:rPr>
            </w:pPr>
            <w:r>
              <w:rPr>
                <w:rFonts w:ascii="Arial" w:cs="Arial" w:eastAsia="Arial" w:hAnsi="Arial"/>
                <w:sz w:val="14"/>
                <w:szCs w:val="14"/>
                <w:b w:val="1"/>
                <w:bCs w:val="1"/>
                <w:color w:val="auto"/>
              </w:rPr>
              <w:t>Shares</w:t>
            </w:r>
          </w:p>
        </w:tc>
        <w:tc>
          <w:tcPr>
            <w:tcW w:w="110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jc w:val="right"/>
              <w:ind w:right="173"/>
              <w:spacing w:after="0"/>
              <w:rPr>
                <w:sz w:val="20"/>
                <w:szCs w:val="20"/>
                <w:color w:val="auto"/>
              </w:rPr>
            </w:pPr>
            <w:r>
              <w:rPr>
                <w:rFonts w:ascii="Arial" w:cs="Arial" w:eastAsia="Arial" w:hAnsi="Arial"/>
                <w:sz w:val="14"/>
                <w:szCs w:val="14"/>
                <w:b w:val="1"/>
                <w:bCs w:val="1"/>
                <w:color w:val="auto"/>
              </w:rPr>
              <w:t>Liquidation</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jc w:val="right"/>
              <w:ind w:right="253"/>
              <w:spacing w:after="0"/>
              <w:rPr>
                <w:sz w:val="20"/>
                <w:szCs w:val="20"/>
                <w:color w:val="auto"/>
              </w:rPr>
            </w:pPr>
            <w:r>
              <w:rPr>
                <w:rFonts w:ascii="Arial" w:cs="Arial" w:eastAsia="Arial" w:hAnsi="Arial"/>
                <w:sz w:val="14"/>
                <w:szCs w:val="14"/>
                <w:b w:val="1"/>
                <w:bCs w:val="1"/>
                <w:color w:val="auto"/>
              </w:rPr>
              <w:t>Carrying</w:t>
            </w:r>
          </w:p>
        </w:tc>
        <w:tc>
          <w:tcPr>
            <w:tcW w:w="60" w:type="dxa"/>
            <w:vAlign w:val="bottom"/>
          </w:tcPr>
          <w:p>
            <w:pPr>
              <w:spacing w:after="0"/>
              <w:rPr>
                <w:sz w:val="16"/>
                <w:szCs w:val="16"/>
                <w:color w:val="auto"/>
              </w:rPr>
            </w:pPr>
          </w:p>
        </w:tc>
      </w:tr>
      <w:tr>
        <w:trPr>
          <w:trHeight w:val="169"/>
        </w:trPr>
        <w:tc>
          <w:tcPr>
            <w:tcW w:w="4020" w:type="dxa"/>
            <w:vAlign w:val="bottom"/>
          </w:tcPr>
          <w:p>
            <w:pPr>
              <w:spacing w:after="0"/>
              <w:rPr>
                <w:sz w:val="14"/>
                <w:szCs w:val="14"/>
                <w:color w:val="auto"/>
              </w:rPr>
            </w:pPr>
          </w:p>
        </w:tc>
        <w:tc>
          <w:tcPr>
            <w:tcW w:w="1300" w:type="dxa"/>
            <w:vAlign w:val="bottom"/>
          </w:tcPr>
          <w:p>
            <w:pPr>
              <w:jc w:val="right"/>
              <w:ind w:right="272"/>
              <w:spacing w:after="0"/>
              <w:rPr>
                <w:sz w:val="20"/>
                <w:szCs w:val="20"/>
                <w:color w:val="auto"/>
              </w:rPr>
            </w:pPr>
            <w:r>
              <w:rPr>
                <w:rFonts w:ascii="Arial" w:cs="Arial" w:eastAsia="Arial" w:hAnsi="Arial"/>
                <w:sz w:val="14"/>
                <w:szCs w:val="14"/>
                <w:b w:val="1"/>
                <w:bCs w:val="1"/>
                <w:color w:val="auto"/>
              </w:rPr>
              <w:t>Par Value</w:t>
            </w:r>
          </w:p>
        </w:tc>
        <w:tc>
          <w:tcPr>
            <w:tcW w:w="160" w:type="dxa"/>
            <w:vAlign w:val="bottom"/>
          </w:tcPr>
          <w:p>
            <w:pPr>
              <w:spacing w:after="0"/>
              <w:rPr>
                <w:sz w:val="14"/>
                <w:szCs w:val="14"/>
                <w:color w:val="auto"/>
              </w:rPr>
            </w:pPr>
          </w:p>
        </w:tc>
        <w:tc>
          <w:tcPr>
            <w:tcW w:w="1680" w:type="dxa"/>
            <w:vAlign w:val="bottom"/>
            <w:gridSpan w:val="3"/>
          </w:tcPr>
          <w:p>
            <w:pPr>
              <w:ind w:left="280"/>
              <w:spacing w:after="0"/>
              <w:rPr>
                <w:sz w:val="20"/>
                <w:szCs w:val="20"/>
                <w:color w:val="auto"/>
              </w:rPr>
            </w:pPr>
            <w:r>
              <w:rPr>
                <w:rFonts w:ascii="Arial" w:cs="Arial" w:eastAsia="Arial" w:hAnsi="Arial"/>
                <w:sz w:val="14"/>
                <w:szCs w:val="14"/>
                <w:b w:val="1"/>
                <w:bCs w:val="1"/>
                <w:color w:val="auto"/>
              </w:rPr>
              <w:t>Authorized</w:t>
            </w:r>
          </w:p>
        </w:tc>
        <w:tc>
          <w:tcPr>
            <w:tcW w:w="1100" w:type="dxa"/>
            <w:vAlign w:val="bottom"/>
          </w:tcPr>
          <w:p>
            <w:pPr>
              <w:jc w:val="right"/>
              <w:ind w:right="152"/>
              <w:spacing w:after="0"/>
              <w:rPr>
                <w:sz w:val="20"/>
                <w:szCs w:val="20"/>
                <w:color w:val="auto"/>
              </w:rPr>
            </w:pPr>
            <w:r>
              <w:rPr>
                <w:rFonts w:ascii="Arial" w:cs="Arial" w:eastAsia="Arial" w:hAnsi="Arial"/>
                <w:sz w:val="14"/>
                <w:szCs w:val="14"/>
                <w:b w:val="1"/>
                <w:bCs w:val="1"/>
                <w:color w:val="auto"/>
              </w:rPr>
              <w:t>Outstanding</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jc w:val="right"/>
              <w:ind w:right="213"/>
              <w:spacing w:after="0"/>
              <w:rPr>
                <w:sz w:val="20"/>
                <w:szCs w:val="20"/>
                <w:color w:val="auto"/>
              </w:rPr>
            </w:pPr>
            <w:r>
              <w:rPr>
                <w:rFonts w:ascii="Arial" w:cs="Arial" w:eastAsia="Arial" w:hAnsi="Arial"/>
                <w:sz w:val="14"/>
                <w:szCs w:val="14"/>
                <w:b w:val="1"/>
                <w:bCs w:val="1"/>
                <w:color w:val="auto"/>
              </w:rPr>
              <w:t>preference</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jc w:val="right"/>
              <w:ind w:right="353"/>
              <w:spacing w:after="0"/>
              <w:rPr>
                <w:sz w:val="20"/>
                <w:szCs w:val="20"/>
                <w:color w:val="auto"/>
              </w:rPr>
            </w:pPr>
            <w:r>
              <w:rPr>
                <w:rFonts w:ascii="Arial" w:cs="Arial" w:eastAsia="Arial" w:hAnsi="Arial"/>
                <w:sz w:val="14"/>
                <w:szCs w:val="14"/>
                <w:b w:val="1"/>
                <w:bCs w:val="1"/>
                <w:color w:val="auto"/>
              </w:rPr>
              <w:t>Value</w:t>
            </w:r>
          </w:p>
        </w:tc>
        <w:tc>
          <w:tcPr>
            <w:tcW w:w="60" w:type="dxa"/>
            <w:vAlign w:val="bottom"/>
          </w:tcPr>
          <w:p>
            <w:pPr>
              <w:spacing w:after="0"/>
              <w:rPr>
                <w:sz w:val="14"/>
                <w:szCs w:val="14"/>
                <w:color w:val="auto"/>
              </w:rPr>
            </w:pPr>
          </w:p>
        </w:tc>
      </w:tr>
      <w:tr>
        <w:trPr>
          <w:trHeight w:val="196"/>
        </w:trPr>
        <w:tc>
          <w:tcPr>
            <w:tcW w:w="402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Series:</w:t>
            </w:r>
          </w:p>
        </w:tc>
        <w:tc>
          <w:tcPr>
            <w:tcW w:w="1300" w:type="dxa"/>
            <w:vAlign w:val="bottom"/>
            <w:tcBorders>
              <w:top w:val="single" w:sz="8" w:color="auto"/>
            </w:tcBorders>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60" w:type="dxa"/>
            <w:vAlign w:val="bottom"/>
            <w:tcBorders>
              <w:top w:val="single" w:sz="8" w:color="auto"/>
            </w:tcBorders>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1100" w:type="dxa"/>
            <w:vAlign w:val="bottom"/>
            <w:tcBorders>
              <w:top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1060" w:type="dxa"/>
            <w:vAlign w:val="bottom"/>
            <w:tcBorders>
              <w:top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1020" w:type="dxa"/>
            <w:vAlign w:val="bottom"/>
            <w:tcBorders>
              <w:top w:val="single" w:sz="8" w:color="auto"/>
            </w:tcBorders>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r>
      <w:tr>
        <w:trPr>
          <w:trHeight w:val="203"/>
        </w:trPr>
        <w:tc>
          <w:tcPr>
            <w:tcW w:w="4020" w:type="dxa"/>
            <w:vAlign w:val="bottom"/>
          </w:tcPr>
          <w:p>
            <w:pPr>
              <w:ind w:left="200"/>
              <w:spacing w:after="0" w:line="202" w:lineRule="exact"/>
              <w:rPr>
                <w:sz w:val="20"/>
                <w:szCs w:val="20"/>
                <w:color w:val="auto"/>
              </w:rPr>
            </w:pPr>
            <w:r>
              <w:rPr>
                <w:rFonts w:ascii="Arial" w:cs="Arial" w:eastAsia="Arial" w:hAnsi="Arial"/>
                <w:sz w:val="18"/>
                <w:szCs w:val="18"/>
                <w:color w:val="auto"/>
              </w:rPr>
              <w:t>Series Seed-1 Convertible Preferred Stock</w:t>
            </w: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$0.000001</w:t>
            </w:r>
          </w:p>
        </w:tc>
        <w:tc>
          <w:tcPr>
            <w:tcW w:w="14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4,200,000</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4,200,000</w:t>
            </w:r>
          </w:p>
        </w:tc>
        <w:tc>
          <w:tcPr>
            <w:tcW w:w="40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4,200</w:t>
            </w:r>
          </w:p>
        </w:tc>
        <w:tc>
          <w:tcPr>
            <w:tcW w:w="4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4,200</w:t>
            </w:r>
          </w:p>
        </w:tc>
        <w:tc>
          <w:tcPr>
            <w:tcW w:w="60" w:type="dxa"/>
            <w:vAlign w:val="bottom"/>
          </w:tcPr>
          <w:p>
            <w:pPr>
              <w:spacing w:after="0"/>
              <w:rPr>
                <w:sz w:val="17"/>
                <w:szCs w:val="17"/>
                <w:color w:val="auto"/>
              </w:rPr>
            </w:pPr>
          </w:p>
        </w:tc>
      </w:tr>
      <w:tr>
        <w:trPr>
          <w:trHeight w:val="203"/>
        </w:trPr>
        <w:tc>
          <w:tcPr>
            <w:tcW w:w="402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Series Seed-2 Convertible Preferred Stock</w:t>
            </w:r>
          </w:p>
        </w:tc>
        <w:tc>
          <w:tcPr>
            <w:tcW w:w="13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$0.000001</w:t>
            </w:r>
          </w:p>
        </w:tc>
        <w:tc>
          <w:tcPr>
            <w:tcW w:w="142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2,188,322</w:t>
            </w:r>
          </w:p>
        </w:tc>
        <w:tc>
          <w:tcPr>
            <w:tcW w:w="2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2,188,322</w:t>
            </w: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2,998</w:t>
            </w:r>
          </w:p>
        </w:tc>
        <w:tc>
          <w:tcPr>
            <w:tcW w:w="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2,998</w:t>
            </w:r>
          </w:p>
        </w:tc>
        <w:tc>
          <w:tcPr>
            <w:tcW w:w="60" w:type="dxa"/>
            <w:vAlign w:val="bottom"/>
            <w:shd w:val="clear" w:color="auto" w:fill="CFF0FC"/>
          </w:tcPr>
          <w:p>
            <w:pPr>
              <w:spacing w:after="0"/>
              <w:rPr>
                <w:sz w:val="17"/>
                <w:szCs w:val="17"/>
                <w:color w:val="auto"/>
              </w:rPr>
            </w:pPr>
          </w:p>
        </w:tc>
      </w:tr>
      <w:tr>
        <w:trPr>
          <w:trHeight w:val="203"/>
        </w:trPr>
        <w:tc>
          <w:tcPr>
            <w:tcW w:w="4020" w:type="dxa"/>
            <w:vAlign w:val="bottom"/>
          </w:tcPr>
          <w:p>
            <w:pPr>
              <w:ind w:left="200"/>
              <w:spacing w:after="0" w:line="202" w:lineRule="exact"/>
              <w:rPr>
                <w:sz w:val="20"/>
                <w:szCs w:val="20"/>
                <w:color w:val="auto"/>
              </w:rPr>
            </w:pPr>
            <w:r>
              <w:rPr>
                <w:rFonts w:ascii="Arial" w:cs="Arial" w:eastAsia="Arial" w:hAnsi="Arial"/>
                <w:sz w:val="18"/>
                <w:szCs w:val="18"/>
                <w:color w:val="auto"/>
              </w:rPr>
              <w:t>Series A-1 Convertible Preferred Stock</w:t>
            </w: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$0.000001</w:t>
            </w:r>
          </w:p>
        </w:tc>
        <w:tc>
          <w:tcPr>
            <w:tcW w:w="14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4,211,094</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4,211,094</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8,800</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8,704</w:t>
            </w:r>
          </w:p>
        </w:tc>
        <w:tc>
          <w:tcPr>
            <w:tcW w:w="60" w:type="dxa"/>
            <w:vAlign w:val="bottom"/>
          </w:tcPr>
          <w:p>
            <w:pPr>
              <w:spacing w:after="0"/>
              <w:rPr>
                <w:sz w:val="17"/>
                <w:szCs w:val="17"/>
                <w:color w:val="auto"/>
              </w:rPr>
            </w:pPr>
          </w:p>
        </w:tc>
      </w:tr>
      <w:tr>
        <w:trPr>
          <w:trHeight w:val="203"/>
        </w:trPr>
        <w:tc>
          <w:tcPr>
            <w:tcW w:w="402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Series A-2 Convertible Preferred Stock</w:t>
            </w:r>
          </w:p>
        </w:tc>
        <w:tc>
          <w:tcPr>
            <w:tcW w:w="13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$0.000001</w:t>
            </w:r>
          </w:p>
        </w:tc>
        <w:tc>
          <w:tcPr>
            <w:tcW w:w="142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1,591,230</w:t>
            </w:r>
          </w:p>
        </w:tc>
        <w:tc>
          <w:tcPr>
            <w:tcW w:w="2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1,591,230</w:t>
            </w: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12,884</w:t>
            </w:r>
          </w:p>
        </w:tc>
        <w:tc>
          <w:tcPr>
            <w:tcW w:w="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12,839</w:t>
            </w:r>
          </w:p>
        </w:tc>
        <w:tc>
          <w:tcPr>
            <w:tcW w:w="60" w:type="dxa"/>
            <w:vAlign w:val="bottom"/>
            <w:shd w:val="clear" w:color="auto" w:fill="CFF0FC"/>
          </w:tcPr>
          <w:p>
            <w:pPr>
              <w:spacing w:after="0"/>
              <w:rPr>
                <w:sz w:val="17"/>
                <w:szCs w:val="17"/>
                <w:color w:val="auto"/>
              </w:rPr>
            </w:pPr>
          </w:p>
        </w:tc>
      </w:tr>
      <w:tr>
        <w:trPr>
          <w:trHeight w:val="203"/>
        </w:trPr>
        <w:tc>
          <w:tcPr>
            <w:tcW w:w="4020" w:type="dxa"/>
            <w:vAlign w:val="bottom"/>
          </w:tcPr>
          <w:p>
            <w:pPr>
              <w:ind w:left="200"/>
              <w:spacing w:after="0" w:line="202" w:lineRule="exact"/>
              <w:rPr>
                <w:sz w:val="20"/>
                <w:szCs w:val="20"/>
                <w:color w:val="auto"/>
              </w:rPr>
            </w:pPr>
            <w:r>
              <w:rPr>
                <w:rFonts w:ascii="Arial" w:cs="Arial" w:eastAsia="Arial" w:hAnsi="Arial"/>
                <w:sz w:val="18"/>
                <w:szCs w:val="18"/>
                <w:color w:val="auto"/>
              </w:rPr>
              <w:t>Series B Convertible Preferred Stock</w:t>
            </w: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$0.000001</w:t>
            </w:r>
          </w:p>
        </w:tc>
        <w:tc>
          <w:tcPr>
            <w:tcW w:w="14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4,132,055</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4,044,271</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20,764</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20,347</w:t>
            </w:r>
          </w:p>
        </w:tc>
        <w:tc>
          <w:tcPr>
            <w:tcW w:w="60" w:type="dxa"/>
            <w:vAlign w:val="bottom"/>
          </w:tcPr>
          <w:p>
            <w:pPr>
              <w:spacing w:after="0"/>
              <w:rPr>
                <w:sz w:val="17"/>
                <w:szCs w:val="17"/>
                <w:color w:val="auto"/>
              </w:rPr>
            </w:pPr>
          </w:p>
        </w:tc>
      </w:tr>
      <w:tr>
        <w:trPr>
          <w:trHeight w:val="203"/>
        </w:trPr>
        <w:tc>
          <w:tcPr>
            <w:tcW w:w="402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Series C Convertible Preferred Stock</w:t>
            </w:r>
          </w:p>
        </w:tc>
        <w:tc>
          <w:tcPr>
            <w:tcW w:w="13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$0.000001</w:t>
            </w:r>
          </w:p>
        </w:tc>
        <w:tc>
          <w:tcPr>
            <w:tcW w:w="142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3,754,201</w:t>
            </w:r>
          </w:p>
        </w:tc>
        <w:tc>
          <w:tcPr>
            <w:tcW w:w="2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3,754,201</w:t>
            </w: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26,248</w:t>
            </w:r>
          </w:p>
        </w:tc>
        <w:tc>
          <w:tcPr>
            <w:tcW w:w="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26,004</w:t>
            </w:r>
          </w:p>
        </w:tc>
        <w:tc>
          <w:tcPr>
            <w:tcW w:w="60" w:type="dxa"/>
            <w:vAlign w:val="bottom"/>
            <w:shd w:val="clear" w:color="auto" w:fill="CFF0FC"/>
          </w:tcPr>
          <w:p>
            <w:pPr>
              <w:spacing w:after="0"/>
              <w:rPr>
                <w:sz w:val="17"/>
                <w:szCs w:val="17"/>
                <w:color w:val="auto"/>
              </w:rPr>
            </w:pPr>
          </w:p>
        </w:tc>
      </w:tr>
      <w:tr>
        <w:trPr>
          <w:trHeight w:val="203"/>
        </w:trPr>
        <w:tc>
          <w:tcPr>
            <w:tcW w:w="4020" w:type="dxa"/>
            <w:vAlign w:val="bottom"/>
          </w:tcPr>
          <w:p>
            <w:pPr>
              <w:ind w:left="200"/>
              <w:spacing w:after="0" w:line="202" w:lineRule="exact"/>
              <w:rPr>
                <w:sz w:val="20"/>
                <w:szCs w:val="20"/>
                <w:color w:val="auto"/>
              </w:rPr>
            </w:pPr>
            <w:r>
              <w:rPr>
                <w:rFonts w:ascii="Arial" w:cs="Arial" w:eastAsia="Arial" w:hAnsi="Arial"/>
                <w:sz w:val="18"/>
                <w:szCs w:val="18"/>
                <w:color w:val="auto"/>
              </w:rPr>
              <w:t>Series D Convertible Preferred Stock</w:t>
            </w: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$0.000001</w:t>
            </w:r>
          </w:p>
        </w:tc>
        <w:tc>
          <w:tcPr>
            <w:tcW w:w="14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5,494,064</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5,494,064</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54,933</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54,864</w:t>
            </w:r>
          </w:p>
        </w:tc>
        <w:tc>
          <w:tcPr>
            <w:tcW w:w="60" w:type="dxa"/>
            <w:vAlign w:val="bottom"/>
          </w:tcPr>
          <w:p>
            <w:pPr>
              <w:spacing w:after="0"/>
              <w:rPr>
                <w:sz w:val="17"/>
                <w:szCs w:val="17"/>
                <w:color w:val="auto"/>
              </w:rPr>
            </w:pPr>
          </w:p>
        </w:tc>
      </w:tr>
      <w:tr>
        <w:trPr>
          <w:trHeight w:val="203"/>
        </w:trPr>
        <w:tc>
          <w:tcPr>
            <w:tcW w:w="4020" w:type="dxa"/>
            <w:vAlign w:val="bottom"/>
            <w:tcBorders>
              <w:bottom w:val="single" w:sz="8" w:color="CFF0FC"/>
            </w:tcBorders>
            <w:shd w:val="clear" w:color="auto" w:fill="CFF0FC"/>
          </w:tcPr>
          <w:p>
            <w:pPr>
              <w:ind w:left="200"/>
              <w:spacing w:after="0" w:line="202" w:lineRule="exact"/>
              <w:rPr>
                <w:sz w:val="20"/>
                <w:szCs w:val="20"/>
                <w:color w:val="auto"/>
              </w:rPr>
            </w:pPr>
            <w:r>
              <w:rPr>
                <w:rFonts w:ascii="Arial" w:cs="Arial" w:eastAsia="Arial" w:hAnsi="Arial"/>
                <w:sz w:val="18"/>
                <w:szCs w:val="18"/>
                <w:color w:val="auto"/>
              </w:rPr>
              <w:t>Series E Convertible Preferred Stock</w:t>
            </w:r>
          </w:p>
        </w:tc>
        <w:tc>
          <w:tcPr>
            <w:tcW w:w="1300" w:type="dxa"/>
            <w:vAlign w:val="bottom"/>
            <w:tcBorders>
              <w:bottom w:val="single" w:sz="8" w:color="CFF0FC"/>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$0.000001</w:t>
            </w:r>
          </w:p>
        </w:tc>
        <w:tc>
          <w:tcPr>
            <w:tcW w:w="160" w:type="dxa"/>
            <w:vAlign w:val="bottom"/>
            <w:tcBorders>
              <w:bottom w:val="single" w:sz="8" w:color="CFF0FC"/>
            </w:tcBorders>
            <w:shd w:val="clear" w:color="auto" w:fill="CFF0FC"/>
          </w:tcPr>
          <w:p>
            <w:pPr>
              <w:spacing w:after="0"/>
              <w:rPr>
                <w:sz w:val="17"/>
                <w:szCs w:val="17"/>
                <w:color w:val="auto"/>
              </w:rPr>
            </w:pPr>
          </w:p>
        </w:tc>
        <w:tc>
          <w:tcPr>
            <w:tcW w:w="12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2,400,000</w:t>
            </w:r>
          </w:p>
        </w:tc>
        <w:tc>
          <w:tcPr>
            <w:tcW w:w="26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11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2,275,759</w:t>
            </w:r>
          </w:p>
        </w:tc>
        <w:tc>
          <w:tcPr>
            <w:tcW w:w="22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10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32,693</w:t>
            </w:r>
          </w:p>
        </w:tc>
        <w:tc>
          <w:tcPr>
            <w:tcW w:w="22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30,757</w:t>
            </w:r>
          </w:p>
        </w:tc>
        <w:tc>
          <w:tcPr>
            <w:tcW w:w="60" w:type="dxa"/>
            <w:vAlign w:val="bottom"/>
            <w:tcBorders>
              <w:bottom w:val="single" w:sz="8" w:color="CFF0FC"/>
            </w:tcBorders>
            <w:shd w:val="clear" w:color="auto" w:fill="CFF0FC"/>
          </w:tcPr>
          <w:p>
            <w:pPr>
              <w:spacing w:after="0"/>
              <w:rPr>
                <w:sz w:val="17"/>
                <w:szCs w:val="17"/>
                <w:color w:val="auto"/>
              </w:rPr>
            </w:pPr>
          </w:p>
        </w:tc>
      </w:tr>
      <w:tr>
        <w:trPr>
          <w:trHeight w:val="196"/>
        </w:trPr>
        <w:tc>
          <w:tcPr>
            <w:tcW w:w="4020" w:type="dxa"/>
            <w:vAlign w:val="bottom"/>
          </w:tcPr>
          <w:p>
            <w:pPr>
              <w:ind w:left="20"/>
              <w:spacing w:after="0" w:line="196" w:lineRule="exact"/>
              <w:rPr>
                <w:sz w:val="20"/>
                <w:szCs w:val="20"/>
                <w:color w:val="auto"/>
              </w:rPr>
            </w:pPr>
            <w:r>
              <w:rPr>
                <w:rFonts w:ascii="Arial" w:cs="Arial" w:eastAsia="Arial" w:hAnsi="Arial"/>
                <w:sz w:val="18"/>
                <w:szCs w:val="18"/>
                <w:color w:val="auto"/>
              </w:rPr>
              <w:t>Totals</w:t>
            </w:r>
          </w:p>
        </w:tc>
        <w:tc>
          <w:tcPr>
            <w:tcW w:w="1300" w:type="dxa"/>
            <w:vAlign w:val="bottom"/>
          </w:tcPr>
          <w:p>
            <w:pPr>
              <w:spacing w:after="0"/>
              <w:rPr>
                <w:sz w:val="17"/>
                <w:szCs w:val="17"/>
                <w:color w:val="auto"/>
              </w:rPr>
            </w:pPr>
          </w:p>
        </w:tc>
        <w:tc>
          <w:tcPr>
            <w:tcW w:w="14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27,970,966</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right"/>
              <w:spacing w:after="0" w:line="196" w:lineRule="exact"/>
              <w:rPr>
                <w:sz w:val="20"/>
                <w:szCs w:val="20"/>
                <w:color w:val="auto"/>
              </w:rPr>
            </w:pPr>
            <w:r>
              <w:rPr>
                <w:rFonts w:ascii="Arial" w:cs="Arial" w:eastAsia="Arial" w:hAnsi="Arial"/>
                <w:sz w:val="18"/>
                <w:szCs w:val="18"/>
                <w:color w:val="auto"/>
              </w:rPr>
              <w:t>27,758,941</w:t>
            </w:r>
          </w:p>
        </w:tc>
        <w:tc>
          <w:tcPr>
            <w:tcW w:w="400" w:type="dxa"/>
            <w:vAlign w:val="bottom"/>
            <w:gridSpan w:val="2"/>
          </w:tcPr>
          <w:p>
            <w:pPr>
              <w:jc w:val="right"/>
              <w:ind w:right="80"/>
              <w:spacing w:after="0" w:line="196" w:lineRule="exact"/>
              <w:rPr>
                <w:sz w:val="20"/>
                <w:szCs w:val="20"/>
                <w:color w:val="auto"/>
              </w:rPr>
            </w:pPr>
            <w:r>
              <w:rPr>
                <w:rFonts w:ascii="Arial" w:cs="Arial" w:eastAsia="Arial" w:hAnsi="Arial"/>
                <w:sz w:val="18"/>
                <w:szCs w:val="18"/>
                <w:color w:val="auto"/>
              </w:rPr>
              <w:t>$</w:t>
            </w:r>
          </w:p>
        </w:tc>
        <w:tc>
          <w:tcPr>
            <w:tcW w:w="1060" w:type="dxa"/>
            <w:vAlign w:val="bottom"/>
          </w:tcPr>
          <w:p>
            <w:pPr>
              <w:jc w:val="right"/>
              <w:spacing w:after="0" w:line="196" w:lineRule="exact"/>
              <w:rPr>
                <w:sz w:val="20"/>
                <w:szCs w:val="20"/>
                <w:color w:val="auto"/>
              </w:rPr>
            </w:pPr>
            <w:r>
              <w:rPr>
                <w:rFonts w:ascii="Arial" w:cs="Arial" w:eastAsia="Arial" w:hAnsi="Arial"/>
                <w:sz w:val="18"/>
                <w:szCs w:val="18"/>
                <w:color w:val="auto"/>
              </w:rPr>
              <w:t>163,520</w:t>
            </w:r>
          </w:p>
        </w:tc>
        <w:tc>
          <w:tcPr>
            <w:tcW w:w="440" w:type="dxa"/>
            <w:vAlign w:val="bottom"/>
            <w:gridSpan w:val="2"/>
          </w:tcPr>
          <w:p>
            <w:pPr>
              <w:jc w:val="right"/>
              <w:ind w:right="120"/>
              <w:spacing w:after="0" w:line="196" w:lineRule="exact"/>
              <w:rPr>
                <w:sz w:val="20"/>
                <w:szCs w:val="20"/>
                <w:color w:val="auto"/>
              </w:rPr>
            </w:pPr>
            <w:r>
              <w:rPr>
                <w:rFonts w:ascii="Arial" w:cs="Arial" w:eastAsia="Arial" w:hAnsi="Arial"/>
                <w:sz w:val="18"/>
                <w:szCs w:val="18"/>
                <w:color w:val="auto"/>
              </w:rPr>
              <w:t>$</w:t>
            </w:r>
          </w:p>
        </w:tc>
        <w:tc>
          <w:tcPr>
            <w:tcW w:w="1020" w:type="dxa"/>
            <w:vAlign w:val="bottom"/>
          </w:tcPr>
          <w:p>
            <w:pPr>
              <w:jc w:val="right"/>
              <w:spacing w:after="0" w:line="196" w:lineRule="exact"/>
              <w:rPr>
                <w:sz w:val="20"/>
                <w:szCs w:val="20"/>
                <w:color w:val="auto"/>
              </w:rPr>
            </w:pPr>
            <w:r>
              <w:rPr>
                <w:rFonts w:ascii="Arial" w:cs="Arial" w:eastAsia="Arial" w:hAnsi="Arial"/>
                <w:sz w:val="18"/>
                <w:szCs w:val="18"/>
                <w:color w:val="auto"/>
              </w:rPr>
              <w:t>160,713</w:t>
            </w:r>
          </w:p>
        </w:tc>
        <w:tc>
          <w:tcPr>
            <w:tcW w:w="60" w:type="dxa"/>
            <w:vAlign w:val="bottom"/>
          </w:tcPr>
          <w:p>
            <w:pPr>
              <w:spacing w:after="0"/>
              <w:rPr>
                <w:sz w:val="17"/>
                <w:szCs w:val="17"/>
                <w:color w:val="auto"/>
              </w:rPr>
            </w:pPr>
          </w:p>
        </w:tc>
      </w:tr>
      <w:tr>
        <w:trPr>
          <w:trHeight w:val="20"/>
        </w:trPr>
        <w:tc>
          <w:tcPr>
            <w:tcW w:w="40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4282440</wp:posOffset>
            </wp:positionH>
            <wp:positionV relativeFrom="paragraph">
              <wp:posOffset>-159385</wp:posOffset>
            </wp:positionV>
            <wp:extent cx="51435" cy="571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7">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-159385</wp:posOffset>
            </wp:positionV>
            <wp:extent cx="43180" cy="571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8">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-159385</wp:posOffset>
            </wp:positionV>
            <wp:extent cx="43180" cy="571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9">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-159385</wp:posOffset>
            </wp:positionV>
            <wp:extent cx="43180" cy="571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50">
                      <a:extLst>
                        <a:ext uri="{28A0092B-C50C-407E-A947-70E740481C1C}"/>
                      </a:extLst>
                    </a:blip>
                    <a:srcRect/>
                    <a:stretch>
                      <a:fillRect/>
                    </a:stretch>
                  </pic:blipFill>
                  <pic:spPr bwMode="auto">
                    <a:xfrm>
                      <a:off x="0" y="0"/>
                      <a:ext cx="43180" cy="5715"/>
                    </a:xfrm>
                    <a:prstGeom prst="rect">
                      <a:avLst/>
                    </a:prstGeom>
                    <a:noFill/>
                  </pic:spPr>
                </pic:pic>
              </a:graphicData>
            </a:graphic>
          </wp:anchor>
        </w:drawing>
      </w:r>
    </w:p>
    <w:p>
      <w:pPr>
        <w:spacing w:after="0" w:line="168" w:lineRule="exact"/>
        <w:rPr>
          <w:sz w:val="20"/>
          <w:szCs w:val="20"/>
          <w:color w:val="auto"/>
        </w:rPr>
      </w:pPr>
    </w:p>
    <w:p>
      <w:pPr>
        <w:ind w:right="360" w:firstLine="644"/>
        <w:spacing w:after="0" w:line="291" w:lineRule="auto"/>
        <w:rPr>
          <w:sz w:val="20"/>
          <w:szCs w:val="20"/>
          <w:color w:val="auto"/>
        </w:rPr>
      </w:pPr>
      <w:r>
        <w:rPr>
          <w:rFonts w:ascii="Arial" w:cs="Arial" w:eastAsia="Arial" w:hAnsi="Arial"/>
          <w:sz w:val="17"/>
          <w:szCs w:val="17"/>
          <w:color w:val="auto"/>
        </w:rPr>
        <w:t>In connection with the Company's IPO on July 2, 2021, 27,758,941 shares of Convertible Preferred Stock were converted to Class A common stock. Of those 27,758,941 shares of Convertible Preferred Stock, 407,308 were exchanged for Class B common stock.</w:t>
      </w:r>
    </w:p>
    <w:p>
      <w:pPr>
        <w:spacing w:after="0" w:line="120" w:lineRule="exact"/>
        <w:rPr>
          <w:sz w:val="20"/>
          <w:szCs w:val="20"/>
          <w:color w:val="auto"/>
        </w:rPr>
      </w:pPr>
    </w:p>
    <w:p>
      <w:pPr>
        <w:ind w:right="140" w:firstLine="644"/>
        <w:spacing w:after="0" w:line="251" w:lineRule="auto"/>
        <w:rPr>
          <w:sz w:val="20"/>
          <w:szCs w:val="20"/>
          <w:color w:val="auto"/>
        </w:rPr>
      </w:pPr>
      <w:r>
        <w:rPr>
          <w:rFonts w:ascii="Arial" w:cs="Arial" w:eastAsia="Arial" w:hAnsi="Arial"/>
          <w:sz w:val="17"/>
          <w:szCs w:val="17"/>
          <w:color w:val="auto"/>
        </w:rPr>
        <w:t>During 2020, certain Series A-2, B, C and D Convertible Preferred stockholders planned to sell their Convertible Preferred Stock to a third party. The Company exercised its right of first refusal to reacquire these shares of Convertible Preferred Stock from these certain stockholders at the same price the third party was willing to pay for such shares of Convertible Preferred Stock. In conjunction with the Series E offering, the Company sold the same shares of Series A-2, B, C and D Convertible Preferred Stock to the Series E investors for the same price that the Company paid to acquire such shares of Convertible Preferred Stock. The Company recorded an $8.8 million deemed dividend to the selling stockholders, which represents the excess of the purchase price of the shares of Convertible Preferred Stock purchased by the Company over the original cost of the shares and was recorded in additional paid-in-capital and accumulated deficit.</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75" w:name="page76"/>
    <w:bookmarkEnd w:id="75"/>
    <w:p>
      <w:pPr>
        <w:ind w:left="660"/>
        <w:spacing w:after="0"/>
        <w:rPr>
          <w:sz w:val="20"/>
          <w:szCs w:val="20"/>
          <w:color w:val="auto"/>
        </w:rPr>
      </w:pPr>
      <w:r>
        <w:rPr>
          <w:rFonts w:ascii="Arial" w:cs="Arial" w:eastAsia="Arial" w:hAnsi="Arial"/>
          <w:sz w:val="17"/>
          <w:szCs w:val="17"/>
          <w:color w:val="auto"/>
        </w:rPr>
        <w:t>The following table is a reconciliation of the Convertible Preferred Stock reacquired and reissued in 2020 (in thousands, except share data):</w:t>
      </w: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2040" w:type="dxa"/>
            <w:vAlign w:val="bottom"/>
          </w:tcPr>
          <w:p>
            <w:pPr>
              <w:spacing w:after="0"/>
              <w:rPr>
                <w:sz w:val="14"/>
                <w:szCs w:val="14"/>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2019</w:t>
            </w:r>
          </w:p>
        </w:tc>
        <w:tc>
          <w:tcPr>
            <w:tcW w:w="160" w:type="dxa"/>
            <w:vAlign w:val="bottom"/>
          </w:tcPr>
          <w:p>
            <w:pPr>
              <w:spacing w:after="0"/>
              <w:rPr>
                <w:sz w:val="14"/>
                <w:szCs w:val="14"/>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2020</w:t>
            </w:r>
          </w:p>
        </w:tc>
        <w:tc>
          <w:tcPr>
            <w:tcW w:w="160" w:type="dxa"/>
            <w:vAlign w:val="bottom"/>
          </w:tcPr>
          <w:p>
            <w:pPr>
              <w:spacing w:after="0"/>
              <w:rPr>
                <w:sz w:val="14"/>
                <w:szCs w:val="14"/>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2020</w:t>
            </w:r>
          </w:p>
        </w:tc>
        <w:tc>
          <w:tcPr>
            <w:tcW w:w="160" w:type="dxa"/>
            <w:vAlign w:val="bottom"/>
          </w:tcPr>
          <w:p>
            <w:pPr>
              <w:spacing w:after="0"/>
              <w:rPr>
                <w:sz w:val="14"/>
                <w:szCs w:val="14"/>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2020</w:t>
            </w:r>
          </w:p>
        </w:tc>
        <w:tc>
          <w:tcPr>
            <w:tcW w:w="16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110"/>
              <w:spacing w:after="0"/>
              <w:rPr>
                <w:sz w:val="20"/>
                <w:szCs w:val="20"/>
                <w:color w:val="auto"/>
              </w:rPr>
            </w:pPr>
            <w:r>
              <w:rPr>
                <w:rFonts w:ascii="Arial" w:cs="Arial" w:eastAsia="Arial" w:hAnsi="Arial"/>
                <w:sz w:val="13"/>
                <w:szCs w:val="13"/>
                <w:b w:val="1"/>
                <w:bCs w:val="1"/>
                <w:color w:val="auto"/>
                <w:w w:val="82"/>
              </w:rPr>
              <w:t>2019</w:t>
            </w: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52"/>
              <w:spacing w:after="0"/>
              <w:rPr>
                <w:sz w:val="20"/>
                <w:szCs w:val="20"/>
                <w:color w:val="auto"/>
              </w:rPr>
            </w:pPr>
            <w:r>
              <w:rPr>
                <w:rFonts w:ascii="Arial" w:cs="Arial" w:eastAsia="Arial" w:hAnsi="Arial"/>
                <w:sz w:val="13"/>
                <w:szCs w:val="13"/>
                <w:b w:val="1"/>
                <w:bCs w:val="1"/>
                <w:color w:val="auto"/>
                <w:w w:val="82"/>
              </w:rPr>
              <w:t>2020</w:t>
            </w:r>
          </w:p>
        </w:tc>
        <w:tc>
          <w:tcPr>
            <w:tcW w:w="1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51"/>
              <w:spacing w:after="0"/>
              <w:rPr>
                <w:sz w:val="20"/>
                <w:szCs w:val="20"/>
                <w:color w:val="auto"/>
              </w:rPr>
            </w:pPr>
            <w:r>
              <w:rPr>
                <w:rFonts w:ascii="Arial" w:cs="Arial" w:eastAsia="Arial" w:hAnsi="Arial"/>
                <w:sz w:val="13"/>
                <w:szCs w:val="13"/>
                <w:b w:val="1"/>
                <w:bCs w:val="1"/>
                <w:color w:val="auto"/>
                <w:w w:val="89"/>
              </w:rPr>
              <w:t>2020</w:t>
            </w:r>
          </w:p>
        </w:tc>
        <w:tc>
          <w:tcPr>
            <w:tcW w:w="1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90"/>
              <w:spacing w:after="0"/>
              <w:rPr>
                <w:sz w:val="20"/>
                <w:szCs w:val="20"/>
                <w:color w:val="auto"/>
              </w:rPr>
            </w:pPr>
            <w:r>
              <w:rPr>
                <w:rFonts w:ascii="Arial" w:cs="Arial" w:eastAsia="Arial" w:hAnsi="Arial"/>
                <w:sz w:val="13"/>
                <w:szCs w:val="13"/>
                <w:b w:val="1"/>
                <w:bCs w:val="1"/>
                <w:color w:val="auto"/>
                <w:w w:val="89"/>
              </w:rPr>
              <w:t>2020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4"/>
        </w:trPr>
        <w:tc>
          <w:tcPr>
            <w:tcW w:w="2040" w:type="dxa"/>
            <w:vAlign w:val="bottom"/>
          </w:tcPr>
          <w:p>
            <w:pPr>
              <w:spacing w:after="0"/>
              <w:rPr>
                <w:sz w:val="9"/>
                <w:szCs w:val="9"/>
                <w:color w:val="auto"/>
              </w:rPr>
            </w:pPr>
          </w:p>
        </w:tc>
        <w:tc>
          <w:tcPr>
            <w:tcW w:w="102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6"/>
              </w:rPr>
              <w:t>Outstanding</w:t>
            </w:r>
          </w:p>
        </w:tc>
        <w:tc>
          <w:tcPr>
            <w:tcW w:w="160" w:type="dxa"/>
            <w:vAlign w:val="bottom"/>
          </w:tcPr>
          <w:p>
            <w:pPr>
              <w:spacing w:after="0"/>
              <w:rPr>
                <w:sz w:val="9"/>
                <w:szCs w:val="9"/>
                <w:color w:val="auto"/>
              </w:rPr>
            </w:pPr>
          </w:p>
        </w:tc>
        <w:tc>
          <w:tcPr>
            <w:tcW w:w="1180" w:type="dxa"/>
            <w:vAlign w:val="bottom"/>
            <w:gridSpan w:val="2"/>
            <w:vMerge w:val="restart"/>
          </w:tcPr>
          <w:p>
            <w:pPr>
              <w:jc w:val="center"/>
              <w:ind w:right="180"/>
              <w:spacing w:after="0"/>
              <w:rPr>
                <w:sz w:val="20"/>
                <w:szCs w:val="20"/>
                <w:color w:val="auto"/>
              </w:rPr>
            </w:pPr>
            <w:r>
              <w:rPr>
                <w:rFonts w:ascii="Arial" w:cs="Arial" w:eastAsia="Arial" w:hAnsi="Arial"/>
                <w:sz w:val="13"/>
                <w:szCs w:val="13"/>
                <w:b w:val="1"/>
                <w:bCs w:val="1"/>
                <w:color w:val="auto"/>
                <w:w w:val="89"/>
              </w:rPr>
              <w:t>Convertible</w:t>
            </w:r>
          </w:p>
        </w:tc>
        <w:tc>
          <w:tcPr>
            <w:tcW w:w="10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2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6"/>
              </w:rPr>
              <w:t>Outstanding</w:t>
            </w:r>
          </w:p>
        </w:tc>
        <w:tc>
          <w:tcPr>
            <w:tcW w:w="160" w:type="dxa"/>
            <w:vAlign w:val="bottom"/>
            <w:tcBorders>
              <w:right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tcPr>
          <w:p>
            <w:pPr>
              <w:jc w:val="center"/>
              <w:ind w:right="52"/>
              <w:spacing w:after="0" w:line="104" w:lineRule="exact"/>
              <w:rPr>
                <w:sz w:val="20"/>
                <w:szCs w:val="20"/>
                <w:color w:val="auto"/>
              </w:rPr>
            </w:pPr>
            <w:r>
              <w:rPr>
                <w:rFonts w:ascii="Arial" w:cs="Arial" w:eastAsia="Arial" w:hAnsi="Arial"/>
                <w:sz w:val="12"/>
                <w:szCs w:val="12"/>
                <w:b w:val="1"/>
                <w:bCs w:val="1"/>
                <w:color w:val="auto"/>
                <w:w w:val="93"/>
              </w:rPr>
              <w:t>Cash Paid to</w:t>
            </w: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2040" w:type="dxa"/>
            <w:vAlign w:val="bottom"/>
          </w:tcPr>
          <w:p>
            <w:pPr>
              <w:spacing w:after="0"/>
              <w:rPr>
                <w:sz w:val="10"/>
                <w:szCs w:val="10"/>
                <w:color w:val="auto"/>
              </w:rPr>
            </w:pPr>
          </w:p>
        </w:tc>
        <w:tc>
          <w:tcPr>
            <w:tcW w:w="102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102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9"/>
              </w:rPr>
              <w:t>Convertible</w:t>
            </w:r>
          </w:p>
        </w:tc>
        <w:tc>
          <w:tcPr>
            <w:tcW w:w="160" w:type="dxa"/>
            <w:vAlign w:val="bottom"/>
          </w:tcPr>
          <w:p>
            <w:pPr>
              <w:spacing w:after="0"/>
              <w:rPr>
                <w:sz w:val="10"/>
                <w:szCs w:val="10"/>
                <w:color w:val="auto"/>
              </w:rPr>
            </w:pPr>
          </w:p>
        </w:tc>
        <w:tc>
          <w:tcPr>
            <w:tcW w:w="1020" w:type="dxa"/>
            <w:vAlign w:val="bottom"/>
            <w:vMerge w:val="continue"/>
          </w:tcPr>
          <w:p>
            <w:pPr>
              <w:spacing w:after="0"/>
              <w:rPr>
                <w:sz w:val="10"/>
                <w:szCs w:val="10"/>
                <w:color w:val="auto"/>
              </w:rPr>
            </w:pPr>
          </w:p>
        </w:tc>
        <w:tc>
          <w:tcPr>
            <w:tcW w:w="16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gridSpan w:val="2"/>
          </w:tcPr>
          <w:p>
            <w:pPr>
              <w:jc w:val="center"/>
              <w:ind w:right="260"/>
              <w:spacing w:after="0" w:line="122" w:lineRule="exact"/>
              <w:rPr>
                <w:sz w:val="20"/>
                <w:szCs w:val="20"/>
                <w:color w:val="auto"/>
              </w:rPr>
            </w:pPr>
            <w:r>
              <w:rPr>
                <w:rFonts w:ascii="Arial" w:cs="Arial" w:eastAsia="Arial" w:hAnsi="Arial"/>
                <w:sz w:val="13"/>
                <w:szCs w:val="13"/>
                <w:b w:val="1"/>
                <w:bCs w:val="1"/>
                <w:color w:val="auto"/>
                <w:w w:val="89"/>
              </w:rPr>
              <w:t>Reacquire</w:t>
            </w:r>
          </w:p>
        </w:tc>
        <w:tc>
          <w:tcPr>
            <w:tcW w:w="120" w:type="dxa"/>
            <w:vAlign w:val="bottom"/>
          </w:tcPr>
          <w:p>
            <w:pPr>
              <w:spacing w:after="0"/>
              <w:rPr>
                <w:sz w:val="10"/>
                <w:szCs w:val="10"/>
                <w:color w:val="auto"/>
              </w:rPr>
            </w:pPr>
          </w:p>
        </w:tc>
        <w:tc>
          <w:tcPr>
            <w:tcW w:w="860" w:type="dxa"/>
            <w:vAlign w:val="bottom"/>
            <w:vMerge w:val="restart"/>
          </w:tcPr>
          <w:p>
            <w:pPr>
              <w:jc w:val="center"/>
              <w:ind w:right="31"/>
              <w:spacing w:after="0"/>
              <w:rPr>
                <w:sz w:val="20"/>
                <w:szCs w:val="20"/>
                <w:color w:val="auto"/>
              </w:rPr>
            </w:pPr>
            <w:r>
              <w:rPr>
                <w:rFonts w:ascii="Arial" w:cs="Arial" w:eastAsia="Arial" w:hAnsi="Arial"/>
                <w:sz w:val="13"/>
                <w:szCs w:val="13"/>
                <w:b w:val="1"/>
                <w:bCs w:val="1"/>
                <w:color w:val="auto"/>
                <w:w w:val="89"/>
              </w:rPr>
              <w:t>Convertible</w:t>
            </w: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40" w:type="dxa"/>
            <w:vAlign w:val="bottom"/>
          </w:tcPr>
          <w:p>
            <w:pPr>
              <w:spacing w:after="0"/>
              <w:rPr>
                <w:sz w:val="10"/>
                <w:szCs w:val="10"/>
                <w:color w:val="auto"/>
              </w:rPr>
            </w:pPr>
          </w:p>
        </w:tc>
        <w:tc>
          <w:tcPr>
            <w:tcW w:w="102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89"/>
              </w:rPr>
              <w:t>Convertible</w:t>
            </w:r>
          </w:p>
        </w:tc>
        <w:tc>
          <w:tcPr>
            <w:tcW w:w="160" w:type="dxa"/>
            <w:vAlign w:val="bottom"/>
          </w:tcPr>
          <w:p>
            <w:pPr>
              <w:spacing w:after="0"/>
              <w:rPr>
                <w:sz w:val="10"/>
                <w:szCs w:val="10"/>
                <w:color w:val="auto"/>
              </w:rPr>
            </w:pPr>
          </w:p>
        </w:tc>
        <w:tc>
          <w:tcPr>
            <w:tcW w:w="1180" w:type="dxa"/>
            <w:vAlign w:val="bottom"/>
            <w:gridSpan w:val="2"/>
          </w:tcPr>
          <w:p>
            <w:pPr>
              <w:jc w:val="center"/>
              <w:ind w:right="180"/>
              <w:spacing w:after="0" w:line="122" w:lineRule="exact"/>
              <w:rPr>
                <w:sz w:val="20"/>
                <w:szCs w:val="20"/>
                <w:color w:val="auto"/>
              </w:rPr>
            </w:pPr>
            <w:r>
              <w:rPr>
                <w:rFonts w:ascii="Arial" w:cs="Arial" w:eastAsia="Arial" w:hAnsi="Arial"/>
                <w:sz w:val="13"/>
                <w:szCs w:val="13"/>
                <w:b w:val="1"/>
                <w:bCs w:val="1"/>
                <w:color w:val="auto"/>
                <w:w w:val="89"/>
              </w:rPr>
              <w:t>Preferred</w:t>
            </w:r>
          </w:p>
        </w:tc>
        <w:tc>
          <w:tcPr>
            <w:tcW w:w="102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102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86"/>
              </w:rPr>
              <w:t>Convertible</w:t>
            </w:r>
          </w:p>
        </w:tc>
        <w:tc>
          <w:tcPr>
            <w:tcW w:w="16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vMerge w:val="restart"/>
          </w:tcPr>
          <w:p>
            <w:pPr>
              <w:jc w:val="center"/>
              <w:ind w:right="110"/>
              <w:spacing w:after="0"/>
              <w:rPr>
                <w:sz w:val="20"/>
                <w:szCs w:val="20"/>
                <w:color w:val="auto"/>
              </w:rPr>
            </w:pPr>
            <w:r>
              <w:rPr>
                <w:rFonts w:ascii="Arial" w:cs="Arial" w:eastAsia="Arial" w:hAnsi="Arial"/>
                <w:sz w:val="13"/>
                <w:szCs w:val="13"/>
                <w:b w:val="1"/>
                <w:bCs w:val="1"/>
                <w:color w:val="auto"/>
                <w:w w:val="89"/>
              </w:rPr>
              <w:t>Carrying</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gridSpan w:val="2"/>
          </w:tcPr>
          <w:p>
            <w:pPr>
              <w:jc w:val="center"/>
              <w:ind w:right="260"/>
              <w:spacing w:after="0" w:line="122" w:lineRule="exact"/>
              <w:rPr>
                <w:sz w:val="20"/>
                <w:szCs w:val="20"/>
                <w:color w:val="auto"/>
              </w:rPr>
            </w:pPr>
            <w:r>
              <w:rPr>
                <w:rFonts w:ascii="Arial" w:cs="Arial" w:eastAsia="Arial" w:hAnsi="Arial"/>
                <w:sz w:val="13"/>
                <w:szCs w:val="13"/>
                <w:b w:val="1"/>
                <w:bCs w:val="1"/>
                <w:color w:val="auto"/>
                <w:w w:val="89"/>
              </w:rPr>
              <w:t>Convertible</w:t>
            </w:r>
          </w:p>
        </w:tc>
        <w:tc>
          <w:tcPr>
            <w:tcW w:w="120" w:type="dxa"/>
            <w:vAlign w:val="bottom"/>
          </w:tcPr>
          <w:p>
            <w:pPr>
              <w:spacing w:after="0"/>
              <w:rPr>
                <w:sz w:val="10"/>
                <w:szCs w:val="10"/>
                <w:color w:val="auto"/>
              </w:rPr>
            </w:pPr>
          </w:p>
        </w:tc>
        <w:tc>
          <w:tcPr>
            <w:tcW w:w="86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vMerge w:val="restart"/>
          </w:tcPr>
          <w:p>
            <w:pPr>
              <w:jc w:val="center"/>
              <w:ind w:right="90"/>
              <w:spacing w:after="0"/>
              <w:rPr>
                <w:sz w:val="20"/>
                <w:szCs w:val="20"/>
                <w:color w:val="auto"/>
              </w:rPr>
            </w:pPr>
            <w:r>
              <w:rPr>
                <w:rFonts w:ascii="Arial" w:cs="Arial" w:eastAsia="Arial" w:hAnsi="Arial"/>
                <w:sz w:val="13"/>
                <w:szCs w:val="13"/>
                <w:b w:val="1"/>
                <w:bCs w:val="1"/>
                <w:color w:val="auto"/>
                <w:w w:val="93"/>
              </w:rPr>
              <w:t>Carrying</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40" w:type="dxa"/>
            <w:vAlign w:val="bottom"/>
          </w:tcPr>
          <w:p>
            <w:pPr>
              <w:spacing w:after="0"/>
              <w:rPr>
                <w:sz w:val="10"/>
                <w:szCs w:val="10"/>
                <w:color w:val="auto"/>
              </w:rPr>
            </w:pPr>
          </w:p>
        </w:tc>
        <w:tc>
          <w:tcPr>
            <w:tcW w:w="102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89"/>
              </w:rPr>
              <w:t>Preferred</w:t>
            </w:r>
          </w:p>
        </w:tc>
        <w:tc>
          <w:tcPr>
            <w:tcW w:w="160" w:type="dxa"/>
            <w:vAlign w:val="bottom"/>
          </w:tcPr>
          <w:p>
            <w:pPr>
              <w:spacing w:after="0"/>
              <w:rPr>
                <w:sz w:val="10"/>
                <w:szCs w:val="10"/>
                <w:color w:val="auto"/>
              </w:rPr>
            </w:pPr>
          </w:p>
        </w:tc>
        <w:tc>
          <w:tcPr>
            <w:tcW w:w="1180" w:type="dxa"/>
            <w:vAlign w:val="bottom"/>
            <w:gridSpan w:val="2"/>
          </w:tcPr>
          <w:p>
            <w:pPr>
              <w:jc w:val="center"/>
              <w:ind w:right="160"/>
              <w:spacing w:after="0" w:line="122" w:lineRule="exact"/>
              <w:rPr>
                <w:sz w:val="20"/>
                <w:szCs w:val="20"/>
                <w:color w:val="auto"/>
              </w:rPr>
            </w:pPr>
            <w:r>
              <w:rPr>
                <w:rFonts w:ascii="Arial" w:cs="Arial" w:eastAsia="Arial" w:hAnsi="Arial"/>
                <w:sz w:val="13"/>
                <w:szCs w:val="13"/>
                <w:b w:val="1"/>
                <w:bCs w:val="1"/>
                <w:color w:val="auto"/>
                <w:w w:val="84"/>
              </w:rPr>
              <w:t>Stock</w:t>
            </w:r>
          </w:p>
        </w:tc>
        <w:tc>
          <w:tcPr>
            <w:tcW w:w="102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89"/>
              </w:rPr>
              <w:t>Preferred</w:t>
            </w:r>
          </w:p>
        </w:tc>
        <w:tc>
          <w:tcPr>
            <w:tcW w:w="160" w:type="dxa"/>
            <w:vAlign w:val="bottom"/>
          </w:tcPr>
          <w:p>
            <w:pPr>
              <w:spacing w:after="0"/>
              <w:rPr>
                <w:sz w:val="10"/>
                <w:szCs w:val="10"/>
                <w:color w:val="auto"/>
              </w:rPr>
            </w:pPr>
          </w:p>
        </w:tc>
        <w:tc>
          <w:tcPr>
            <w:tcW w:w="102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89"/>
              </w:rPr>
              <w:t>Preferred</w:t>
            </w:r>
          </w:p>
        </w:tc>
        <w:tc>
          <w:tcPr>
            <w:tcW w:w="16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gridSpan w:val="2"/>
          </w:tcPr>
          <w:p>
            <w:pPr>
              <w:jc w:val="center"/>
              <w:ind w:right="260"/>
              <w:spacing w:after="0" w:line="122" w:lineRule="exact"/>
              <w:rPr>
                <w:sz w:val="20"/>
                <w:szCs w:val="20"/>
                <w:color w:val="auto"/>
              </w:rPr>
            </w:pPr>
            <w:r>
              <w:rPr>
                <w:rFonts w:ascii="Arial" w:cs="Arial" w:eastAsia="Arial" w:hAnsi="Arial"/>
                <w:sz w:val="13"/>
                <w:szCs w:val="13"/>
                <w:b w:val="1"/>
                <w:bCs w:val="1"/>
                <w:color w:val="auto"/>
                <w:w w:val="89"/>
              </w:rPr>
              <w:t>Preferred</w:t>
            </w:r>
          </w:p>
        </w:tc>
        <w:tc>
          <w:tcPr>
            <w:tcW w:w="120" w:type="dxa"/>
            <w:vAlign w:val="bottom"/>
          </w:tcPr>
          <w:p>
            <w:pPr>
              <w:spacing w:after="0"/>
              <w:rPr>
                <w:sz w:val="10"/>
                <w:szCs w:val="10"/>
                <w:color w:val="auto"/>
              </w:rPr>
            </w:pPr>
          </w:p>
        </w:tc>
        <w:tc>
          <w:tcPr>
            <w:tcW w:w="860" w:type="dxa"/>
            <w:vAlign w:val="bottom"/>
          </w:tcPr>
          <w:p>
            <w:pPr>
              <w:jc w:val="center"/>
              <w:ind w:right="31"/>
              <w:spacing w:after="0" w:line="122" w:lineRule="exact"/>
              <w:rPr>
                <w:sz w:val="20"/>
                <w:szCs w:val="20"/>
                <w:color w:val="auto"/>
              </w:rPr>
            </w:pPr>
            <w:r>
              <w:rPr>
                <w:rFonts w:ascii="Arial" w:cs="Arial" w:eastAsia="Arial" w:hAnsi="Arial"/>
                <w:sz w:val="13"/>
                <w:szCs w:val="13"/>
                <w:b w:val="1"/>
                <w:bCs w:val="1"/>
                <w:color w:val="auto"/>
                <w:w w:val="89"/>
              </w:rPr>
              <w:t>Preferred</w:t>
            </w: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204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3"/>
                <w:szCs w:val="13"/>
                <w:b w:val="1"/>
                <w:bCs w:val="1"/>
                <w:color w:val="auto"/>
                <w:w w:val="84"/>
              </w:rPr>
              <w:t>Stock</w:t>
            </w:r>
          </w:p>
        </w:tc>
        <w:tc>
          <w:tcPr>
            <w:tcW w:w="160" w:type="dxa"/>
            <w:vAlign w:val="bottom"/>
          </w:tcPr>
          <w:p>
            <w:pPr>
              <w:spacing w:after="0"/>
              <w:rPr>
                <w:sz w:val="14"/>
                <w:szCs w:val="14"/>
                <w:color w:val="auto"/>
              </w:rPr>
            </w:pPr>
          </w:p>
        </w:tc>
        <w:tc>
          <w:tcPr>
            <w:tcW w:w="118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4"/>
              </w:rPr>
              <w:t>Repurchased</w:t>
            </w:r>
          </w:p>
        </w:tc>
        <w:tc>
          <w:tcPr>
            <w:tcW w:w="1020" w:type="dxa"/>
            <w:vAlign w:val="bottom"/>
          </w:tcPr>
          <w:p>
            <w:pPr>
              <w:jc w:val="center"/>
              <w:spacing w:after="0"/>
              <w:rPr>
                <w:sz w:val="20"/>
                <w:szCs w:val="20"/>
                <w:color w:val="auto"/>
              </w:rPr>
            </w:pPr>
            <w:r>
              <w:rPr>
                <w:rFonts w:ascii="Arial" w:cs="Arial" w:eastAsia="Arial" w:hAnsi="Arial"/>
                <w:sz w:val="13"/>
                <w:szCs w:val="13"/>
                <w:b w:val="1"/>
                <w:bCs w:val="1"/>
                <w:color w:val="auto"/>
                <w:w w:val="82"/>
              </w:rPr>
              <w:t>Issued</w:t>
            </w:r>
          </w:p>
        </w:tc>
        <w:tc>
          <w:tcPr>
            <w:tcW w:w="16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3"/>
                <w:szCs w:val="13"/>
                <w:b w:val="1"/>
                <w:bCs w:val="1"/>
                <w:color w:val="auto"/>
                <w:w w:val="84"/>
              </w:rPr>
              <w:t>Stock</w:t>
            </w:r>
          </w:p>
        </w:tc>
        <w:tc>
          <w:tcPr>
            <w:tcW w:w="16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jc w:val="center"/>
              <w:ind w:right="130"/>
              <w:spacing w:after="0"/>
              <w:rPr>
                <w:sz w:val="20"/>
                <w:szCs w:val="20"/>
                <w:color w:val="auto"/>
              </w:rPr>
            </w:pPr>
            <w:r>
              <w:rPr>
                <w:rFonts w:ascii="Arial" w:cs="Arial" w:eastAsia="Arial" w:hAnsi="Arial"/>
                <w:sz w:val="13"/>
                <w:szCs w:val="13"/>
                <w:b w:val="1"/>
                <w:bCs w:val="1"/>
                <w:color w:val="auto"/>
                <w:w w:val="86"/>
              </w:rPr>
              <w:t>Value</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84"/>
              </w:rPr>
              <w:t>Stock</w:t>
            </w:r>
          </w:p>
        </w:tc>
        <w:tc>
          <w:tcPr>
            <w:tcW w:w="120" w:type="dxa"/>
            <w:vAlign w:val="bottom"/>
          </w:tcPr>
          <w:p>
            <w:pPr>
              <w:spacing w:after="0"/>
              <w:rPr>
                <w:sz w:val="14"/>
                <w:szCs w:val="14"/>
                <w:color w:val="auto"/>
              </w:rPr>
            </w:pPr>
          </w:p>
        </w:tc>
        <w:tc>
          <w:tcPr>
            <w:tcW w:w="860" w:type="dxa"/>
            <w:vAlign w:val="bottom"/>
          </w:tcPr>
          <w:p>
            <w:pPr>
              <w:jc w:val="center"/>
              <w:ind w:right="51"/>
              <w:spacing w:after="0"/>
              <w:rPr>
                <w:sz w:val="20"/>
                <w:szCs w:val="20"/>
                <w:color w:val="auto"/>
              </w:rPr>
            </w:pPr>
            <w:r>
              <w:rPr>
                <w:rFonts w:ascii="Arial" w:cs="Arial" w:eastAsia="Arial" w:hAnsi="Arial"/>
                <w:sz w:val="13"/>
                <w:szCs w:val="13"/>
                <w:b w:val="1"/>
                <w:bCs w:val="1"/>
                <w:color w:val="auto"/>
                <w:w w:val="82"/>
              </w:rPr>
              <w:t>Issuance</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jc w:val="center"/>
              <w:ind w:right="90"/>
              <w:spacing w:after="0"/>
              <w:rPr>
                <w:sz w:val="20"/>
                <w:szCs w:val="20"/>
                <w:color w:val="auto"/>
              </w:rPr>
            </w:pPr>
            <w:r>
              <w:rPr>
                <w:rFonts w:ascii="Arial" w:cs="Arial" w:eastAsia="Arial" w:hAnsi="Arial"/>
                <w:sz w:val="13"/>
                <w:szCs w:val="13"/>
                <w:b w:val="1"/>
                <w:bCs w:val="1"/>
                <w:color w:val="auto"/>
                <w:w w:val="86"/>
              </w:rPr>
              <w:t>Value</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4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Series:</w:t>
            </w:r>
          </w:p>
        </w:tc>
        <w:tc>
          <w:tcPr>
            <w:tcW w:w="1020" w:type="dxa"/>
            <w:vAlign w:val="bottom"/>
            <w:tcBorders>
              <w:top w:val="single" w:sz="8" w:color="auto"/>
            </w:tcBorders>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20" w:type="dxa"/>
            <w:vAlign w:val="bottom"/>
            <w:tcBorders>
              <w:top w:val="single" w:sz="8" w:color="auto"/>
            </w:tcBorders>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20" w:type="dxa"/>
            <w:vAlign w:val="bottom"/>
            <w:tcBorders>
              <w:top w:val="single" w:sz="8" w:color="auto"/>
            </w:tcBorders>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20" w:type="dxa"/>
            <w:vAlign w:val="bottom"/>
            <w:tcBorders>
              <w:top w:val="single" w:sz="8" w:color="auto"/>
            </w:tcBorders>
            <w:shd w:val="clear" w:color="auto" w:fill="CFF0FC"/>
          </w:tcPr>
          <w:p>
            <w:pPr>
              <w:spacing w:after="0"/>
              <w:rPr>
                <w:sz w:val="14"/>
                <w:szCs w:val="14"/>
                <w:color w:val="auto"/>
              </w:rPr>
            </w:pPr>
          </w:p>
        </w:tc>
        <w:tc>
          <w:tcPr>
            <w:tcW w:w="160" w:type="dxa"/>
            <w:vAlign w:val="bottom"/>
            <w:tcBorders>
              <w:right w:val="single" w:sz="8" w:color="auto"/>
            </w:tcBorders>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80" w:type="dxa"/>
            <w:vAlign w:val="bottom"/>
            <w:tcBorders>
              <w:top w:val="single" w:sz="8" w:color="auto"/>
            </w:tcBorders>
            <w:shd w:val="clear" w:color="auto" w:fill="CFF0FC"/>
          </w:tcPr>
          <w:p>
            <w:pPr>
              <w:spacing w:after="0"/>
              <w:rPr>
                <w:sz w:val="14"/>
                <w:szCs w:val="14"/>
                <w:color w:val="auto"/>
              </w:rPr>
            </w:pPr>
          </w:p>
        </w:tc>
        <w:tc>
          <w:tcPr>
            <w:tcW w:w="820" w:type="dxa"/>
            <w:vAlign w:val="bottom"/>
            <w:tcBorders>
              <w:top w:val="single" w:sz="8" w:color="auto"/>
            </w:tcBorders>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spacing w:after="0"/>
              <w:rPr>
                <w:sz w:val="14"/>
                <w:szCs w:val="14"/>
                <w:color w:val="auto"/>
              </w:rPr>
            </w:pPr>
          </w:p>
        </w:tc>
        <w:tc>
          <w:tcPr>
            <w:tcW w:w="880" w:type="dxa"/>
            <w:vAlign w:val="bottom"/>
            <w:tcBorders>
              <w:top w:val="single" w:sz="8" w:color="auto"/>
            </w:tcBorders>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spacing w:after="0"/>
              <w:rPr>
                <w:sz w:val="14"/>
                <w:szCs w:val="14"/>
                <w:color w:val="auto"/>
              </w:rPr>
            </w:pPr>
          </w:p>
        </w:tc>
        <w:tc>
          <w:tcPr>
            <w:tcW w:w="860" w:type="dxa"/>
            <w:vAlign w:val="bottom"/>
            <w:tcBorders>
              <w:top w:val="single" w:sz="8" w:color="auto"/>
            </w:tcBorders>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60" w:type="dxa"/>
            <w:vAlign w:val="bottom"/>
            <w:tcBorders>
              <w:top w:val="single" w:sz="8" w:color="auto"/>
            </w:tcBorders>
            <w:shd w:val="clear" w:color="auto" w:fill="CFF0FC"/>
          </w:tcPr>
          <w:p>
            <w:pPr>
              <w:spacing w:after="0"/>
              <w:rPr>
                <w:sz w:val="14"/>
                <w:szCs w:val="14"/>
                <w:color w:val="auto"/>
              </w:rPr>
            </w:pPr>
          </w:p>
        </w:tc>
        <w:tc>
          <w:tcPr>
            <w:tcW w:w="820" w:type="dxa"/>
            <w:vAlign w:val="bottom"/>
            <w:tcBorders>
              <w:top w:val="single" w:sz="8" w:color="auto"/>
            </w:tcBorders>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040" w:type="dxa"/>
            <w:vAlign w:val="bottom"/>
          </w:tcPr>
          <w:p>
            <w:pPr>
              <w:ind w:left="200"/>
              <w:spacing w:after="0" w:line="143" w:lineRule="exact"/>
              <w:rPr>
                <w:sz w:val="20"/>
                <w:szCs w:val="20"/>
                <w:color w:val="auto"/>
              </w:rPr>
            </w:pPr>
            <w:r>
              <w:rPr>
                <w:rFonts w:ascii="Arial" w:cs="Arial" w:eastAsia="Arial" w:hAnsi="Arial"/>
                <w:sz w:val="14"/>
                <w:szCs w:val="14"/>
                <w:color w:val="auto"/>
              </w:rPr>
              <w:t>Series Seed-1 Convertible</w:t>
            </w:r>
          </w:p>
        </w:tc>
        <w:tc>
          <w:tcPr>
            <w:tcW w:w="10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6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40" w:type="dxa"/>
            <w:vAlign w:val="bottom"/>
          </w:tcPr>
          <w:p>
            <w:pPr>
              <w:jc w:val="center"/>
              <w:ind w:right="468"/>
              <w:spacing w:after="0"/>
              <w:rPr>
                <w:sz w:val="20"/>
                <w:szCs w:val="20"/>
                <w:color w:val="auto"/>
              </w:rPr>
            </w:pPr>
            <w:r>
              <w:rPr>
                <w:rFonts w:ascii="Arial" w:cs="Arial" w:eastAsia="Arial" w:hAnsi="Arial"/>
                <w:sz w:val="14"/>
                <w:szCs w:val="14"/>
                <w:color w:val="auto"/>
                <w:w w:val="92"/>
              </w:rPr>
              <w:t>Preferred Stock</w:t>
            </w:r>
          </w:p>
        </w:tc>
        <w:tc>
          <w:tcPr>
            <w:tcW w:w="1020" w:type="dxa"/>
            <w:vAlign w:val="bottom"/>
          </w:tcPr>
          <w:p>
            <w:pPr>
              <w:jc w:val="right"/>
              <w:spacing w:after="0"/>
              <w:rPr>
                <w:sz w:val="20"/>
                <w:szCs w:val="20"/>
                <w:color w:val="auto"/>
              </w:rPr>
            </w:pPr>
            <w:r>
              <w:rPr>
                <w:rFonts w:ascii="Arial" w:cs="Arial" w:eastAsia="Arial" w:hAnsi="Arial"/>
                <w:sz w:val="14"/>
                <w:szCs w:val="14"/>
                <w:color w:val="auto"/>
              </w:rPr>
              <w:t>4,200,000</w:t>
            </w:r>
          </w:p>
        </w:tc>
        <w:tc>
          <w:tcPr>
            <w:tcW w:w="160" w:type="dxa"/>
            <w:vAlign w:val="bottom"/>
          </w:tcPr>
          <w:p>
            <w:pPr>
              <w:spacing w:after="0"/>
              <w:rPr>
                <w:sz w:val="15"/>
                <w:szCs w:val="15"/>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right"/>
              <w:spacing w:after="0"/>
              <w:rPr>
                <w:sz w:val="20"/>
                <w:szCs w:val="20"/>
                <w:color w:val="auto"/>
              </w:rPr>
            </w:pPr>
            <w:r>
              <w:rPr>
                <w:rFonts w:ascii="Arial" w:cs="Arial" w:eastAsia="Arial" w:hAnsi="Arial"/>
                <w:sz w:val="14"/>
                <w:szCs w:val="14"/>
                <w:color w:val="auto"/>
              </w:rPr>
              <w:t>4,200,000</w:t>
            </w:r>
          </w:p>
        </w:tc>
        <w:tc>
          <w:tcPr>
            <w:tcW w:w="160" w:type="dxa"/>
            <w:vAlign w:val="bottom"/>
            <w:tcBorders>
              <w:right w:val="single" w:sz="8" w:color="auto"/>
            </w:tcBorders>
          </w:tcPr>
          <w:p>
            <w:pPr>
              <w:spacing w:after="0"/>
              <w:rPr>
                <w:sz w:val="15"/>
                <w:szCs w:val="15"/>
                <w:color w:val="auto"/>
              </w:rPr>
            </w:pPr>
          </w:p>
        </w:tc>
        <w:tc>
          <w:tcPr>
            <w:tcW w:w="2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4,200</w:t>
            </w:r>
          </w:p>
        </w:tc>
        <w:tc>
          <w:tcPr>
            <w:tcW w:w="24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3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4,200</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40" w:type="dxa"/>
            <w:vAlign w:val="bottom"/>
            <w:shd w:val="clear" w:color="auto" w:fill="CFF0FC"/>
          </w:tcPr>
          <w:p>
            <w:pPr>
              <w:ind w:left="200"/>
              <w:spacing w:after="0" w:line="143" w:lineRule="exact"/>
              <w:rPr>
                <w:sz w:val="20"/>
                <w:szCs w:val="20"/>
                <w:color w:val="auto"/>
              </w:rPr>
            </w:pPr>
            <w:r>
              <w:rPr>
                <w:rFonts w:ascii="Arial" w:cs="Arial" w:eastAsia="Arial" w:hAnsi="Arial"/>
                <w:sz w:val="14"/>
                <w:szCs w:val="14"/>
                <w:color w:val="auto"/>
              </w:rPr>
              <w:t>Series Seed-2 Convertible</w:t>
            </w:r>
          </w:p>
        </w:tc>
        <w:tc>
          <w:tcPr>
            <w:tcW w:w="10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160" w:type="dxa"/>
            <w:vAlign w:val="bottom"/>
            <w:tcBorders>
              <w:right w:val="single" w:sz="8" w:color="auto"/>
            </w:tcBorders>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40" w:type="dxa"/>
            <w:vAlign w:val="bottom"/>
            <w:shd w:val="clear" w:color="auto" w:fill="CFF0FC"/>
          </w:tcPr>
          <w:p>
            <w:pPr>
              <w:jc w:val="center"/>
              <w:ind w:right="468"/>
              <w:spacing w:after="0"/>
              <w:rPr>
                <w:sz w:val="20"/>
                <w:szCs w:val="20"/>
                <w:color w:val="auto"/>
              </w:rPr>
            </w:pPr>
            <w:r>
              <w:rPr>
                <w:rFonts w:ascii="Arial" w:cs="Arial" w:eastAsia="Arial" w:hAnsi="Arial"/>
                <w:sz w:val="14"/>
                <w:szCs w:val="14"/>
                <w:color w:val="auto"/>
                <w:w w:val="92"/>
              </w:rPr>
              <w:t>Preferred Stock</w:t>
            </w: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2,188,322</w:t>
            </w:r>
          </w:p>
        </w:tc>
        <w:tc>
          <w:tcPr>
            <w:tcW w:w="160" w:type="dxa"/>
            <w:vAlign w:val="bottom"/>
            <w:shd w:val="clear" w:color="auto" w:fill="CFF0FC"/>
          </w:tcPr>
          <w:p>
            <w:pPr>
              <w:spacing w:after="0"/>
              <w:rPr>
                <w:sz w:val="15"/>
                <w:szCs w:val="15"/>
                <w:color w:val="auto"/>
              </w:rPr>
            </w:pP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2,188,322</w:t>
            </w:r>
          </w:p>
        </w:tc>
        <w:tc>
          <w:tcPr>
            <w:tcW w:w="160" w:type="dxa"/>
            <w:vAlign w:val="bottom"/>
            <w:tcBorders>
              <w:right w:val="single" w:sz="8" w:color="auto"/>
            </w:tcBorders>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2,998</w:t>
            </w: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2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2,998</w:t>
            </w: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40" w:type="dxa"/>
            <w:vAlign w:val="bottom"/>
          </w:tcPr>
          <w:p>
            <w:pPr>
              <w:ind w:left="200"/>
              <w:spacing w:after="0" w:line="143" w:lineRule="exact"/>
              <w:rPr>
                <w:sz w:val="20"/>
                <w:szCs w:val="20"/>
                <w:color w:val="auto"/>
              </w:rPr>
            </w:pPr>
            <w:r>
              <w:rPr>
                <w:rFonts w:ascii="Arial" w:cs="Arial" w:eastAsia="Arial" w:hAnsi="Arial"/>
                <w:sz w:val="14"/>
                <w:szCs w:val="14"/>
                <w:color w:val="auto"/>
              </w:rPr>
              <w:t>Series A-1 Convertible</w:t>
            </w:r>
          </w:p>
        </w:tc>
        <w:tc>
          <w:tcPr>
            <w:tcW w:w="10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6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40" w:type="dxa"/>
            <w:vAlign w:val="bottom"/>
          </w:tcPr>
          <w:p>
            <w:pPr>
              <w:jc w:val="center"/>
              <w:ind w:right="468"/>
              <w:spacing w:after="0"/>
              <w:rPr>
                <w:sz w:val="20"/>
                <w:szCs w:val="20"/>
                <w:color w:val="auto"/>
              </w:rPr>
            </w:pPr>
            <w:r>
              <w:rPr>
                <w:rFonts w:ascii="Arial" w:cs="Arial" w:eastAsia="Arial" w:hAnsi="Arial"/>
                <w:sz w:val="14"/>
                <w:szCs w:val="14"/>
                <w:color w:val="auto"/>
                <w:w w:val="92"/>
              </w:rPr>
              <w:t>Preferred Stock</w:t>
            </w:r>
          </w:p>
        </w:tc>
        <w:tc>
          <w:tcPr>
            <w:tcW w:w="1020" w:type="dxa"/>
            <w:vAlign w:val="bottom"/>
          </w:tcPr>
          <w:p>
            <w:pPr>
              <w:jc w:val="right"/>
              <w:spacing w:after="0"/>
              <w:rPr>
                <w:sz w:val="20"/>
                <w:szCs w:val="20"/>
                <w:color w:val="auto"/>
              </w:rPr>
            </w:pPr>
            <w:r>
              <w:rPr>
                <w:rFonts w:ascii="Arial" w:cs="Arial" w:eastAsia="Arial" w:hAnsi="Arial"/>
                <w:sz w:val="14"/>
                <w:szCs w:val="14"/>
                <w:color w:val="auto"/>
              </w:rPr>
              <w:t>4,211,094</w:t>
            </w:r>
          </w:p>
        </w:tc>
        <w:tc>
          <w:tcPr>
            <w:tcW w:w="160" w:type="dxa"/>
            <w:vAlign w:val="bottom"/>
          </w:tcPr>
          <w:p>
            <w:pPr>
              <w:spacing w:after="0"/>
              <w:rPr>
                <w:sz w:val="15"/>
                <w:szCs w:val="15"/>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right"/>
              <w:spacing w:after="0"/>
              <w:rPr>
                <w:sz w:val="20"/>
                <w:szCs w:val="20"/>
                <w:color w:val="auto"/>
              </w:rPr>
            </w:pPr>
            <w:r>
              <w:rPr>
                <w:rFonts w:ascii="Arial" w:cs="Arial" w:eastAsia="Arial" w:hAnsi="Arial"/>
                <w:sz w:val="14"/>
                <w:szCs w:val="14"/>
                <w:color w:val="auto"/>
              </w:rPr>
              <w:t>4,211,094</w:t>
            </w:r>
          </w:p>
        </w:tc>
        <w:tc>
          <w:tcPr>
            <w:tcW w:w="16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8,704</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8,704</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40" w:type="dxa"/>
            <w:vAlign w:val="bottom"/>
            <w:shd w:val="clear" w:color="auto" w:fill="CFF0FC"/>
          </w:tcPr>
          <w:p>
            <w:pPr>
              <w:ind w:left="200"/>
              <w:spacing w:after="0" w:line="143" w:lineRule="exact"/>
              <w:rPr>
                <w:sz w:val="20"/>
                <w:szCs w:val="20"/>
                <w:color w:val="auto"/>
              </w:rPr>
            </w:pPr>
            <w:r>
              <w:rPr>
                <w:rFonts w:ascii="Arial" w:cs="Arial" w:eastAsia="Arial" w:hAnsi="Arial"/>
                <w:sz w:val="14"/>
                <w:szCs w:val="14"/>
                <w:color w:val="auto"/>
              </w:rPr>
              <w:t>Series A-2 Convertible</w:t>
            </w:r>
          </w:p>
        </w:tc>
        <w:tc>
          <w:tcPr>
            <w:tcW w:w="10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160" w:type="dxa"/>
            <w:vAlign w:val="bottom"/>
            <w:tcBorders>
              <w:right w:val="single" w:sz="8" w:color="auto"/>
            </w:tcBorders>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40" w:type="dxa"/>
            <w:vAlign w:val="bottom"/>
            <w:shd w:val="clear" w:color="auto" w:fill="CFF0FC"/>
          </w:tcPr>
          <w:p>
            <w:pPr>
              <w:jc w:val="center"/>
              <w:ind w:right="468"/>
              <w:spacing w:after="0"/>
              <w:rPr>
                <w:sz w:val="20"/>
                <w:szCs w:val="20"/>
                <w:color w:val="auto"/>
              </w:rPr>
            </w:pPr>
            <w:r>
              <w:rPr>
                <w:rFonts w:ascii="Arial" w:cs="Arial" w:eastAsia="Arial" w:hAnsi="Arial"/>
                <w:sz w:val="14"/>
                <w:szCs w:val="14"/>
                <w:color w:val="auto"/>
                <w:w w:val="92"/>
              </w:rPr>
              <w:t>Preferred Stock</w:t>
            </w: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1,591,230</w:t>
            </w:r>
          </w:p>
        </w:tc>
        <w:tc>
          <w:tcPr>
            <w:tcW w:w="1340" w:type="dxa"/>
            <w:vAlign w:val="bottom"/>
            <w:gridSpan w:val="3"/>
            <w:shd w:val="clear" w:color="auto" w:fill="CFF0FC"/>
          </w:tcPr>
          <w:p>
            <w:pPr>
              <w:jc w:val="right"/>
              <w:ind w:right="100"/>
              <w:spacing w:after="0"/>
              <w:rPr>
                <w:sz w:val="20"/>
                <w:szCs w:val="20"/>
                <w:color w:val="auto"/>
              </w:rPr>
            </w:pPr>
            <w:r>
              <w:rPr>
                <w:rFonts w:ascii="Arial" w:cs="Arial" w:eastAsia="Arial" w:hAnsi="Arial"/>
                <w:sz w:val="14"/>
                <w:szCs w:val="14"/>
                <w:color w:val="auto"/>
              </w:rPr>
              <w:t>(1,136,622 )</w:t>
            </w: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1,136,622</w:t>
            </w:r>
          </w:p>
        </w:tc>
        <w:tc>
          <w:tcPr>
            <w:tcW w:w="11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1,591,230</w:t>
            </w:r>
          </w:p>
        </w:tc>
        <w:tc>
          <w:tcPr>
            <w:tcW w:w="160" w:type="dxa"/>
            <w:vAlign w:val="bottom"/>
            <w:tcBorders>
              <w:right w:val="single" w:sz="8" w:color="auto"/>
            </w:tcBorders>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6,957</w:t>
            </w: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2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(5,001 )</w:t>
            </w:r>
          </w:p>
        </w:tc>
        <w:tc>
          <w:tcPr>
            <w:tcW w:w="120" w:type="dxa"/>
            <w:vAlign w:val="bottom"/>
            <w:shd w:val="clear" w:color="auto" w:fill="CFF0FC"/>
          </w:tcPr>
          <w:p>
            <w:pPr>
              <w:spacing w:after="0"/>
              <w:rPr>
                <w:sz w:val="15"/>
                <w:szCs w:val="15"/>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10,883</w:t>
            </w:r>
          </w:p>
        </w:tc>
        <w:tc>
          <w:tcPr>
            <w:tcW w:w="1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12,839</w:t>
            </w: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40" w:type="dxa"/>
            <w:vAlign w:val="bottom"/>
          </w:tcPr>
          <w:p>
            <w:pPr>
              <w:ind w:left="200"/>
              <w:spacing w:after="0" w:line="143" w:lineRule="exact"/>
              <w:rPr>
                <w:sz w:val="20"/>
                <w:szCs w:val="20"/>
                <w:color w:val="auto"/>
              </w:rPr>
            </w:pPr>
            <w:r>
              <w:rPr>
                <w:rFonts w:ascii="Arial" w:cs="Arial" w:eastAsia="Arial" w:hAnsi="Arial"/>
                <w:sz w:val="14"/>
                <w:szCs w:val="14"/>
                <w:color w:val="auto"/>
              </w:rPr>
              <w:t>Series B Convertible</w:t>
            </w:r>
          </w:p>
        </w:tc>
        <w:tc>
          <w:tcPr>
            <w:tcW w:w="10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6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40" w:type="dxa"/>
            <w:vAlign w:val="bottom"/>
          </w:tcPr>
          <w:p>
            <w:pPr>
              <w:jc w:val="center"/>
              <w:ind w:right="468"/>
              <w:spacing w:after="0"/>
              <w:rPr>
                <w:sz w:val="20"/>
                <w:szCs w:val="20"/>
                <w:color w:val="auto"/>
              </w:rPr>
            </w:pPr>
            <w:r>
              <w:rPr>
                <w:rFonts w:ascii="Arial" w:cs="Arial" w:eastAsia="Arial" w:hAnsi="Arial"/>
                <w:sz w:val="14"/>
                <w:szCs w:val="14"/>
                <w:color w:val="auto"/>
                <w:w w:val="92"/>
              </w:rPr>
              <w:t>Preferred Stock</w:t>
            </w:r>
          </w:p>
        </w:tc>
        <w:tc>
          <w:tcPr>
            <w:tcW w:w="1020" w:type="dxa"/>
            <w:vAlign w:val="bottom"/>
          </w:tcPr>
          <w:p>
            <w:pPr>
              <w:jc w:val="right"/>
              <w:spacing w:after="0"/>
              <w:rPr>
                <w:sz w:val="20"/>
                <w:szCs w:val="20"/>
                <w:color w:val="auto"/>
              </w:rPr>
            </w:pPr>
            <w:r>
              <w:rPr>
                <w:rFonts w:ascii="Arial" w:cs="Arial" w:eastAsia="Arial" w:hAnsi="Arial"/>
                <w:sz w:val="14"/>
                <w:szCs w:val="14"/>
                <w:color w:val="auto"/>
              </w:rPr>
              <w:t>4,044,271</w:t>
            </w:r>
          </w:p>
        </w:tc>
        <w:tc>
          <w:tcPr>
            <w:tcW w:w="1340" w:type="dxa"/>
            <w:vAlign w:val="bottom"/>
            <w:gridSpan w:val="3"/>
          </w:tcPr>
          <w:p>
            <w:pPr>
              <w:jc w:val="right"/>
              <w:ind w:right="100"/>
              <w:spacing w:after="0"/>
              <w:rPr>
                <w:sz w:val="20"/>
                <w:szCs w:val="20"/>
                <w:color w:val="auto"/>
              </w:rPr>
            </w:pPr>
            <w:r>
              <w:rPr>
                <w:rFonts w:ascii="Arial" w:cs="Arial" w:eastAsia="Arial" w:hAnsi="Arial"/>
                <w:sz w:val="14"/>
                <w:szCs w:val="14"/>
                <w:color w:val="auto"/>
              </w:rPr>
              <w:t>(390,152 )</w:t>
            </w:r>
          </w:p>
        </w:tc>
        <w:tc>
          <w:tcPr>
            <w:tcW w:w="1020" w:type="dxa"/>
            <w:vAlign w:val="bottom"/>
          </w:tcPr>
          <w:p>
            <w:pPr>
              <w:jc w:val="right"/>
              <w:spacing w:after="0"/>
              <w:rPr>
                <w:sz w:val="20"/>
                <w:szCs w:val="20"/>
                <w:color w:val="auto"/>
              </w:rPr>
            </w:pPr>
            <w:r>
              <w:rPr>
                <w:rFonts w:ascii="Arial" w:cs="Arial" w:eastAsia="Arial" w:hAnsi="Arial"/>
                <w:sz w:val="14"/>
                <w:szCs w:val="14"/>
                <w:color w:val="auto"/>
              </w:rPr>
              <w:t>390,152</w:t>
            </w:r>
          </w:p>
        </w:tc>
        <w:tc>
          <w:tcPr>
            <w:tcW w:w="1180" w:type="dxa"/>
            <w:vAlign w:val="bottom"/>
            <w:gridSpan w:val="2"/>
          </w:tcPr>
          <w:p>
            <w:pPr>
              <w:jc w:val="right"/>
              <w:spacing w:after="0"/>
              <w:rPr>
                <w:sz w:val="20"/>
                <w:szCs w:val="20"/>
                <w:color w:val="auto"/>
              </w:rPr>
            </w:pPr>
            <w:r>
              <w:rPr>
                <w:rFonts w:ascii="Arial" w:cs="Arial" w:eastAsia="Arial" w:hAnsi="Arial"/>
                <w:sz w:val="14"/>
                <w:szCs w:val="14"/>
                <w:color w:val="auto"/>
              </w:rPr>
              <w:t>4,044,271</w:t>
            </w:r>
          </w:p>
        </w:tc>
        <w:tc>
          <w:tcPr>
            <w:tcW w:w="16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18,612</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4"/>
                <w:szCs w:val="14"/>
                <w:color w:val="auto"/>
              </w:rPr>
              <w:t>(2,001 )</w:t>
            </w:r>
          </w:p>
        </w:tc>
        <w:tc>
          <w:tcPr>
            <w:tcW w:w="1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3,736</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20,347</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40" w:type="dxa"/>
            <w:vAlign w:val="bottom"/>
            <w:shd w:val="clear" w:color="auto" w:fill="CFF0FC"/>
          </w:tcPr>
          <w:p>
            <w:pPr>
              <w:ind w:left="200"/>
              <w:spacing w:after="0" w:line="143" w:lineRule="exact"/>
              <w:rPr>
                <w:sz w:val="20"/>
                <w:szCs w:val="20"/>
                <w:color w:val="auto"/>
              </w:rPr>
            </w:pPr>
            <w:r>
              <w:rPr>
                <w:rFonts w:ascii="Arial" w:cs="Arial" w:eastAsia="Arial" w:hAnsi="Arial"/>
                <w:sz w:val="14"/>
                <w:szCs w:val="14"/>
                <w:color w:val="auto"/>
              </w:rPr>
              <w:t>Series C Convertible</w:t>
            </w:r>
          </w:p>
        </w:tc>
        <w:tc>
          <w:tcPr>
            <w:tcW w:w="10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160" w:type="dxa"/>
            <w:vAlign w:val="bottom"/>
            <w:tcBorders>
              <w:right w:val="single" w:sz="8" w:color="auto"/>
            </w:tcBorders>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40" w:type="dxa"/>
            <w:vAlign w:val="bottom"/>
            <w:shd w:val="clear" w:color="auto" w:fill="CFF0FC"/>
          </w:tcPr>
          <w:p>
            <w:pPr>
              <w:jc w:val="center"/>
              <w:ind w:right="468"/>
              <w:spacing w:after="0"/>
              <w:rPr>
                <w:sz w:val="20"/>
                <w:szCs w:val="20"/>
                <w:color w:val="auto"/>
              </w:rPr>
            </w:pPr>
            <w:r>
              <w:rPr>
                <w:rFonts w:ascii="Arial" w:cs="Arial" w:eastAsia="Arial" w:hAnsi="Arial"/>
                <w:sz w:val="14"/>
                <w:szCs w:val="14"/>
                <w:color w:val="auto"/>
                <w:w w:val="92"/>
              </w:rPr>
              <w:t>Preferred Stock</w:t>
            </w: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3,754,201</w:t>
            </w:r>
          </w:p>
        </w:tc>
        <w:tc>
          <w:tcPr>
            <w:tcW w:w="1340" w:type="dxa"/>
            <w:vAlign w:val="bottom"/>
            <w:gridSpan w:val="3"/>
            <w:shd w:val="clear" w:color="auto" w:fill="CFF0FC"/>
          </w:tcPr>
          <w:p>
            <w:pPr>
              <w:jc w:val="right"/>
              <w:ind w:right="100"/>
              <w:spacing w:after="0"/>
              <w:rPr>
                <w:sz w:val="20"/>
                <w:szCs w:val="20"/>
                <w:color w:val="auto"/>
              </w:rPr>
            </w:pPr>
            <w:r>
              <w:rPr>
                <w:rFonts w:ascii="Arial" w:cs="Arial" w:eastAsia="Arial" w:hAnsi="Arial"/>
                <w:sz w:val="14"/>
                <w:szCs w:val="14"/>
                <w:color w:val="auto"/>
              </w:rPr>
              <w:t>(405,453 )</w:t>
            </w: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405,453</w:t>
            </w:r>
          </w:p>
        </w:tc>
        <w:tc>
          <w:tcPr>
            <w:tcW w:w="11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3,754,201</w:t>
            </w:r>
          </w:p>
        </w:tc>
        <w:tc>
          <w:tcPr>
            <w:tcW w:w="160" w:type="dxa"/>
            <w:vAlign w:val="bottom"/>
            <w:tcBorders>
              <w:right w:val="single" w:sz="8" w:color="auto"/>
            </w:tcBorders>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24,756</w:t>
            </w: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2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(2,700 )</w:t>
            </w:r>
          </w:p>
        </w:tc>
        <w:tc>
          <w:tcPr>
            <w:tcW w:w="120" w:type="dxa"/>
            <w:vAlign w:val="bottom"/>
            <w:shd w:val="clear" w:color="auto" w:fill="CFF0FC"/>
          </w:tcPr>
          <w:p>
            <w:pPr>
              <w:spacing w:after="0"/>
              <w:rPr>
                <w:sz w:val="15"/>
                <w:szCs w:val="15"/>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3,948</w:t>
            </w:r>
          </w:p>
        </w:tc>
        <w:tc>
          <w:tcPr>
            <w:tcW w:w="1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26,004</w:t>
            </w: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40" w:type="dxa"/>
            <w:vAlign w:val="bottom"/>
          </w:tcPr>
          <w:p>
            <w:pPr>
              <w:ind w:left="200"/>
              <w:spacing w:after="0" w:line="143" w:lineRule="exact"/>
              <w:rPr>
                <w:sz w:val="20"/>
                <w:szCs w:val="20"/>
                <w:color w:val="auto"/>
              </w:rPr>
            </w:pPr>
            <w:r>
              <w:rPr>
                <w:rFonts w:ascii="Arial" w:cs="Arial" w:eastAsia="Arial" w:hAnsi="Arial"/>
                <w:sz w:val="14"/>
                <w:szCs w:val="14"/>
                <w:color w:val="auto"/>
              </w:rPr>
              <w:t>Series D Convertible</w:t>
            </w:r>
          </w:p>
        </w:tc>
        <w:tc>
          <w:tcPr>
            <w:tcW w:w="10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6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40" w:type="dxa"/>
            <w:vAlign w:val="bottom"/>
          </w:tcPr>
          <w:p>
            <w:pPr>
              <w:jc w:val="center"/>
              <w:ind w:right="468"/>
              <w:spacing w:after="0"/>
              <w:rPr>
                <w:sz w:val="20"/>
                <w:szCs w:val="20"/>
                <w:color w:val="auto"/>
              </w:rPr>
            </w:pPr>
            <w:r>
              <w:rPr>
                <w:rFonts w:ascii="Arial" w:cs="Arial" w:eastAsia="Arial" w:hAnsi="Arial"/>
                <w:sz w:val="14"/>
                <w:szCs w:val="14"/>
                <w:color w:val="auto"/>
                <w:w w:val="92"/>
              </w:rPr>
              <w:t>Preferred Stock</w:t>
            </w:r>
          </w:p>
        </w:tc>
        <w:tc>
          <w:tcPr>
            <w:tcW w:w="1020" w:type="dxa"/>
            <w:vAlign w:val="bottom"/>
          </w:tcPr>
          <w:p>
            <w:pPr>
              <w:jc w:val="right"/>
              <w:spacing w:after="0"/>
              <w:rPr>
                <w:sz w:val="20"/>
                <w:szCs w:val="20"/>
                <w:color w:val="auto"/>
              </w:rPr>
            </w:pPr>
            <w:r>
              <w:rPr>
                <w:rFonts w:ascii="Arial" w:cs="Arial" w:eastAsia="Arial" w:hAnsi="Arial"/>
                <w:sz w:val="14"/>
                <w:szCs w:val="14"/>
                <w:color w:val="auto"/>
              </w:rPr>
              <w:t>5,494,064</w:t>
            </w:r>
          </w:p>
        </w:tc>
        <w:tc>
          <w:tcPr>
            <w:tcW w:w="1340" w:type="dxa"/>
            <w:vAlign w:val="bottom"/>
            <w:gridSpan w:val="3"/>
          </w:tcPr>
          <w:p>
            <w:pPr>
              <w:jc w:val="right"/>
              <w:ind w:right="100"/>
              <w:spacing w:after="0"/>
              <w:rPr>
                <w:sz w:val="20"/>
                <w:szCs w:val="20"/>
                <w:color w:val="auto"/>
              </w:rPr>
            </w:pPr>
            <w:r>
              <w:rPr>
                <w:rFonts w:ascii="Arial" w:cs="Arial" w:eastAsia="Arial" w:hAnsi="Arial"/>
                <w:sz w:val="14"/>
                <w:szCs w:val="14"/>
                <w:color w:val="auto"/>
              </w:rPr>
              <w:t>(314,659 )</w:t>
            </w:r>
          </w:p>
        </w:tc>
        <w:tc>
          <w:tcPr>
            <w:tcW w:w="1020" w:type="dxa"/>
            <w:vAlign w:val="bottom"/>
          </w:tcPr>
          <w:p>
            <w:pPr>
              <w:jc w:val="right"/>
              <w:spacing w:after="0"/>
              <w:rPr>
                <w:sz w:val="20"/>
                <w:szCs w:val="20"/>
                <w:color w:val="auto"/>
              </w:rPr>
            </w:pPr>
            <w:r>
              <w:rPr>
                <w:rFonts w:ascii="Arial" w:cs="Arial" w:eastAsia="Arial" w:hAnsi="Arial"/>
                <w:sz w:val="14"/>
                <w:szCs w:val="14"/>
                <w:color w:val="auto"/>
              </w:rPr>
              <w:t>314,659</w:t>
            </w:r>
          </w:p>
        </w:tc>
        <w:tc>
          <w:tcPr>
            <w:tcW w:w="1180" w:type="dxa"/>
            <w:vAlign w:val="bottom"/>
            <w:gridSpan w:val="2"/>
          </w:tcPr>
          <w:p>
            <w:pPr>
              <w:jc w:val="right"/>
              <w:spacing w:after="0"/>
              <w:rPr>
                <w:sz w:val="20"/>
                <w:szCs w:val="20"/>
                <w:color w:val="auto"/>
              </w:rPr>
            </w:pPr>
            <w:r>
              <w:rPr>
                <w:rFonts w:ascii="Arial" w:cs="Arial" w:eastAsia="Arial" w:hAnsi="Arial"/>
                <w:sz w:val="14"/>
                <w:szCs w:val="14"/>
                <w:color w:val="auto"/>
              </w:rPr>
              <w:t>5,494,064</w:t>
            </w:r>
          </w:p>
        </w:tc>
        <w:tc>
          <w:tcPr>
            <w:tcW w:w="16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54,929</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4"/>
                <w:szCs w:val="14"/>
                <w:color w:val="auto"/>
              </w:rPr>
              <w:t>(3,150 )</w:t>
            </w:r>
          </w:p>
        </w:tc>
        <w:tc>
          <w:tcPr>
            <w:tcW w:w="1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3,085</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54,864</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40" w:type="dxa"/>
            <w:vAlign w:val="bottom"/>
            <w:shd w:val="clear" w:color="auto" w:fill="CFF0FC"/>
          </w:tcPr>
          <w:p>
            <w:pPr>
              <w:ind w:left="200"/>
              <w:spacing w:after="0" w:line="143" w:lineRule="exact"/>
              <w:rPr>
                <w:sz w:val="20"/>
                <w:szCs w:val="20"/>
                <w:color w:val="auto"/>
              </w:rPr>
            </w:pPr>
            <w:r>
              <w:rPr>
                <w:rFonts w:ascii="Arial" w:cs="Arial" w:eastAsia="Arial" w:hAnsi="Arial"/>
                <w:sz w:val="14"/>
                <w:szCs w:val="14"/>
                <w:color w:val="auto"/>
              </w:rPr>
              <w:t>Series E Convertible</w:t>
            </w:r>
          </w:p>
        </w:tc>
        <w:tc>
          <w:tcPr>
            <w:tcW w:w="102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2"/>
                <w:szCs w:val="12"/>
                <w:color w:val="auto"/>
              </w:rPr>
            </w:pPr>
          </w:p>
        </w:tc>
        <w:tc>
          <w:tcPr>
            <w:tcW w:w="102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60" w:type="dxa"/>
            <w:vAlign w:val="bottom"/>
            <w:vMerge w:val="restart"/>
            <w:shd w:val="clear" w:color="auto" w:fill="CFF0FC"/>
          </w:tcPr>
          <w:p>
            <w:pPr>
              <w:spacing w:after="0"/>
              <w:rPr>
                <w:sz w:val="12"/>
                <w:szCs w:val="12"/>
                <w:color w:val="auto"/>
              </w:rPr>
            </w:pPr>
          </w:p>
        </w:tc>
        <w:tc>
          <w:tcPr>
            <w:tcW w:w="102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2,275,759</w:t>
            </w:r>
          </w:p>
        </w:tc>
        <w:tc>
          <w:tcPr>
            <w:tcW w:w="160" w:type="dxa"/>
            <w:vAlign w:val="bottom"/>
            <w:vMerge w:val="restart"/>
            <w:shd w:val="clear" w:color="auto" w:fill="CFF0FC"/>
          </w:tcPr>
          <w:p>
            <w:pPr>
              <w:spacing w:after="0"/>
              <w:rPr>
                <w:sz w:val="12"/>
                <w:szCs w:val="12"/>
                <w:color w:val="auto"/>
              </w:rPr>
            </w:pPr>
          </w:p>
        </w:tc>
        <w:tc>
          <w:tcPr>
            <w:tcW w:w="102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2,275,759</w:t>
            </w:r>
          </w:p>
        </w:tc>
        <w:tc>
          <w:tcPr>
            <w:tcW w:w="160" w:type="dxa"/>
            <w:vAlign w:val="bottom"/>
            <w:tcBorders>
              <w:right w:val="single" w:sz="8" w:color="auto"/>
            </w:tcBorders>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2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8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vMerge w:val="restart"/>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6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30,757</w:t>
            </w:r>
          </w:p>
        </w:tc>
        <w:tc>
          <w:tcPr>
            <w:tcW w:w="1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2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30,757</w:t>
            </w: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40" w:type="dxa"/>
            <w:vAlign w:val="bottom"/>
            <w:tcBorders>
              <w:bottom w:val="single" w:sz="8" w:color="CFF0FC"/>
            </w:tcBorders>
            <w:shd w:val="clear" w:color="auto" w:fill="CFF0FC"/>
          </w:tcPr>
          <w:p>
            <w:pPr>
              <w:jc w:val="center"/>
              <w:ind w:right="468"/>
              <w:spacing w:after="0"/>
              <w:rPr>
                <w:sz w:val="20"/>
                <w:szCs w:val="20"/>
                <w:color w:val="auto"/>
              </w:rPr>
            </w:pPr>
            <w:r>
              <w:rPr>
                <w:rFonts w:ascii="Arial" w:cs="Arial" w:eastAsia="Arial" w:hAnsi="Arial"/>
                <w:sz w:val="14"/>
                <w:szCs w:val="14"/>
                <w:color w:val="auto"/>
                <w:w w:val="92"/>
              </w:rPr>
              <w:t>Preferred Stock</w:t>
            </w:r>
          </w:p>
        </w:tc>
        <w:tc>
          <w:tcPr>
            <w:tcW w:w="1020" w:type="dxa"/>
            <w:vAlign w:val="bottom"/>
            <w:tcBorders>
              <w:bottom w:val="single" w:sz="8" w:color="auto"/>
            </w:tcBorders>
            <w:vMerge w:val="continue"/>
            <w:shd w:val="clear" w:color="auto" w:fill="CFF0FC"/>
          </w:tcPr>
          <w:p>
            <w:pPr>
              <w:spacing w:after="0"/>
              <w:rPr>
                <w:sz w:val="14"/>
                <w:szCs w:val="14"/>
                <w:color w:val="auto"/>
              </w:rPr>
            </w:pPr>
          </w:p>
        </w:tc>
        <w:tc>
          <w:tcPr>
            <w:tcW w:w="160" w:type="dxa"/>
            <w:vAlign w:val="bottom"/>
            <w:tcBorders>
              <w:bottom w:val="single" w:sz="8" w:color="CFF0FC"/>
            </w:tcBorders>
            <w:shd w:val="clear" w:color="auto" w:fill="CFF0FC"/>
          </w:tcPr>
          <w:p>
            <w:pPr>
              <w:spacing w:after="0"/>
              <w:rPr>
                <w:sz w:val="14"/>
                <w:szCs w:val="14"/>
                <w:color w:val="auto"/>
              </w:rPr>
            </w:pPr>
          </w:p>
        </w:tc>
        <w:tc>
          <w:tcPr>
            <w:tcW w:w="1020" w:type="dxa"/>
            <w:vAlign w:val="bottom"/>
            <w:tcBorders>
              <w:bottom w:val="single" w:sz="8" w:color="auto"/>
            </w:tcBorders>
            <w:vMerge w:val="continue"/>
            <w:shd w:val="clear" w:color="auto" w:fill="CFF0FC"/>
          </w:tcPr>
          <w:p>
            <w:pPr>
              <w:spacing w:after="0"/>
              <w:rPr>
                <w:sz w:val="14"/>
                <w:szCs w:val="14"/>
                <w:color w:val="auto"/>
              </w:rPr>
            </w:pPr>
          </w:p>
        </w:tc>
        <w:tc>
          <w:tcPr>
            <w:tcW w:w="160" w:type="dxa"/>
            <w:vAlign w:val="bottom"/>
            <w:tcBorders>
              <w:bottom w:val="single" w:sz="8" w:color="CFF0FC"/>
            </w:tcBorders>
            <w:vMerge w:val="continue"/>
            <w:shd w:val="clear" w:color="auto" w:fill="CFF0FC"/>
          </w:tcPr>
          <w:p>
            <w:pPr>
              <w:spacing w:after="0"/>
              <w:rPr>
                <w:sz w:val="14"/>
                <w:szCs w:val="14"/>
                <w:color w:val="auto"/>
              </w:rPr>
            </w:pPr>
          </w:p>
        </w:tc>
        <w:tc>
          <w:tcPr>
            <w:tcW w:w="1020" w:type="dxa"/>
            <w:vAlign w:val="bottom"/>
            <w:tcBorders>
              <w:bottom w:val="single" w:sz="8" w:color="auto"/>
            </w:tcBorders>
            <w:vMerge w:val="continue"/>
            <w:shd w:val="clear" w:color="auto" w:fill="CFF0FC"/>
          </w:tcPr>
          <w:p>
            <w:pPr>
              <w:spacing w:after="0"/>
              <w:rPr>
                <w:sz w:val="14"/>
                <w:szCs w:val="14"/>
                <w:color w:val="auto"/>
              </w:rPr>
            </w:pPr>
          </w:p>
        </w:tc>
        <w:tc>
          <w:tcPr>
            <w:tcW w:w="160" w:type="dxa"/>
            <w:vAlign w:val="bottom"/>
            <w:tcBorders>
              <w:bottom w:val="single" w:sz="8" w:color="CFF0FC"/>
            </w:tcBorders>
            <w:vMerge w:val="continue"/>
            <w:shd w:val="clear" w:color="auto" w:fill="CFF0FC"/>
          </w:tcPr>
          <w:p>
            <w:pPr>
              <w:spacing w:after="0"/>
              <w:rPr>
                <w:sz w:val="14"/>
                <w:szCs w:val="14"/>
                <w:color w:val="auto"/>
              </w:rPr>
            </w:pPr>
          </w:p>
        </w:tc>
        <w:tc>
          <w:tcPr>
            <w:tcW w:w="1020" w:type="dxa"/>
            <w:vAlign w:val="bottom"/>
            <w:tcBorders>
              <w:bottom w:val="single" w:sz="8" w:color="auto"/>
            </w:tcBorders>
            <w:vMerge w:val="continue"/>
            <w:shd w:val="clear" w:color="auto" w:fill="CFF0FC"/>
          </w:tcPr>
          <w:p>
            <w:pPr>
              <w:spacing w:after="0"/>
              <w:rPr>
                <w:sz w:val="14"/>
                <w:szCs w:val="14"/>
                <w:color w:val="auto"/>
              </w:rPr>
            </w:pPr>
          </w:p>
        </w:tc>
        <w:tc>
          <w:tcPr>
            <w:tcW w:w="160" w:type="dxa"/>
            <w:vAlign w:val="bottom"/>
            <w:tcBorders>
              <w:bottom w:val="single" w:sz="8" w:color="CFF0FC"/>
              <w:right w:val="single" w:sz="8" w:color="auto"/>
            </w:tcBorders>
            <w:shd w:val="clear" w:color="auto" w:fill="CFF0FC"/>
          </w:tcPr>
          <w:p>
            <w:pPr>
              <w:spacing w:after="0"/>
              <w:rPr>
                <w:sz w:val="14"/>
                <w:szCs w:val="14"/>
                <w:color w:val="auto"/>
              </w:rPr>
            </w:pPr>
          </w:p>
        </w:tc>
        <w:tc>
          <w:tcPr>
            <w:tcW w:w="60" w:type="dxa"/>
            <w:vAlign w:val="bottom"/>
            <w:tcBorders>
              <w:bottom w:val="single" w:sz="8" w:color="CFF0FC"/>
            </w:tcBorders>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spacing w:after="0"/>
              <w:rPr>
                <w:sz w:val="14"/>
                <w:szCs w:val="14"/>
                <w:color w:val="auto"/>
              </w:rPr>
            </w:pPr>
          </w:p>
        </w:tc>
        <w:tc>
          <w:tcPr>
            <w:tcW w:w="820" w:type="dxa"/>
            <w:vAlign w:val="bottom"/>
            <w:tcBorders>
              <w:bottom w:val="single" w:sz="8" w:color="auto"/>
            </w:tcBorders>
            <w:vMerge w:val="continue"/>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880" w:type="dxa"/>
            <w:vAlign w:val="bottom"/>
            <w:tcBorders>
              <w:bottom w:val="single" w:sz="8" w:color="auto"/>
            </w:tcBorders>
            <w:vMerge w:val="continue"/>
            <w:shd w:val="clear" w:color="auto" w:fill="CFF0FC"/>
          </w:tcPr>
          <w:p>
            <w:pPr>
              <w:spacing w:after="0"/>
              <w:rPr>
                <w:sz w:val="14"/>
                <w:szCs w:val="14"/>
                <w:color w:val="auto"/>
              </w:rPr>
            </w:pPr>
          </w:p>
        </w:tc>
        <w:tc>
          <w:tcPr>
            <w:tcW w:w="140" w:type="dxa"/>
            <w:vAlign w:val="bottom"/>
            <w:tcBorders>
              <w:bottom w:val="single" w:sz="8" w:color="CFF0FC"/>
            </w:tcBorders>
            <w:vMerge w:val="continue"/>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860" w:type="dxa"/>
            <w:vAlign w:val="bottom"/>
            <w:tcBorders>
              <w:bottom w:val="single" w:sz="8" w:color="auto"/>
            </w:tcBorders>
            <w:vMerge w:val="continue"/>
            <w:shd w:val="clear" w:color="auto" w:fill="CFF0FC"/>
          </w:tcPr>
          <w:p>
            <w:pPr>
              <w:spacing w:after="0"/>
              <w:rPr>
                <w:sz w:val="14"/>
                <w:szCs w:val="14"/>
                <w:color w:val="auto"/>
              </w:rPr>
            </w:pPr>
          </w:p>
        </w:tc>
        <w:tc>
          <w:tcPr>
            <w:tcW w:w="14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820" w:type="dxa"/>
            <w:vAlign w:val="bottom"/>
            <w:tcBorders>
              <w:bottom w:val="single" w:sz="8" w:color="auto"/>
            </w:tcBorders>
            <w:vMerge w:val="continue"/>
            <w:shd w:val="clear" w:color="auto" w:fill="CFF0FC"/>
          </w:tcPr>
          <w:p>
            <w:pPr>
              <w:spacing w:after="0"/>
              <w:rPr>
                <w:sz w:val="14"/>
                <w:szCs w:val="14"/>
                <w:color w:val="auto"/>
              </w:rPr>
            </w:pPr>
          </w:p>
        </w:tc>
        <w:tc>
          <w:tcPr>
            <w:tcW w:w="6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40" w:type="dxa"/>
            <w:vAlign w:val="bottom"/>
          </w:tcPr>
          <w:p>
            <w:pPr>
              <w:ind w:left="20"/>
              <w:spacing w:after="0"/>
              <w:rPr>
                <w:sz w:val="20"/>
                <w:szCs w:val="20"/>
                <w:color w:val="auto"/>
              </w:rPr>
            </w:pPr>
            <w:r>
              <w:rPr>
                <w:rFonts w:ascii="Arial" w:cs="Arial" w:eastAsia="Arial" w:hAnsi="Arial"/>
                <w:sz w:val="14"/>
                <w:szCs w:val="14"/>
                <w:color w:val="auto"/>
              </w:rPr>
              <w:t>Totals</w:t>
            </w:r>
          </w:p>
        </w:tc>
        <w:tc>
          <w:tcPr>
            <w:tcW w:w="1020" w:type="dxa"/>
            <w:vAlign w:val="bottom"/>
          </w:tcPr>
          <w:p>
            <w:pPr>
              <w:jc w:val="right"/>
              <w:spacing w:after="0"/>
              <w:rPr>
                <w:sz w:val="20"/>
                <w:szCs w:val="20"/>
                <w:color w:val="auto"/>
              </w:rPr>
            </w:pPr>
            <w:r>
              <w:rPr>
                <w:rFonts w:ascii="Arial" w:cs="Arial" w:eastAsia="Arial" w:hAnsi="Arial"/>
                <w:sz w:val="14"/>
                <w:szCs w:val="14"/>
                <w:color w:val="auto"/>
              </w:rPr>
              <w:t>25,483,182</w:t>
            </w:r>
          </w:p>
        </w:tc>
        <w:tc>
          <w:tcPr>
            <w:tcW w:w="1340" w:type="dxa"/>
            <w:vAlign w:val="bottom"/>
            <w:gridSpan w:val="3"/>
          </w:tcPr>
          <w:p>
            <w:pPr>
              <w:jc w:val="right"/>
              <w:ind w:right="100"/>
              <w:spacing w:after="0"/>
              <w:rPr>
                <w:sz w:val="20"/>
                <w:szCs w:val="20"/>
                <w:color w:val="auto"/>
              </w:rPr>
            </w:pPr>
            <w:r>
              <w:rPr>
                <w:rFonts w:ascii="Arial" w:cs="Arial" w:eastAsia="Arial" w:hAnsi="Arial"/>
                <w:sz w:val="14"/>
                <w:szCs w:val="14"/>
                <w:color w:val="auto"/>
              </w:rPr>
              <w:t>(2,246,886 )</w:t>
            </w:r>
          </w:p>
        </w:tc>
        <w:tc>
          <w:tcPr>
            <w:tcW w:w="1020" w:type="dxa"/>
            <w:vAlign w:val="bottom"/>
          </w:tcPr>
          <w:p>
            <w:pPr>
              <w:jc w:val="right"/>
              <w:spacing w:after="0"/>
              <w:rPr>
                <w:sz w:val="20"/>
                <w:szCs w:val="20"/>
                <w:color w:val="auto"/>
              </w:rPr>
            </w:pPr>
            <w:r>
              <w:rPr>
                <w:rFonts w:ascii="Arial" w:cs="Arial" w:eastAsia="Arial" w:hAnsi="Arial"/>
                <w:sz w:val="14"/>
                <w:szCs w:val="14"/>
                <w:color w:val="auto"/>
              </w:rPr>
              <w:t>4,522,645</w:t>
            </w:r>
          </w:p>
        </w:tc>
        <w:tc>
          <w:tcPr>
            <w:tcW w:w="1180" w:type="dxa"/>
            <w:vAlign w:val="bottom"/>
            <w:gridSpan w:val="2"/>
          </w:tcPr>
          <w:p>
            <w:pPr>
              <w:jc w:val="right"/>
              <w:spacing w:after="0"/>
              <w:rPr>
                <w:sz w:val="20"/>
                <w:szCs w:val="20"/>
                <w:color w:val="auto"/>
              </w:rPr>
            </w:pPr>
            <w:r>
              <w:rPr>
                <w:rFonts w:ascii="Arial" w:cs="Arial" w:eastAsia="Arial" w:hAnsi="Arial"/>
                <w:sz w:val="14"/>
                <w:szCs w:val="14"/>
                <w:color w:val="auto"/>
              </w:rPr>
              <w:t>27,758,941</w:t>
            </w:r>
          </w:p>
        </w:tc>
        <w:tc>
          <w:tcPr>
            <w:tcW w:w="160" w:type="dxa"/>
            <w:vAlign w:val="bottom"/>
            <w:tcBorders>
              <w:right w:val="single" w:sz="8" w:color="auto"/>
            </w:tcBorders>
          </w:tcPr>
          <w:p>
            <w:pPr>
              <w:spacing w:after="0"/>
              <w:rPr>
                <w:sz w:val="14"/>
                <w:szCs w:val="14"/>
                <w:color w:val="auto"/>
              </w:rPr>
            </w:pPr>
          </w:p>
        </w:tc>
        <w:tc>
          <w:tcPr>
            <w:tcW w:w="2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121,156</w:t>
            </w:r>
          </w:p>
        </w:tc>
        <w:tc>
          <w:tcPr>
            <w:tcW w:w="24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80"/>
              <w:spacing w:after="0"/>
              <w:rPr>
                <w:sz w:val="20"/>
                <w:szCs w:val="20"/>
                <w:color w:val="auto"/>
              </w:rPr>
            </w:pPr>
            <w:r>
              <w:rPr>
                <w:rFonts w:ascii="Arial" w:cs="Arial" w:eastAsia="Arial" w:hAnsi="Arial"/>
                <w:sz w:val="14"/>
                <w:szCs w:val="14"/>
                <w:color w:val="auto"/>
              </w:rPr>
              <w:t>(12,852 )</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52,409</w:t>
            </w:r>
          </w:p>
        </w:tc>
        <w:tc>
          <w:tcPr>
            <w:tcW w:w="3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160,713</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4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2040" w:type="dxa"/>
            <w:vAlign w:val="bottom"/>
            <w:shd w:val="clear" w:color="auto" w:fill="CFF0FC"/>
          </w:tcPr>
          <w:p>
            <w:pPr>
              <w:jc w:val="center"/>
              <w:ind w:right="468"/>
              <w:spacing w:after="0" w:line="124" w:lineRule="exact"/>
              <w:rPr>
                <w:sz w:val="20"/>
                <w:szCs w:val="20"/>
                <w:color w:val="auto"/>
              </w:rPr>
            </w:pPr>
            <w:r>
              <w:rPr>
                <w:rFonts w:ascii="Arial" w:cs="Arial" w:eastAsia="Arial" w:hAnsi="Arial"/>
                <w:sz w:val="14"/>
                <w:szCs w:val="14"/>
                <w:color w:val="auto"/>
                <w:w w:val="94"/>
              </w:rPr>
              <w:t>Deemed dividend paid to</w:t>
            </w:r>
          </w:p>
        </w:tc>
        <w:tc>
          <w:tcPr>
            <w:tcW w:w="10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10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10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1020" w:type="dxa"/>
            <w:vAlign w:val="bottom"/>
            <w:shd w:val="clear" w:color="auto" w:fill="CFF0FC"/>
          </w:tcPr>
          <w:p>
            <w:pPr>
              <w:spacing w:after="0"/>
              <w:rPr>
                <w:sz w:val="10"/>
                <w:szCs w:val="10"/>
                <w:color w:val="auto"/>
              </w:rPr>
            </w:pPr>
          </w:p>
        </w:tc>
        <w:tc>
          <w:tcPr>
            <w:tcW w:w="160" w:type="dxa"/>
            <w:vAlign w:val="bottom"/>
            <w:tcBorders>
              <w:right w:val="single" w:sz="8" w:color="auto"/>
            </w:tcBorders>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8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6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2040" w:type="dxa"/>
            <w:vAlign w:val="bottom"/>
            <w:shd w:val="clear" w:color="auto" w:fill="CFF0FC"/>
          </w:tcPr>
          <w:p>
            <w:pPr>
              <w:jc w:val="center"/>
              <w:ind w:right="428"/>
              <w:spacing w:after="0"/>
              <w:rPr>
                <w:sz w:val="20"/>
                <w:szCs w:val="20"/>
                <w:color w:val="auto"/>
              </w:rPr>
            </w:pPr>
            <w:r>
              <w:rPr>
                <w:rFonts w:ascii="Arial" w:cs="Arial" w:eastAsia="Arial" w:hAnsi="Arial"/>
                <w:sz w:val="14"/>
                <w:szCs w:val="14"/>
                <w:color w:val="auto"/>
                <w:w w:val="93"/>
              </w:rPr>
              <w:t>preferred stockholders</w:t>
            </w:r>
          </w:p>
        </w:tc>
        <w:tc>
          <w:tcPr>
            <w:tcW w:w="10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160" w:type="dxa"/>
            <w:vAlign w:val="bottom"/>
            <w:tcBorders>
              <w:right w:val="single" w:sz="8" w:color="auto"/>
            </w:tcBorders>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2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(8,801 )</w:t>
            </w:r>
          </w:p>
        </w:tc>
        <w:tc>
          <w:tcPr>
            <w:tcW w:w="12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40" w:type="dxa"/>
            <w:vAlign w:val="bottom"/>
          </w:tcPr>
          <w:p>
            <w:pPr>
              <w:ind w:left="20"/>
              <w:spacing w:after="0"/>
              <w:rPr>
                <w:sz w:val="20"/>
                <w:szCs w:val="20"/>
                <w:color w:val="auto"/>
              </w:rPr>
            </w:pPr>
            <w:r>
              <w:rPr>
                <w:rFonts w:ascii="Arial" w:cs="Arial" w:eastAsia="Arial" w:hAnsi="Arial"/>
                <w:sz w:val="14"/>
                <w:szCs w:val="14"/>
                <w:color w:val="auto"/>
              </w:rPr>
              <w:t>Total</w:t>
            </w:r>
          </w:p>
        </w:tc>
        <w:tc>
          <w:tcPr>
            <w:tcW w:w="10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6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40" w:type="dxa"/>
            <w:vAlign w:val="bottom"/>
            <w:gridSpan w:val="2"/>
            <w:vMerge w:val="restart"/>
          </w:tcPr>
          <w:p>
            <w:pPr>
              <w:jc w:val="right"/>
              <w:ind w:right="20"/>
              <w:spacing w:after="0"/>
              <w:rPr>
                <w:sz w:val="20"/>
                <w:szCs w:val="20"/>
                <w:color w:val="auto"/>
              </w:rPr>
            </w:pPr>
            <w:r>
              <w:rPr>
                <w:rFonts w:ascii="Arial" w:cs="Arial" w:eastAsia="Arial" w:hAnsi="Arial"/>
                <w:sz w:val="14"/>
                <w:szCs w:val="14"/>
                <w:color w:val="auto"/>
              </w:rPr>
              <w:t>$</w:t>
            </w:r>
          </w:p>
        </w:tc>
        <w:tc>
          <w:tcPr>
            <w:tcW w:w="1020" w:type="dxa"/>
            <w:vAlign w:val="bottom"/>
            <w:gridSpan w:val="2"/>
            <w:vMerge w:val="restart"/>
          </w:tcPr>
          <w:p>
            <w:pPr>
              <w:jc w:val="right"/>
              <w:ind w:right="80"/>
              <w:spacing w:after="0"/>
              <w:rPr>
                <w:sz w:val="20"/>
                <w:szCs w:val="20"/>
                <w:color w:val="auto"/>
              </w:rPr>
            </w:pPr>
            <w:r>
              <w:rPr>
                <w:rFonts w:ascii="Arial" w:cs="Arial" w:eastAsia="Arial" w:hAnsi="Arial"/>
                <w:sz w:val="14"/>
                <w:szCs w:val="14"/>
                <w:color w:val="auto"/>
              </w:rPr>
              <w:t>(21,653 )</w:t>
            </w: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6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gridSpan w:val="2"/>
            <w:vMerge w:val="continue"/>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1942465</wp:posOffset>
            </wp:positionH>
            <wp:positionV relativeFrom="paragraph">
              <wp:posOffset>-579120</wp:posOffset>
            </wp:positionV>
            <wp:extent cx="43180" cy="571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2">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2687955</wp:posOffset>
            </wp:positionH>
            <wp:positionV relativeFrom="paragraph">
              <wp:posOffset>-579120</wp:posOffset>
            </wp:positionV>
            <wp:extent cx="51435" cy="571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3">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3442335</wp:posOffset>
            </wp:positionH>
            <wp:positionV relativeFrom="paragraph">
              <wp:posOffset>-579120</wp:posOffset>
            </wp:positionV>
            <wp:extent cx="43180" cy="571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4">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4188460</wp:posOffset>
            </wp:positionH>
            <wp:positionV relativeFrom="paragraph">
              <wp:posOffset>-579120</wp:posOffset>
            </wp:positionV>
            <wp:extent cx="43180" cy="571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5">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-579120</wp:posOffset>
            </wp:positionV>
            <wp:extent cx="34290" cy="571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6">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-579120</wp:posOffset>
            </wp:positionV>
            <wp:extent cx="43180" cy="571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7">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-579120</wp:posOffset>
            </wp:positionV>
            <wp:extent cx="34290" cy="571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8">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-579120</wp:posOffset>
            </wp:positionV>
            <wp:extent cx="34290" cy="571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9">
                      <a:extLst>
                        <a:ext uri="{28A0092B-C50C-407E-A947-70E740481C1C}"/>
                      </a:extLst>
                    </a:blip>
                    <a:srcRect/>
                    <a:stretch>
                      <a:fillRect/>
                    </a:stretch>
                  </pic:blipFill>
                  <pic:spPr bwMode="auto">
                    <a:xfrm>
                      <a:off x="0" y="0"/>
                      <a:ext cx="34290" cy="5715"/>
                    </a:xfrm>
                    <a:prstGeom prst="rect">
                      <a:avLst/>
                    </a:prstGeom>
                    <a:noFill/>
                  </pic:spPr>
                </pic:pic>
              </a:graphicData>
            </a:graphic>
          </wp:anchor>
        </w:drawing>
      </w:r>
    </w:p>
    <w:p>
      <w:pPr>
        <w:spacing w:after="0" w:line="317" w:lineRule="exact"/>
        <w:rPr>
          <w:sz w:val="20"/>
          <w:szCs w:val="20"/>
          <w:color w:val="auto"/>
        </w:rPr>
      </w:pPr>
    </w:p>
    <w:p>
      <w:pPr>
        <w:ind w:left="1300" w:hanging="648"/>
        <w:spacing w:after="0"/>
        <w:tabs>
          <w:tab w:leader="none" w:pos="1300" w:val="left"/>
        </w:tabs>
        <w:numPr>
          <w:ilvl w:val="0"/>
          <w:numId w:val="63"/>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Voting</w:t>
      </w:r>
    </w:p>
    <w:p>
      <w:pPr>
        <w:spacing w:after="0" w:line="104" w:lineRule="exact"/>
        <w:rPr>
          <w:sz w:val="20"/>
          <w:szCs w:val="20"/>
          <w:color w:val="auto"/>
        </w:rPr>
      </w:pPr>
    </w:p>
    <w:p>
      <w:pPr>
        <w:ind w:right="80" w:firstLine="644"/>
        <w:spacing w:after="0" w:line="261" w:lineRule="auto"/>
        <w:rPr>
          <w:sz w:val="20"/>
          <w:szCs w:val="20"/>
          <w:color w:val="auto"/>
        </w:rPr>
      </w:pPr>
      <w:r>
        <w:rPr>
          <w:rFonts w:ascii="Arial" w:cs="Arial" w:eastAsia="Arial" w:hAnsi="Arial"/>
          <w:sz w:val="18"/>
          <w:szCs w:val="18"/>
          <w:color w:val="auto"/>
        </w:rPr>
        <w:t>Each share of Convertible Preferred Stock had voting rights equal to an equivalent number of shares of common stock into which was convertible and votes together as one class with the common stock.</w:t>
      </w:r>
    </w:p>
    <w:p>
      <w:pPr>
        <w:spacing w:after="0" w:line="63" w:lineRule="exact"/>
        <w:rPr>
          <w:sz w:val="20"/>
          <w:szCs w:val="20"/>
          <w:color w:val="auto"/>
        </w:rPr>
      </w:pPr>
    </w:p>
    <w:p>
      <w:pPr>
        <w:ind w:left="1300" w:hanging="648"/>
        <w:spacing w:after="0"/>
        <w:tabs>
          <w:tab w:leader="none" w:pos="1300" w:val="left"/>
        </w:tabs>
        <w:numPr>
          <w:ilvl w:val="0"/>
          <w:numId w:val="64"/>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Dividends</w:t>
      </w:r>
    </w:p>
    <w:p>
      <w:pPr>
        <w:spacing w:after="0" w:line="104" w:lineRule="exact"/>
        <w:rPr>
          <w:sz w:val="20"/>
          <w:szCs w:val="20"/>
          <w:color w:val="auto"/>
        </w:rPr>
      </w:pPr>
    </w:p>
    <w:p>
      <w:pPr>
        <w:ind w:right="20" w:firstLine="644"/>
        <w:spacing w:after="0" w:line="257" w:lineRule="auto"/>
        <w:rPr>
          <w:sz w:val="20"/>
          <w:szCs w:val="20"/>
          <w:color w:val="auto"/>
        </w:rPr>
      </w:pPr>
      <w:r>
        <w:rPr>
          <w:rFonts w:ascii="Arial" w:cs="Arial" w:eastAsia="Arial" w:hAnsi="Arial"/>
          <w:sz w:val="17"/>
          <w:szCs w:val="17"/>
          <w:color w:val="auto"/>
        </w:rPr>
        <w:t>The holders of the Convertible Preferred Stock and the holders of the shares of common stock were entitled to receive dividends, when, as and if declared by the Board of Directors of the Company, out of any assets legally available therefore, on an as-converted basis. Prior to the payment of any dividend to the holders of common stock (other than dividends of common stock), the Company was required to pay a dividend on each outstanding share of Convertible Preferred Stock equal to 8% of the applicable original issue price of such share of Convertible Preferred Stock, having accrued from the date the first share of Series E Convertible Preferred Stock was issued. Dividends are not mandatory or cumulative and no rights or interest shall accrue to the holders of Convertible Preferred Stock and common stock, unless declared.</w:t>
      </w:r>
    </w:p>
    <w:p>
      <w:pPr>
        <w:spacing w:after="0" w:line="67" w:lineRule="exact"/>
        <w:rPr>
          <w:sz w:val="20"/>
          <w:szCs w:val="20"/>
          <w:color w:val="auto"/>
        </w:rPr>
      </w:pPr>
    </w:p>
    <w:p>
      <w:pPr>
        <w:ind w:left="1300" w:hanging="648"/>
        <w:spacing w:after="0"/>
        <w:tabs>
          <w:tab w:leader="none" w:pos="1300" w:val="left"/>
        </w:tabs>
        <w:numPr>
          <w:ilvl w:val="0"/>
          <w:numId w:val="65"/>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Conversion</w:t>
      </w:r>
    </w:p>
    <w:p>
      <w:pPr>
        <w:spacing w:after="0" w:line="104" w:lineRule="exact"/>
        <w:rPr>
          <w:sz w:val="20"/>
          <w:szCs w:val="20"/>
          <w:color w:val="auto"/>
        </w:rPr>
      </w:pPr>
    </w:p>
    <w:p>
      <w:pPr>
        <w:ind w:right="40" w:firstLine="644"/>
        <w:spacing w:after="0" w:line="276" w:lineRule="auto"/>
        <w:rPr>
          <w:sz w:val="20"/>
          <w:szCs w:val="20"/>
          <w:color w:val="auto"/>
        </w:rPr>
      </w:pPr>
      <w:r>
        <w:rPr>
          <w:rFonts w:ascii="Arial" w:cs="Arial" w:eastAsia="Arial" w:hAnsi="Arial"/>
          <w:sz w:val="16"/>
          <w:szCs w:val="16"/>
          <w:color w:val="auto"/>
        </w:rPr>
        <w:t>Each share of Convertible Preferred Stock was convertible, at the option of the holder, into one share of common stock, as determined by dividing its issuance price per share by the applicable conversion price, subject to adjustments. Each share of Convertible Preferred Stock would automatically convert into common stock upon either (i) closing of a public offering with gross proceeds of at least $50 million and the purchase price of such shares is at least $20.43 per share or (ii) written consent of the holders of a majority of the outstanding shares of Convertible Preferred Stock electing such a conversion, provided, however, that the conversion of the Series D Convertible Preferred Stock and Series E Convertible Preferred Stock required the vote or written consent of a majority of the outstanding shares of Series D Convertible Preferred Stock and Series E Convertible Preferred Stock, respectively.</w:t>
      </w:r>
    </w:p>
    <w:p>
      <w:pPr>
        <w:spacing w:after="0" w:line="53" w:lineRule="exact"/>
        <w:rPr>
          <w:sz w:val="20"/>
          <w:szCs w:val="20"/>
          <w:color w:val="auto"/>
        </w:rPr>
      </w:pPr>
    </w:p>
    <w:p>
      <w:pPr>
        <w:ind w:left="1300" w:hanging="648"/>
        <w:spacing w:after="0"/>
        <w:tabs>
          <w:tab w:leader="none" w:pos="1300" w:val="left"/>
        </w:tabs>
        <w:numPr>
          <w:ilvl w:val="0"/>
          <w:numId w:val="66"/>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Liquidation and Share Preference</w:t>
      </w:r>
    </w:p>
    <w:p>
      <w:pPr>
        <w:spacing w:after="0" w:line="104" w:lineRule="exact"/>
        <w:rPr>
          <w:sz w:val="20"/>
          <w:szCs w:val="20"/>
          <w:color w:val="auto"/>
        </w:rPr>
      </w:pPr>
    </w:p>
    <w:p>
      <w:pPr>
        <w:ind w:right="40" w:firstLine="644"/>
        <w:spacing w:after="0" w:line="239" w:lineRule="auto"/>
        <w:rPr>
          <w:sz w:val="20"/>
          <w:szCs w:val="20"/>
          <w:color w:val="auto"/>
        </w:rPr>
      </w:pPr>
      <w:r>
        <w:rPr>
          <w:rFonts w:ascii="Arial" w:cs="Arial" w:eastAsia="Arial" w:hAnsi="Arial"/>
          <w:sz w:val="18"/>
          <w:szCs w:val="18"/>
          <w:color w:val="auto"/>
        </w:rPr>
        <w:t>In the event of any liquidation, dissolution or winding up of the Company, either voluntary or involuntary, the holders of the Convertible Preferred Stock, on a pari passu basis, were entitled to liquidation preference equal to the original purchase price plus declared and unpaid dividends. After payment of the amounts above, if assets or funds remain in the Company, all remaining assets and funds were to be distributed pro rata among holders of common stock.</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76" w:name="page77"/>
    <w:bookmarkEnd w:id="76"/>
    <w:p>
      <w:pPr>
        <w:ind w:left="1300" w:hanging="648"/>
        <w:spacing w:after="0"/>
        <w:tabs>
          <w:tab w:leader="none" w:pos="1300" w:val="left"/>
        </w:tabs>
        <w:numPr>
          <w:ilvl w:val="0"/>
          <w:numId w:val="67"/>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Redemption</w:t>
      </w:r>
    </w:p>
    <w:p>
      <w:pPr>
        <w:spacing w:after="0" w:line="104" w:lineRule="exact"/>
        <w:rPr>
          <w:sz w:val="20"/>
          <w:szCs w:val="20"/>
          <w:color w:val="auto"/>
        </w:rPr>
      </w:pPr>
    </w:p>
    <w:p>
      <w:pPr>
        <w:ind w:right="40" w:firstLine="644"/>
        <w:spacing w:after="0" w:line="255" w:lineRule="auto"/>
        <w:rPr>
          <w:sz w:val="20"/>
          <w:szCs w:val="20"/>
          <w:color w:val="auto"/>
        </w:rPr>
      </w:pPr>
      <w:r>
        <w:rPr>
          <w:rFonts w:ascii="Arial" w:cs="Arial" w:eastAsia="Arial" w:hAnsi="Arial"/>
          <w:sz w:val="17"/>
          <w:szCs w:val="17"/>
          <w:color w:val="auto"/>
        </w:rPr>
        <w:t>The holders of Convertible Preferred Stock had no voluntary rights to redeem their shares. The Convertible Preferred Stock had deemed liquidation provisions which require the shares to be redeemed upon a change in control or other deemed liquidation events. Although the Convertible Preferred Stock was not mandatorily or currently redeemable, a deemed liquidation event would constitute a redemption event outside the Company’s control. As a result of these liquidation features, all shares of Convertible Preferred Stock were classified outside of stockholders’ deficit as temporary equity on the Consolidated Balance Sheets. The carrying values of the Company’s Convertible Preferred Stock have not been accreted to their redemption values as these events are not considered probable of occurring. Subsequent adjustments of the carrying values to redemption values would be made only if and when it became probable the preferred shares would become redeemable.</w:t>
      </w:r>
    </w:p>
    <w:p>
      <w:pPr>
        <w:spacing w:after="0" w:line="135" w:lineRule="exact"/>
        <w:rPr>
          <w:sz w:val="20"/>
          <w:szCs w:val="20"/>
          <w:color w:val="auto"/>
        </w:rPr>
      </w:pPr>
    </w:p>
    <w:p>
      <w:pPr>
        <w:ind w:left="660" w:hanging="652"/>
        <w:spacing w:after="0"/>
        <w:tabs>
          <w:tab w:leader="none" w:pos="660" w:val="left"/>
        </w:tabs>
        <w:numPr>
          <w:ilvl w:val="0"/>
          <w:numId w:val="68"/>
        </w:numPr>
        <w:rPr>
          <w:rFonts w:ascii="Arial" w:cs="Arial" w:eastAsia="Arial" w:hAnsi="Arial"/>
          <w:sz w:val="18"/>
          <w:szCs w:val="18"/>
          <w:b w:val="1"/>
          <w:bCs w:val="1"/>
          <w:color w:val="auto"/>
        </w:rPr>
      </w:pPr>
      <w:r>
        <w:rPr>
          <w:rFonts w:ascii="Arial" w:cs="Arial" w:eastAsia="Arial" w:hAnsi="Arial"/>
          <w:sz w:val="18"/>
          <w:szCs w:val="18"/>
          <w:b w:val="1"/>
          <w:bCs w:val="1"/>
          <w:color w:val="auto"/>
        </w:rPr>
        <w:t>Stock Based Compensation</w:t>
      </w:r>
    </w:p>
    <w:p>
      <w:pPr>
        <w:spacing w:after="0" w:line="108" w:lineRule="exact"/>
        <w:rPr>
          <w:sz w:val="20"/>
          <w:szCs w:val="20"/>
          <w:color w:val="auto"/>
        </w:rPr>
      </w:pPr>
    </w:p>
    <w:p>
      <w:pPr>
        <w:ind w:right="20" w:firstLine="644"/>
        <w:spacing w:after="0" w:line="243" w:lineRule="auto"/>
        <w:rPr>
          <w:sz w:val="20"/>
          <w:szCs w:val="20"/>
          <w:color w:val="auto"/>
        </w:rPr>
      </w:pPr>
      <w:r>
        <w:rPr>
          <w:rFonts w:ascii="Arial" w:cs="Arial" w:eastAsia="Arial" w:hAnsi="Arial"/>
          <w:sz w:val="18"/>
          <w:szCs w:val="18"/>
          <w:color w:val="auto"/>
        </w:rPr>
        <w:t>In 2014, the Company adopted a stock compensation plan (the "2014 Equity Incentive Plan") pursuant to which the Company may grant stock options, stock purchase rights, restricted stock awards, or stock awards to employees, directors and consultants (including prospective employees, directors, and consultants). This plan was terminated in February 2016. No additional awards may be granted under the 2014 Equity Incentive Plan, however, outstanding awards continue in full effect in accordance with their existing terms.</w:t>
      </w:r>
    </w:p>
    <w:p>
      <w:pPr>
        <w:spacing w:after="0" w:line="161" w:lineRule="exact"/>
        <w:rPr>
          <w:sz w:val="20"/>
          <w:szCs w:val="20"/>
          <w:color w:val="auto"/>
        </w:rPr>
      </w:pPr>
    </w:p>
    <w:p>
      <w:pPr>
        <w:ind w:right="20" w:firstLine="644"/>
        <w:spacing w:after="0" w:line="243" w:lineRule="auto"/>
        <w:rPr>
          <w:sz w:val="20"/>
          <w:szCs w:val="20"/>
          <w:color w:val="auto"/>
        </w:rPr>
      </w:pPr>
      <w:r>
        <w:rPr>
          <w:rFonts w:ascii="Arial" w:cs="Arial" w:eastAsia="Arial" w:hAnsi="Arial"/>
          <w:sz w:val="18"/>
          <w:szCs w:val="18"/>
          <w:color w:val="auto"/>
        </w:rPr>
        <w:t>In 2016, the Company adopted a stock compensation plan (the “2016 Equity Incentive Plan”) pursuant to which the Company may grant stock options, stock purchase rights, restricted stock awards, or stock awards to employees, directors and consultants (including prospective employees, directors, and consultants). No additional awards may be granted under the 2016 Equity Incentive Plan, however, outstanding awards continue in full effect in accordance with their existing terms.</w:t>
      </w:r>
    </w:p>
    <w:p>
      <w:pPr>
        <w:spacing w:after="0" w:line="147" w:lineRule="exact"/>
        <w:rPr>
          <w:sz w:val="20"/>
          <w:szCs w:val="20"/>
          <w:color w:val="auto"/>
        </w:rPr>
      </w:pPr>
    </w:p>
    <w:p>
      <w:pPr>
        <w:ind w:right="20" w:firstLine="644"/>
        <w:spacing w:after="0" w:line="257" w:lineRule="auto"/>
        <w:rPr>
          <w:sz w:val="20"/>
          <w:szCs w:val="20"/>
          <w:color w:val="auto"/>
        </w:rPr>
      </w:pPr>
      <w:r>
        <w:rPr>
          <w:rFonts w:ascii="Arial" w:cs="Arial" w:eastAsia="Arial" w:hAnsi="Arial"/>
          <w:sz w:val="17"/>
          <w:szCs w:val="17"/>
          <w:color w:val="auto"/>
        </w:rPr>
        <w:t>In connection with the IPO on July 2, 2021, the Company's board of directors adopted the 2021 Equity Incentive Plan (the "2021 Equity Incentive Plan"). The 2021 Equity Incentive Plan provides for the grant of incentive stock options ("ISOs"), non-statutory stock options ("NSOs"), stock appreciation rights, restricted stock awards, restricted stock unit awards, performance-based awards and other awards, or collectively, awards. ISOs may be granted only to Xometry employees, including Xometry officers, and the employees of Xometry affiliates. All other awards may be granted to Xometry employees, including our officers, Xometry non-employee directors and consultants and the employees and consultants of Xometry affiliates. The maximum number of shares of common stock that may be issued under the Company's 2021 Plan is 4,026,588 shares.</w:t>
      </w:r>
    </w:p>
    <w:p>
      <w:pPr>
        <w:spacing w:after="0" w:line="135" w:lineRule="exact"/>
        <w:rPr>
          <w:sz w:val="20"/>
          <w:szCs w:val="20"/>
          <w:color w:val="auto"/>
        </w:rPr>
      </w:pPr>
    </w:p>
    <w:p>
      <w:pPr>
        <w:ind w:right="1300" w:firstLine="644"/>
        <w:spacing w:after="0" w:line="406" w:lineRule="auto"/>
        <w:rPr>
          <w:sz w:val="20"/>
          <w:szCs w:val="20"/>
          <w:color w:val="auto"/>
        </w:rPr>
      </w:pPr>
      <w:r>
        <w:rPr>
          <w:rFonts w:ascii="Arial" w:cs="Arial" w:eastAsia="Arial" w:hAnsi="Arial"/>
          <w:sz w:val="18"/>
          <w:szCs w:val="18"/>
          <w:color w:val="auto"/>
        </w:rPr>
        <w:t xml:space="preserve">As of December 31, 2021, there were 3,838,154 shares available for the Company to grant under the 2021 Equity Incentive Plan. </w:t>
      </w:r>
      <w:r>
        <w:rPr>
          <w:rFonts w:ascii="Arial" w:cs="Arial" w:eastAsia="Arial" w:hAnsi="Arial"/>
          <w:sz w:val="18"/>
          <w:szCs w:val="18"/>
          <w:b w:val="1"/>
          <w:bCs w:val="1"/>
          <w:color w:val="auto"/>
        </w:rPr>
        <w:t>Stock Options</w:t>
      </w:r>
    </w:p>
    <w:p>
      <w:pPr>
        <w:spacing w:after="0" w:line="2" w:lineRule="exact"/>
        <w:rPr>
          <w:sz w:val="20"/>
          <w:szCs w:val="20"/>
          <w:color w:val="auto"/>
        </w:rPr>
      </w:pPr>
    </w:p>
    <w:p>
      <w:pPr>
        <w:ind w:right="80" w:firstLine="644"/>
        <w:spacing w:after="0" w:line="241" w:lineRule="auto"/>
        <w:rPr>
          <w:sz w:val="20"/>
          <w:szCs w:val="20"/>
          <w:color w:val="auto"/>
        </w:rPr>
      </w:pPr>
      <w:r>
        <w:rPr>
          <w:rFonts w:ascii="Arial" w:cs="Arial" w:eastAsia="Arial" w:hAnsi="Arial"/>
          <w:sz w:val="18"/>
          <w:szCs w:val="18"/>
          <w:color w:val="auto"/>
        </w:rPr>
        <w:t>Prior to the Company's IPO on July 2, 2021, the fair value of the Company’s common stock was estimated by management as there was no public market for the Company’s common stock. Xometry’s market-based methodology considered a number of objective and subjective factors including third-party valuations of its common stock, the valuation of comparable companies, sales of the Company’s convertible preferred stock to outside investors in arms-length transactions, the Company’s operating and financial performance, the lack of marketability, and general and industry specific economic outlook, amongst others.</w:t>
      </w:r>
    </w:p>
    <w:p>
      <w:pPr>
        <w:spacing w:after="0" w:line="14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weighted average assumptions for the year ended December 31, 2021 and December 31, 2020 are provided in the following table.</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374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8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r>
      <w:tr>
        <w:trPr>
          <w:trHeight w:val="169"/>
        </w:trPr>
        <w:tc>
          <w:tcPr>
            <w:tcW w:w="374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2021</w:t>
            </w:r>
          </w:p>
        </w:tc>
        <w:tc>
          <w:tcPr>
            <w:tcW w:w="42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w w:val="83"/>
              </w:rPr>
              <w:t>2020</w:t>
            </w:r>
          </w:p>
        </w:tc>
        <w:tc>
          <w:tcPr>
            <w:tcW w:w="220" w:type="dxa"/>
            <w:vAlign w:val="bottom"/>
          </w:tcPr>
          <w:p>
            <w:pPr>
              <w:spacing w:after="0"/>
              <w:rPr>
                <w:sz w:val="14"/>
                <w:szCs w:val="14"/>
                <w:color w:val="auto"/>
              </w:rPr>
            </w:pPr>
          </w:p>
        </w:tc>
      </w:tr>
      <w:tr>
        <w:trPr>
          <w:trHeight w:val="196"/>
        </w:trPr>
        <w:tc>
          <w:tcPr>
            <w:tcW w:w="374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Valuation assumptions:</w:t>
            </w:r>
          </w:p>
        </w:tc>
        <w:tc>
          <w:tcPr>
            <w:tcW w:w="390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r>
      <w:tr>
        <w:trPr>
          <w:trHeight w:val="203"/>
        </w:trPr>
        <w:tc>
          <w:tcPr>
            <w:tcW w:w="3740" w:type="dxa"/>
            <w:vAlign w:val="bottom"/>
          </w:tcPr>
          <w:p>
            <w:pPr>
              <w:ind w:left="200"/>
              <w:spacing w:after="0" w:line="202" w:lineRule="exact"/>
              <w:rPr>
                <w:sz w:val="20"/>
                <w:szCs w:val="20"/>
                <w:color w:val="auto"/>
              </w:rPr>
            </w:pPr>
            <w:r>
              <w:rPr>
                <w:rFonts w:ascii="Arial" w:cs="Arial" w:eastAsia="Arial" w:hAnsi="Arial"/>
                <w:sz w:val="18"/>
                <w:szCs w:val="18"/>
                <w:color w:val="auto"/>
              </w:rPr>
              <w:t>Expected dividend yield</w:t>
            </w:r>
          </w:p>
        </w:tc>
        <w:tc>
          <w:tcPr>
            <w:tcW w:w="3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560" w:type="dxa"/>
            <w:vAlign w:val="bottom"/>
            <w:gridSpan w:val="2"/>
          </w:tcPr>
          <w:p>
            <w:pPr>
              <w:jc w:val="right"/>
              <w:ind w:right="420"/>
              <w:spacing w:after="0" w:line="202" w:lineRule="exact"/>
              <w:rPr>
                <w:sz w:val="20"/>
                <w:szCs w:val="20"/>
                <w:color w:val="auto"/>
              </w:rPr>
            </w:pPr>
            <w:r>
              <w:rPr>
                <w:rFonts w:ascii="Arial" w:cs="Arial" w:eastAsia="Arial" w:hAnsi="Arial"/>
                <w:sz w:val="18"/>
                <w:szCs w:val="18"/>
                <w:color w:val="auto"/>
              </w:rPr>
              <w:t>—%</w:t>
            </w:r>
          </w:p>
        </w:tc>
        <w:tc>
          <w:tcPr>
            <w:tcW w:w="580" w:type="dxa"/>
            <w:vAlign w:val="bottom"/>
          </w:tcPr>
          <w:p>
            <w:pPr>
              <w:spacing w:after="0"/>
              <w:rPr>
                <w:sz w:val="17"/>
                <w:szCs w:val="17"/>
                <w:color w:val="auto"/>
              </w:rPr>
            </w:pPr>
          </w:p>
        </w:tc>
        <w:tc>
          <w:tcPr>
            <w:tcW w:w="110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r>
      <w:tr>
        <w:trPr>
          <w:trHeight w:val="203"/>
        </w:trPr>
        <w:tc>
          <w:tcPr>
            <w:tcW w:w="374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Expected volatility</w:t>
            </w:r>
          </w:p>
        </w:tc>
        <w:tc>
          <w:tcPr>
            <w:tcW w:w="390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560" w:type="dxa"/>
            <w:vAlign w:val="bottom"/>
            <w:gridSpan w:val="2"/>
            <w:shd w:val="clear" w:color="auto" w:fill="CFF0FC"/>
          </w:tcPr>
          <w:p>
            <w:pPr>
              <w:jc w:val="right"/>
              <w:ind w:right="240"/>
              <w:spacing w:after="0" w:line="202" w:lineRule="exact"/>
              <w:rPr>
                <w:sz w:val="20"/>
                <w:szCs w:val="20"/>
                <w:color w:val="auto"/>
              </w:rPr>
            </w:pPr>
            <w:r>
              <w:rPr>
                <w:rFonts w:ascii="Arial" w:cs="Arial" w:eastAsia="Arial" w:hAnsi="Arial"/>
                <w:sz w:val="18"/>
                <w:szCs w:val="18"/>
                <w:color w:val="auto"/>
              </w:rPr>
              <w:t>53 %</w:t>
            </w:r>
          </w:p>
        </w:tc>
        <w:tc>
          <w:tcPr>
            <w:tcW w:w="58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ind w:right="60"/>
              <w:spacing w:after="0" w:line="202" w:lineRule="exact"/>
              <w:rPr>
                <w:sz w:val="20"/>
                <w:szCs w:val="20"/>
                <w:color w:val="auto"/>
              </w:rPr>
            </w:pPr>
            <w:r>
              <w:rPr>
                <w:rFonts w:ascii="Arial" w:cs="Arial" w:eastAsia="Arial" w:hAnsi="Arial"/>
                <w:sz w:val="18"/>
                <w:szCs w:val="18"/>
                <w:color w:val="auto"/>
              </w:rPr>
              <w:t>48 %</w:t>
            </w:r>
          </w:p>
        </w:tc>
      </w:tr>
      <w:tr>
        <w:trPr>
          <w:trHeight w:val="203"/>
        </w:trPr>
        <w:tc>
          <w:tcPr>
            <w:tcW w:w="3740" w:type="dxa"/>
            <w:vAlign w:val="bottom"/>
          </w:tcPr>
          <w:p>
            <w:pPr>
              <w:ind w:left="200"/>
              <w:spacing w:after="0" w:line="202" w:lineRule="exact"/>
              <w:rPr>
                <w:sz w:val="20"/>
                <w:szCs w:val="20"/>
                <w:color w:val="auto"/>
              </w:rPr>
            </w:pPr>
            <w:r>
              <w:rPr>
                <w:rFonts w:ascii="Arial" w:cs="Arial" w:eastAsia="Arial" w:hAnsi="Arial"/>
                <w:sz w:val="18"/>
                <w:szCs w:val="18"/>
                <w:color w:val="auto"/>
              </w:rPr>
              <w:t>Expected term (years)</w:t>
            </w:r>
          </w:p>
        </w:tc>
        <w:tc>
          <w:tcPr>
            <w:tcW w:w="3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6.1</w:t>
            </w:r>
          </w:p>
        </w:tc>
        <w:tc>
          <w:tcPr>
            <w:tcW w:w="4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6.0</w:t>
            </w:r>
          </w:p>
        </w:tc>
        <w:tc>
          <w:tcPr>
            <w:tcW w:w="220" w:type="dxa"/>
            <w:vAlign w:val="bottom"/>
          </w:tcPr>
          <w:p>
            <w:pPr>
              <w:spacing w:after="0"/>
              <w:rPr>
                <w:sz w:val="17"/>
                <w:szCs w:val="17"/>
                <w:color w:val="auto"/>
              </w:rPr>
            </w:pPr>
          </w:p>
        </w:tc>
      </w:tr>
      <w:tr>
        <w:trPr>
          <w:trHeight w:val="203"/>
        </w:trPr>
        <w:tc>
          <w:tcPr>
            <w:tcW w:w="374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Risk-free interest rate</w:t>
            </w:r>
          </w:p>
        </w:tc>
        <w:tc>
          <w:tcPr>
            <w:tcW w:w="390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560" w:type="dxa"/>
            <w:vAlign w:val="bottom"/>
            <w:gridSpan w:val="2"/>
            <w:shd w:val="clear" w:color="auto" w:fill="CFF0FC"/>
          </w:tcPr>
          <w:p>
            <w:pPr>
              <w:jc w:val="right"/>
              <w:ind w:right="240"/>
              <w:spacing w:after="0" w:line="202" w:lineRule="exact"/>
              <w:rPr>
                <w:sz w:val="20"/>
                <w:szCs w:val="20"/>
                <w:color w:val="auto"/>
              </w:rPr>
            </w:pPr>
            <w:r>
              <w:rPr>
                <w:rFonts w:ascii="Arial" w:cs="Arial" w:eastAsia="Arial" w:hAnsi="Arial"/>
                <w:sz w:val="18"/>
                <w:szCs w:val="18"/>
                <w:color w:val="auto"/>
              </w:rPr>
              <w:t>1.1 %</w:t>
            </w:r>
          </w:p>
        </w:tc>
        <w:tc>
          <w:tcPr>
            <w:tcW w:w="58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ind w:right="60"/>
              <w:spacing w:after="0" w:line="202" w:lineRule="exact"/>
              <w:rPr>
                <w:sz w:val="20"/>
                <w:szCs w:val="20"/>
                <w:color w:val="auto"/>
              </w:rPr>
            </w:pPr>
            <w:r>
              <w:rPr>
                <w:rFonts w:ascii="Arial" w:cs="Arial" w:eastAsia="Arial" w:hAnsi="Arial"/>
                <w:sz w:val="18"/>
                <w:szCs w:val="18"/>
                <w:color w:val="auto"/>
              </w:rPr>
              <w:t>0.5 %</w:t>
            </w:r>
          </w:p>
        </w:tc>
      </w:tr>
      <w:tr>
        <w:trPr>
          <w:trHeight w:val="230"/>
        </w:trPr>
        <w:tc>
          <w:tcPr>
            <w:tcW w:w="3740" w:type="dxa"/>
            <w:vAlign w:val="bottom"/>
          </w:tcPr>
          <w:p>
            <w:pPr>
              <w:ind w:left="200"/>
              <w:spacing w:after="0"/>
              <w:rPr>
                <w:sz w:val="20"/>
                <w:szCs w:val="20"/>
                <w:color w:val="auto"/>
              </w:rPr>
            </w:pPr>
            <w:r>
              <w:rPr>
                <w:rFonts w:ascii="Arial" w:cs="Arial" w:eastAsia="Arial" w:hAnsi="Arial"/>
                <w:sz w:val="18"/>
                <w:szCs w:val="18"/>
                <w:color w:val="auto"/>
              </w:rPr>
              <w:t>Fair value of share</w:t>
            </w:r>
          </w:p>
        </w:tc>
        <w:tc>
          <w:tcPr>
            <w:tcW w:w="42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26.96</w:t>
            </w:r>
          </w:p>
        </w:tc>
        <w:tc>
          <w:tcPr>
            <w:tcW w:w="420" w:type="dxa"/>
            <w:vAlign w:val="bottom"/>
          </w:tcPr>
          <w:p>
            <w:pPr>
              <w:spacing w:after="0"/>
              <w:rPr>
                <w:sz w:val="20"/>
                <w:szCs w:val="20"/>
                <w:color w:val="auto"/>
              </w:rPr>
            </w:pPr>
          </w:p>
        </w:tc>
        <w:tc>
          <w:tcPr>
            <w:tcW w:w="580" w:type="dxa"/>
            <w:vAlign w:val="bottom"/>
          </w:tcPr>
          <w:p>
            <w:pPr>
              <w:jc w:val="right"/>
              <w:ind w:right="39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4.46</w:t>
            </w:r>
          </w:p>
        </w:tc>
        <w:tc>
          <w:tcPr>
            <w:tcW w:w="220" w:type="dxa"/>
            <w:vAlign w:val="bottom"/>
          </w:tcPr>
          <w:p>
            <w:pPr>
              <w:spacing w:after="0"/>
              <w:rPr>
                <w:sz w:val="20"/>
                <w:szCs w:val="20"/>
                <w:color w:val="auto"/>
              </w:rPr>
            </w:pPr>
          </w:p>
        </w:tc>
      </w:tr>
      <w:tr>
        <w:trPr>
          <w:trHeight w:val="391"/>
        </w:trPr>
        <w:tc>
          <w:tcPr>
            <w:tcW w:w="3740" w:type="dxa"/>
            <w:vAlign w:val="bottom"/>
          </w:tcPr>
          <w:p>
            <w:pPr>
              <w:spacing w:after="0"/>
              <w:rPr>
                <w:sz w:val="24"/>
                <w:szCs w:val="24"/>
                <w:color w:val="auto"/>
              </w:rPr>
            </w:pPr>
          </w:p>
        </w:tc>
        <w:tc>
          <w:tcPr>
            <w:tcW w:w="3900" w:type="dxa"/>
            <w:vAlign w:val="bottom"/>
          </w:tcPr>
          <w:p>
            <w:pPr>
              <w:jc w:val="right"/>
              <w:ind w:right="1830"/>
              <w:spacing w:after="0"/>
              <w:rPr>
                <w:sz w:val="20"/>
                <w:szCs w:val="20"/>
                <w:color w:val="auto"/>
              </w:rPr>
            </w:pPr>
            <w:r>
              <w:rPr>
                <w:rFonts w:ascii="Arial" w:cs="Arial" w:eastAsia="Arial" w:hAnsi="Arial"/>
                <w:sz w:val="18"/>
                <w:szCs w:val="18"/>
                <w:color w:val="auto"/>
              </w:rPr>
              <w:t>74</w:t>
            </w: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88"/>
        </w:trPr>
        <w:tc>
          <w:tcPr>
            <w:tcW w:w="3740" w:type="dxa"/>
            <w:vAlign w:val="bottom"/>
            <w:tcBorders>
              <w:bottom w:val="single" w:sz="8" w:color="9A9A9A"/>
            </w:tcBorders>
          </w:tcPr>
          <w:p>
            <w:pPr>
              <w:spacing w:after="0"/>
              <w:rPr>
                <w:sz w:val="7"/>
                <w:szCs w:val="7"/>
                <w:color w:val="auto"/>
              </w:rPr>
            </w:pPr>
          </w:p>
        </w:tc>
        <w:tc>
          <w:tcPr>
            <w:tcW w:w="3900" w:type="dxa"/>
            <w:vAlign w:val="bottom"/>
            <w:tcBorders>
              <w:bottom w:val="single" w:sz="8" w:color="9A9A9A"/>
            </w:tcBorders>
          </w:tcPr>
          <w:p>
            <w:pPr>
              <w:spacing w:after="0"/>
              <w:rPr>
                <w:sz w:val="7"/>
                <w:szCs w:val="7"/>
                <w:color w:val="auto"/>
              </w:rPr>
            </w:pPr>
          </w:p>
        </w:tc>
        <w:tc>
          <w:tcPr>
            <w:tcW w:w="36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420" w:type="dxa"/>
            <w:vAlign w:val="bottom"/>
            <w:tcBorders>
              <w:bottom w:val="single" w:sz="8" w:color="9A9A9A"/>
            </w:tcBorders>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88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77" w:name="page78"/>
    <w:bookmarkEnd w:id="77"/>
    <w:p>
      <w:pPr>
        <w:ind w:right="280" w:firstLine="644"/>
        <w:spacing w:after="0" w:line="261" w:lineRule="auto"/>
        <w:rPr>
          <w:sz w:val="20"/>
          <w:szCs w:val="20"/>
          <w:color w:val="auto"/>
        </w:rPr>
      </w:pPr>
      <w:r>
        <w:rPr>
          <w:rFonts w:ascii="Arial" w:cs="Arial" w:eastAsia="Arial" w:hAnsi="Arial"/>
          <w:sz w:val="18"/>
          <w:szCs w:val="18"/>
          <w:color w:val="auto"/>
        </w:rPr>
        <w:t>A summary of the status of the Company’s stock option activity and the changes during the years then ended are as follows (in millions, except share and per share amounts):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jc w:val="center"/>
              <w:ind w:right="33"/>
              <w:spacing w:after="0"/>
              <w:rPr>
                <w:sz w:val="20"/>
                <w:szCs w:val="20"/>
                <w:color w:val="auto"/>
              </w:rPr>
            </w:pPr>
            <w:r>
              <w:rPr>
                <w:rFonts w:ascii="Arial" w:cs="Arial" w:eastAsia="Arial" w:hAnsi="Arial"/>
                <w:sz w:val="14"/>
                <w:szCs w:val="14"/>
                <w:b w:val="1"/>
                <w:bCs w:val="1"/>
                <w:color w:val="auto"/>
                <w:w w:val="91"/>
              </w:rPr>
              <w:t>Weighted</w:t>
            </w:r>
          </w:p>
        </w:tc>
        <w:tc>
          <w:tcPr>
            <w:tcW w:w="200" w:type="dxa"/>
            <w:vAlign w:val="bottom"/>
          </w:tcPr>
          <w:p>
            <w:pPr>
              <w:spacing w:after="0"/>
              <w:rPr>
                <w:sz w:val="14"/>
                <w:szCs w:val="14"/>
                <w:color w:val="auto"/>
              </w:rPr>
            </w:pP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w w:val="90"/>
              </w:rPr>
              <w:t>Average</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vMerge w:val="restart"/>
          </w:tcPr>
          <w:p>
            <w:pPr>
              <w:jc w:val="center"/>
              <w:ind w:right="119"/>
              <w:spacing w:after="0"/>
              <w:rPr>
                <w:sz w:val="20"/>
                <w:szCs w:val="20"/>
                <w:color w:val="auto"/>
              </w:rPr>
            </w:pPr>
            <w:r>
              <w:rPr>
                <w:rFonts w:ascii="Arial" w:cs="Arial" w:eastAsia="Arial" w:hAnsi="Arial"/>
                <w:sz w:val="14"/>
                <w:szCs w:val="14"/>
                <w:b w:val="1"/>
                <w:bCs w:val="1"/>
                <w:color w:val="auto"/>
                <w:w w:val="89"/>
              </w:rPr>
              <w:t>Aggregate</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760" w:type="dxa"/>
            <w:vAlign w:val="bottom"/>
          </w:tcPr>
          <w:p>
            <w:pPr>
              <w:spacing w:after="0"/>
              <w:rPr>
                <w:sz w:val="12"/>
                <w:szCs w:val="12"/>
                <w:color w:val="auto"/>
              </w:rPr>
            </w:pPr>
          </w:p>
        </w:tc>
        <w:tc>
          <w:tcPr>
            <w:tcW w:w="144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Number of</w:t>
            </w:r>
          </w:p>
        </w:tc>
        <w:tc>
          <w:tcPr>
            <w:tcW w:w="140" w:type="dxa"/>
            <w:vAlign w:val="bottom"/>
          </w:tcPr>
          <w:p>
            <w:pPr>
              <w:spacing w:after="0"/>
              <w:rPr>
                <w:sz w:val="12"/>
                <w:szCs w:val="12"/>
                <w:color w:val="auto"/>
              </w:rPr>
            </w:pPr>
          </w:p>
        </w:tc>
        <w:tc>
          <w:tcPr>
            <w:tcW w:w="1060" w:type="dxa"/>
            <w:vAlign w:val="bottom"/>
          </w:tcPr>
          <w:p>
            <w:pPr>
              <w:jc w:val="center"/>
              <w:ind w:right="33"/>
              <w:spacing w:after="0" w:line="149" w:lineRule="exact"/>
              <w:rPr>
                <w:sz w:val="20"/>
                <w:szCs w:val="20"/>
                <w:color w:val="auto"/>
              </w:rPr>
            </w:pPr>
            <w:r>
              <w:rPr>
                <w:rFonts w:ascii="Arial" w:cs="Arial" w:eastAsia="Arial" w:hAnsi="Arial"/>
                <w:sz w:val="14"/>
                <w:szCs w:val="14"/>
                <w:b w:val="1"/>
                <w:bCs w:val="1"/>
                <w:color w:val="auto"/>
                <w:w w:val="90"/>
              </w:rPr>
              <w:t>Average</w:t>
            </w:r>
          </w:p>
        </w:tc>
        <w:tc>
          <w:tcPr>
            <w:tcW w:w="20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Remaining</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76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jc w:val="center"/>
              <w:ind w:right="53"/>
              <w:spacing w:after="0" w:line="149" w:lineRule="exact"/>
              <w:rPr>
                <w:sz w:val="20"/>
                <w:szCs w:val="20"/>
                <w:color w:val="auto"/>
              </w:rPr>
            </w:pPr>
            <w:r>
              <w:rPr>
                <w:rFonts w:ascii="Arial" w:cs="Arial" w:eastAsia="Arial" w:hAnsi="Arial"/>
                <w:sz w:val="14"/>
                <w:szCs w:val="14"/>
                <w:b w:val="1"/>
                <w:bCs w:val="1"/>
                <w:color w:val="auto"/>
                <w:w w:val="91"/>
              </w:rPr>
              <w:t>Exercise Price</w:t>
            </w:r>
          </w:p>
        </w:tc>
        <w:tc>
          <w:tcPr>
            <w:tcW w:w="20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Contractual</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tcPr>
          <w:p>
            <w:pPr>
              <w:jc w:val="center"/>
              <w:ind w:right="119"/>
              <w:spacing w:after="0" w:line="149" w:lineRule="exact"/>
              <w:rPr>
                <w:sz w:val="20"/>
                <w:szCs w:val="20"/>
                <w:color w:val="auto"/>
              </w:rPr>
            </w:pPr>
            <w:r>
              <w:rPr>
                <w:rFonts w:ascii="Arial" w:cs="Arial" w:eastAsia="Arial" w:hAnsi="Arial"/>
                <w:sz w:val="14"/>
                <w:szCs w:val="14"/>
                <w:b w:val="1"/>
                <w:bCs w:val="1"/>
                <w:color w:val="auto"/>
                <w:w w:val="99"/>
              </w:rPr>
              <w:t>Intrinsic</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5760" w:type="dxa"/>
            <w:vAlign w:val="bottom"/>
          </w:tcPr>
          <w:p>
            <w:pPr>
              <w:spacing w:after="0"/>
              <w:rPr>
                <w:sz w:val="16"/>
                <w:szCs w:val="16"/>
                <w:color w:val="auto"/>
              </w:rPr>
            </w:pPr>
          </w:p>
        </w:tc>
        <w:tc>
          <w:tcPr>
            <w:tcW w:w="144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6"/>
                <w:szCs w:val="16"/>
                <w:color w:val="auto"/>
              </w:rPr>
            </w:pPr>
          </w:p>
        </w:tc>
        <w:tc>
          <w:tcPr>
            <w:tcW w:w="1060" w:type="dxa"/>
            <w:vAlign w:val="bottom"/>
          </w:tcPr>
          <w:p>
            <w:pPr>
              <w:jc w:val="center"/>
              <w:ind w:right="53"/>
              <w:spacing w:after="0"/>
              <w:rPr>
                <w:sz w:val="20"/>
                <w:szCs w:val="20"/>
                <w:color w:val="auto"/>
              </w:rPr>
            </w:pPr>
            <w:r>
              <w:rPr>
                <w:rFonts w:ascii="Arial" w:cs="Arial" w:eastAsia="Arial" w:hAnsi="Arial"/>
                <w:sz w:val="14"/>
                <w:szCs w:val="14"/>
                <w:b w:val="1"/>
                <w:bCs w:val="1"/>
                <w:color w:val="auto"/>
                <w:w w:val="91"/>
              </w:rPr>
              <w:t>Per Share</w:t>
            </w:r>
          </w:p>
        </w:tc>
        <w:tc>
          <w:tcPr>
            <w:tcW w:w="200" w:type="dxa"/>
            <w:vAlign w:val="bottom"/>
          </w:tcPr>
          <w:p>
            <w:pPr>
              <w:spacing w:after="0"/>
              <w:rPr>
                <w:sz w:val="16"/>
                <w:szCs w:val="16"/>
                <w:color w:val="auto"/>
              </w:rPr>
            </w:pP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w w:val="99"/>
              </w:rPr>
              <w:t>Term</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jc w:val="center"/>
              <w:ind w:right="119"/>
              <w:spacing w:after="0"/>
              <w:rPr>
                <w:sz w:val="20"/>
                <w:szCs w:val="20"/>
                <w:color w:val="auto"/>
              </w:rPr>
            </w:pPr>
            <w:r>
              <w:rPr>
                <w:rFonts w:ascii="Arial" w:cs="Arial" w:eastAsia="Arial" w:hAnsi="Arial"/>
                <w:sz w:val="14"/>
                <w:szCs w:val="14"/>
                <w:b w:val="1"/>
                <w:bCs w:val="1"/>
                <w:color w:val="auto"/>
                <w:w w:val="90"/>
              </w:rPr>
              <w:t>Value</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76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Balance at December 31, 2018</w:t>
            </w:r>
          </w:p>
        </w:tc>
        <w:tc>
          <w:tcPr>
            <w:tcW w:w="12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2,251,098</w:t>
            </w:r>
          </w:p>
        </w:tc>
        <w:tc>
          <w:tcPr>
            <w:tcW w:w="240" w:type="dxa"/>
            <w:vAlign w:val="bottom"/>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1.33</w:t>
            </w:r>
          </w:p>
        </w:tc>
        <w:tc>
          <w:tcPr>
            <w:tcW w:w="200" w:type="dxa"/>
            <w:vAlign w:val="bottom"/>
            <w:shd w:val="clear" w:color="auto" w:fill="CFF0FC"/>
          </w:tcPr>
          <w:p>
            <w:pPr>
              <w:spacing w:after="0"/>
              <w:rPr>
                <w:sz w:val="17"/>
                <w:szCs w:val="17"/>
                <w:color w:val="auto"/>
              </w:rPr>
            </w:pPr>
          </w:p>
        </w:tc>
        <w:tc>
          <w:tcPr>
            <w:tcW w:w="11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8.5</w:t>
            </w:r>
          </w:p>
        </w:tc>
        <w:tc>
          <w:tcPr>
            <w:tcW w:w="200" w:type="dxa"/>
            <w:vAlign w:val="bottom"/>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1020" w:type="dxa"/>
            <w:vAlign w:val="bottom"/>
            <w:tcBorders>
              <w:top w:val="single" w:sz="8" w:color="auto"/>
            </w:tcBorders>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60" w:type="dxa"/>
            <w:vAlign w:val="bottom"/>
          </w:tcPr>
          <w:p>
            <w:pPr>
              <w:ind w:left="200"/>
              <w:spacing w:after="0" w:line="202" w:lineRule="exact"/>
              <w:rPr>
                <w:sz w:val="20"/>
                <w:szCs w:val="20"/>
                <w:color w:val="auto"/>
              </w:rPr>
            </w:pPr>
            <w:r>
              <w:rPr>
                <w:rFonts w:ascii="Arial" w:cs="Arial" w:eastAsia="Arial" w:hAnsi="Arial"/>
                <w:sz w:val="18"/>
                <w:szCs w:val="18"/>
                <w:color w:val="auto"/>
              </w:rPr>
              <w:t>Granted</w:t>
            </w: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1,170,598</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3.18</w:t>
            </w:r>
          </w:p>
        </w:tc>
        <w:tc>
          <w:tcPr>
            <w:tcW w:w="13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9.0</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6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Exercised</w:t>
            </w:r>
          </w:p>
        </w:tc>
        <w:tc>
          <w:tcPr>
            <w:tcW w:w="1440" w:type="dxa"/>
            <w:vAlign w:val="bottom"/>
            <w:gridSpan w:val="2"/>
            <w:shd w:val="clear" w:color="auto" w:fill="CFF0FC"/>
          </w:tcPr>
          <w:p>
            <w:pPr>
              <w:jc w:val="right"/>
              <w:ind w:right="160"/>
              <w:spacing w:after="0" w:line="202" w:lineRule="exact"/>
              <w:rPr>
                <w:sz w:val="20"/>
                <w:szCs w:val="20"/>
                <w:color w:val="auto"/>
              </w:rPr>
            </w:pPr>
            <w:r>
              <w:rPr>
                <w:rFonts w:ascii="Arial" w:cs="Arial" w:eastAsia="Arial" w:hAnsi="Arial"/>
                <w:sz w:val="18"/>
                <w:szCs w:val="18"/>
                <w:color w:val="auto"/>
              </w:rPr>
              <w:t>(455,665 )</w:t>
            </w:r>
          </w:p>
        </w:tc>
        <w:tc>
          <w:tcPr>
            <w:tcW w:w="14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1.00</w:t>
            </w:r>
          </w:p>
        </w:tc>
        <w:tc>
          <w:tcPr>
            <w:tcW w:w="138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0.4</w:t>
            </w:r>
          </w:p>
        </w:tc>
        <w:tc>
          <w:tcPr>
            <w:tcW w:w="2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60" w:type="dxa"/>
            <w:vAlign w:val="bottom"/>
          </w:tcPr>
          <w:p>
            <w:pPr>
              <w:ind w:left="200"/>
              <w:spacing w:after="0" w:line="202" w:lineRule="exact"/>
              <w:rPr>
                <w:sz w:val="20"/>
                <w:szCs w:val="20"/>
                <w:color w:val="auto"/>
              </w:rPr>
            </w:pPr>
            <w:r>
              <w:rPr>
                <w:rFonts w:ascii="Arial" w:cs="Arial" w:eastAsia="Arial" w:hAnsi="Arial"/>
                <w:sz w:val="18"/>
                <w:szCs w:val="18"/>
                <w:color w:val="auto"/>
              </w:rPr>
              <w:t>Forfeited</w:t>
            </w:r>
          </w:p>
        </w:tc>
        <w:tc>
          <w:tcPr>
            <w:tcW w:w="144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(336,784 )</w:t>
            </w:r>
          </w:p>
        </w:tc>
        <w:tc>
          <w:tcPr>
            <w:tcW w:w="14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1.65</w:t>
            </w:r>
          </w:p>
        </w:tc>
        <w:tc>
          <w:tcPr>
            <w:tcW w:w="20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6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Expired</w:t>
            </w:r>
          </w:p>
        </w:tc>
        <w:tc>
          <w:tcPr>
            <w:tcW w:w="1440" w:type="dxa"/>
            <w:vAlign w:val="bottom"/>
            <w:gridSpan w:val="2"/>
            <w:shd w:val="clear" w:color="auto" w:fill="CFF0FC"/>
          </w:tcPr>
          <w:p>
            <w:pPr>
              <w:jc w:val="right"/>
              <w:ind w:right="160"/>
              <w:spacing w:after="0" w:line="202" w:lineRule="exact"/>
              <w:rPr>
                <w:sz w:val="20"/>
                <w:szCs w:val="20"/>
                <w:color w:val="auto"/>
              </w:rPr>
            </w:pPr>
            <w:r>
              <w:rPr>
                <w:rFonts w:ascii="Arial" w:cs="Arial" w:eastAsia="Arial" w:hAnsi="Arial"/>
                <w:sz w:val="18"/>
                <w:szCs w:val="18"/>
                <w:color w:val="auto"/>
              </w:rPr>
              <w:t>(8,720 )</w:t>
            </w:r>
          </w:p>
        </w:tc>
        <w:tc>
          <w:tcPr>
            <w:tcW w:w="14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1.47</w:t>
            </w:r>
          </w:p>
        </w:tc>
        <w:tc>
          <w:tcPr>
            <w:tcW w:w="20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760" w:type="dxa"/>
            <w:vAlign w:val="bottom"/>
            <w:tcBorders>
              <w:top w:val="single" w:sz="8" w:color="CFF0FC"/>
            </w:tcBorders>
          </w:tcPr>
          <w:p>
            <w:pPr>
              <w:ind w:left="20"/>
              <w:spacing w:after="0" w:line="182" w:lineRule="exact"/>
              <w:rPr>
                <w:sz w:val="20"/>
                <w:szCs w:val="20"/>
                <w:color w:val="auto"/>
              </w:rPr>
            </w:pPr>
            <w:r>
              <w:rPr>
                <w:rFonts w:ascii="Arial" w:cs="Arial" w:eastAsia="Arial" w:hAnsi="Arial"/>
                <w:sz w:val="18"/>
                <w:szCs w:val="18"/>
                <w:color w:val="auto"/>
              </w:rPr>
              <w:t>Balance at December 31, 2019</w:t>
            </w:r>
          </w:p>
        </w:tc>
        <w:tc>
          <w:tcPr>
            <w:tcW w:w="120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2,620,527</w:t>
            </w:r>
          </w:p>
        </w:tc>
        <w:tc>
          <w:tcPr>
            <w:tcW w:w="240" w:type="dxa"/>
            <w:vAlign w:val="bottom"/>
            <w:tcBorders>
              <w:top w:val="single" w:sz="8" w:color="CFF0FC"/>
            </w:tcBorders>
          </w:tcPr>
          <w:p>
            <w:pPr>
              <w:spacing w:after="0"/>
              <w:rPr>
                <w:sz w:val="17"/>
                <w:szCs w:val="17"/>
                <w:color w:val="auto"/>
              </w:rPr>
            </w:pPr>
          </w:p>
        </w:tc>
        <w:tc>
          <w:tcPr>
            <w:tcW w:w="140" w:type="dxa"/>
            <w:vAlign w:val="bottom"/>
            <w:tcBorders>
              <w:top w:val="single" w:sz="8" w:color="CFF0FC"/>
            </w:tcBorders>
          </w:tcPr>
          <w:p>
            <w:pPr>
              <w:spacing w:after="0"/>
              <w:rPr>
                <w:sz w:val="17"/>
                <w:szCs w:val="17"/>
                <w:color w:val="auto"/>
              </w:rPr>
            </w:pPr>
          </w:p>
        </w:tc>
        <w:tc>
          <w:tcPr>
            <w:tcW w:w="1060" w:type="dxa"/>
            <w:vAlign w:val="bottom"/>
            <w:tcBorders>
              <w:top w:val="single" w:sz="8" w:color="CFF0FC"/>
            </w:tcBorders>
          </w:tcPr>
          <w:p>
            <w:pPr>
              <w:jc w:val="right"/>
              <w:spacing w:after="0" w:line="182" w:lineRule="exact"/>
              <w:rPr>
                <w:sz w:val="20"/>
                <w:szCs w:val="20"/>
                <w:color w:val="auto"/>
              </w:rPr>
            </w:pPr>
            <w:r>
              <w:rPr>
                <w:rFonts w:ascii="Arial" w:cs="Arial" w:eastAsia="Arial" w:hAnsi="Arial"/>
                <w:sz w:val="18"/>
                <w:szCs w:val="18"/>
                <w:color w:val="auto"/>
              </w:rPr>
              <w:t>2.16</w:t>
            </w:r>
          </w:p>
        </w:tc>
        <w:tc>
          <w:tcPr>
            <w:tcW w:w="1380" w:type="dxa"/>
            <w:vAlign w:val="bottom"/>
            <w:tcBorders>
              <w:top w:val="single" w:sz="8" w:color="CFF0FC"/>
            </w:tcBorders>
            <w:gridSpan w:val="2"/>
          </w:tcPr>
          <w:p>
            <w:pPr>
              <w:jc w:val="right"/>
              <w:spacing w:after="0" w:line="182" w:lineRule="exact"/>
              <w:rPr>
                <w:sz w:val="20"/>
                <w:szCs w:val="20"/>
                <w:color w:val="auto"/>
              </w:rPr>
            </w:pPr>
            <w:r>
              <w:rPr>
                <w:rFonts w:ascii="Arial" w:cs="Arial" w:eastAsia="Arial" w:hAnsi="Arial"/>
                <w:sz w:val="18"/>
                <w:szCs w:val="18"/>
                <w:color w:val="auto"/>
              </w:rPr>
              <w:t>8.3</w:t>
            </w:r>
          </w:p>
        </w:tc>
        <w:tc>
          <w:tcPr>
            <w:tcW w:w="200" w:type="dxa"/>
            <w:vAlign w:val="bottom"/>
            <w:tcBorders>
              <w:top w:val="single" w:sz="8" w:color="CFF0FC"/>
            </w:tcBorders>
          </w:tcPr>
          <w:p>
            <w:pPr>
              <w:spacing w:after="0"/>
              <w:rPr>
                <w:sz w:val="17"/>
                <w:szCs w:val="17"/>
                <w:color w:val="auto"/>
              </w:rPr>
            </w:pPr>
          </w:p>
        </w:tc>
        <w:tc>
          <w:tcPr>
            <w:tcW w:w="180" w:type="dxa"/>
            <w:vAlign w:val="bottom"/>
            <w:tcBorders>
              <w:top w:val="single" w:sz="8" w:color="CFF0FC"/>
            </w:tcBorders>
          </w:tcPr>
          <w:p>
            <w:pPr>
              <w:spacing w:after="0"/>
              <w:rPr>
                <w:sz w:val="17"/>
                <w:szCs w:val="17"/>
                <w:color w:val="auto"/>
              </w:rPr>
            </w:pPr>
          </w:p>
        </w:tc>
        <w:tc>
          <w:tcPr>
            <w:tcW w:w="1020" w:type="dxa"/>
            <w:vAlign w:val="bottom"/>
            <w:tcBorders>
              <w:top w:val="single" w:sz="8" w:color="CFF0FC"/>
            </w:tcBorders>
          </w:tcPr>
          <w:p>
            <w:pPr>
              <w:spacing w:after="0"/>
              <w:rPr>
                <w:sz w:val="17"/>
                <w:szCs w:val="17"/>
                <w:color w:val="auto"/>
              </w:rPr>
            </w:pPr>
          </w:p>
        </w:tc>
        <w:tc>
          <w:tcPr>
            <w:tcW w:w="6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76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760" w:type="dxa"/>
            <w:vAlign w:val="bottom"/>
            <w:shd w:val="clear" w:color="auto" w:fill="CFF0FC"/>
          </w:tcPr>
          <w:p>
            <w:pPr>
              <w:ind w:left="240"/>
              <w:spacing w:after="0" w:line="183" w:lineRule="exact"/>
              <w:rPr>
                <w:sz w:val="20"/>
                <w:szCs w:val="20"/>
                <w:color w:val="auto"/>
              </w:rPr>
            </w:pPr>
            <w:r>
              <w:rPr>
                <w:rFonts w:ascii="Arial" w:cs="Arial" w:eastAsia="Arial" w:hAnsi="Arial"/>
                <w:sz w:val="18"/>
                <w:szCs w:val="18"/>
                <w:color w:val="auto"/>
              </w:rPr>
              <w:t>Exercisable at December 31, 2019</w:t>
            </w:r>
          </w:p>
        </w:tc>
        <w:tc>
          <w:tcPr>
            <w:tcW w:w="1200" w:type="dxa"/>
            <w:vAlign w:val="bottom"/>
            <w:shd w:val="clear" w:color="auto" w:fill="CFF0FC"/>
          </w:tcPr>
          <w:p>
            <w:pPr>
              <w:jc w:val="right"/>
              <w:spacing w:after="0" w:line="183" w:lineRule="exact"/>
              <w:rPr>
                <w:sz w:val="20"/>
                <w:szCs w:val="20"/>
                <w:color w:val="auto"/>
              </w:rPr>
            </w:pPr>
            <w:r>
              <w:rPr>
                <w:rFonts w:ascii="Arial" w:cs="Arial" w:eastAsia="Arial" w:hAnsi="Arial"/>
                <w:sz w:val="18"/>
                <w:szCs w:val="18"/>
                <w:color w:val="auto"/>
              </w:rPr>
              <w:t>992,914</w:t>
            </w:r>
          </w:p>
        </w:tc>
        <w:tc>
          <w:tcPr>
            <w:tcW w:w="2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line="183" w:lineRule="exact"/>
              <w:rPr>
                <w:sz w:val="20"/>
                <w:szCs w:val="20"/>
                <w:color w:val="auto"/>
              </w:rPr>
            </w:pPr>
            <w:r>
              <w:rPr>
                <w:rFonts w:ascii="Arial" w:cs="Arial" w:eastAsia="Arial" w:hAnsi="Arial"/>
                <w:sz w:val="18"/>
                <w:szCs w:val="18"/>
                <w:color w:val="auto"/>
              </w:rPr>
              <w:t>1.32</w:t>
            </w:r>
          </w:p>
        </w:tc>
        <w:tc>
          <w:tcPr>
            <w:tcW w:w="1380" w:type="dxa"/>
            <w:vAlign w:val="bottom"/>
            <w:gridSpan w:val="2"/>
            <w:shd w:val="clear" w:color="auto" w:fill="CFF0FC"/>
          </w:tcPr>
          <w:p>
            <w:pPr>
              <w:jc w:val="right"/>
              <w:spacing w:after="0" w:line="183" w:lineRule="exact"/>
              <w:rPr>
                <w:sz w:val="20"/>
                <w:szCs w:val="20"/>
                <w:color w:val="auto"/>
              </w:rPr>
            </w:pPr>
            <w:r>
              <w:rPr>
                <w:rFonts w:ascii="Arial" w:cs="Arial" w:eastAsia="Arial" w:hAnsi="Arial"/>
                <w:sz w:val="18"/>
                <w:szCs w:val="18"/>
                <w:color w:val="auto"/>
              </w:rPr>
              <w:t>7.1</w:t>
            </w:r>
          </w:p>
        </w:tc>
        <w:tc>
          <w:tcPr>
            <w:tcW w:w="2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405"/>
        </w:trPr>
        <w:tc>
          <w:tcPr>
            <w:tcW w:w="5760" w:type="dxa"/>
            <w:vAlign w:val="bottom"/>
          </w:tcPr>
          <w:p>
            <w:pPr>
              <w:ind w:left="20"/>
              <w:spacing w:after="0"/>
              <w:rPr>
                <w:sz w:val="20"/>
                <w:szCs w:val="20"/>
                <w:color w:val="auto"/>
              </w:rPr>
            </w:pPr>
            <w:r>
              <w:rPr>
                <w:rFonts w:ascii="Arial" w:cs="Arial" w:eastAsia="Arial" w:hAnsi="Arial"/>
                <w:sz w:val="18"/>
                <w:szCs w:val="18"/>
                <w:color w:val="auto"/>
              </w:rPr>
              <w:t>Balance at December 31, 2019</w:t>
            </w:r>
          </w:p>
        </w:tc>
        <w:tc>
          <w:tcPr>
            <w:tcW w:w="1200" w:type="dxa"/>
            <w:vAlign w:val="bottom"/>
          </w:tcPr>
          <w:p>
            <w:pPr>
              <w:jc w:val="right"/>
              <w:spacing w:after="0"/>
              <w:rPr>
                <w:sz w:val="20"/>
                <w:szCs w:val="20"/>
                <w:color w:val="auto"/>
              </w:rPr>
            </w:pPr>
            <w:r>
              <w:rPr>
                <w:rFonts w:ascii="Arial" w:cs="Arial" w:eastAsia="Arial" w:hAnsi="Arial"/>
                <w:sz w:val="18"/>
                <w:szCs w:val="18"/>
                <w:color w:val="auto"/>
              </w:rPr>
              <w:t>2,620,527</w:t>
            </w: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2.16</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8.3</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576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Granted</w:t>
            </w:r>
          </w:p>
        </w:tc>
        <w:tc>
          <w:tcPr>
            <w:tcW w:w="12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1,144,457</w:t>
            </w: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3.98</w:t>
            </w:r>
          </w:p>
        </w:tc>
        <w:tc>
          <w:tcPr>
            <w:tcW w:w="138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9.1</w:t>
            </w:r>
          </w:p>
        </w:tc>
        <w:tc>
          <w:tcPr>
            <w:tcW w:w="2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60" w:type="dxa"/>
            <w:vAlign w:val="bottom"/>
          </w:tcPr>
          <w:p>
            <w:pPr>
              <w:ind w:left="200"/>
              <w:spacing w:after="0" w:line="202" w:lineRule="exact"/>
              <w:rPr>
                <w:sz w:val="20"/>
                <w:szCs w:val="20"/>
                <w:color w:val="auto"/>
              </w:rPr>
            </w:pPr>
            <w:r>
              <w:rPr>
                <w:rFonts w:ascii="Arial" w:cs="Arial" w:eastAsia="Arial" w:hAnsi="Arial"/>
                <w:sz w:val="18"/>
                <w:szCs w:val="18"/>
                <w:color w:val="auto"/>
              </w:rPr>
              <w:t>Exercised</w:t>
            </w:r>
          </w:p>
        </w:tc>
        <w:tc>
          <w:tcPr>
            <w:tcW w:w="144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(465,668 )</w:t>
            </w:r>
          </w:p>
        </w:tc>
        <w:tc>
          <w:tcPr>
            <w:tcW w:w="14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1.16</w:t>
            </w:r>
          </w:p>
        </w:tc>
        <w:tc>
          <w:tcPr>
            <w:tcW w:w="13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4.8</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6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Forfeited</w:t>
            </w:r>
          </w:p>
        </w:tc>
        <w:tc>
          <w:tcPr>
            <w:tcW w:w="1440" w:type="dxa"/>
            <w:vAlign w:val="bottom"/>
            <w:gridSpan w:val="2"/>
            <w:shd w:val="clear" w:color="auto" w:fill="CFF0FC"/>
          </w:tcPr>
          <w:p>
            <w:pPr>
              <w:jc w:val="right"/>
              <w:ind w:right="160"/>
              <w:spacing w:after="0" w:line="202" w:lineRule="exact"/>
              <w:rPr>
                <w:sz w:val="20"/>
                <w:szCs w:val="20"/>
                <w:color w:val="auto"/>
              </w:rPr>
            </w:pPr>
            <w:r>
              <w:rPr>
                <w:rFonts w:ascii="Arial" w:cs="Arial" w:eastAsia="Arial" w:hAnsi="Arial"/>
                <w:sz w:val="18"/>
                <w:szCs w:val="18"/>
                <w:color w:val="auto"/>
              </w:rPr>
              <w:t>(131,129 )</w:t>
            </w:r>
          </w:p>
        </w:tc>
        <w:tc>
          <w:tcPr>
            <w:tcW w:w="14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2.68</w:t>
            </w:r>
          </w:p>
        </w:tc>
        <w:tc>
          <w:tcPr>
            <w:tcW w:w="20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60" w:type="dxa"/>
            <w:vAlign w:val="bottom"/>
          </w:tcPr>
          <w:p>
            <w:pPr>
              <w:ind w:left="200"/>
              <w:spacing w:after="0" w:line="202" w:lineRule="exact"/>
              <w:rPr>
                <w:sz w:val="20"/>
                <w:szCs w:val="20"/>
                <w:color w:val="auto"/>
              </w:rPr>
            </w:pPr>
            <w:r>
              <w:rPr>
                <w:rFonts w:ascii="Arial" w:cs="Arial" w:eastAsia="Arial" w:hAnsi="Arial"/>
                <w:sz w:val="18"/>
                <w:szCs w:val="18"/>
                <w:color w:val="auto"/>
              </w:rPr>
              <w:t>Expired</w:t>
            </w:r>
          </w:p>
        </w:tc>
        <w:tc>
          <w:tcPr>
            <w:tcW w:w="144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(15,413 )</w:t>
            </w:r>
          </w:p>
        </w:tc>
        <w:tc>
          <w:tcPr>
            <w:tcW w:w="14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1.46</w:t>
            </w:r>
          </w:p>
        </w:tc>
        <w:tc>
          <w:tcPr>
            <w:tcW w:w="20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5760" w:type="dxa"/>
            <w:vAlign w:val="bottom"/>
            <w:tcBorders>
              <w:bottom w:val="single" w:sz="8" w:color="CFF0FC"/>
            </w:tcBorders>
            <w:shd w:val="clear" w:color="auto" w:fill="CFF0FC"/>
          </w:tcPr>
          <w:p>
            <w:pPr>
              <w:ind w:left="20"/>
              <w:spacing w:after="0" w:line="182" w:lineRule="exact"/>
              <w:rPr>
                <w:sz w:val="20"/>
                <w:szCs w:val="20"/>
                <w:color w:val="auto"/>
              </w:rPr>
            </w:pPr>
            <w:r>
              <w:rPr>
                <w:rFonts w:ascii="Arial" w:cs="Arial" w:eastAsia="Arial" w:hAnsi="Arial"/>
                <w:sz w:val="18"/>
                <w:szCs w:val="18"/>
                <w:color w:val="auto"/>
              </w:rPr>
              <w:t>Balance at December 31, 2020</w:t>
            </w:r>
          </w:p>
        </w:tc>
        <w:tc>
          <w:tcPr>
            <w:tcW w:w="120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3,152,774</w:t>
            </w:r>
          </w:p>
        </w:tc>
        <w:tc>
          <w:tcPr>
            <w:tcW w:w="24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spacing w:after="0"/>
              <w:rPr>
                <w:sz w:val="20"/>
                <w:szCs w:val="20"/>
                <w:color w:val="auto"/>
              </w:rPr>
            </w:pPr>
          </w:p>
        </w:tc>
        <w:tc>
          <w:tcPr>
            <w:tcW w:w="1060" w:type="dxa"/>
            <w:vAlign w:val="bottom"/>
            <w:tcBorders>
              <w:bottom w:val="single" w:sz="8" w:color="CFF0FC"/>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2.97</w:t>
            </w:r>
          </w:p>
        </w:tc>
        <w:tc>
          <w:tcPr>
            <w:tcW w:w="1380" w:type="dxa"/>
            <w:vAlign w:val="bottom"/>
            <w:tcBorders>
              <w:bottom w:val="single" w:sz="8" w:color="CFF0FC"/>
            </w:tcBorders>
            <w:gridSpan w:val="2"/>
            <w:shd w:val="clear" w:color="auto" w:fill="CFF0FC"/>
          </w:tcPr>
          <w:p>
            <w:pPr>
              <w:jc w:val="right"/>
              <w:spacing w:after="0" w:line="182" w:lineRule="exact"/>
              <w:rPr>
                <w:sz w:val="20"/>
                <w:szCs w:val="20"/>
                <w:color w:val="auto"/>
              </w:rPr>
            </w:pPr>
            <w:r>
              <w:rPr>
                <w:rFonts w:ascii="Arial" w:cs="Arial" w:eastAsia="Arial" w:hAnsi="Arial"/>
                <w:sz w:val="18"/>
                <w:szCs w:val="18"/>
                <w:color w:val="auto"/>
              </w:rPr>
              <w:t>8.3</w:t>
            </w:r>
          </w:p>
        </w:tc>
        <w:tc>
          <w:tcPr>
            <w:tcW w:w="20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CFF0FC"/>
            </w:tcBorders>
            <w:shd w:val="clear" w:color="auto" w:fill="CFF0FC"/>
          </w:tcPr>
          <w:p>
            <w:pPr>
              <w:spacing w:after="0"/>
              <w:rPr>
                <w:sz w:val="20"/>
                <w:szCs w:val="20"/>
                <w:color w:val="auto"/>
              </w:rPr>
            </w:pPr>
          </w:p>
        </w:tc>
        <w:tc>
          <w:tcPr>
            <w:tcW w:w="1020" w:type="dxa"/>
            <w:vAlign w:val="bottom"/>
            <w:tcBorders>
              <w:bottom w:val="single" w:sz="8" w:color="CFF0FC"/>
            </w:tcBorders>
            <w:shd w:val="clear" w:color="auto" w:fill="CFF0FC"/>
          </w:tcPr>
          <w:p>
            <w:pPr>
              <w:spacing w:after="0"/>
              <w:rPr>
                <w:sz w:val="20"/>
                <w:szCs w:val="20"/>
                <w:color w:val="auto"/>
              </w:rPr>
            </w:pPr>
          </w:p>
        </w:tc>
        <w:tc>
          <w:tcPr>
            <w:tcW w:w="6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5760" w:type="dxa"/>
            <w:vAlign w:val="bottom"/>
          </w:tcPr>
          <w:p>
            <w:pPr>
              <w:ind w:left="200"/>
              <w:spacing w:after="0"/>
              <w:rPr>
                <w:sz w:val="20"/>
                <w:szCs w:val="20"/>
                <w:color w:val="auto"/>
              </w:rPr>
            </w:pPr>
            <w:r>
              <w:rPr>
                <w:rFonts w:ascii="Arial" w:cs="Arial" w:eastAsia="Arial" w:hAnsi="Arial"/>
                <w:sz w:val="18"/>
                <w:szCs w:val="18"/>
                <w:color w:val="auto"/>
              </w:rPr>
              <w:t>Exercisable at December 31, 2020</w:t>
            </w:r>
          </w:p>
        </w:tc>
        <w:tc>
          <w:tcPr>
            <w:tcW w:w="1200" w:type="dxa"/>
            <w:vAlign w:val="bottom"/>
          </w:tcPr>
          <w:p>
            <w:pPr>
              <w:jc w:val="right"/>
              <w:spacing w:after="0"/>
              <w:rPr>
                <w:sz w:val="20"/>
                <w:szCs w:val="20"/>
                <w:color w:val="auto"/>
              </w:rPr>
            </w:pPr>
            <w:r>
              <w:rPr>
                <w:rFonts w:ascii="Arial" w:cs="Arial" w:eastAsia="Arial" w:hAnsi="Arial"/>
                <w:sz w:val="18"/>
                <w:szCs w:val="18"/>
                <w:color w:val="auto"/>
              </w:rPr>
              <w:t>1,193,301</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2.14</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7.2</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57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380" w:type="dxa"/>
            <w:vAlign w:val="bottom"/>
            <w:gridSpan w:val="2"/>
          </w:tcPr>
          <w:p>
            <w:pPr>
              <w:spacing w:after="0"/>
              <w:rPr>
                <w:sz w:val="15"/>
                <w:szCs w:val="15"/>
                <w:color w:val="auto"/>
              </w:rPr>
            </w:pPr>
          </w:p>
        </w:tc>
        <w:tc>
          <w:tcPr>
            <w:tcW w:w="380" w:type="dxa"/>
            <w:vAlign w:val="bottom"/>
            <w:gridSpan w:val="2"/>
          </w:tcPr>
          <w:p>
            <w:pPr>
              <w:spacing w:after="0"/>
              <w:rPr>
                <w:sz w:val="15"/>
                <w:szCs w:val="15"/>
                <w:color w:val="auto"/>
              </w:rPr>
            </w:pPr>
          </w:p>
        </w:tc>
        <w:tc>
          <w:tcPr>
            <w:tcW w:w="10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7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Balance at December 31, 2020</w:t>
            </w:r>
          </w:p>
        </w:tc>
        <w:tc>
          <w:tcPr>
            <w:tcW w:w="12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3,152,774</w:t>
            </w: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2.97</w:t>
            </w:r>
          </w:p>
        </w:tc>
        <w:tc>
          <w:tcPr>
            <w:tcW w:w="138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8.3</w:t>
            </w:r>
          </w:p>
        </w:tc>
        <w:tc>
          <w:tcPr>
            <w:tcW w:w="380" w:type="dxa"/>
            <w:vAlign w:val="bottom"/>
            <w:gridSpan w:val="2"/>
            <w:shd w:val="clear" w:color="auto" w:fill="CFF0FC"/>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4.7</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60" w:type="dxa"/>
            <w:vAlign w:val="bottom"/>
          </w:tcPr>
          <w:p>
            <w:pPr>
              <w:ind w:left="200"/>
              <w:spacing w:after="0" w:line="202" w:lineRule="exact"/>
              <w:rPr>
                <w:sz w:val="20"/>
                <w:szCs w:val="20"/>
                <w:color w:val="auto"/>
              </w:rPr>
            </w:pPr>
            <w:r>
              <w:rPr>
                <w:rFonts w:ascii="Arial" w:cs="Arial" w:eastAsia="Arial" w:hAnsi="Arial"/>
                <w:sz w:val="18"/>
                <w:szCs w:val="18"/>
                <w:color w:val="auto"/>
              </w:rPr>
              <w:t>Granted</w:t>
            </w: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1,393,431</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12.24</w:t>
            </w:r>
          </w:p>
        </w:tc>
        <w:tc>
          <w:tcPr>
            <w:tcW w:w="20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76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Exercised</w:t>
            </w:r>
          </w:p>
        </w:tc>
        <w:tc>
          <w:tcPr>
            <w:tcW w:w="1440" w:type="dxa"/>
            <w:vAlign w:val="bottom"/>
            <w:gridSpan w:val="2"/>
            <w:shd w:val="clear" w:color="auto" w:fill="CFF0FC"/>
          </w:tcPr>
          <w:p>
            <w:pPr>
              <w:jc w:val="right"/>
              <w:ind w:right="160"/>
              <w:spacing w:after="0" w:line="202" w:lineRule="exact"/>
              <w:rPr>
                <w:sz w:val="20"/>
                <w:szCs w:val="20"/>
                <w:color w:val="auto"/>
              </w:rPr>
            </w:pPr>
            <w:r>
              <w:rPr>
                <w:rFonts w:ascii="Arial" w:cs="Arial" w:eastAsia="Arial" w:hAnsi="Arial"/>
                <w:sz w:val="18"/>
                <w:szCs w:val="18"/>
                <w:color w:val="auto"/>
              </w:rPr>
              <w:t>(1,101,539 )</w:t>
            </w:r>
          </w:p>
        </w:tc>
        <w:tc>
          <w:tcPr>
            <w:tcW w:w="14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2.07</w:t>
            </w:r>
          </w:p>
        </w:tc>
        <w:tc>
          <w:tcPr>
            <w:tcW w:w="20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60" w:type="dxa"/>
            <w:vAlign w:val="bottom"/>
          </w:tcPr>
          <w:p>
            <w:pPr>
              <w:ind w:left="200"/>
              <w:spacing w:after="0" w:line="202" w:lineRule="exact"/>
              <w:rPr>
                <w:sz w:val="20"/>
                <w:szCs w:val="20"/>
                <w:color w:val="auto"/>
              </w:rPr>
            </w:pPr>
            <w:r>
              <w:rPr>
                <w:rFonts w:ascii="Arial" w:cs="Arial" w:eastAsia="Arial" w:hAnsi="Arial"/>
                <w:sz w:val="18"/>
                <w:szCs w:val="18"/>
                <w:color w:val="auto"/>
              </w:rPr>
              <w:t>Forfeited</w:t>
            </w:r>
          </w:p>
        </w:tc>
        <w:tc>
          <w:tcPr>
            <w:tcW w:w="144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(148,304 )</w:t>
            </w:r>
          </w:p>
        </w:tc>
        <w:tc>
          <w:tcPr>
            <w:tcW w:w="14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7.88</w:t>
            </w:r>
          </w:p>
        </w:tc>
        <w:tc>
          <w:tcPr>
            <w:tcW w:w="20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6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Expired</w:t>
            </w:r>
          </w:p>
        </w:tc>
        <w:tc>
          <w:tcPr>
            <w:tcW w:w="1440" w:type="dxa"/>
            <w:vAlign w:val="bottom"/>
            <w:gridSpan w:val="2"/>
            <w:shd w:val="clear" w:color="auto" w:fill="CFF0FC"/>
          </w:tcPr>
          <w:p>
            <w:pPr>
              <w:jc w:val="right"/>
              <w:ind w:right="160"/>
              <w:spacing w:after="0" w:line="202" w:lineRule="exact"/>
              <w:rPr>
                <w:sz w:val="20"/>
                <w:szCs w:val="20"/>
                <w:color w:val="auto"/>
              </w:rPr>
            </w:pPr>
            <w:r>
              <w:rPr>
                <w:rFonts w:ascii="Arial" w:cs="Arial" w:eastAsia="Arial" w:hAnsi="Arial"/>
                <w:sz w:val="18"/>
                <w:szCs w:val="18"/>
                <w:color w:val="auto"/>
              </w:rPr>
              <w:t>(9,492 )</w:t>
            </w:r>
          </w:p>
        </w:tc>
        <w:tc>
          <w:tcPr>
            <w:tcW w:w="14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2.65</w:t>
            </w:r>
          </w:p>
        </w:tc>
        <w:tc>
          <w:tcPr>
            <w:tcW w:w="20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760" w:type="dxa"/>
            <w:vAlign w:val="bottom"/>
            <w:tcBorders>
              <w:top w:val="single" w:sz="8" w:color="CFF0FC"/>
            </w:tcBorders>
          </w:tcPr>
          <w:p>
            <w:pPr>
              <w:ind w:left="20"/>
              <w:spacing w:after="0" w:line="182" w:lineRule="exact"/>
              <w:rPr>
                <w:sz w:val="20"/>
                <w:szCs w:val="20"/>
                <w:color w:val="auto"/>
              </w:rPr>
            </w:pPr>
            <w:r>
              <w:rPr>
                <w:rFonts w:ascii="Arial" w:cs="Arial" w:eastAsia="Arial" w:hAnsi="Arial"/>
                <w:sz w:val="18"/>
                <w:szCs w:val="18"/>
                <w:color w:val="auto"/>
              </w:rPr>
              <w:t>Balance at December 31, 2021</w:t>
            </w:r>
          </w:p>
        </w:tc>
        <w:tc>
          <w:tcPr>
            <w:tcW w:w="120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3,286,870</w:t>
            </w:r>
          </w:p>
        </w:tc>
        <w:tc>
          <w:tcPr>
            <w:tcW w:w="240" w:type="dxa"/>
            <w:vAlign w:val="bottom"/>
            <w:tcBorders>
              <w:top w:val="single" w:sz="8" w:color="CFF0FC"/>
            </w:tcBorders>
          </w:tcPr>
          <w:p>
            <w:pPr>
              <w:spacing w:after="0"/>
              <w:rPr>
                <w:sz w:val="17"/>
                <w:szCs w:val="17"/>
                <w:color w:val="auto"/>
              </w:rPr>
            </w:pPr>
          </w:p>
        </w:tc>
        <w:tc>
          <w:tcPr>
            <w:tcW w:w="140" w:type="dxa"/>
            <w:vAlign w:val="bottom"/>
            <w:tcBorders>
              <w:top w:val="single" w:sz="8" w:color="CFF0FC"/>
            </w:tcBorders>
          </w:tcPr>
          <w:p>
            <w:pPr>
              <w:spacing w:after="0"/>
              <w:rPr>
                <w:sz w:val="17"/>
                <w:szCs w:val="17"/>
                <w:color w:val="auto"/>
              </w:rPr>
            </w:pPr>
          </w:p>
        </w:tc>
        <w:tc>
          <w:tcPr>
            <w:tcW w:w="1060" w:type="dxa"/>
            <w:vAlign w:val="bottom"/>
            <w:tcBorders>
              <w:top w:val="single" w:sz="8" w:color="CFF0FC"/>
            </w:tcBorders>
          </w:tcPr>
          <w:p>
            <w:pPr>
              <w:jc w:val="right"/>
              <w:spacing w:after="0" w:line="182" w:lineRule="exact"/>
              <w:rPr>
                <w:sz w:val="20"/>
                <w:szCs w:val="20"/>
                <w:color w:val="auto"/>
              </w:rPr>
            </w:pPr>
            <w:r>
              <w:rPr>
                <w:rFonts w:ascii="Arial" w:cs="Arial" w:eastAsia="Arial" w:hAnsi="Arial"/>
                <w:sz w:val="18"/>
                <w:szCs w:val="18"/>
                <w:color w:val="auto"/>
              </w:rPr>
              <w:t>6.98</w:t>
            </w:r>
          </w:p>
        </w:tc>
        <w:tc>
          <w:tcPr>
            <w:tcW w:w="1380" w:type="dxa"/>
            <w:vAlign w:val="bottom"/>
            <w:tcBorders>
              <w:top w:val="single" w:sz="8" w:color="CFF0FC"/>
            </w:tcBorders>
            <w:gridSpan w:val="2"/>
          </w:tcPr>
          <w:p>
            <w:pPr>
              <w:jc w:val="right"/>
              <w:spacing w:after="0" w:line="182" w:lineRule="exact"/>
              <w:rPr>
                <w:sz w:val="20"/>
                <w:szCs w:val="20"/>
                <w:color w:val="auto"/>
              </w:rPr>
            </w:pPr>
            <w:r>
              <w:rPr>
                <w:rFonts w:ascii="Arial" w:cs="Arial" w:eastAsia="Arial" w:hAnsi="Arial"/>
                <w:sz w:val="18"/>
                <w:szCs w:val="18"/>
                <w:color w:val="auto"/>
              </w:rPr>
              <w:t>8.4</w:t>
            </w:r>
          </w:p>
        </w:tc>
        <w:tc>
          <w:tcPr>
            <w:tcW w:w="380" w:type="dxa"/>
            <w:vAlign w:val="bottom"/>
            <w:tcBorders>
              <w:top w:val="single" w:sz="8" w:color="CFF0FC"/>
            </w:tcBorders>
            <w:gridSpan w:val="2"/>
          </w:tcPr>
          <w:p>
            <w:pPr>
              <w:jc w:val="right"/>
              <w:ind w:right="80"/>
              <w:spacing w:after="0" w:line="182" w:lineRule="exact"/>
              <w:rPr>
                <w:sz w:val="20"/>
                <w:szCs w:val="20"/>
                <w:color w:val="auto"/>
              </w:rPr>
            </w:pPr>
            <w:r>
              <w:rPr>
                <w:rFonts w:ascii="Arial" w:cs="Arial" w:eastAsia="Arial" w:hAnsi="Arial"/>
                <w:sz w:val="18"/>
                <w:szCs w:val="18"/>
                <w:color w:val="auto"/>
              </w:rPr>
              <w:t>$</w:t>
            </w:r>
          </w:p>
        </w:tc>
        <w:tc>
          <w:tcPr>
            <w:tcW w:w="1020" w:type="dxa"/>
            <w:vAlign w:val="bottom"/>
            <w:tcBorders>
              <w:top w:val="single" w:sz="8" w:color="CFF0FC"/>
            </w:tcBorders>
          </w:tcPr>
          <w:p>
            <w:pPr>
              <w:jc w:val="right"/>
              <w:spacing w:after="0" w:line="182" w:lineRule="exact"/>
              <w:rPr>
                <w:sz w:val="20"/>
                <w:szCs w:val="20"/>
                <w:color w:val="auto"/>
              </w:rPr>
            </w:pPr>
            <w:r>
              <w:rPr>
                <w:rFonts w:ascii="Arial" w:cs="Arial" w:eastAsia="Arial" w:hAnsi="Arial"/>
                <w:sz w:val="18"/>
                <w:szCs w:val="18"/>
                <w:color w:val="auto"/>
              </w:rPr>
              <w:t>145.5</w:t>
            </w:r>
          </w:p>
        </w:tc>
        <w:tc>
          <w:tcPr>
            <w:tcW w:w="6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76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760" w:type="dxa"/>
            <w:vAlign w:val="bottom"/>
            <w:shd w:val="clear" w:color="auto" w:fill="CFF0FC"/>
          </w:tcPr>
          <w:p>
            <w:pPr>
              <w:ind w:left="200"/>
              <w:spacing w:after="0" w:line="183" w:lineRule="exact"/>
              <w:rPr>
                <w:sz w:val="20"/>
                <w:szCs w:val="20"/>
                <w:color w:val="auto"/>
              </w:rPr>
            </w:pPr>
            <w:r>
              <w:rPr>
                <w:rFonts w:ascii="Arial" w:cs="Arial" w:eastAsia="Arial" w:hAnsi="Arial"/>
                <w:sz w:val="18"/>
                <w:szCs w:val="18"/>
                <w:color w:val="auto"/>
              </w:rPr>
              <w:t>Exercisable at December 31, 2021</w:t>
            </w:r>
          </w:p>
        </w:tc>
        <w:tc>
          <w:tcPr>
            <w:tcW w:w="1200" w:type="dxa"/>
            <w:vAlign w:val="bottom"/>
            <w:shd w:val="clear" w:color="auto" w:fill="CFF0FC"/>
          </w:tcPr>
          <w:p>
            <w:pPr>
              <w:jc w:val="right"/>
              <w:spacing w:after="0" w:line="183" w:lineRule="exact"/>
              <w:rPr>
                <w:sz w:val="20"/>
                <w:szCs w:val="20"/>
                <w:color w:val="auto"/>
              </w:rPr>
            </w:pPr>
            <w:r>
              <w:rPr>
                <w:rFonts w:ascii="Arial" w:cs="Arial" w:eastAsia="Arial" w:hAnsi="Arial"/>
                <w:sz w:val="18"/>
                <w:szCs w:val="18"/>
                <w:color w:val="auto"/>
              </w:rPr>
              <w:t>987,622</w:t>
            </w:r>
          </w:p>
        </w:tc>
        <w:tc>
          <w:tcPr>
            <w:tcW w:w="2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line="183" w:lineRule="exact"/>
              <w:rPr>
                <w:sz w:val="20"/>
                <w:szCs w:val="20"/>
                <w:color w:val="auto"/>
              </w:rPr>
            </w:pPr>
            <w:r>
              <w:rPr>
                <w:rFonts w:ascii="Arial" w:cs="Arial" w:eastAsia="Arial" w:hAnsi="Arial"/>
                <w:sz w:val="18"/>
                <w:szCs w:val="18"/>
                <w:color w:val="auto"/>
              </w:rPr>
              <w:t>3.35</w:t>
            </w:r>
          </w:p>
        </w:tc>
        <w:tc>
          <w:tcPr>
            <w:tcW w:w="1380" w:type="dxa"/>
            <w:vAlign w:val="bottom"/>
            <w:gridSpan w:val="2"/>
            <w:shd w:val="clear" w:color="auto" w:fill="CFF0FC"/>
          </w:tcPr>
          <w:p>
            <w:pPr>
              <w:jc w:val="right"/>
              <w:spacing w:after="0" w:line="183" w:lineRule="exact"/>
              <w:rPr>
                <w:sz w:val="20"/>
                <w:szCs w:val="20"/>
                <w:color w:val="auto"/>
              </w:rPr>
            </w:pPr>
            <w:r>
              <w:rPr>
                <w:rFonts w:ascii="Arial" w:cs="Arial" w:eastAsia="Arial" w:hAnsi="Arial"/>
                <w:sz w:val="18"/>
                <w:szCs w:val="18"/>
                <w:color w:val="auto"/>
              </w:rPr>
              <w:t>7.5</w:t>
            </w:r>
          </w:p>
        </w:tc>
        <w:tc>
          <w:tcPr>
            <w:tcW w:w="380" w:type="dxa"/>
            <w:vAlign w:val="bottom"/>
            <w:gridSpan w:val="2"/>
            <w:shd w:val="clear" w:color="auto" w:fill="CFF0FC"/>
          </w:tcPr>
          <w:p>
            <w:pPr>
              <w:jc w:val="right"/>
              <w:ind w:right="80"/>
              <w:spacing w:after="0" w:line="183" w:lineRule="exact"/>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line="183" w:lineRule="exact"/>
              <w:rPr>
                <w:sz w:val="20"/>
                <w:szCs w:val="20"/>
                <w:color w:val="auto"/>
              </w:rPr>
            </w:pPr>
            <w:r>
              <w:rPr>
                <w:rFonts w:ascii="Arial" w:cs="Arial" w:eastAsia="Arial" w:hAnsi="Arial"/>
                <w:sz w:val="18"/>
                <w:szCs w:val="18"/>
                <w:color w:val="auto"/>
              </w:rPr>
              <w:t>47.3</w:t>
            </w: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4419600</wp:posOffset>
            </wp:positionH>
            <wp:positionV relativeFrom="paragraph">
              <wp:posOffset>-2413635</wp:posOffset>
            </wp:positionV>
            <wp:extent cx="68580" cy="571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-1216660</wp:posOffset>
            </wp:positionV>
            <wp:extent cx="6858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-1199515</wp:posOffset>
            </wp:positionV>
            <wp:extent cx="68580"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-287655</wp:posOffset>
            </wp:positionV>
            <wp:extent cx="68580" cy="571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6">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168" w:lineRule="exact"/>
        <w:rPr>
          <w:sz w:val="20"/>
          <w:szCs w:val="20"/>
          <w:color w:val="auto"/>
        </w:rPr>
      </w:pPr>
    </w:p>
    <w:p>
      <w:pPr>
        <w:ind w:right="80" w:firstLine="644"/>
        <w:spacing w:after="0"/>
        <w:rPr>
          <w:sz w:val="20"/>
          <w:szCs w:val="20"/>
          <w:color w:val="auto"/>
        </w:rPr>
      </w:pPr>
      <w:r>
        <w:rPr>
          <w:rFonts w:ascii="Arial" w:cs="Arial" w:eastAsia="Arial" w:hAnsi="Arial"/>
          <w:sz w:val="18"/>
          <w:szCs w:val="18"/>
          <w:color w:val="auto"/>
        </w:rPr>
        <w:t>In April 2021, the Company granted stock options to purchase up to 1.3 million shares of our common stock at an exercise price of $12.32 per share which generally vest over a requisite service period of four years. In the second quarter of 2021, the Company assessed the fair value of the Company's April 2021 stock option grant, giving consideration to the Company's initial public offering price of $44.00 per share. The Company assumed a $28.00 per share fair value, which was based on a 30% discount from the midpoint of our initial price range, in order to determine the appropriate stock-based compensation expense for financial reporting purposes. The Company estimated that the fair value of the April 2021 grants approximated $25.6 million which is being recognized over 4 years from the grant date.</w:t>
      </w:r>
    </w:p>
    <w:p>
      <w:pPr>
        <w:spacing w:after="0" w:line="149" w:lineRule="exact"/>
        <w:rPr>
          <w:sz w:val="20"/>
          <w:szCs w:val="20"/>
          <w:color w:val="auto"/>
        </w:rPr>
      </w:pPr>
    </w:p>
    <w:p>
      <w:pPr>
        <w:ind w:right="920" w:firstLine="644"/>
        <w:spacing w:after="0" w:line="261" w:lineRule="auto"/>
        <w:rPr>
          <w:sz w:val="20"/>
          <w:szCs w:val="20"/>
          <w:color w:val="auto"/>
        </w:rPr>
      </w:pPr>
      <w:r>
        <w:rPr>
          <w:rFonts w:ascii="Arial" w:cs="Arial" w:eastAsia="Arial" w:hAnsi="Arial"/>
          <w:sz w:val="18"/>
          <w:szCs w:val="18"/>
          <w:color w:val="auto"/>
        </w:rPr>
        <w:t>The total intrinsic value of options exercised during the years ended December 31, 2021 and 2020 was $19.0 million and $1.6 million, respectively.</w:t>
      </w:r>
    </w:p>
    <w:p>
      <w:pPr>
        <w:spacing w:after="0" w:line="144" w:lineRule="exact"/>
        <w:rPr>
          <w:sz w:val="20"/>
          <w:szCs w:val="20"/>
          <w:color w:val="auto"/>
        </w:rPr>
      </w:pPr>
    </w:p>
    <w:p>
      <w:pPr>
        <w:ind w:right="560" w:firstLine="644"/>
        <w:spacing w:after="0" w:line="248" w:lineRule="auto"/>
        <w:rPr>
          <w:sz w:val="20"/>
          <w:szCs w:val="20"/>
          <w:color w:val="auto"/>
        </w:rPr>
      </w:pPr>
      <w:r>
        <w:rPr>
          <w:rFonts w:ascii="Arial" w:cs="Arial" w:eastAsia="Arial" w:hAnsi="Arial"/>
          <w:sz w:val="18"/>
          <w:szCs w:val="18"/>
          <w:color w:val="auto"/>
        </w:rPr>
        <w:t>At December 31, 2021 and 2020, there was $21.4 million and $2.4 million, respectively, of total unrecognized compensation cost related to unvested stock options granted under the 2016 Equity Incentive Plan. That cost is expected to be recognized over a weighted average period of approximately 3 years and 1 year at December 31, 2021 and 2020, respectively.</w:t>
      </w:r>
    </w:p>
    <w:p>
      <w:pPr>
        <w:spacing w:after="0" w:line="14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currently uses authorized and unissued shares to satisfy share award exercises.</w:t>
      </w:r>
    </w:p>
    <w:p>
      <w:pPr>
        <w:spacing w:after="0" w:line="12"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43180</wp:posOffset>
            </wp:positionV>
            <wp:extent cx="7157720"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33" w:right="339" w:bottom="1440" w:gutter="0" w:footer="0" w:header="0"/>
        </w:sectPr>
      </w:pPr>
    </w:p>
    <w:bookmarkStart w:id="78" w:name="page79"/>
    <w:bookmarkEnd w:id="78"/>
    <w:p>
      <w:pPr>
        <w:spacing w:after="0"/>
        <w:rPr>
          <w:sz w:val="20"/>
          <w:szCs w:val="20"/>
          <w:color w:val="auto"/>
        </w:rPr>
      </w:pPr>
      <w:r>
        <w:rPr>
          <w:rFonts w:ascii="Arial" w:cs="Arial" w:eastAsia="Arial" w:hAnsi="Arial"/>
          <w:sz w:val="18"/>
          <w:szCs w:val="18"/>
          <w:b w:val="1"/>
          <w:bCs w:val="1"/>
          <w:color w:val="auto"/>
        </w:rPr>
        <w:t>Restricted Stock Units</w:t>
      </w:r>
    </w:p>
    <w:p>
      <w:pPr>
        <w:spacing w:after="0" w:line="108" w:lineRule="exact"/>
        <w:rPr>
          <w:sz w:val="20"/>
          <w:szCs w:val="20"/>
          <w:color w:val="auto"/>
        </w:rPr>
      </w:pPr>
    </w:p>
    <w:p>
      <w:pPr>
        <w:ind w:right="160" w:firstLine="644"/>
        <w:spacing w:after="0" w:line="261" w:lineRule="auto"/>
        <w:rPr>
          <w:sz w:val="20"/>
          <w:szCs w:val="20"/>
          <w:color w:val="auto"/>
        </w:rPr>
      </w:pPr>
      <w:r>
        <w:rPr>
          <w:rFonts w:ascii="Arial" w:cs="Arial" w:eastAsia="Arial" w:hAnsi="Arial"/>
          <w:sz w:val="18"/>
          <w:szCs w:val="18"/>
          <w:color w:val="auto"/>
        </w:rPr>
        <w:t>A summary of the status of the Company’s restricted stock unit activity and the changes during the year ended December 31, 2021 are as follows (in millions, except share and per share amounts):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00" w:type="dxa"/>
            <w:vAlign w:val="bottom"/>
          </w:tcPr>
          <w:p>
            <w:pPr>
              <w:jc w:val="center"/>
              <w:ind w:left="338"/>
              <w:spacing w:after="0"/>
              <w:rPr>
                <w:sz w:val="20"/>
                <w:szCs w:val="20"/>
                <w:color w:val="auto"/>
              </w:rPr>
            </w:pPr>
            <w:r>
              <w:rPr>
                <w:rFonts w:ascii="Arial" w:cs="Arial" w:eastAsia="Arial" w:hAnsi="Arial"/>
                <w:sz w:val="14"/>
                <w:szCs w:val="14"/>
                <w:b w:val="1"/>
                <w:bCs w:val="1"/>
                <w:color w:val="auto"/>
                <w:w w:val="95"/>
              </w:rPr>
              <w:t>Weighted</w:t>
            </w: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vMerge w:val="restart"/>
          </w:tcPr>
          <w:p>
            <w:pPr>
              <w:jc w:val="center"/>
              <w:ind w:right="201"/>
              <w:spacing w:after="0"/>
              <w:rPr>
                <w:sz w:val="20"/>
                <w:szCs w:val="20"/>
                <w:color w:val="auto"/>
              </w:rPr>
            </w:pPr>
            <w:r>
              <w:rPr>
                <w:rFonts w:ascii="Arial" w:cs="Arial" w:eastAsia="Arial" w:hAnsi="Arial"/>
                <w:sz w:val="14"/>
                <w:szCs w:val="14"/>
                <w:b w:val="1"/>
                <w:bCs w:val="1"/>
                <w:color w:val="auto"/>
                <w:w w:val="92"/>
              </w:rPr>
              <w:t>Aggregate</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820" w:type="dxa"/>
            <w:vAlign w:val="bottom"/>
          </w:tcPr>
          <w:p>
            <w:pPr>
              <w:spacing w:after="0"/>
              <w:rPr>
                <w:sz w:val="12"/>
                <w:szCs w:val="12"/>
                <w:color w:val="auto"/>
              </w:rPr>
            </w:pPr>
          </w:p>
        </w:tc>
        <w:tc>
          <w:tcPr>
            <w:tcW w:w="2000" w:type="dxa"/>
            <w:vAlign w:val="bottom"/>
            <w:gridSpan w:val="2"/>
            <w:vMerge w:val="restart"/>
          </w:tcPr>
          <w:p>
            <w:pPr>
              <w:jc w:val="right"/>
              <w:ind w:right="840"/>
              <w:spacing w:after="0"/>
              <w:rPr>
                <w:sz w:val="20"/>
                <w:szCs w:val="20"/>
                <w:color w:val="auto"/>
              </w:rPr>
            </w:pPr>
            <w:r>
              <w:rPr>
                <w:rFonts w:ascii="Arial" w:cs="Arial" w:eastAsia="Arial" w:hAnsi="Arial"/>
                <w:sz w:val="14"/>
                <w:szCs w:val="14"/>
                <w:b w:val="1"/>
                <w:bCs w:val="1"/>
                <w:color w:val="auto"/>
              </w:rPr>
              <w:t>Number of</w:t>
            </w:r>
          </w:p>
        </w:tc>
        <w:tc>
          <w:tcPr>
            <w:tcW w:w="1100" w:type="dxa"/>
            <w:vAlign w:val="bottom"/>
          </w:tcPr>
          <w:p>
            <w:pPr>
              <w:jc w:val="center"/>
              <w:ind w:left="358"/>
              <w:spacing w:after="0" w:line="149" w:lineRule="exact"/>
              <w:rPr>
                <w:sz w:val="20"/>
                <w:szCs w:val="20"/>
                <w:color w:val="auto"/>
              </w:rPr>
            </w:pPr>
            <w:r>
              <w:rPr>
                <w:rFonts w:ascii="Arial" w:cs="Arial" w:eastAsia="Arial" w:hAnsi="Arial"/>
                <w:sz w:val="14"/>
                <w:szCs w:val="14"/>
                <w:b w:val="1"/>
                <w:bCs w:val="1"/>
                <w:color w:val="auto"/>
                <w:w w:val="90"/>
              </w:rPr>
              <w:t>Average</w:t>
            </w:r>
          </w:p>
        </w:tc>
        <w:tc>
          <w:tcPr>
            <w:tcW w:w="4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820" w:type="dxa"/>
            <w:vAlign w:val="bottom"/>
          </w:tcPr>
          <w:p>
            <w:pPr>
              <w:spacing w:after="0"/>
              <w:rPr>
                <w:sz w:val="12"/>
                <w:szCs w:val="12"/>
                <w:color w:val="auto"/>
              </w:rPr>
            </w:pPr>
          </w:p>
        </w:tc>
        <w:tc>
          <w:tcPr>
            <w:tcW w:w="2000" w:type="dxa"/>
            <w:vAlign w:val="bottom"/>
            <w:gridSpan w:val="2"/>
            <w:vMerge w:val="continue"/>
          </w:tcPr>
          <w:p>
            <w:pPr>
              <w:spacing w:after="0"/>
              <w:rPr>
                <w:sz w:val="12"/>
                <w:szCs w:val="12"/>
                <w:color w:val="auto"/>
              </w:rPr>
            </w:pPr>
          </w:p>
        </w:tc>
        <w:tc>
          <w:tcPr>
            <w:tcW w:w="15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6"/>
              </w:rPr>
              <w:t>Grant Date fair value</w:t>
            </w: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40" w:type="dxa"/>
            <w:vAlign w:val="bottom"/>
          </w:tcPr>
          <w:p>
            <w:pPr>
              <w:jc w:val="center"/>
              <w:ind w:right="201"/>
              <w:spacing w:after="0" w:line="149" w:lineRule="exact"/>
              <w:rPr>
                <w:sz w:val="20"/>
                <w:szCs w:val="20"/>
                <w:color w:val="auto"/>
              </w:rPr>
            </w:pPr>
            <w:r>
              <w:rPr>
                <w:rFonts w:ascii="Arial" w:cs="Arial" w:eastAsia="Arial" w:hAnsi="Arial"/>
                <w:sz w:val="14"/>
                <w:szCs w:val="14"/>
                <w:b w:val="1"/>
                <w:bCs w:val="1"/>
                <w:color w:val="auto"/>
                <w:w w:val="95"/>
              </w:rPr>
              <w:t>Intrinsic</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5820" w:type="dxa"/>
            <w:vAlign w:val="bottom"/>
          </w:tcPr>
          <w:p>
            <w:pPr>
              <w:spacing w:after="0"/>
              <w:rPr>
                <w:sz w:val="16"/>
                <w:szCs w:val="16"/>
                <w:color w:val="auto"/>
              </w:rPr>
            </w:pPr>
          </w:p>
        </w:tc>
        <w:tc>
          <w:tcPr>
            <w:tcW w:w="164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Shares</w:t>
            </w:r>
          </w:p>
        </w:tc>
        <w:tc>
          <w:tcPr>
            <w:tcW w:w="360" w:type="dxa"/>
            <w:vAlign w:val="bottom"/>
          </w:tcPr>
          <w:p>
            <w:pPr>
              <w:spacing w:after="0"/>
              <w:rPr>
                <w:sz w:val="16"/>
                <w:szCs w:val="16"/>
                <w:color w:val="auto"/>
              </w:rPr>
            </w:pPr>
          </w:p>
        </w:tc>
        <w:tc>
          <w:tcPr>
            <w:tcW w:w="1100" w:type="dxa"/>
            <w:vAlign w:val="bottom"/>
            <w:tcBorders>
              <w:bottom w:val="single" w:sz="8" w:color="auto"/>
            </w:tcBorders>
          </w:tcPr>
          <w:p>
            <w:pPr>
              <w:jc w:val="center"/>
              <w:ind w:left="338"/>
              <w:spacing w:after="0"/>
              <w:rPr>
                <w:sz w:val="20"/>
                <w:szCs w:val="20"/>
                <w:color w:val="auto"/>
              </w:rPr>
            </w:pPr>
            <w:r>
              <w:rPr>
                <w:rFonts w:ascii="Arial" w:cs="Arial" w:eastAsia="Arial" w:hAnsi="Arial"/>
                <w:sz w:val="14"/>
                <w:szCs w:val="14"/>
                <w:b w:val="1"/>
                <w:bCs w:val="1"/>
                <w:color w:val="auto"/>
                <w:w w:val="93"/>
              </w:rPr>
              <w:t>(per share)</w:t>
            </w:r>
          </w:p>
        </w:tc>
        <w:tc>
          <w:tcPr>
            <w:tcW w:w="420" w:type="dxa"/>
            <w:vAlign w:val="bottom"/>
            <w:tcBorders>
              <w:bottom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221"/>
              <w:spacing w:after="0"/>
              <w:rPr>
                <w:sz w:val="20"/>
                <w:szCs w:val="20"/>
                <w:color w:val="auto"/>
              </w:rPr>
            </w:pPr>
            <w:r>
              <w:rPr>
                <w:rFonts w:ascii="Arial" w:cs="Arial" w:eastAsia="Arial" w:hAnsi="Arial"/>
                <w:sz w:val="14"/>
                <w:szCs w:val="14"/>
                <w:b w:val="1"/>
                <w:bCs w:val="1"/>
                <w:color w:val="auto"/>
                <w:w w:val="90"/>
              </w:rPr>
              <w:t>Value</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820" w:type="dxa"/>
            <w:vAlign w:val="bottom"/>
            <w:shd w:val="clear" w:color="auto" w:fill="CFF0FC"/>
          </w:tcPr>
          <w:p>
            <w:pPr>
              <w:spacing w:after="0"/>
              <w:rPr>
                <w:sz w:val="17"/>
                <w:szCs w:val="17"/>
                <w:color w:val="auto"/>
              </w:rPr>
            </w:pPr>
          </w:p>
        </w:tc>
        <w:tc>
          <w:tcPr>
            <w:tcW w:w="164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600" w:type="dxa"/>
            <w:vAlign w:val="bottom"/>
            <w:gridSpan w:val="2"/>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20" w:type="dxa"/>
            <w:vAlign w:val="bottom"/>
          </w:tcPr>
          <w:p>
            <w:pPr>
              <w:ind w:left="20"/>
              <w:spacing w:after="0" w:line="202" w:lineRule="exact"/>
              <w:rPr>
                <w:sz w:val="20"/>
                <w:szCs w:val="20"/>
                <w:color w:val="auto"/>
              </w:rPr>
            </w:pPr>
            <w:r>
              <w:rPr>
                <w:rFonts w:ascii="Arial" w:cs="Arial" w:eastAsia="Arial" w:hAnsi="Arial"/>
                <w:sz w:val="18"/>
                <w:szCs w:val="18"/>
                <w:color w:val="auto"/>
              </w:rPr>
              <w:t>Unvested RSUs as of December 31, 2020</w:t>
            </w:r>
          </w:p>
        </w:tc>
        <w:tc>
          <w:tcPr>
            <w:tcW w:w="16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360" w:type="dxa"/>
            <w:vAlign w:val="bottom"/>
          </w:tcPr>
          <w:p>
            <w:pPr>
              <w:spacing w:after="0"/>
              <w:rPr>
                <w:sz w:val="17"/>
                <w:szCs w:val="17"/>
                <w:color w:val="auto"/>
              </w:rPr>
            </w:pPr>
          </w:p>
        </w:tc>
        <w:tc>
          <w:tcPr>
            <w:tcW w:w="1100" w:type="dxa"/>
            <w:vAlign w:val="bottom"/>
          </w:tcPr>
          <w:p>
            <w:pPr>
              <w:jc w:val="right"/>
              <w:ind w:right="918"/>
              <w:spacing w:after="0" w:line="202" w:lineRule="exact"/>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Granted</w:t>
            </w:r>
          </w:p>
        </w:tc>
        <w:tc>
          <w:tcPr>
            <w:tcW w:w="16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193,722</w:t>
            </w:r>
          </w:p>
        </w:tc>
        <w:tc>
          <w:tcPr>
            <w:tcW w:w="360" w:type="dxa"/>
            <w:vAlign w:val="bottom"/>
            <w:shd w:val="clear" w:color="auto" w:fill="CFF0FC"/>
          </w:tcPr>
          <w:p>
            <w:pPr>
              <w:spacing w:after="0"/>
              <w:rPr>
                <w:sz w:val="17"/>
                <w:szCs w:val="17"/>
                <w:color w:val="auto"/>
              </w:rPr>
            </w:pPr>
          </w:p>
        </w:tc>
        <w:tc>
          <w:tcPr>
            <w:tcW w:w="1100" w:type="dxa"/>
            <w:vAlign w:val="bottom"/>
            <w:shd w:val="clear" w:color="auto" w:fill="CFF0FC"/>
          </w:tcPr>
          <w:p>
            <w:pPr>
              <w:jc w:val="right"/>
              <w:ind w:right="918"/>
              <w:spacing w:after="0" w:line="202" w:lineRule="exact"/>
              <w:rPr>
                <w:sz w:val="20"/>
                <w:szCs w:val="20"/>
                <w:color w:val="auto"/>
              </w:rPr>
            </w:pPr>
            <w:r>
              <w:rPr>
                <w:rFonts w:ascii="Arial" w:cs="Arial" w:eastAsia="Arial" w:hAnsi="Arial"/>
                <w:sz w:val="18"/>
                <w:szCs w:val="18"/>
                <w:color w:val="auto"/>
                <w:w w:val="79"/>
              </w:rPr>
              <w:t>$</w:t>
            </w:r>
          </w:p>
        </w:tc>
        <w:tc>
          <w:tcPr>
            <w:tcW w:w="4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84"/>
              </w:rPr>
              <w:t>64.02</w:t>
            </w:r>
          </w:p>
        </w:tc>
        <w:tc>
          <w:tcPr>
            <w:tcW w:w="3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20" w:type="dxa"/>
            <w:vAlign w:val="bottom"/>
          </w:tcPr>
          <w:p>
            <w:pPr>
              <w:ind w:left="20"/>
              <w:spacing w:after="0" w:line="202" w:lineRule="exact"/>
              <w:rPr>
                <w:sz w:val="20"/>
                <w:szCs w:val="20"/>
                <w:color w:val="auto"/>
              </w:rPr>
            </w:pPr>
            <w:r>
              <w:rPr>
                <w:rFonts w:ascii="Arial" w:cs="Arial" w:eastAsia="Arial" w:hAnsi="Arial"/>
                <w:sz w:val="18"/>
                <w:szCs w:val="18"/>
                <w:color w:val="auto"/>
              </w:rPr>
              <w:t>Vested</w:t>
            </w:r>
          </w:p>
        </w:tc>
        <w:tc>
          <w:tcPr>
            <w:tcW w:w="200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(1,954 )</w:t>
            </w:r>
          </w:p>
        </w:tc>
        <w:tc>
          <w:tcPr>
            <w:tcW w:w="1100" w:type="dxa"/>
            <w:vAlign w:val="bottom"/>
          </w:tcPr>
          <w:p>
            <w:pPr>
              <w:jc w:val="right"/>
              <w:ind w:right="918"/>
              <w:spacing w:after="0" w:line="202" w:lineRule="exact"/>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line="202" w:lineRule="exact"/>
              <w:rPr>
                <w:sz w:val="20"/>
                <w:szCs w:val="20"/>
                <w:color w:val="auto"/>
              </w:rPr>
            </w:pPr>
            <w:r>
              <w:rPr>
                <w:rFonts w:ascii="Arial" w:cs="Arial" w:eastAsia="Arial" w:hAnsi="Arial"/>
                <w:sz w:val="18"/>
                <w:szCs w:val="18"/>
                <w:color w:val="auto"/>
                <w:w w:val="84"/>
              </w:rPr>
              <w:t>73.17</w:t>
            </w: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Forfeited and cancelled</w:t>
            </w:r>
          </w:p>
        </w:tc>
        <w:tc>
          <w:tcPr>
            <w:tcW w:w="2000" w:type="dxa"/>
            <w:vAlign w:val="bottom"/>
            <w:gridSpan w:val="2"/>
            <w:shd w:val="clear" w:color="auto" w:fill="CFF0FC"/>
          </w:tcPr>
          <w:p>
            <w:pPr>
              <w:jc w:val="right"/>
              <w:ind w:right="280"/>
              <w:spacing w:after="0" w:line="202" w:lineRule="exact"/>
              <w:rPr>
                <w:sz w:val="20"/>
                <w:szCs w:val="20"/>
                <w:color w:val="auto"/>
              </w:rPr>
            </w:pPr>
            <w:r>
              <w:rPr>
                <w:rFonts w:ascii="Arial" w:cs="Arial" w:eastAsia="Arial" w:hAnsi="Arial"/>
                <w:sz w:val="18"/>
                <w:szCs w:val="18"/>
                <w:color w:val="auto"/>
              </w:rPr>
              <w:t>(5,288 )</w:t>
            </w:r>
          </w:p>
        </w:tc>
        <w:tc>
          <w:tcPr>
            <w:tcW w:w="1100" w:type="dxa"/>
            <w:vAlign w:val="bottom"/>
            <w:shd w:val="clear" w:color="auto" w:fill="CFF0FC"/>
          </w:tcPr>
          <w:p>
            <w:pPr>
              <w:jc w:val="right"/>
              <w:ind w:right="918"/>
              <w:spacing w:after="0" w:line="202" w:lineRule="exact"/>
              <w:rPr>
                <w:sz w:val="20"/>
                <w:szCs w:val="20"/>
                <w:color w:val="auto"/>
              </w:rPr>
            </w:pPr>
            <w:r>
              <w:rPr>
                <w:rFonts w:ascii="Arial" w:cs="Arial" w:eastAsia="Arial" w:hAnsi="Arial"/>
                <w:sz w:val="18"/>
                <w:szCs w:val="18"/>
                <w:color w:val="auto"/>
                <w:w w:val="79"/>
              </w:rPr>
              <w:t>$</w:t>
            </w:r>
          </w:p>
        </w:tc>
        <w:tc>
          <w:tcPr>
            <w:tcW w:w="4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84"/>
              </w:rPr>
              <w:t>63.58</w:t>
            </w:r>
          </w:p>
        </w:tc>
        <w:tc>
          <w:tcPr>
            <w:tcW w:w="3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820" w:type="dxa"/>
            <w:vAlign w:val="bottom"/>
            <w:tcBorders>
              <w:top w:val="single" w:sz="8" w:color="CFF0FC"/>
            </w:tcBorders>
          </w:tcPr>
          <w:p>
            <w:pPr>
              <w:ind w:left="20"/>
              <w:spacing w:after="0" w:line="182" w:lineRule="exact"/>
              <w:rPr>
                <w:sz w:val="20"/>
                <w:szCs w:val="20"/>
                <w:color w:val="auto"/>
              </w:rPr>
            </w:pPr>
            <w:r>
              <w:rPr>
                <w:rFonts w:ascii="Arial" w:cs="Arial" w:eastAsia="Arial" w:hAnsi="Arial"/>
                <w:sz w:val="18"/>
                <w:szCs w:val="18"/>
                <w:color w:val="auto"/>
              </w:rPr>
              <w:t>Unvested RSUs as of December 31, 2021</w:t>
            </w:r>
          </w:p>
        </w:tc>
        <w:tc>
          <w:tcPr>
            <w:tcW w:w="164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186,480</w:t>
            </w:r>
          </w:p>
        </w:tc>
        <w:tc>
          <w:tcPr>
            <w:tcW w:w="360" w:type="dxa"/>
            <w:vAlign w:val="bottom"/>
            <w:tcBorders>
              <w:top w:val="single" w:sz="8" w:color="CFF0FC"/>
            </w:tcBorders>
          </w:tcPr>
          <w:p>
            <w:pPr>
              <w:spacing w:after="0"/>
              <w:rPr>
                <w:sz w:val="17"/>
                <w:szCs w:val="17"/>
                <w:color w:val="auto"/>
              </w:rPr>
            </w:pPr>
          </w:p>
        </w:tc>
        <w:tc>
          <w:tcPr>
            <w:tcW w:w="1100" w:type="dxa"/>
            <w:vAlign w:val="bottom"/>
            <w:tcBorders>
              <w:top w:val="single" w:sz="8" w:color="CFF0FC"/>
            </w:tcBorders>
          </w:tcPr>
          <w:p>
            <w:pPr>
              <w:jc w:val="right"/>
              <w:ind w:right="918"/>
              <w:spacing w:after="0" w:line="182" w:lineRule="exact"/>
              <w:rPr>
                <w:sz w:val="20"/>
                <w:szCs w:val="20"/>
                <w:color w:val="auto"/>
              </w:rPr>
            </w:pPr>
            <w:r>
              <w:rPr>
                <w:rFonts w:ascii="Arial" w:cs="Arial" w:eastAsia="Arial" w:hAnsi="Arial"/>
                <w:sz w:val="18"/>
                <w:szCs w:val="18"/>
                <w:color w:val="auto"/>
                <w:w w:val="79"/>
              </w:rPr>
              <w:t>$</w:t>
            </w:r>
          </w:p>
        </w:tc>
        <w:tc>
          <w:tcPr>
            <w:tcW w:w="420" w:type="dxa"/>
            <w:vAlign w:val="bottom"/>
            <w:tcBorders>
              <w:top w:val="single" w:sz="8" w:color="CFF0FC"/>
            </w:tcBorders>
          </w:tcPr>
          <w:p>
            <w:pPr>
              <w:jc w:val="right"/>
              <w:spacing w:after="0" w:line="182" w:lineRule="exact"/>
              <w:rPr>
                <w:sz w:val="20"/>
                <w:szCs w:val="20"/>
                <w:color w:val="auto"/>
              </w:rPr>
            </w:pPr>
            <w:r>
              <w:rPr>
                <w:rFonts w:ascii="Arial" w:cs="Arial" w:eastAsia="Arial" w:hAnsi="Arial"/>
                <w:sz w:val="18"/>
                <w:szCs w:val="18"/>
                <w:color w:val="auto"/>
                <w:w w:val="84"/>
              </w:rPr>
              <w:t>63.94</w:t>
            </w:r>
          </w:p>
        </w:tc>
        <w:tc>
          <w:tcPr>
            <w:tcW w:w="600" w:type="dxa"/>
            <w:vAlign w:val="bottom"/>
            <w:tcBorders>
              <w:top w:val="single" w:sz="8" w:color="CFF0FC"/>
            </w:tcBorders>
            <w:gridSpan w:val="2"/>
          </w:tcPr>
          <w:p>
            <w:pPr>
              <w:jc w:val="right"/>
              <w:ind w:right="180"/>
              <w:spacing w:after="0" w:line="182" w:lineRule="exact"/>
              <w:rPr>
                <w:sz w:val="20"/>
                <w:szCs w:val="20"/>
                <w:color w:val="auto"/>
              </w:rPr>
            </w:pPr>
            <w:r>
              <w:rPr>
                <w:rFonts w:ascii="Arial" w:cs="Arial" w:eastAsia="Arial" w:hAnsi="Arial"/>
                <w:sz w:val="18"/>
                <w:szCs w:val="18"/>
                <w:color w:val="auto"/>
              </w:rPr>
              <w:t>$</w:t>
            </w:r>
          </w:p>
        </w:tc>
        <w:tc>
          <w:tcPr>
            <w:tcW w:w="1240" w:type="dxa"/>
            <w:vAlign w:val="bottom"/>
            <w:tcBorders>
              <w:top w:val="single" w:sz="8" w:color="CFF0FC"/>
            </w:tcBorders>
          </w:tcPr>
          <w:p>
            <w:pPr>
              <w:jc w:val="right"/>
              <w:spacing w:after="0" w:line="182" w:lineRule="exact"/>
              <w:rPr>
                <w:sz w:val="20"/>
                <w:szCs w:val="20"/>
                <w:color w:val="auto"/>
              </w:rPr>
            </w:pPr>
            <w:r>
              <w:rPr>
                <w:rFonts w:ascii="Arial" w:cs="Arial" w:eastAsia="Arial" w:hAnsi="Arial"/>
                <w:sz w:val="18"/>
                <w:szCs w:val="18"/>
                <w:color w:val="auto"/>
              </w:rPr>
              <w:t>9.6</w:t>
            </w:r>
          </w:p>
        </w:tc>
        <w:tc>
          <w:tcPr>
            <w:tcW w:w="6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4737100</wp:posOffset>
            </wp:positionH>
            <wp:positionV relativeFrom="paragraph">
              <wp:posOffset>-159385</wp:posOffset>
            </wp:positionV>
            <wp:extent cx="68580" cy="571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8">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155" w:lineRule="exact"/>
        <w:rPr>
          <w:sz w:val="20"/>
          <w:szCs w:val="20"/>
          <w:color w:val="auto"/>
        </w:rPr>
      </w:pPr>
    </w:p>
    <w:p>
      <w:pPr>
        <w:ind w:right="180" w:firstLine="644"/>
        <w:spacing w:after="0" w:line="324" w:lineRule="auto"/>
        <w:rPr>
          <w:sz w:val="20"/>
          <w:szCs w:val="20"/>
          <w:color w:val="auto"/>
        </w:rPr>
      </w:pPr>
      <w:r>
        <w:rPr>
          <w:rFonts w:ascii="Arial" w:cs="Arial" w:eastAsia="Arial" w:hAnsi="Arial"/>
          <w:sz w:val="16"/>
          <w:szCs w:val="16"/>
          <w:color w:val="auto"/>
        </w:rPr>
        <w:t>At December 31, 2021 there was approximately $10.7 million of total unrecognized compensation cost related to unvested restricted stock units granted under the 2021 Equity Incentive Plan. That cost is expected to be recognized over a weighted average period of 4 years at December 31, 2021.</w:t>
      </w:r>
    </w:p>
    <w:p>
      <w:pPr>
        <w:spacing w:after="0" w:line="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Total stock-based compensation cost for the years ended December 31, 2021, 2020 and 2019 were as follows (in thousands):</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6020" w:type="dxa"/>
            <w:vAlign w:val="bottom"/>
          </w:tcPr>
          <w:p>
            <w:pPr>
              <w:spacing w:after="0"/>
              <w:rPr>
                <w:sz w:val="14"/>
                <w:szCs w:val="14"/>
                <w:color w:val="auto"/>
              </w:rPr>
            </w:pPr>
          </w:p>
        </w:tc>
        <w:tc>
          <w:tcPr>
            <w:tcW w:w="126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4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69"/>
        </w:trPr>
        <w:tc>
          <w:tcPr>
            <w:tcW w:w="6020" w:type="dxa"/>
            <w:vAlign w:val="bottom"/>
          </w:tcPr>
          <w:p>
            <w:pPr>
              <w:spacing w:after="0"/>
              <w:rPr>
                <w:sz w:val="14"/>
                <w:szCs w:val="14"/>
                <w:color w:val="auto"/>
              </w:rPr>
            </w:pPr>
          </w:p>
        </w:tc>
        <w:tc>
          <w:tcPr>
            <w:tcW w:w="126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rPr>
              <w:t>2021</w:t>
            </w:r>
          </w:p>
        </w:tc>
        <w:tc>
          <w:tcPr>
            <w:tcW w:w="6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380" w:type="dxa"/>
            <w:vAlign w:val="bottom"/>
            <w:tcBorders>
              <w:bottom w:val="single" w:sz="8" w:color="auto"/>
            </w:tcBorders>
          </w:tcPr>
          <w:p>
            <w:pPr>
              <w:jc w:val="right"/>
              <w:ind w:right="219"/>
              <w:spacing w:after="0"/>
              <w:rPr>
                <w:sz w:val="20"/>
                <w:szCs w:val="20"/>
                <w:color w:val="auto"/>
              </w:rPr>
            </w:pPr>
            <w:r>
              <w:rPr>
                <w:rFonts w:ascii="Arial" w:cs="Arial" w:eastAsia="Arial" w:hAnsi="Arial"/>
                <w:sz w:val="14"/>
                <w:szCs w:val="14"/>
                <w:b w:val="1"/>
                <w:bCs w:val="1"/>
                <w:color w:val="auto"/>
              </w:rPr>
              <w:t>2020</w:t>
            </w:r>
          </w:p>
        </w:tc>
        <w:tc>
          <w:tcPr>
            <w:tcW w:w="4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4"/>
                <w:szCs w:val="14"/>
                <w:color w:val="auto"/>
              </w:rPr>
            </w:pPr>
          </w:p>
        </w:tc>
      </w:tr>
      <w:tr>
        <w:trPr>
          <w:trHeight w:val="169"/>
        </w:trPr>
        <w:tc>
          <w:tcPr>
            <w:tcW w:w="60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560" w:type="dxa"/>
            <w:vAlign w:val="bottom"/>
            <w:gridSpan w:val="2"/>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gridSpan w:val="2"/>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03"/>
        </w:trPr>
        <w:tc>
          <w:tcPr>
            <w:tcW w:w="60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Sales and marketing</w:t>
            </w:r>
          </w:p>
        </w:tc>
        <w:tc>
          <w:tcPr>
            <w:tcW w:w="1260" w:type="dxa"/>
            <w:vAlign w:val="bottom"/>
            <w:shd w:val="clear" w:color="auto" w:fill="CFF0FC"/>
          </w:tcPr>
          <w:p>
            <w:pPr>
              <w:jc w:val="right"/>
              <w:ind w:right="1076"/>
              <w:spacing w:after="0" w:line="202" w:lineRule="exact"/>
              <w:rPr>
                <w:sz w:val="20"/>
                <w:szCs w:val="20"/>
                <w:color w:val="auto"/>
              </w:rPr>
            </w:pPr>
            <w:r>
              <w:rPr>
                <w:rFonts w:ascii="Arial" w:cs="Arial" w:eastAsia="Arial" w:hAnsi="Arial"/>
                <w:sz w:val="18"/>
                <w:szCs w:val="18"/>
                <w:color w:val="auto"/>
                <w:w w:val="79"/>
              </w:rPr>
              <w:t>$</w:t>
            </w:r>
          </w:p>
        </w:tc>
        <w:tc>
          <w:tcPr>
            <w:tcW w:w="6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1,223</w:t>
            </w:r>
          </w:p>
        </w:tc>
        <w:tc>
          <w:tcPr>
            <w:tcW w:w="1560" w:type="dxa"/>
            <w:vAlign w:val="bottom"/>
            <w:gridSpan w:val="2"/>
            <w:shd w:val="clear" w:color="auto" w:fill="CFF0FC"/>
          </w:tcPr>
          <w:p>
            <w:pPr>
              <w:jc w:val="right"/>
              <w:ind w:right="1199"/>
              <w:spacing w:after="0" w:line="202" w:lineRule="exact"/>
              <w:rPr>
                <w:sz w:val="20"/>
                <w:szCs w:val="20"/>
                <w:color w:val="auto"/>
              </w:rPr>
            </w:pPr>
            <w:r>
              <w:rPr>
                <w:rFonts w:ascii="Arial" w:cs="Arial" w:eastAsia="Arial" w:hAnsi="Arial"/>
                <w:sz w:val="18"/>
                <w:szCs w:val="18"/>
                <w:color w:val="auto"/>
              </w:rPr>
              <w:t>$</w:t>
            </w:r>
          </w:p>
        </w:tc>
        <w:tc>
          <w:tcPr>
            <w:tcW w:w="4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156</w:t>
            </w:r>
          </w:p>
        </w:tc>
        <w:tc>
          <w:tcPr>
            <w:tcW w:w="420" w:type="dxa"/>
            <w:vAlign w:val="bottom"/>
            <w:gridSpan w:val="2"/>
            <w:shd w:val="clear" w:color="auto" w:fill="CFF0FC"/>
          </w:tcPr>
          <w:p>
            <w:pPr>
              <w:jc w:val="right"/>
              <w:ind w:right="70"/>
              <w:spacing w:after="0" w:line="202" w:lineRule="exact"/>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93</w:t>
            </w:r>
          </w:p>
        </w:tc>
        <w:tc>
          <w:tcPr>
            <w:tcW w:w="60" w:type="dxa"/>
            <w:vAlign w:val="bottom"/>
            <w:shd w:val="clear" w:color="auto" w:fill="CFF0FC"/>
          </w:tcPr>
          <w:p>
            <w:pPr>
              <w:spacing w:after="0"/>
              <w:rPr>
                <w:sz w:val="17"/>
                <w:szCs w:val="17"/>
                <w:color w:val="auto"/>
              </w:rPr>
            </w:pPr>
          </w:p>
        </w:tc>
      </w:tr>
      <w:tr>
        <w:trPr>
          <w:trHeight w:val="203"/>
        </w:trPr>
        <w:tc>
          <w:tcPr>
            <w:tcW w:w="6020" w:type="dxa"/>
            <w:vAlign w:val="bottom"/>
          </w:tcPr>
          <w:p>
            <w:pPr>
              <w:ind w:left="20"/>
              <w:spacing w:after="0" w:line="202" w:lineRule="exact"/>
              <w:rPr>
                <w:sz w:val="20"/>
                <w:szCs w:val="20"/>
                <w:color w:val="auto"/>
              </w:rPr>
            </w:pPr>
            <w:r>
              <w:rPr>
                <w:rFonts w:ascii="Arial" w:cs="Arial" w:eastAsia="Arial" w:hAnsi="Arial"/>
                <w:sz w:val="18"/>
                <w:szCs w:val="18"/>
                <w:color w:val="auto"/>
              </w:rPr>
              <w:t>Operations and support</w:t>
            </w:r>
          </w:p>
        </w:tc>
        <w:tc>
          <w:tcPr>
            <w:tcW w:w="126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2,659</w:t>
            </w:r>
          </w:p>
        </w:tc>
        <w:tc>
          <w:tcPr>
            <w:tcW w:w="1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480" w:type="dxa"/>
            <w:vAlign w:val="bottom"/>
          </w:tcPr>
          <w:p>
            <w:pPr>
              <w:jc w:val="right"/>
              <w:spacing w:after="0" w:line="202" w:lineRule="exact"/>
              <w:rPr>
                <w:sz w:val="20"/>
                <w:szCs w:val="20"/>
                <w:color w:val="auto"/>
              </w:rPr>
            </w:pPr>
            <w:r>
              <w:rPr>
                <w:rFonts w:ascii="Arial" w:cs="Arial" w:eastAsia="Arial" w:hAnsi="Arial"/>
                <w:sz w:val="18"/>
                <w:szCs w:val="18"/>
                <w:color w:val="auto"/>
              </w:rPr>
              <w:t>259</w:t>
            </w: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154</w:t>
            </w:r>
          </w:p>
        </w:tc>
        <w:tc>
          <w:tcPr>
            <w:tcW w:w="60" w:type="dxa"/>
            <w:vAlign w:val="bottom"/>
          </w:tcPr>
          <w:p>
            <w:pPr>
              <w:spacing w:after="0"/>
              <w:rPr>
                <w:sz w:val="17"/>
                <w:szCs w:val="17"/>
                <w:color w:val="auto"/>
              </w:rPr>
            </w:pPr>
          </w:p>
        </w:tc>
      </w:tr>
      <w:tr>
        <w:trPr>
          <w:trHeight w:val="203"/>
        </w:trPr>
        <w:tc>
          <w:tcPr>
            <w:tcW w:w="60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Product development</w:t>
            </w:r>
          </w:p>
        </w:tc>
        <w:tc>
          <w:tcPr>
            <w:tcW w:w="126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1,744</w:t>
            </w:r>
          </w:p>
        </w:tc>
        <w:tc>
          <w:tcPr>
            <w:tcW w:w="18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4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375</w:t>
            </w:r>
          </w:p>
        </w:tc>
        <w:tc>
          <w:tcPr>
            <w:tcW w:w="1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223</w:t>
            </w:r>
          </w:p>
        </w:tc>
        <w:tc>
          <w:tcPr>
            <w:tcW w:w="60" w:type="dxa"/>
            <w:vAlign w:val="bottom"/>
            <w:shd w:val="clear" w:color="auto" w:fill="CFF0FC"/>
          </w:tcPr>
          <w:p>
            <w:pPr>
              <w:spacing w:after="0"/>
              <w:rPr>
                <w:sz w:val="17"/>
                <w:szCs w:val="17"/>
                <w:color w:val="auto"/>
              </w:rPr>
            </w:pPr>
          </w:p>
        </w:tc>
      </w:tr>
      <w:tr>
        <w:trPr>
          <w:trHeight w:val="203"/>
        </w:trPr>
        <w:tc>
          <w:tcPr>
            <w:tcW w:w="6020" w:type="dxa"/>
            <w:vAlign w:val="bottom"/>
          </w:tcPr>
          <w:p>
            <w:pPr>
              <w:ind w:left="20"/>
              <w:spacing w:after="0" w:line="202" w:lineRule="exact"/>
              <w:rPr>
                <w:sz w:val="20"/>
                <w:szCs w:val="20"/>
                <w:color w:val="auto"/>
              </w:rPr>
            </w:pPr>
            <w:r>
              <w:rPr>
                <w:rFonts w:ascii="Arial" w:cs="Arial" w:eastAsia="Arial" w:hAnsi="Arial"/>
                <w:sz w:val="18"/>
                <w:szCs w:val="18"/>
                <w:color w:val="auto"/>
              </w:rPr>
              <w:t>General and administrative</w:t>
            </w:r>
          </w:p>
        </w:tc>
        <w:tc>
          <w:tcPr>
            <w:tcW w:w="12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1,769</w:t>
            </w:r>
          </w:p>
        </w:tc>
        <w:tc>
          <w:tcPr>
            <w:tcW w:w="180" w:type="dxa"/>
            <w:vAlign w:val="bottom"/>
          </w:tcPr>
          <w:p>
            <w:pPr>
              <w:spacing w:after="0"/>
              <w:rPr>
                <w:sz w:val="17"/>
                <w:szCs w:val="17"/>
                <w:color w:val="auto"/>
              </w:rPr>
            </w:pPr>
          </w:p>
        </w:tc>
        <w:tc>
          <w:tcPr>
            <w:tcW w:w="138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216</w:t>
            </w:r>
          </w:p>
        </w:tc>
        <w:tc>
          <w:tcPr>
            <w:tcW w:w="1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74</w:t>
            </w:r>
          </w:p>
        </w:tc>
        <w:tc>
          <w:tcPr>
            <w:tcW w:w="60" w:type="dxa"/>
            <w:vAlign w:val="bottom"/>
          </w:tcPr>
          <w:p>
            <w:pPr>
              <w:spacing w:after="0"/>
              <w:rPr>
                <w:sz w:val="17"/>
                <w:szCs w:val="17"/>
                <w:color w:val="auto"/>
              </w:rPr>
            </w:pPr>
          </w:p>
        </w:tc>
      </w:tr>
      <w:tr>
        <w:trPr>
          <w:trHeight w:val="236"/>
        </w:trPr>
        <w:tc>
          <w:tcPr>
            <w:tcW w:w="602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Total stock compensation expense</w:t>
            </w:r>
          </w:p>
        </w:tc>
        <w:tc>
          <w:tcPr>
            <w:tcW w:w="1260" w:type="dxa"/>
            <w:vAlign w:val="bottom"/>
            <w:tcBorders>
              <w:bottom w:val="single" w:sz="8" w:color="auto"/>
            </w:tcBorders>
            <w:shd w:val="clear" w:color="auto" w:fill="CFF0FC"/>
          </w:tcPr>
          <w:p>
            <w:pPr>
              <w:jc w:val="right"/>
              <w:ind w:right="1076"/>
              <w:spacing w:after="0" w:line="196" w:lineRule="exact"/>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7,395</w:t>
            </w:r>
          </w:p>
        </w:tc>
        <w:tc>
          <w:tcPr>
            <w:tcW w:w="180" w:type="dxa"/>
            <w:vAlign w:val="bottom"/>
            <w:tcBorders>
              <w:bottom w:val="single" w:sz="8" w:color="CFF0FC"/>
            </w:tcBorders>
            <w:shd w:val="clear" w:color="auto" w:fill="CFF0FC"/>
          </w:tcPr>
          <w:p>
            <w:pPr>
              <w:spacing w:after="0"/>
              <w:rPr>
                <w:sz w:val="20"/>
                <w:szCs w:val="20"/>
                <w:color w:val="auto"/>
              </w:rPr>
            </w:pPr>
          </w:p>
        </w:tc>
        <w:tc>
          <w:tcPr>
            <w:tcW w:w="1380" w:type="dxa"/>
            <w:vAlign w:val="bottom"/>
            <w:tcBorders>
              <w:bottom w:val="single" w:sz="8" w:color="auto"/>
            </w:tcBorders>
            <w:shd w:val="clear" w:color="auto" w:fill="CFF0FC"/>
          </w:tcPr>
          <w:p>
            <w:pPr>
              <w:jc w:val="right"/>
              <w:ind w:right="1199"/>
              <w:spacing w:after="0" w:line="196" w:lineRule="exact"/>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1,006</w:t>
            </w:r>
          </w:p>
        </w:tc>
        <w:tc>
          <w:tcPr>
            <w:tcW w:w="16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544</w:t>
            </w:r>
          </w:p>
        </w:tc>
        <w:tc>
          <w:tcPr>
            <w:tcW w:w="6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5011420</wp:posOffset>
            </wp:positionH>
            <wp:positionV relativeFrom="paragraph">
              <wp:posOffset>-24765</wp:posOffset>
            </wp:positionV>
            <wp:extent cx="51435"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-7620</wp:posOffset>
            </wp:positionV>
            <wp:extent cx="51435"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7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-24765</wp:posOffset>
            </wp:positionV>
            <wp:extent cx="4318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1">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-7620</wp:posOffset>
            </wp:positionV>
            <wp:extent cx="4318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2">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-24765</wp:posOffset>
            </wp:positionV>
            <wp:extent cx="4318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3">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-7620</wp:posOffset>
            </wp:positionV>
            <wp:extent cx="4318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4">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340" w:lineRule="exact"/>
        <w:rPr>
          <w:sz w:val="20"/>
          <w:szCs w:val="20"/>
          <w:color w:val="auto"/>
        </w:rPr>
      </w:pPr>
    </w:p>
    <w:p>
      <w:pPr>
        <w:ind w:left="660" w:hanging="652"/>
        <w:spacing w:after="0"/>
        <w:tabs>
          <w:tab w:leader="none" w:pos="660" w:val="left"/>
        </w:tabs>
        <w:numPr>
          <w:ilvl w:val="0"/>
          <w:numId w:val="69"/>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08" w:lineRule="exact"/>
        <w:rPr>
          <w:sz w:val="20"/>
          <w:szCs w:val="20"/>
          <w:color w:val="auto"/>
        </w:rPr>
      </w:pPr>
    </w:p>
    <w:p>
      <w:pPr>
        <w:ind w:right="320" w:firstLine="644"/>
        <w:spacing w:after="0" w:line="261" w:lineRule="auto"/>
        <w:rPr>
          <w:sz w:val="20"/>
          <w:szCs w:val="20"/>
          <w:color w:val="auto"/>
        </w:rPr>
      </w:pPr>
      <w:r>
        <w:rPr>
          <w:rFonts w:ascii="Arial" w:cs="Arial" w:eastAsia="Arial" w:hAnsi="Arial"/>
          <w:sz w:val="18"/>
          <w:szCs w:val="18"/>
          <w:color w:val="auto"/>
        </w:rPr>
        <w:t>The Company had no current or deferred income tax benefit or expense in the U.S. or outside the U.S. for the years ended December 31, 2021, 2020 and 2019.</w:t>
      </w:r>
    </w:p>
    <w:p>
      <w:pPr>
        <w:spacing w:after="0" w:line="6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reconciliation of the statutory federal income tax rate to the Company’s effective tax rate was as follows: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780" w:type="dxa"/>
            <w:vAlign w:val="bottom"/>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w w:val="98"/>
              </w:rPr>
              <w:t>Year Ended December 31,</w:t>
            </w:r>
          </w:p>
        </w:tc>
        <w:tc>
          <w:tcPr>
            <w:tcW w:w="120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r>
      <w:tr>
        <w:trPr>
          <w:trHeight w:val="169"/>
        </w:trPr>
        <w:tc>
          <w:tcPr>
            <w:tcW w:w="6780" w:type="dxa"/>
            <w:vAlign w:val="bottom"/>
          </w:tcPr>
          <w:p>
            <w:pPr>
              <w:spacing w:after="0"/>
              <w:rPr>
                <w:sz w:val="14"/>
                <w:szCs w:val="14"/>
                <w:color w:val="auto"/>
              </w:rPr>
            </w:pPr>
          </w:p>
        </w:tc>
        <w:tc>
          <w:tcPr>
            <w:tcW w:w="120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2021</w:t>
            </w:r>
          </w:p>
        </w:tc>
        <w:tc>
          <w:tcPr>
            <w:tcW w:w="340" w:type="dxa"/>
            <w:vAlign w:val="bottom"/>
          </w:tcPr>
          <w:p>
            <w:pPr>
              <w:spacing w:after="0"/>
              <w:rPr>
                <w:sz w:val="14"/>
                <w:szCs w:val="14"/>
                <w:color w:val="auto"/>
              </w:rPr>
            </w:pPr>
          </w:p>
        </w:tc>
        <w:tc>
          <w:tcPr>
            <w:tcW w:w="120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2020</w:t>
            </w:r>
          </w:p>
        </w:tc>
        <w:tc>
          <w:tcPr>
            <w:tcW w:w="300" w:type="dxa"/>
            <w:vAlign w:val="bottom"/>
          </w:tcPr>
          <w:p>
            <w:pPr>
              <w:spacing w:after="0"/>
              <w:rPr>
                <w:sz w:val="14"/>
                <w:szCs w:val="14"/>
                <w:color w:val="auto"/>
              </w:rPr>
            </w:pPr>
          </w:p>
        </w:tc>
        <w:tc>
          <w:tcPr>
            <w:tcW w:w="120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2019</w:t>
            </w:r>
          </w:p>
        </w:tc>
        <w:tc>
          <w:tcPr>
            <w:tcW w:w="220" w:type="dxa"/>
            <w:vAlign w:val="bottom"/>
          </w:tcPr>
          <w:p>
            <w:pPr>
              <w:spacing w:after="0"/>
              <w:rPr>
                <w:sz w:val="14"/>
                <w:szCs w:val="14"/>
                <w:color w:val="auto"/>
              </w:rPr>
            </w:pPr>
          </w:p>
        </w:tc>
      </w:tr>
      <w:tr>
        <w:trPr>
          <w:trHeight w:val="196"/>
        </w:trPr>
        <w:tc>
          <w:tcPr>
            <w:tcW w:w="67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Federal tax statutory rate</w:t>
            </w:r>
          </w:p>
        </w:tc>
        <w:tc>
          <w:tcPr>
            <w:tcW w:w="12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21</w:t>
            </w:r>
          </w:p>
        </w:tc>
        <w:tc>
          <w:tcPr>
            <w:tcW w:w="340" w:type="dxa"/>
            <w:vAlign w:val="bottom"/>
            <w:shd w:val="clear" w:color="auto" w:fill="CFF0FC"/>
          </w:tcPr>
          <w:p>
            <w:pPr>
              <w:jc w:val="right"/>
              <w:ind w:right="76"/>
              <w:spacing w:after="0" w:line="196" w:lineRule="exact"/>
              <w:rPr>
                <w:sz w:val="20"/>
                <w:szCs w:val="20"/>
                <w:color w:val="auto"/>
              </w:rPr>
            </w:pPr>
            <w:r>
              <w:rPr>
                <w:rFonts w:ascii="Arial" w:cs="Arial" w:eastAsia="Arial" w:hAnsi="Arial"/>
                <w:sz w:val="18"/>
                <w:szCs w:val="18"/>
                <w:color w:val="auto"/>
                <w:w w:val="99"/>
              </w:rPr>
              <w:t>%</w:t>
            </w:r>
          </w:p>
        </w:tc>
        <w:tc>
          <w:tcPr>
            <w:tcW w:w="12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21</w:t>
            </w:r>
          </w:p>
        </w:tc>
        <w:tc>
          <w:tcPr>
            <w:tcW w:w="300" w:type="dxa"/>
            <w:vAlign w:val="bottom"/>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87"/>
              </w:rPr>
              <w:t>%</w:t>
            </w:r>
          </w:p>
        </w:tc>
        <w:tc>
          <w:tcPr>
            <w:tcW w:w="12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21</w:t>
            </w:r>
          </w:p>
        </w:tc>
        <w:tc>
          <w:tcPr>
            <w:tcW w:w="2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87"/>
              </w:rPr>
              <w:t>%</w:t>
            </w:r>
          </w:p>
        </w:tc>
      </w:tr>
      <w:tr>
        <w:trPr>
          <w:trHeight w:val="203"/>
        </w:trPr>
        <w:tc>
          <w:tcPr>
            <w:tcW w:w="6780" w:type="dxa"/>
            <w:vAlign w:val="bottom"/>
          </w:tcPr>
          <w:p>
            <w:pPr>
              <w:ind w:left="20"/>
              <w:spacing w:after="0" w:line="202" w:lineRule="exact"/>
              <w:rPr>
                <w:sz w:val="20"/>
                <w:szCs w:val="20"/>
                <w:color w:val="auto"/>
              </w:rPr>
            </w:pPr>
            <w:r>
              <w:rPr>
                <w:rFonts w:ascii="Arial" w:cs="Arial" w:eastAsia="Arial" w:hAnsi="Arial"/>
                <w:sz w:val="18"/>
                <w:szCs w:val="18"/>
                <w:color w:val="auto"/>
              </w:rPr>
              <w:t>Foreign rate difference</w:t>
            </w: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1</w:t>
            </w:r>
          </w:p>
        </w:tc>
        <w:tc>
          <w:tcPr>
            <w:tcW w:w="34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3</w:t>
            </w:r>
          </w:p>
        </w:tc>
        <w:tc>
          <w:tcPr>
            <w:tcW w:w="300" w:type="dxa"/>
            <w:vAlign w:val="bottom"/>
          </w:tcPr>
          <w:p>
            <w:pPr>
              <w:spacing w:after="0"/>
              <w:rPr>
                <w:sz w:val="17"/>
                <w:szCs w:val="17"/>
                <w:color w:val="auto"/>
              </w:rPr>
            </w:pPr>
          </w:p>
        </w:tc>
        <w:tc>
          <w:tcPr>
            <w:tcW w:w="1420" w:type="dxa"/>
            <w:vAlign w:val="bottom"/>
            <w:gridSpan w:val="2"/>
          </w:tcPr>
          <w:p>
            <w:pPr>
              <w:jc w:val="right"/>
              <w:ind w:right="150"/>
              <w:spacing w:after="0" w:line="202" w:lineRule="exact"/>
              <w:rPr>
                <w:sz w:val="20"/>
                <w:szCs w:val="20"/>
                <w:color w:val="auto"/>
              </w:rPr>
            </w:pPr>
            <w:r>
              <w:rPr>
                <w:rFonts w:ascii="Arial" w:cs="Arial" w:eastAsia="Arial" w:hAnsi="Arial"/>
                <w:sz w:val="18"/>
                <w:szCs w:val="18"/>
                <w:color w:val="auto"/>
              </w:rPr>
              <w:t>—</w:t>
            </w:r>
          </w:p>
        </w:tc>
      </w:tr>
      <w:tr>
        <w:trPr>
          <w:trHeight w:val="203"/>
        </w:trPr>
        <w:tc>
          <w:tcPr>
            <w:tcW w:w="67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Permanent difference: stock based compensation</w:t>
            </w:r>
          </w:p>
        </w:tc>
        <w:tc>
          <w:tcPr>
            <w:tcW w:w="12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w:t>
            </w:r>
          </w:p>
        </w:tc>
        <w:tc>
          <w:tcPr>
            <w:tcW w:w="340" w:type="dxa"/>
            <w:vAlign w:val="bottom"/>
            <w:shd w:val="clear" w:color="auto" w:fill="CFF0FC"/>
          </w:tcPr>
          <w:p>
            <w:pPr>
              <w:spacing w:after="0"/>
              <w:rPr>
                <w:sz w:val="17"/>
                <w:szCs w:val="17"/>
                <w:color w:val="auto"/>
              </w:rPr>
            </w:pPr>
          </w:p>
        </w:tc>
        <w:tc>
          <w:tcPr>
            <w:tcW w:w="1500" w:type="dxa"/>
            <w:vAlign w:val="bottom"/>
            <w:gridSpan w:val="2"/>
            <w:shd w:val="clear" w:color="auto" w:fill="CFF0FC"/>
          </w:tcPr>
          <w:p>
            <w:pPr>
              <w:jc w:val="right"/>
              <w:ind w:right="210"/>
              <w:spacing w:after="0" w:line="202" w:lineRule="exact"/>
              <w:rPr>
                <w:sz w:val="20"/>
                <w:szCs w:val="20"/>
                <w:color w:val="auto"/>
              </w:rPr>
            </w:pPr>
            <w:r>
              <w:rPr>
                <w:rFonts w:ascii="Arial" w:cs="Arial" w:eastAsia="Arial" w:hAnsi="Arial"/>
                <w:sz w:val="18"/>
                <w:szCs w:val="18"/>
                <w:color w:val="auto"/>
              </w:rPr>
              <w:t>—</w:t>
            </w:r>
          </w:p>
        </w:tc>
        <w:tc>
          <w:tcPr>
            <w:tcW w:w="1420" w:type="dxa"/>
            <w:vAlign w:val="bottom"/>
            <w:gridSpan w:val="2"/>
            <w:shd w:val="clear" w:color="auto" w:fill="CFF0FC"/>
          </w:tcPr>
          <w:p>
            <w:pPr>
              <w:jc w:val="right"/>
              <w:ind w:right="150"/>
              <w:spacing w:after="0" w:line="202" w:lineRule="exact"/>
              <w:rPr>
                <w:sz w:val="20"/>
                <w:szCs w:val="20"/>
                <w:color w:val="auto"/>
              </w:rPr>
            </w:pPr>
            <w:r>
              <w:rPr>
                <w:rFonts w:ascii="Arial" w:cs="Arial" w:eastAsia="Arial" w:hAnsi="Arial"/>
                <w:sz w:val="18"/>
                <w:szCs w:val="18"/>
                <w:color w:val="auto"/>
              </w:rPr>
              <w:t>—</w:t>
            </w:r>
          </w:p>
        </w:tc>
      </w:tr>
      <w:tr>
        <w:trPr>
          <w:trHeight w:val="203"/>
        </w:trPr>
        <w:tc>
          <w:tcPr>
            <w:tcW w:w="6780" w:type="dxa"/>
            <w:vAlign w:val="bottom"/>
          </w:tcPr>
          <w:p>
            <w:pPr>
              <w:ind w:left="20"/>
              <w:spacing w:after="0" w:line="202" w:lineRule="exact"/>
              <w:rPr>
                <w:sz w:val="20"/>
                <w:szCs w:val="20"/>
                <w:color w:val="auto"/>
              </w:rPr>
            </w:pPr>
            <w:r>
              <w:rPr>
                <w:rFonts w:ascii="Arial" w:cs="Arial" w:eastAsia="Arial" w:hAnsi="Arial"/>
                <w:sz w:val="18"/>
                <w:szCs w:val="18"/>
                <w:color w:val="auto"/>
              </w:rPr>
              <w:t>Permanent difference: other</w:t>
            </w:r>
          </w:p>
        </w:tc>
        <w:tc>
          <w:tcPr>
            <w:tcW w:w="1540" w:type="dxa"/>
            <w:vAlign w:val="bottom"/>
            <w:gridSpan w:val="2"/>
          </w:tcPr>
          <w:p>
            <w:pPr>
              <w:jc w:val="right"/>
              <w:ind w:right="176"/>
              <w:spacing w:after="0" w:line="202" w:lineRule="exact"/>
              <w:rPr>
                <w:sz w:val="20"/>
                <w:szCs w:val="20"/>
                <w:color w:val="auto"/>
              </w:rPr>
            </w:pPr>
            <w:r>
              <w:rPr>
                <w:rFonts w:ascii="Arial" w:cs="Arial" w:eastAsia="Arial" w:hAnsi="Arial"/>
                <w:sz w:val="18"/>
                <w:szCs w:val="18"/>
                <w:color w:val="auto"/>
              </w:rPr>
              <w:t>(1 )</w:t>
            </w:r>
          </w:p>
        </w:tc>
        <w:tc>
          <w:tcPr>
            <w:tcW w:w="1500" w:type="dxa"/>
            <w:vAlign w:val="bottom"/>
            <w:gridSpan w:val="2"/>
          </w:tcPr>
          <w:p>
            <w:pPr>
              <w:jc w:val="right"/>
              <w:ind w:right="210"/>
              <w:spacing w:after="0" w:line="202" w:lineRule="exact"/>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50"/>
              <w:spacing w:after="0" w:line="202" w:lineRule="exact"/>
              <w:rPr>
                <w:sz w:val="20"/>
                <w:szCs w:val="20"/>
                <w:color w:val="auto"/>
              </w:rPr>
            </w:pPr>
            <w:r>
              <w:rPr>
                <w:rFonts w:ascii="Arial" w:cs="Arial" w:eastAsia="Arial" w:hAnsi="Arial"/>
                <w:sz w:val="18"/>
                <w:szCs w:val="18"/>
                <w:color w:val="auto"/>
              </w:rPr>
              <w:t>—</w:t>
            </w:r>
          </w:p>
        </w:tc>
      </w:tr>
      <w:tr>
        <w:trPr>
          <w:trHeight w:val="203"/>
        </w:trPr>
        <w:tc>
          <w:tcPr>
            <w:tcW w:w="67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Goodwill impairment</w:t>
            </w:r>
          </w:p>
        </w:tc>
        <w:tc>
          <w:tcPr>
            <w:tcW w:w="1540" w:type="dxa"/>
            <w:vAlign w:val="bottom"/>
            <w:gridSpan w:val="2"/>
            <w:shd w:val="clear" w:color="auto" w:fill="CFF0FC"/>
          </w:tcPr>
          <w:p>
            <w:pPr>
              <w:jc w:val="right"/>
              <w:ind w:right="256"/>
              <w:spacing w:after="0" w:line="202" w:lineRule="exact"/>
              <w:rPr>
                <w:sz w:val="20"/>
                <w:szCs w:val="20"/>
                <w:color w:val="auto"/>
              </w:rPr>
            </w:pPr>
            <w:r>
              <w:rPr>
                <w:rFonts w:ascii="Arial" w:cs="Arial" w:eastAsia="Arial" w:hAnsi="Arial"/>
                <w:sz w:val="18"/>
                <w:szCs w:val="18"/>
                <w:color w:val="auto"/>
              </w:rPr>
              <w:t>—</w:t>
            </w:r>
          </w:p>
        </w:tc>
        <w:tc>
          <w:tcPr>
            <w:tcW w:w="1500" w:type="dxa"/>
            <w:vAlign w:val="bottom"/>
            <w:gridSpan w:val="2"/>
            <w:shd w:val="clear" w:color="auto" w:fill="CFF0FC"/>
          </w:tcPr>
          <w:p>
            <w:pPr>
              <w:jc w:val="right"/>
              <w:ind w:right="130"/>
              <w:spacing w:after="0" w:line="202" w:lineRule="exact"/>
              <w:rPr>
                <w:sz w:val="20"/>
                <w:szCs w:val="20"/>
                <w:color w:val="auto"/>
              </w:rPr>
            </w:pPr>
            <w:r>
              <w:rPr>
                <w:rFonts w:ascii="Arial" w:cs="Arial" w:eastAsia="Arial" w:hAnsi="Arial"/>
                <w:sz w:val="18"/>
                <w:szCs w:val="18"/>
                <w:color w:val="auto"/>
              </w:rPr>
              <w:t>(2 )</w:t>
            </w:r>
          </w:p>
        </w:tc>
        <w:tc>
          <w:tcPr>
            <w:tcW w:w="1420" w:type="dxa"/>
            <w:vAlign w:val="bottom"/>
            <w:gridSpan w:val="2"/>
            <w:shd w:val="clear" w:color="auto" w:fill="CFF0FC"/>
          </w:tcPr>
          <w:p>
            <w:pPr>
              <w:jc w:val="right"/>
              <w:ind w:right="70"/>
              <w:spacing w:after="0" w:line="202" w:lineRule="exact"/>
              <w:rPr>
                <w:sz w:val="20"/>
                <w:szCs w:val="20"/>
                <w:color w:val="auto"/>
              </w:rPr>
            </w:pPr>
            <w:r>
              <w:rPr>
                <w:rFonts w:ascii="Arial" w:cs="Arial" w:eastAsia="Arial" w:hAnsi="Arial"/>
                <w:sz w:val="18"/>
                <w:szCs w:val="18"/>
                <w:color w:val="auto"/>
              </w:rPr>
              <w:t>(1 )</w:t>
            </w:r>
          </w:p>
        </w:tc>
      </w:tr>
      <w:tr>
        <w:trPr>
          <w:trHeight w:val="203"/>
        </w:trPr>
        <w:tc>
          <w:tcPr>
            <w:tcW w:w="6780" w:type="dxa"/>
            <w:vAlign w:val="bottom"/>
          </w:tcPr>
          <w:p>
            <w:pPr>
              <w:ind w:left="20"/>
              <w:spacing w:after="0" w:line="202" w:lineRule="exact"/>
              <w:rPr>
                <w:sz w:val="20"/>
                <w:szCs w:val="20"/>
                <w:color w:val="auto"/>
              </w:rPr>
            </w:pPr>
            <w:r>
              <w:rPr>
                <w:rFonts w:ascii="Arial" w:cs="Arial" w:eastAsia="Arial" w:hAnsi="Arial"/>
                <w:sz w:val="18"/>
                <w:szCs w:val="18"/>
                <w:color w:val="auto"/>
              </w:rPr>
              <w:t>Valuation allowance</w:t>
            </w:r>
          </w:p>
        </w:tc>
        <w:tc>
          <w:tcPr>
            <w:tcW w:w="1540" w:type="dxa"/>
            <w:vAlign w:val="bottom"/>
            <w:gridSpan w:val="2"/>
          </w:tcPr>
          <w:p>
            <w:pPr>
              <w:jc w:val="right"/>
              <w:ind w:right="176"/>
              <w:spacing w:after="0" w:line="202" w:lineRule="exact"/>
              <w:rPr>
                <w:sz w:val="20"/>
                <w:szCs w:val="20"/>
                <w:color w:val="auto"/>
              </w:rPr>
            </w:pPr>
            <w:r>
              <w:rPr>
                <w:rFonts w:ascii="Arial" w:cs="Arial" w:eastAsia="Arial" w:hAnsi="Arial"/>
                <w:sz w:val="18"/>
                <w:szCs w:val="18"/>
                <w:color w:val="auto"/>
              </w:rPr>
              <w:t>(22 )</w:t>
            </w:r>
          </w:p>
        </w:tc>
        <w:tc>
          <w:tcPr>
            <w:tcW w:w="1500" w:type="dxa"/>
            <w:vAlign w:val="bottom"/>
            <w:gridSpan w:val="2"/>
          </w:tcPr>
          <w:p>
            <w:pPr>
              <w:jc w:val="right"/>
              <w:ind w:right="130"/>
              <w:spacing w:after="0" w:line="202" w:lineRule="exact"/>
              <w:rPr>
                <w:sz w:val="20"/>
                <w:szCs w:val="20"/>
                <w:color w:val="auto"/>
              </w:rPr>
            </w:pPr>
            <w:r>
              <w:rPr>
                <w:rFonts w:ascii="Arial" w:cs="Arial" w:eastAsia="Arial" w:hAnsi="Arial"/>
                <w:sz w:val="18"/>
                <w:szCs w:val="18"/>
                <w:color w:val="auto"/>
              </w:rPr>
              <w:t>(22 )</w:t>
            </w:r>
          </w:p>
        </w:tc>
        <w:tc>
          <w:tcPr>
            <w:tcW w:w="1420" w:type="dxa"/>
            <w:vAlign w:val="bottom"/>
            <w:gridSpan w:val="2"/>
          </w:tcPr>
          <w:p>
            <w:pPr>
              <w:jc w:val="right"/>
              <w:ind w:right="70"/>
              <w:spacing w:after="0" w:line="202" w:lineRule="exact"/>
              <w:rPr>
                <w:sz w:val="20"/>
                <w:szCs w:val="20"/>
                <w:color w:val="auto"/>
              </w:rPr>
            </w:pPr>
            <w:r>
              <w:rPr>
                <w:rFonts w:ascii="Arial" w:cs="Arial" w:eastAsia="Arial" w:hAnsi="Arial"/>
                <w:sz w:val="18"/>
                <w:szCs w:val="18"/>
                <w:color w:val="auto"/>
              </w:rPr>
              <w:t>(20 )</w:t>
            </w:r>
          </w:p>
        </w:tc>
      </w:tr>
      <w:tr>
        <w:trPr>
          <w:trHeight w:val="236"/>
        </w:trPr>
        <w:tc>
          <w:tcPr>
            <w:tcW w:w="6780" w:type="dxa"/>
            <w:vAlign w:val="bottom"/>
            <w:tcBorders>
              <w:bottom w:val="single" w:sz="8" w:color="CFF0FC"/>
            </w:tcBorders>
            <w:shd w:val="clear" w:color="auto" w:fill="CFF0FC"/>
          </w:tcPr>
          <w:p>
            <w:pPr>
              <w:spacing w:after="0"/>
              <w:rPr>
                <w:sz w:val="20"/>
                <w:szCs w:val="20"/>
                <w:color w:val="auto"/>
              </w:rPr>
            </w:pPr>
          </w:p>
        </w:tc>
        <w:tc>
          <w:tcPr>
            <w:tcW w:w="120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340" w:type="dxa"/>
            <w:vAlign w:val="bottom"/>
            <w:tcBorders>
              <w:bottom w:val="single" w:sz="8" w:color="CFF0FC"/>
            </w:tcBorders>
            <w:shd w:val="clear" w:color="auto" w:fill="CFF0FC"/>
          </w:tcPr>
          <w:p>
            <w:pPr>
              <w:jc w:val="right"/>
              <w:ind w:right="76"/>
              <w:spacing w:after="0" w:line="196" w:lineRule="exact"/>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300" w:type="dxa"/>
            <w:vAlign w:val="bottom"/>
            <w:tcBorders>
              <w:bottom w:val="single" w:sz="8" w:color="CFF0FC"/>
            </w:tcBorders>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87"/>
              </w:rPr>
              <w:t>%</w:t>
            </w:r>
          </w:p>
        </w:tc>
        <w:tc>
          <w:tcPr>
            <w:tcW w:w="120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87"/>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5071110</wp:posOffset>
            </wp:positionH>
            <wp:positionV relativeFrom="paragraph">
              <wp:posOffset>-25400</wp:posOffset>
            </wp:positionV>
            <wp:extent cx="154305"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5">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-8255</wp:posOffset>
            </wp:positionV>
            <wp:extent cx="154305"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6">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-25400</wp:posOffset>
            </wp:positionV>
            <wp:extent cx="146050"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7">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-8255</wp:posOffset>
            </wp:positionV>
            <wp:extent cx="146050"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8">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-25400</wp:posOffset>
            </wp:positionV>
            <wp:extent cx="145415"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9">
                      <a:extLst>
                        <a:ext uri="{28A0092B-C50C-407E-A947-70E740481C1C}"/>
                      </a:extLst>
                    </a:blip>
                    <a:srcRect/>
                    <a:stretch>
                      <a:fillRect/>
                    </a:stretch>
                  </pic:blipFill>
                  <pic:spPr bwMode="auto">
                    <a:xfrm>
                      <a:off x="0" y="0"/>
                      <a:ext cx="145415" cy="8890"/>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-8255</wp:posOffset>
            </wp:positionV>
            <wp:extent cx="145415"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80">
                      <a:extLst>
                        <a:ext uri="{28A0092B-C50C-407E-A947-70E740481C1C}"/>
                      </a:extLst>
                    </a:blip>
                    <a:srcRect/>
                    <a:stretch>
                      <a:fillRect/>
                    </a:stretch>
                  </pic:blipFill>
                  <pic:spPr bwMode="auto">
                    <a:xfrm>
                      <a:off x="0" y="0"/>
                      <a:ext cx="145415" cy="8890"/>
                    </a:xfrm>
                    <a:prstGeom prst="rect">
                      <a:avLst/>
                    </a:prstGeom>
                    <a:noFill/>
                  </pic:spPr>
                </pic:pic>
              </a:graphicData>
            </a:graphic>
          </wp:anchor>
        </w:drawing>
      </w:r>
    </w:p>
    <w:p>
      <w:pPr>
        <w:spacing w:after="0" w:line="168" w:lineRule="exact"/>
        <w:rPr>
          <w:sz w:val="20"/>
          <w:szCs w:val="20"/>
          <w:color w:val="auto"/>
        </w:rPr>
      </w:pPr>
    </w:p>
    <w:p>
      <w:pPr>
        <w:ind w:right="140" w:firstLine="644"/>
        <w:spacing w:after="0" w:line="244" w:lineRule="auto"/>
        <w:rPr>
          <w:sz w:val="20"/>
          <w:szCs w:val="20"/>
          <w:color w:val="auto"/>
        </w:rPr>
      </w:pPr>
      <w:r>
        <w:rPr>
          <w:rFonts w:ascii="Arial" w:cs="Arial" w:eastAsia="Arial" w:hAnsi="Arial"/>
          <w:sz w:val="18"/>
          <w:szCs w:val="18"/>
          <w:color w:val="auto"/>
        </w:rPr>
        <w:t>Under GAAP, changes in tax rates and tax law are accounted for in the period of enactment and deferred tax assets and liabilities are measured at the enacted tax rate. The tax effects of temporary differences that give rise to significant</w:t>
      </w: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43180</wp:posOffset>
            </wp:positionV>
            <wp:extent cx="7157720"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79" w:name="page80"/>
    <w:bookmarkEnd w:id="79"/>
    <w:p>
      <w:pPr>
        <w:spacing w:after="0"/>
        <w:rPr>
          <w:sz w:val="20"/>
          <w:szCs w:val="20"/>
          <w:color w:val="auto"/>
        </w:rPr>
      </w:pPr>
      <w:r>
        <w:rPr>
          <w:rFonts w:ascii="Arial" w:cs="Arial" w:eastAsia="Arial" w:hAnsi="Arial"/>
          <w:sz w:val="18"/>
          <w:szCs w:val="18"/>
          <w:color w:val="auto"/>
        </w:rPr>
        <w:t>portions of the deferred tax assets and deferred tax liabilities at December 31, 2021 and 2020 are presented below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68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4"/>
                <w:szCs w:val="14"/>
                <w:b w:val="1"/>
                <w:bCs w:val="1"/>
                <w:color w:val="auto"/>
              </w:rPr>
              <w:t>December 31,</w:t>
            </w:r>
          </w:p>
        </w:tc>
        <w:tc>
          <w:tcPr>
            <w:tcW w:w="11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7680" w:type="dxa"/>
            <w:vAlign w:val="bottom"/>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2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4"/>
                <w:szCs w:val="14"/>
                <w:color w:val="auto"/>
              </w:rPr>
            </w:pPr>
          </w:p>
        </w:tc>
      </w:tr>
      <w:tr>
        <w:trPr>
          <w:trHeight w:val="196"/>
        </w:trPr>
        <w:tc>
          <w:tcPr>
            <w:tcW w:w="76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Deferred tax assets:</w:t>
            </w:r>
          </w:p>
        </w:tc>
        <w:tc>
          <w:tcPr>
            <w:tcW w:w="100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7680" w:type="dxa"/>
            <w:vAlign w:val="bottom"/>
          </w:tcPr>
          <w:p>
            <w:pPr>
              <w:ind w:left="200"/>
              <w:spacing w:after="0" w:line="202" w:lineRule="exact"/>
              <w:rPr>
                <w:sz w:val="20"/>
                <w:szCs w:val="20"/>
                <w:color w:val="auto"/>
              </w:rPr>
            </w:pPr>
            <w:r>
              <w:rPr>
                <w:rFonts w:ascii="Arial" w:cs="Arial" w:eastAsia="Arial" w:hAnsi="Arial"/>
                <w:sz w:val="18"/>
                <w:szCs w:val="18"/>
                <w:color w:val="auto"/>
              </w:rPr>
              <w:t>Deferred compensation</w:t>
            </w:r>
          </w:p>
        </w:tc>
        <w:tc>
          <w:tcPr>
            <w:tcW w:w="1000" w:type="dxa"/>
            <w:vAlign w:val="bottom"/>
          </w:tcPr>
          <w:p>
            <w:pPr>
              <w:jc w:val="right"/>
              <w:ind w:right="794"/>
              <w:spacing w:after="0" w:line="202" w:lineRule="exact"/>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2,403</w:t>
            </w:r>
          </w:p>
        </w:tc>
        <w:tc>
          <w:tcPr>
            <w:tcW w:w="260" w:type="dxa"/>
            <w:vAlign w:val="bottom"/>
          </w:tcPr>
          <w:p>
            <w:pPr>
              <w:spacing w:after="0"/>
              <w:rPr>
                <w:sz w:val="17"/>
                <w:szCs w:val="17"/>
                <w:color w:val="auto"/>
              </w:rPr>
            </w:pPr>
          </w:p>
        </w:tc>
        <w:tc>
          <w:tcPr>
            <w:tcW w:w="460" w:type="dxa"/>
            <w:vAlign w:val="bottom"/>
          </w:tcPr>
          <w:p>
            <w:pPr>
              <w:jc w:val="right"/>
              <w:ind w:right="270"/>
              <w:spacing w:after="0" w:line="202" w:lineRule="exact"/>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698</w:t>
            </w:r>
          </w:p>
        </w:tc>
        <w:tc>
          <w:tcPr>
            <w:tcW w:w="100" w:type="dxa"/>
            <w:vAlign w:val="bottom"/>
          </w:tcPr>
          <w:p>
            <w:pPr>
              <w:spacing w:after="0"/>
              <w:rPr>
                <w:sz w:val="17"/>
                <w:szCs w:val="17"/>
                <w:color w:val="auto"/>
              </w:rPr>
            </w:pPr>
          </w:p>
        </w:tc>
      </w:tr>
      <w:tr>
        <w:trPr>
          <w:trHeight w:val="203"/>
        </w:trPr>
        <w:tc>
          <w:tcPr>
            <w:tcW w:w="768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Leases</w:t>
            </w:r>
          </w:p>
        </w:tc>
        <w:tc>
          <w:tcPr>
            <w:tcW w:w="100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3,587</w:t>
            </w:r>
          </w:p>
        </w:tc>
        <w:tc>
          <w:tcPr>
            <w:tcW w:w="26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509</w:t>
            </w:r>
          </w:p>
        </w:tc>
        <w:tc>
          <w:tcPr>
            <w:tcW w:w="100" w:type="dxa"/>
            <w:vAlign w:val="bottom"/>
            <w:shd w:val="clear" w:color="auto" w:fill="CFF0FC"/>
          </w:tcPr>
          <w:p>
            <w:pPr>
              <w:spacing w:after="0"/>
              <w:rPr>
                <w:sz w:val="17"/>
                <w:szCs w:val="17"/>
                <w:color w:val="auto"/>
              </w:rPr>
            </w:pPr>
          </w:p>
        </w:tc>
      </w:tr>
      <w:tr>
        <w:trPr>
          <w:trHeight w:val="203"/>
        </w:trPr>
        <w:tc>
          <w:tcPr>
            <w:tcW w:w="7680" w:type="dxa"/>
            <w:vAlign w:val="bottom"/>
          </w:tcPr>
          <w:p>
            <w:pPr>
              <w:ind w:left="200"/>
              <w:spacing w:after="0" w:line="202" w:lineRule="exact"/>
              <w:rPr>
                <w:sz w:val="20"/>
                <w:szCs w:val="20"/>
                <w:color w:val="auto"/>
              </w:rPr>
            </w:pPr>
            <w:r>
              <w:rPr>
                <w:rFonts w:ascii="Arial" w:cs="Arial" w:eastAsia="Arial" w:hAnsi="Arial"/>
                <w:sz w:val="18"/>
                <w:szCs w:val="18"/>
                <w:color w:val="auto"/>
              </w:rPr>
              <w:t>Sec. 163(j) interest limitation carryforward</w:t>
            </w:r>
          </w:p>
        </w:tc>
        <w:tc>
          <w:tcPr>
            <w:tcW w:w="100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526</w:t>
            </w:r>
          </w:p>
        </w:tc>
        <w:tc>
          <w:tcPr>
            <w:tcW w:w="2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390</w:t>
            </w:r>
          </w:p>
        </w:tc>
        <w:tc>
          <w:tcPr>
            <w:tcW w:w="100" w:type="dxa"/>
            <w:vAlign w:val="bottom"/>
          </w:tcPr>
          <w:p>
            <w:pPr>
              <w:spacing w:after="0"/>
              <w:rPr>
                <w:sz w:val="17"/>
                <w:szCs w:val="17"/>
                <w:color w:val="auto"/>
              </w:rPr>
            </w:pPr>
          </w:p>
        </w:tc>
      </w:tr>
      <w:tr>
        <w:trPr>
          <w:trHeight w:val="203"/>
        </w:trPr>
        <w:tc>
          <w:tcPr>
            <w:tcW w:w="768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Allowance for doubtful accounts</w:t>
            </w:r>
          </w:p>
        </w:tc>
        <w:tc>
          <w:tcPr>
            <w:tcW w:w="100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424</w:t>
            </w:r>
          </w:p>
        </w:tc>
        <w:tc>
          <w:tcPr>
            <w:tcW w:w="26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141</w:t>
            </w:r>
          </w:p>
        </w:tc>
        <w:tc>
          <w:tcPr>
            <w:tcW w:w="100" w:type="dxa"/>
            <w:vAlign w:val="bottom"/>
            <w:shd w:val="clear" w:color="auto" w:fill="CFF0FC"/>
          </w:tcPr>
          <w:p>
            <w:pPr>
              <w:spacing w:after="0"/>
              <w:rPr>
                <w:sz w:val="17"/>
                <w:szCs w:val="17"/>
                <w:color w:val="auto"/>
              </w:rPr>
            </w:pPr>
          </w:p>
        </w:tc>
      </w:tr>
      <w:tr>
        <w:trPr>
          <w:trHeight w:val="203"/>
        </w:trPr>
        <w:tc>
          <w:tcPr>
            <w:tcW w:w="7680" w:type="dxa"/>
            <w:vAlign w:val="bottom"/>
          </w:tcPr>
          <w:p>
            <w:pPr>
              <w:ind w:left="200"/>
              <w:spacing w:after="0" w:line="202" w:lineRule="exact"/>
              <w:rPr>
                <w:sz w:val="20"/>
                <w:szCs w:val="20"/>
                <w:color w:val="auto"/>
              </w:rPr>
            </w:pPr>
            <w:r>
              <w:rPr>
                <w:rFonts w:ascii="Arial" w:cs="Arial" w:eastAsia="Arial" w:hAnsi="Arial"/>
                <w:sz w:val="18"/>
                <w:szCs w:val="18"/>
                <w:color w:val="auto"/>
              </w:rPr>
              <w:t>Fixed assets</w:t>
            </w:r>
          </w:p>
        </w:tc>
        <w:tc>
          <w:tcPr>
            <w:tcW w:w="100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240</w:t>
            </w:r>
          </w:p>
        </w:tc>
        <w:tc>
          <w:tcPr>
            <w:tcW w:w="2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20" w:type="dxa"/>
            <w:vAlign w:val="bottom"/>
            <w:gridSpan w:val="2"/>
          </w:tcPr>
          <w:p>
            <w:pPr>
              <w:jc w:val="right"/>
              <w:ind w:right="10"/>
              <w:spacing w:after="0" w:line="202" w:lineRule="exact"/>
              <w:rPr>
                <w:sz w:val="20"/>
                <w:szCs w:val="20"/>
                <w:color w:val="auto"/>
              </w:rPr>
            </w:pPr>
            <w:r>
              <w:rPr>
                <w:rFonts w:ascii="Arial" w:cs="Arial" w:eastAsia="Arial" w:hAnsi="Arial"/>
                <w:sz w:val="18"/>
                <w:szCs w:val="18"/>
                <w:color w:val="auto"/>
              </w:rPr>
              <w:t>—</w:t>
            </w:r>
          </w:p>
        </w:tc>
      </w:tr>
      <w:tr>
        <w:trPr>
          <w:trHeight w:val="203"/>
        </w:trPr>
        <w:tc>
          <w:tcPr>
            <w:tcW w:w="768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Charitable contributions</w:t>
            </w:r>
          </w:p>
        </w:tc>
        <w:tc>
          <w:tcPr>
            <w:tcW w:w="100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548</w:t>
            </w:r>
          </w:p>
        </w:tc>
        <w:tc>
          <w:tcPr>
            <w:tcW w:w="26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220" w:type="dxa"/>
            <w:vAlign w:val="bottom"/>
            <w:gridSpan w:val="2"/>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w:t>
            </w:r>
          </w:p>
        </w:tc>
      </w:tr>
      <w:tr>
        <w:trPr>
          <w:trHeight w:val="203"/>
        </w:trPr>
        <w:tc>
          <w:tcPr>
            <w:tcW w:w="7680" w:type="dxa"/>
            <w:vAlign w:val="bottom"/>
          </w:tcPr>
          <w:p>
            <w:pPr>
              <w:ind w:left="200"/>
              <w:spacing w:after="0" w:line="202" w:lineRule="exact"/>
              <w:rPr>
                <w:sz w:val="20"/>
                <w:szCs w:val="20"/>
                <w:color w:val="auto"/>
              </w:rPr>
            </w:pPr>
            <w:r>
              <w:rPr>
                <w:rFonts w:ascii="Arial" w:cs="Arial" w:eastAsia="Arial" w:hAnsi="Arial"/>
                <w:sz w:val="18"/>
                <w:szCs w:val="18"/>
                <w:color w:val="auto"/>
              </w:rPr>
              <w:t>Unrealized losses</w:t>
            </w:r>
          </w:p>
        </w:tc>
        <w:tc>
          <w:tcPr>
            <w:tcW w:w="100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501</w:t>
            </w:r>
          </w:p>
        </w:tc>
        <w:tc>
          <w:tcPr>
            <w:tcW w:w="2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20" w:type="dxa"/>
            <w:vAlign w:val="bottom"/>
            <w:gridSpan w:val="2"/>
          </w:tcPr>
          <w:p>
            <w:pPr>
              <w:jc w:val="right"/>
              <w:ind w:right="10"/>
              <w:spacing w:after="0" w:line="202" w:lineRule="exact"/>
              <w:rPr>
                <w:sz w:val="20"/>
                <w:szCs w:val="20"/>
                <w:color w:val="auto"/>
              </w:rPr>
            </w:pPr>
            <w:r>
              <w:rPr>
                <w:rFonts w:ascii="Arial" w:cs="Arial" w:eastAsia="Arial" w:hAnsi="Arial"/>
                <w:sz w:val="18"/>
                <w:szCs w:val="18"/>
                <w:color w:val="auto"/>
              </w:rPr>
              <w:t>—</w:t>
            </w:r>
          </w:p>
        </w:tc>
      </w:tr>
      <w:tr>
        <w:trPr>
          <w:trHeight w:val="203"/>
        </w:trPr>
        <w:tc>
          <w:tcPr>
            <w:tcW w:w="768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Other</w:t>
            </w:r>
          </w:p>
        </w:tc>
        <w:tc>
          <w:tcPr>
            <w:tcW w:w="100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530</w:t>
            </w:r>
          </w:p>
        </w:tc>
        <w:tc>
          <w:tcPr>
            <w:tcW w:w="26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16</w:t>
            </w:r>
          </w:p>
        </w:tc>
        <w:tc>
          <w:tcPr>
            <w:tcW w:w="100" w:type="dxa"/>
            <w:vAlign w:val="bottom"/>
            <w:shd w:val="clear" w:color="auto" w:fill="CFF0FC"/>
          </w:tcPr>
          <w:p>
            <w:pPr>
              <w:spacing w:after="0"/>
              <w:rPr>
                <w:sz w:val="17"/>
                <w:szCs w:val="17"/>
                <w:color w:val="auto"/>
              </w:rPr>
            </w:pPr>
          </w:p>
        </w:tc>
      </w:tr>
      <w:tr>
        <w:trPr>
          <w:trHeight w:val="203"/>
        </w:trPr>
        <w:tc>
          <w:tcPr>
            <w:tcW w:w="7680" w:type="dxa"/>
            <w:vAlign w:val="bottom"/>
          </w:tcPr>
          <w:p>
            <w:pPr>
              <w:ind w:left="200"/>
              <w:spacing w:after="0" w:line="202" w:lineRule="exact"/>
              <w:rPr>
                <w:sz w:val="20"/>
                <w:szCs w:val="20"/>
                <w:color w:val="auto"/>
              </w:rPr>
            </w:pPr>
            <w:r>
              <w:rPr>
                <w:rFonts w:ascii="Arial" w:cs="Arial" w:eastAsia="Arial" w:hAnsi="Arial"/>
                <w:sz w:val="18"/>
                <w:szCs w:val="18"/>
                <w:color w:val="auto"/>
              </w:rPr>
              <w:t>Net operating loss</w:t>
            </w:r>
          </w:p>
        </w:tc>
        <w:tc>
          <w:tcPr>
            <w:tcW w:w="10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54,570</w:t>
            </w:r>
          </w:p>
        </w:tc>
        <w:tc>
          <w:tcPr>
            <w:tcW w:w="26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25709</w:t>
            </w:r>
          </w:p>
        </w:tc>
        <w:tc>
          <w:tcPr>
            <w:tcW w:w="100" w:type="dxa"/>
            <w:vAlign w:val="bottom"/>
          </w:tcPr>
          <w:p>
            <w:pPr>
              <w:spacing w:after="0"/>
              <w:rPr>
                <w:sz w:val="17"/>
                <w:szCs w:val="17"/>
                <w:color w:val="auto"/>
              </w:rPr>
            </w:pPr>
          </w:p>
        </w:tc>
      </w:tr>
      <w:tr>
        <w:trPr>
          <w:trHeight w:val="196"/>
        </w:trPr>
        <w:tc>
          <w:tcPr>
            <w:tcW w:w="76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Total deferred tax assets</w:t>
            </w:r>
          </w:p>
        </w:tc>
        <w:tc>
          <w:tcPr>
            <w:tcW w:w="100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63,329</w:t>
            </w:r>
          </w:p>
        </w:tc>
        <w:tc>
          <w:tcPr>
            <w:tcW w:w="26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27,463</w:t>
            </w:r>
          </w:p>
        </w:tc>
        <w:tc>
          <w:tcPr>
            <w:tcW w:w="100" w:type="dxa"/>
            <w:vAlign w:val="bottom"/>
            <w:shd w:val="clear" w:color="auto" w:fill="CFF0FC"/>
          </w:tcPr>
          <w:p>
            <w:pPr>
              <w:spacing w:after="0"/>
              <w:rPr>
                <w:sz w:val="17"/>
                <w:szCs w:val="17"/>
                <w:color w:val="auto"/>
              </w:rPr>
            </w:pPr>
          </w:p>
        </w:tc>
      </w:tr>
      <w:tr>
        <w:trPr>
          <w:trHeight w:val="203"/>
        </w:trPr>
        <w:tc>
          <w:tcPr>
            <w:tcW w:w="7680" w:type="dxa"/>
            <w:vAlign w:val="bottom"/>
          </w:tcPr>
          <w:p>
            <w:pPr>
              <w:ind w:left="200"/>
              <w:spacing w:after="0" w:line="202" w:lineRule="exact"/>
              <w:rPr>
                <w:sz w:val="20"/>
                <w:szCs w:val="20"/>
                <w:color w:val="auto"/>
              </w:rPr>
            </w:pPr>
            <w:r>
              <w:rPr>
                <w:rFonts w:ascii="Arial" w:cs="Arial" w:eastAsia="Arial" w:hAnsi="Arial"/>
                <w:sz w:val="18"/>
                <w:szCs w:val="18"/>
                <w:color w:val="auto"/>
              </w:rPr>
              <w:t>Less valuation allowance</w:t>
            </w:r>
          </w:p>
        </w:tc>
        <w:tc>
          <w:tcPr>
            <w:tcW w:w="1000" w:type="dxa"/>
            <w:vAlign w:val="bottom"/>
          </w:tcPr>
          <w:p>
            <w:pPr>
              <w:spacing w:after="0"/>
              <w:rPr>
                <w:sz w:val="17"/>
                <w:szCs w:val="17"/>
                <w:color w:val="auto"/>
              </w:rPr>
            </w:pPr>
          </w:p>
        </w:tc>
        <w:tc>
          <w:tcPr>
            <w:tcW w:w="880" w:type="dxa"/>
            <w:vAlign w:val="bottom"/>
            <w:gridSpan w:val="2"/>
          </w:tcPr>
          <w:p>
            <w:pPr>
              <w:jc w:val="right"/>
              <w:ind w:right="121"/>
              <w:spacing w:after="0" w:line="202" w:lineRule="exact"/>
              <w:rPr>
                <w:sz w:val="20"/>
                <w:szCs w:val="20"/>
                <w:color w:val="auto"/>
              </w:rPr>
            </w:pPr>
            <w:r>
              <w:rPr>
                <w:rFonts w:ascii="Arial" w:cs="Arial" w:eastAsia="Arial" w:hAnsi="Arial"/>
                <w:sz w:val="18"/>
                <w:szCs w:val="18"/>
                <w:color w:val="auto"/>
                <w:w w:val="91"/>
              </w:rPr>
              <w:t>(47,310 )</w:t>
            </w:r>
          </w:p>
        </w:tc>
        <w:tc>
          <w:tcPr>
            <w:tcW w:w="460" w:type="dxa"/>
            <w:vAlign w:val="bottom"/>
          </w:tcPr>
          <w:p>
            <w:pPr>
              <w:spacing w:after="0"/>
              <w:rPr>
                <w:sz w:val="17"/>
                <w:szCs w:val="17"/>
                <w:color w:val="auto"/>
              </w:rPr>
            </w:pPr>
          </w:p>
        </w:tc>
        <w:tc>
          <w:tcPr>
            <w:tcW w:w="12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(26,148 )</w:t>
            </w:r>
          </w:p>
        </w:tc>
      </w:tr>
      <w:tr>
        <w:trPr>
          <w:trHeight w:val="236"/>
        </w:trPr>
        <w:tc>
          <w:tcPr>
            <w:tcW w:w="768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Total deferred tax assets, net</w:t>
            </w:r>
          </w:p>
        </w:tc>
        <w:tc>
          <w:tcPr>
            <w:tcW w:w="1000" w:type="dxa"/>
            <w:vAlign w:val="bottom"/>
            <w:tcBorders>
              <w:top w:val="single" w:sz="8" w:color="auto"/>
              <w:bottom w:val="single" w:sz="8" w:color="auto"/>
            </w:tcBorders>
            <w:shd w:val="clear" w:color="auto" w:fill="CFF0FC"/>
          </w:tcPr>
          <w:p>
            <w:pPr>
              <w:jc w:val="right"/>
              <w:ind w:right="794"/>
              <w:spacing w:after="0" w:line="196" w:lineRule="exact"/>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16,019</w:t>
            </w:r>
          </w:p>
        </w:tc>
        <w:tc>
          <w:tcPr>
            <w:tcW w:w="260" w:type="dxa"/>
            <w:vAlign w:val="bottom"/>
            <w:tcBorders>
              <w:bottom w:val="single" w:sz="8" w:color="CFF0FC"/>
            </w:tcBorders>
            <w:shd w:val="clear" w:color="auto" w:fill="CFF0FC"/>
          </w:tcPr>
          <w:p>
            <w:pPr>
              <w:spacing w:after="0"/>
              <w:rPr>
                <w:sz w:val="20"/>
                <w:szCs w:val="20"/>
                <w:color w:val="auto"/>
              </w:rPr>
            </w:pPr>
          </w:p>
        </w:tc>
        <w:tc>
          <w:tcPr>
            <w:tcW w:w="460" w:type="dxa"/>
            <w:vAlign w:val="bottom"/>
            <w:tcBorders>
              <w:top w:val="single" w:sz="8" w:color="auto"/>
              <w:bottom w:val="single" w:sz="8" w:color="auto"/>
            </w:tcBorders>
            <w:shd w:val="clear" w:color="auto" w:fill="CFF0FC"/>
          </w:tcPr>
          <w:p>
            <w:pPr>
              <w:jc w:val="right"/>
              <w:ind w:right="27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1,315</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183"/>
        </w:trPr>
        <w:tc>
          <w:tcPr>
            <w:tcW w:w="7680" w:type="dxa"/>
            <w:vAlign w:val="bottom"/>
          </w:tcPr>
          <w:p>
            <w:pPr>
              <w:ind w:left="20"/>
              <w:spacing w:after="0" w:line="183" w:lineRule="exact"/>
              <w:rPr>
                <w:sz w:val="20"/>
                <w:szCs w:val="20"/>
                <w:color w:val="auto"/>
              </w:rPr>
            </w:pPr>
            <w:r>
              <w:rPr>
                <w:rFonts w:ascii="Arial" w:cs="Arial" w:eastAsia="Arial" w:hAnsi="Arial"/>
                <w:sz w:val="18"/>
                <w:szCs w:val="18"/>
                <w:b w:val="1"/>
                <w:bCs w:val="1"/>
                <w:color w:val="auto"/>
              </w:rPr>
              <w:t>Deferred tax liabilities:</w:t>
            </w:r>
          </w:p>
        </w:tc>
        <w:tc>
          <w:tcPr>
            <w:tcW w:w="10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3"/>
        </w:trPr>
        <w:tc>
          <w:tcPr>
            <w:tcW w:w="768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Fixed assets</w:t>
            </w:r>
          </w:p>
        </w:tc>
        <w:tc>
          <w:tcPr>
            <w:tcW w:w="1000" w:type="dxa"/>
            <w:vAlign w:val="bottom"/>
            <w:shd w:val="clear" w:color="auto" w:fill="CFF0FC"/>
          </w:tcPr>
          <w:p>
            <w:pPr>
              <w:jc w:val="right"/>
              <w:ind w:right="794"/>
              <w:spacing w:after="0" w:line="202" w:lineRule="exact"/>
              <w:rPr>
                <w:sz w:val="20"/>
                <w:szCs w:val="20"/>
                <w:color w:val="auto"/>
              </w:rPr>
            </w:pPr>
            <w:r>
              <w:rPr>
                <w:rFonts w:ascii="Arial" w:cs="Arial" w:eastAsia="Arial" w:hAnsi="Arial"/>
                <w:sz w:val="18"/>
                <w:szCs w:val="18"/>
                <w:color w:val="auto"/>
                <w:w w:val="99"/>
              </w:rPr>
              <w:t>$</w:t>
            </w:r>
          </w:p>
        </w:tc>
        <w:tc>
          <w:tcPr>
            <w:tcW w:w="880" w:type="dxa"/>
            <w:vAlign w:val="bottom"/>
            <w:gridSpan w:val="2"/>
            <w:shd w:val="clear" w:color="auto" w:fill="CFF0FC"/>
          </w:tcPr>
          <w:p>
            <w:pPr>
              <w:jc w:val="right"/>
              <w:ind w:right="201"/>
              <w:spacing w:after="0" w:line="202" w:lineRule="exact"/>
              <w:rPr>
                <w:sz w:val="20"/>
                <w:szCs w:val="20"/>
                <w:color w:val="auto"/>
              </w:rPr>
            </w:pPr>
            <w:r>
              <w:rPr>
                <w:rFonts w:ascii="Arial" w:cs="Arial" w:eastAsia="Arial" w:hAnsi="Arial"/>
                <w:sz w:val="18"/>
                <w:szCs w:val="18"/>
                <w:color w:val="auto"/>
              </w:rPr>
              <w:t>—</w:t>
            </w:r>
          </w:p>
        </w:tc>
        <w:tc>
          <w:tcPr>
            <w:tcW w:w="460" w:type="dxa"/>
            <w:vAlign w:val="bottom"/>
            <w:shd w:val="clear" w:color="auto" w:fill="CFF0FC"/>
          </w:tcPr>
          <w:p>
            <w:pPr>
              <w:jc w:val="right"/>
              <w:ind w:right="270"/>
              <w:spacing w:after="0" w:line="202" w:lineRule="exact"/>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(227 )</w:t>
            </w:r>
          </w:p>
        </w:tc>
      </w:tr>
      <w:tr>
        <w:trPr>
          <w:trHeight w:val="203"/>
        </w:trPr>
        <w:tc>
          <w:tcPr>
            <w:tcW w:w="7680" w:type="dxa"/>
            <w:vAlign w:val="bottom"/>
          </w:tcPr>
          <w:p>
            <w:pPr>
              <w:ind w:left="200"/>
              <w:spacing w:after="0" w:line="202" w:lineRule="exact"/>
              <w:rPr>
                <w:sz w:val="20"/>
                <w:szCs w:val="20"/>
                <w:color w:val="auto"/>
              </w:rPr>
            </w:pPr>
            <w:r>
              <w:rPr>
                <w:rFonts w:ascii="Arial" w:cs="Arial" w:eastAsia="Arial" w:hAnsi="Arial"/>
                <w:sz w:val="18"/>
                <w:szCs w:val="18"/>
                <w:color w:val="auto"/>
              </w:rPr>
              <w:t>Leases</w:t>
            </w:r>
          </w:p>
        </w:tc>
        <w:tc>
          <w:tcPr>
            <w:tcW w:w="1000" w:type="dxa"/>
            <w:vAlign w:val="bottom"/>
          </w:tcPr>
          <w:p>
            <w:pPr>
              <w:spacing w:after="0"/>
              <w:rPr>
                <w:sz w:val="17"/>
                <w:szCs w:val="17"/>
                <w:color w:val="auto"/>
              </w:rPr>
            </w:pPr>
          </w:p>
        </w:tc>
        <w:tc>
          <w:tcPr>
            <w:tcW w:w="880" w:type="dxa"/>
            <w:vAlign w:val="bottom"/>
            <w:gridSpan w:val="2"/>
          </w:tcPr>
          <w:p>
            <w:pPr>
              <w:jc w:val="right"/>
              <w:ind w:right="121"/>
              <w:spacing w:after="0" w:line="202" w:lineRule="exact"/>
              <w:rPr>
                <w:sz w:val="20"/>
                <w:szCs w:val="20"/>
                <w:color w:val="auto"/>
              </w:rPr>
            </w:pPr>
            <w:r>
              <w:rPr>
                <w:rFonts w:ascii="Arial" w:cs="Arial" w:eastAsia="Arial" w:hAnsi="Arial"/>
                <w:sz w:val="18"/>
                <w:szCs w:val="18"/>
                <w:color w:val="auto"/>
              </w:rPr>
              <w:t>(4,729 )</w:t>
            </w:r>
          </w:p>
        </w:tc>
        <w:tc>
          <w:tcPr>
            <w:tcW w:w="460" w:type="dxa"/>
            <w:vAlign w:val="bottom"/>
          </w:tcPr>
          <w:p>
            <w:pPr>
              <w:spacing w:after="0"/>
              <w:rPr>
                <w:sz w:val="17"/>
                <w:szCs w:val="17"/>
                <w:color w:val="auto"/>
              </w:rPr>
            </w:pPr>
          </w:p>
        </w:tc>
        <w:tc>
          <w:tcPr>
            <w:tcW w:w="12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(457 )</w:t>
            </w:r>
          </w:p>
        </w:tc>
      </w:tr>
      <w:tr>
        <w:trPr>
          <w:trHeight w:val="203"/>
        </w:trPr>
        <w:tc>
          <w:tcPr>
            <w:tcW w:w="768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Deferred sales commissions</w:t>
            </w:r>
          </w:p>
        </w:tc>
        <w:tc>
          <w:tcPr>
            <w:tcW w:w="100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ind w:right="121"/>
              <w:spacing w:after="0" w:line="202" w:lineRule="exact"/>
              <w:rPr>
                <w:sz w:val="20"/>
                <w:szCs w:val="20"/>
                <w:color w:val="auto"/>
              </w:rPr>
            </w:pPr>
            <w:r>
              <w:rPr>
                <w:rFonts w:ascii="Arial" w:cs="Arial" w:eastAsia="Arial" w:hAnsi="Arial"/>
                <w:sz w:val="18"/>
                <w:szCs w:val="18"/>
                <w:color w:val="auto"/>
              </w:rPr>
              <w:t>(1,406 )</w:t>
            </w:r>
          </w:p>
        </w:tc>
        <w:tc>
          <w:tcPr>
            <w:tcW w:w="460" w:type="dxa"/>
            <w:vAlign w:val="bottom"/>
            <w:shd w:val="clear" w:color="auto" w:fill="CFF0FC"/>
          </w:tcPr>
          <w:p>
            <w:pPr>
              <w:spacing w:after="0"/>
              <w:rPr>
                <w:sz w:val="17"/>
                <w:szCs w:val="17"/>
                <w:color w:val="auto"/>
              </w:rPr>
            </w:pPr>
          </w:p>
        </w:tc>
        <w:tc>
          <w:tcPr>
            <w:tcW w:w="1220" w:type="dxa"/>
            <w:vAlign w:val="bottom"/>
            <w:gridSpan w:val="2"/>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w:t>
            </w:r>
          </w:p>
        </w:tc>
      </w:tr>
      <w:tr>
        <w:trPr>
          <w:trHeight w:val="203"/>
        </w:trPr>
        <w:tc>
          <w:tcPr>
            <w:tcW w:w="7680" w:type="dxa"/>
            <w:vAlign w:val="bottom"/>
          </w:tcPr>
          <w:p>
            <w:pPr>
              <w:ind w:left="200"/>
              <w:spacing w:after="0" w:line="202" w:lineRule="exact"/>
              <w:rPr>
                <w:sz w:val="20"/>
                <w:szCs w:val="20"/>
                <w:color w:val="auto"/>
              </w:rPr>
            </w:pPr>
            <w:r>
              <w:rPr>
                <w:rFonts w:ascii="Arial" w:cs="Arial" w:eastAsia="Arial" w:hAnsi="Arial"/>
                <w:sz w:val="18"/>
                <w:szCs w:val="18"/>
                <w:color w:val="auto"/>
              </w:rPr>
              <w:t>Acquisition costs and intangibles</w:t>
            </w:r>
          </w:p>
        </w:tc>
        <w:tc>
          <w:tcPr>
            <w:tcW w:w="1000" w:type="dxa"/>
            <w:vAlign w:val="bottom"/>
          </w:tcPr>
          <w:p>
            <w:pPr>
              <w:spacing w:after="0"/>
              <w:rPr>
                <w:sz w:val="17"/>
                <w:szCs w:val="17"/>
                <w:color w:val="auto"/>
              </w:rPr>
            </w:pPr>
          </w:p>
        </w:tc>
        <w:tc>
          <w:tcPr>
            <w:tcW w:w="880" w:type="dxa"/>
            <w:vAlign w:val="bottom"/>
            <w:gridSpan w:val="2"/>
          </w:tcPr>
          <w:p>
            <w:pPr>
              <w:jc w:val="right"/>
              <w:ind w:right="121"/>
              <w:spacing w:after="0" w:line="202" w:lineRule="exact"/>
              <w:rPr>
                <w:sz w:val="20"/>
                <w:szCs w:val="20"/>
                <w:color w:val="auto"/>
              </w:rPr>
            </w:pPr>
            <w:r>
              <w:rPr>
                <w:rFonts w:ascii="Arial" w:cs="Arial" w:eastAsia="Arial" w:hAnsi="Arial"/>
                <w:sz w:val="18"/>
                <w:szCs w:val="18"/>
                <w:color w:val="auto"/>
              </w:rPr>
              <w:t>(9,884 )</w:t>
            </w:r>
          </w:p>
        </w:tc>
        <w:tc>
          <w:tcPr>
            <w:tcW w:w="460" w:type="dxa"/>
            <w:vAlign w:val="bottom"/>
          </w:tcPr>
          <w:p>
            <w:pPr>
              <w:spacing w:after="0"/>
              <w:rPr>
                <w:sz w:val="17"/>
                <w:szCs w:val="17"/>
                <w:color w:val="auto"/>
              </w:rPr>
            </w:pPr>
          </w:p>
        </w:tc>
        <w:tc>
          <w:tcPr>
            <w:tcW w:w="12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(631 )</w:t>
            </w:r>
          </w:p>
        </w:tc>
      </w:tr>
      <w:tr>
        <w:trPr>
          <w:trHeight w:val="196"/>
        </w:trPr>
        <w:tc>
          <w:tcPr>
            <w:tcW w:w="768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Total deferred tax liabilities</w:t>
            </w:r>
          </w:p>
        </w:tc>
        <w:tc>
          <w:tcPr>
            <w:tcW w:w="1000" w:type="dxa"/>
            <w:vAlign w:val="bottom"/>
            <w:tcBorders>
              <w:top w:val="single" w:sz="8" w:color="auto"/>
              <w:bottom w:val="single" w:sz="8" w:color="auto"/>
            </w:tcBorders>
            <w:shd w:val="clear" w:color="auto" w:fill="CFF0FC"/>
          </w:tcPr>
          <w:p>
            <w:pPr>
              <w:spacing w:after="0"/>
              <w:rPr>
                <w:sz w:val="17"/>
                <w:szCs w:val="17"/>
                <w:color w:val="auto"/>
              </w:rPr>
            </w:pPr>
          </w:p>
        </w:tc>
        <w:tc>
          <w:tcPr>
            <w:tcW w:w="6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4"/>
              </w:rPr>
              <w:t>(16,019</w:t>
            </w:r>
          </w:p>
        </w:tc>
        <w:tc>
          <w:tcPr>
            <w:tcW w:w="260" w:type="dxa"/>
            <w:vAlign w:val="bottom"/>
            <w:tcBorders>
              <w:bottom w:val="single" w:sz="8" w:color="CFF0FC"/>
            </w:tcBorders>
            <w:shd w:val="clear" w:color="auto" w:fill="CFF0FC"/>
          </w:tcPr>
          <w:p>
            <w:pPr>
              <w:jc w:val="right"/>
              <w:ind w:right="121"/>
              <w:spacing w:after="0"/>
              <w:rPr>
                <w:sz w:val="20"/>
                <w:szCs w:val="20"/>
                <w:color w:val="auto"/>
              </w:rPr>
            </w:pPr>
            <w:r>
              <w:rPr>
                <w:rFonts w:ascii="Arial" w:cs="Arial" w:eastAsia="Arial" w:hAnsi="Arial"/>
                <w:sz w:val="16"/>
                <w:szCs w:val="16"/>
                <w:color w:val="auto"/>
                <w:w w:val="74"/>
              </w:rPr>
              <w:t>)</w:t>
            </w:r>
          </w:p>
        </w:tc>
        <w:tc>
          <w:tcPr>
            <w:tcW w:w="460" w:type="dxa"/>
            <w:vAlign w:val="bottom"/>
            <w:tcBorders>
              <w:top w:val="single" w:sz="8" w:color="auto"/>
              <w:bottom w:val="single" w:sz="8" w:color="auto"/>
            </w:tcBorders>
            <w:shd w:val="clear" w:color="auto" w:fill="CFF0FC"/>
          </w:tcPr>
          <w:p>
            <w:pPr>
              <w:spacing w:after="0"/>
              <w:rPr>
                <w:sz w:val="17"/>
                <w:szCs w:val="17"/>
                <w:color w:val="auto"/>
              </w:rPr>
            </w:pPr>
          </w:p>
        </w:tc>
        <w:tc>
          <w:tcPr>
            <w:tcW w:w="11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(1,315</w:t>
            </w:r>
          </w:p>
        </w:tc>
        <w:tc>
          <w:tcPr>
            <w:tcW w:w="100" w:type="dxa"/>
            <w:vAlign w:val="bottom"/>
            <w:tcBorders>
              <w:bottom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r>
      <w:tr>
        <w:trPr>
          <w:trHeight w:val="196"/>
        </w:trPr>
        <w:tc>
          <w:tcPr>
            <w:tcW w:w="7680" w:type="dxa"/>
            <w:vAlign w:val="bottom"/>
          </w:tcPr>
          <w:p>
            <w:pPr>
              <w:ind w:left="20"/>
              <w:spacing w:after="0" w:line="196" w:lineRule="exact"/>
              <w:rPr>
                <w:sz w:val="20"/>
                <w:szCs w:val="20"/>
                <w:color w:val="auto"/>
              </w:rPr>
            </w:pPr>
            <w:r>
              <w:rPr>
                <w:rFonts w:ascii="Arial" w:cs="Arial" w:eastAsia="Arial" w:hAnsi="Arial"/>
                <w:sz w:val="18"/>
                <w:szCs w:val="18"/>
                <w:b w:val="1"/>
                <w:bCs w:val="1"/>
                <w:color w:val="auto"/>
              </w:rPr>
              <w:t>Net deferred tax asset/liability</w:t>
            </w:r>
          </w:p>
        </w:tc>
        <w:tc>
          <w:tcPr>
            <w:tcW w:w="1000" w:type="dxa"/>
            <w:vAlign w:val="bottom"/>
          </w:tcPr>
          <w:p>
            <w:pPr>
              <w:jc w:val="right"/>
              <w:ind w:right="794"/>
              <w:spacing w:after="0" w:line="196" w:lineRule="exact"/>
              <w:rPr>
                <w:sz w:val="20"/>
                <w:szCs w:val="20"/>
                <w:color w:val="auto"/>
              </w:rPr>
            </w:pPr>
            <w:r>
              <w:rPr>
                <w:rFonts w:ascii="Arial" w:cs="Arial" w:eastAsia="Arial" w:hAnsi="Arial"/>
                <w:sz w:val="18"/>
                <w:szCs w:val="18"/>
                <w:color w:val="auto"/>
                <w:w w:val="99"/>
              </w:rPr>
              <w:t>$</w:t>
            </w:r>
          </w:p>
        </w:tc>
        <w:tc>
          <w:tcPr>
            <w:tcW w:w="880" w:type="dxa"/>
            <w:vAlign w:val="bottom"/>
            <w:gridSpan w:val="2"/>
          </w:tcPr>
          <w:p>
            <w:pPr>
              <w:jc w:val="right"/>
              <w:ind w:right="201"/>
              <w:spacing w:after="0" w:line="196" w:lineRule="exact"/>
              <w:rPr>
                <w:sz w:val="20"/>
                <w:szCs w:val="20"/>
                <w:color w:val="auto"/>
              </w:rPr>
            </w:pPr>
            <w:r>
              <w:rPr>
                <w:rFonts w:ascii="Arial" w:cs="Arial" w:eastAsia="Arial" w:hAnsi="Arial"/>
                <w:sz w:val="18"/>
                <w:szCs w:val="18"/>
                <w:color w:val="auto"/>
              </w:rPr>
              <w:t>—</w:t>
            </w:r>
          </w:p>
        </w:tc>
        <w:tc>
          <w:tcPr>
            <w:tcW w:w="460" w:type="dxa"/>
            <w:vAlign w:val="bottom"/>
          </w:tcPr>
          <w:p>
            <w:pPr>
              <w:jc w:val="right"/>
              <w:ind w:right="270"/>
              <w:spacing w:after="0" w:line="196" w:lineRule="exact"/>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10"/>
              <w:spacing w:after="0" w:line="196" w:lineRule="exact"/>
              <w:rPr>
                <w:sz w:val="20"/>
                <w:szCs w:val="20"/>
                <w:color w:val="auto"/>
              </w:rPr>
            </w:pPr>
            <w:r>
              <w:rPr>
                <w:rFonts w:ascii="Arial" w:cs="Arial" w:eastAsia="Arial" w:hAnsi="Arial"/>
                <w:sz w:val="18"/>
                <w:szCs w:val="18"/>
                <w:color w:val="auto"/>
              </w:rPr>
              <w:t>—</w:t>
            </w:r>
          </w:p>
        </w:tc>
      </w:tr>
      <w:tr>
        <w:trPr>
          <w:trHeight w:val="20"/>
        </w:trPr>
        <w:tc>
          <w:tcPr>
            <w:tcW w:w="768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-968375</wp:posOffset>
            </wp:positionV>
            <wp:extent cx="5969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-950595</wp:posOffset>
            </wp:positionV>
            <wp:extent cx="5969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-968375</wp:posOffset>
            </wp:positionV>
            <wp:extent cx="5969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-950595</wp:posOffset>
            </wp:positionV>
            <wp:extent cx="5969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-159385</wp:posOffset>
            </wp:positionV>
            <wp:extent cx="59690" cy="571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6">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-159385</wp:posOffset>
            </wp:positionV>
            <wp:extent cx="59690" cy="571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7">
                      <a:extLst>
                        <a:ext uri="{28A0092B-C50C-407E-A947-70E740481C1C}"/>
                      </a:extLst>
                    </a:blip>
                    <a:srcRect/>
                    <a:stretch>
                      <a:fillRect/>
                    </a:stretch>
                  </pic:blipFill>
                  <pic:spPr bwMode="auto">
                    <a:xfrm>
                      <a:off x="0" y="0"/>
                      <a:ext cx="59690" cy="5715"/>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 Valuation Allowance</w:t>
      </w:r>
    </w:p>
    <w:p>
      <w:pPr>
        <w:spacing w:after="0" w:line="104" w:lineRule="exact"/>
        <w:rPr>
          <w:sz w:val="20"/>
          <w:szCs w:val="20"/>
          <w:color w:val="auto"/>
        </w:rPr>
      </w:pPr>
    </w:p>
    <w:p>
      <w:pPr>
        <w:ind w:right="120" w:firstLine="644"/>
        <w:spacing w:after="0" w:line="262" w:lineRule="auto"/>
        <w:rPr>
          <w:sz w:val="20"/>
          <w:szCs w:val="20"/>
          <w:color w:val="auto"/>
        </w:rPr>
      </w:pPr>
      <w:r>
        <w:rPr>
          <w:rFonts w:ascii="Arial" w:cs="Arial" w:eastAsia="Arial" w:hAnsi="Arial"/>
          <w:sz w:val="17"/>
          <w:szCs w:val="17"/>
          <w:color w:val="auto"/>
        </w:rPr>
        <w:t>In assessing the realizability of deferred tax assets, management considers whether it is more likely than not that some portion or all of the deferred tax assets will be realized. The ultimate realization of deferred tax assets is dependent upon the generation of future taxable income during the periods in which temporary differences become deductible. Management considers scheduled reversals of deferred tax liabilities, projecting future taxable income, and tax planning strategies that can be implemented by the Company in making the assessment.</w:t>
      </w:r>
    </w:p>
    <w:p>
      <w:pPr>
        <w:spacing w:after="0" w:line="132" w:lineRule="exact"/>
        <w:rPr>
          <w:sz w:val="20"/>
          <w:szCs w:val="20"/>
          <w:color w:val="auto"/>
        </w:rPr>
      </w:pPr>
    </w:p>
    <w:p>
      <w:pPr>
        <w:ind w:firstLine="644"/>
        <w:spacing w:after="0" w:line="241" w:lineRule="auto"/>
        <w:rPr>
          <w:sz w:val="20"/>
          <w:szCs w:val="20"/>
          <w:color w:val="auto"/>
        </w:rPr>
      </w:pPr>
      <w:r>
        <w:rPr>
          <w:rFonts w:ascii="Arial" w:cs="Arial" w:eastAsia="Arial" w:hAnsi="Arial"/>
          <w:sz w:val="18"/>
          <w:szCs w:val="18"/>
          <w:color w:val="auto"/>
        </w:rPr>
        <w:t>As of December 31, 2021, and 2020, the Company had a valuation allowance of $47.3 million and $26.1 million, respectively, against certain deferred tax assets. The valuation allowance relates to the deferred tax assets of the Company’s U.S. entities, including federal and state tax attributes and timing differences, as well as the deferred tax assets of its foreign subsidiaries. The increase in the valuation allowance during 2021 is primarily related to the pre-tax losses generated in the U.S and non-U.S. operations. The Company has a full valuation allowance against its net deferred tax assets as a result of cumulative losses as of December 31, 2021 and 2020.</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Operating Loss and Credit Carryforwards</w:t>
      </w:r>
    </w:p>
    <w:p>
      <w:pPr>
        <w:spacing w:after="0" w:line="104" w:lineRule="exact"/>
        <w:rPr>
          <w:sz w:val="20"/>
          <w:szCs w:val="20"/>
          <w:color w:val="auto"/>
        </w:rPr>
      </w:pPr>
    </w:p>
    <w:p>
      <w:pPr>
        <w:ind w:right="40" w:firstLine="644"/>
        <w:spacing w:after="0" w:line="250" w:lineRule="auto"/>
        <w:rPr>
          <w:sz w:val="20"/>
          <w:szCs w:val="20"/>
          <w:color w:val="auto"/>
        </w:rPr>
      </w:pPr>
      <w:r>
        <w:rPr>
          <w:rFonts w:ascii="Arial" w:cs="Arial" w:eastAsia="Arial" w:hAnsi="Arial"/>
          <w:sz w:val="17"/>
          <w:szCs w:val="17"/>
          <w:color w:val="auto"/>
        </w:rPr>
        <w:t>As of December 31, 2021, the Company has net operating loss (“NOL”) carryforwards for U.S. federal income tax purposes, and similar state amounts, of approximately $195.7 million available to reduce future income subject to income taxes before limitations. As of December 31, 2021 the Company had a net operating loss carryforward for tax purposes related to its foreign subsidiaries of $20.5 million. U.S. federal net operating carryforwards generated prior to 2018 in the approximate amount of $71.9 million will begin to expire, if not utilized, in 2022. Our non-U.S. net operating loss and U.S. federal net operating losses post 2017 have an indefinite life. Under the provisions of U.S. Internal Revenue Code Section 382, certain substantial changes in the Company’s ownership may result in a limitation in the amount of U.S. net operating loss carryforwards that can be utilized annually to offset future taxable income. As of December 31, 2021 the $195.7 million of U.S. federal net operating losses excludes $14.7 million of Maketime Inc. acquired net operating losses that the Company expects to be substantially limited by Section 382 of the U.S. Internal Revenue Code and does not expect to claim on a U.S. Tax Return. As of December 31, 2021, the Company completed its analysis on Xometry's legacy $128.4 million U.S. federal net operating losses, pursuant to Section 382 of the U.S. Internal Revenue Code, to determine the impact ownership changes have had on the ability of the Company to utilize net operating losses it has generated. Based on the results of this analysis, the Company expects $128.4 million of legacy Xometry U.S. federal net operating losses to be available to offset future taxable income. Management has not yet completed its evaluation of any limitations on the ability to use the acquired Thomas subsidiary net operating loss carryforward of $67.3 million. The Company plans to complete this analysis during</w:t>
      </w: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34925</wp:posOffset>
            </wp:positionV>
            <wp:extent cx="7157720" cy="425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80" w:name="page81"/>
    <w:bookmarkEnd w:id="80"/>
    <w:p>
      <w:pPr>
        <w:ind w:right="760"/>
        <w:spacing w:after="0" w:line="399" w:lineRule="auto"/>
        <w:rPr>
          <w:sz w:val="20"/>
          <w:szCs w:val="20"/>
          <w:color w:val="auto"/>
        </w:rPr>
      </w:pPr>
      <w:r>
        <w:rPr>
          <w:rFonts w:ascii="Arial" w:cs="Arial" w:eastAsia="Arial" w:hAnsi="Arial"/>
          <w:sz w:val="18"/>
          <w:szCs w:val="18"/>
          <w:color w:val="auto"/>
        </w:rPr>
        <w:t xml:space="preserve">2022 and the results could have a significant impact on the net operating loss deferred tax asset, acquisition accounting and income tax provision. </w:t>
      </w:r>
      <w:r>
        <w:rPr>
          <w:rFonts w:ascii="Arial" w:cs="Arial" w:eastAsia="Arial" w:hAnsi="Arial"/>
          <w:sz w:val="18"/>
          <w:szCs w:val="18"/>
          <w:i w:val="1"/>
          <w:iCs w:val="1"/>
          <w:color w:val="auto"/>
        </w:rPr>
        <w:t>Uncertain Tax Positions</w:t>
      </w:r>
    </w:p>
    <w:p>
      <w:pPr>
        <w:ind w:right="40" w:firstLine="644"/>
        <w:spacing w:after="0" w:line="270" w:lineRule="auto"/>
        <w:rPr>
          <w:sz w:val="20"/>
          <w:szCs w:val="20"/>
          <w:color w:val="auto"/>
        </w:rPr>
      </w:pPr>
      <w:r>
        <w:rPr>
          <w:rFonts w:ascii="Arial" w:cs="Arial" w:eastAsia="Arial" w:hAnsi="Arial"/>
          <w:sz w:val="17"/>
          <w:szCs w:val="17"/>
          <w:color w:val="auto"/>
        </w:rPr>
        <w:t>For uncertain tax positions, the Company uses a more-likely-than-not recognition threshold based on the technical merits of the tax position taken. Tax positions that meet the more-likely-than-not recognition threshold are measured as the largest amount of tax benefits determined on a cumulative probability basis, which are more-likely-than-not to be realized upon ultimate settlement in the financial statements.</w:t>
      </w:r>
    </w:p>
    <w:p>
      <w:pPr>
        <w:spacing w:after="0" w:line="56" w:lineRule="exact"/>
        <w:rPr>
          <w:sz w:val="20"/>
          <w:szCs w:val="20"/>
          <w:color w:val="auto"/>
        </w:rPr>
      </w:pPr>
    </w:p>
    <w:p>
      <w:pPr>
        <w:ind w:right="60" w:firstLine="644"/>
        <w:spacing w:after="0" w:line="248" w:lineRule="auto"/>
        <w:rPr>
          <w:sz w:val="20"/>
          <w:szCs w:val="20"/>
          <w:color w:val="auto"/>
        </w:rPr>
      </w:pPr>
      <w:r>
        <w:rPr>
          <w:rFonts w:ascii="Arial" w:cs="Arial" w:eastAsia="Arial" w:hAnsi="Arial"/>
          <w:sz w:val="18"/>
          <w:szCs w:val="18"/>
          <w:color w:val="auto"/>
        </w:rPr>
        <w:t>Our gross unrecognized tax benefits related to uncertain tax positions as of December 31, 2021 and 2020 were $1.1 million and zero, respectively, which were included in income taxes payable on our consolidated balance sheets. If recognized, the resulting tax benefit would impact our effective tax rates in future effected periods.</w:t>
      </w:r>
    </w:p>
    <w:p>
      <w:pPr>
        <w:spacing w:after="0" w:line="7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aggregate changes in the gross unrecognized tax benefits related to uncertain tax positions were as follows (in thousands):</w:t>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700" w:type="dxa"/>
            <w:vAlign w:val="bottom"/>
          </w:tcPr>
          <w:p>
            <w:pPr>
              <w:spacing w:after="0"/>
              <w:rPr>
                <w:sz w:val="16"/>
                <w:szCs w:val="16"/>
                <w:color w:val="auto"/>
              </w:rPr>
            </w:pPr>
          </w:p>
        </w:tc>
        <w:tc>
          <w:tcPr>
            <w:tcW w:w="1120" w:type="dxa"/>
            <w:vAlign w:val="bottom"/>
            <w:tcBorders>
              <w:top w:val="single" w:sz="8" w:color="auto"/>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2021</w:t>
            </w:r>
          </w:p>
        </w:tc>
        <w:tc>
          <w:tcPr>
            <w:tcW w:w="560" w:type="dxa"/>
            <w:vAlign w:val="bottom"/>
            <w:tcBorders>
              <w:top w:val="single" w:sz="8" w:color="auto"/>
              <w:bottom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380" w:type="dxa"/>
            <w:vAlign w:val="bottom"/>
            <w:tcBorders>
              <w:top w:val="single" w:sz="8" w:color="auto"/>
              <w:bottom w:val="single" w:sz="8" w:color="auto"/>
            </w:tcBorders>
          </w:tcPr>
          <w:p>
            <w:pPr>
              <w:spacing w:after="0"/>
              <w:rPr>
                <w:sz w:val="16"/>
                <w:szCs w:val="16"/>
                <w:color w:val="auto"/>
              </w:rPr>
            </w:pPr>
          </w:p>
        </w:tc>
        <w:tc>
          <w:tcPr>
            <w:tcW w:w="1260" w:type="dxa"/>
            <w:vAlign w:val="bottom"/>
            <w:tcBorders>
              <w:top w:val="single" w:sz="8" w:color="auto"/>
              <w:bottom w:val="single" w:sz="8" w:color="auto"/>
            </w:tcBorders>
          </w:tcPr>
          <w:p>
            <w:pPr>
              <w:jc w:val="right"/>
              <w:ind w:right="595"/>
              <w:spacing w:after="0"/>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6"/>
                <w:szCs w:val="16"/>
                <w:color w:val="auto"/>
              </w:rPr>
            </w:pPr>
          </w:p>
        </w:tc>
      </w:tr>
      <w:tr>
        <w:trPr>
          <w:trHeight w:val="169"/>
        </w:trPr>
        <w:tc>
          <w:tcPr>
            <w:tcW w:w="77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40" w:type="dxa"/>
            <w:vAlign w:val="bottom"/>
            <w:gridSpan w:val="2"/>
          </w:tcPr>
          <w:p>
            <w:pPr>
              <w:spacing w:after="0"/>
              <w:rPr>
                <w:sz w:val="14"/>
                <w:szCs w:val="14"/>
                <w:color w:val="auto"/>
              </w:rPr>
            </w:pPr>
          </w:p>
        </w:tc>
        <w:tc>
          <w:tcPr>
            <w:tcW w:w="126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03"/>
        </w:trPr>
        <w:tc>
          <w:tcPr>
            <w:tcW w:w="77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Balance as of January 1:</w:t>
            </w:r>
          </w:p>
        </w:tc>
        <w:tc>
          <w:tcPr>
            <w:tcW w:w="1120" w:type="dxa"/>
            <w:vAlign w:val="bottom"/>
            <w:shd w:val="clear" w:color="auto" w:fill="CFF0FC"/>
          </w:tcPr>
          <w:p>
            <w:pPr>
              <w:jc w:val="right"/>
              <w:ind w:right="936"/>
              <w:spacing w:after="0" w:line="202" w:lineRule="exact"/>
              <w:rPr>
                <w:sz w:val="20"/>
                <w:szCs w:val="20"/>
                <w:color w:val="auto"/>
              </w:rPr>
            </w:pPr>
            <w:r>
              <w:rPr>
                <w:rFonts w:ascii="Arial" w:cs="Arial" w:eastAsia="Arial" w:hAnsi="Arial"/>
                <w:sz w:val="18"/>
                <w:szCs w:val="18"/>
                <w:color w:val="auto"/>
                <w:w w:val="79"/>
              </w:rPr>
              <w:t>$</w:t>
            </w:r>
          </w:p>
        </w:tc>
        <w:tc>
          <w:tcPr>
            <w:tcW w:w="5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540" w:type="dxa"/>
            <w:vAlign w:val="bottom"/>
            <w:gridSpan w:val="2"/>
            <w:shd w:val="clear" w:color="auto" w:fill="CFF0FC"/>
          </w:tcPr>
          <w:p>
            <w:pPr>
              <w:jc w:val="right"/>
              <w:ind w:right="190"/>
              <w:spacing w:after="0" w:line="202" w:lineRule="exact"/>
              <w:rPr>
                <w:sz w:val="20"/>
                <w:szCs w:val="20"/>
                <w:color w:val="auto"/>
              </w:rPr>
            </w:pPr>
            <w:r>
              <w:rPr>
                <w:rFonts w:ascii="Arial" w:cs="Arial" w:eastAsia="Arial" w:hAnsi="Arial"/>
                <w:sz w:val="18"/>
                <w:szCs w:val="18"/>
                <w:color w:val="auto"/>
              </w:rPr>
              <w:t>$</w:t>
            </w:r>
          </w:p>
        </w:tc>
        <w:tc>
          <w:tcPr>
            <w:tcW w:w="1260" w:type="dxa"/>
            <w:vAlign w:val="bottom"/>
            <w:shd w:val="clear" w:color="auto" w:fill="CFF0FC"/>
          </w:tcPr>
          <w:p>
            <w:pPr>
              <w:ind w:left="1060"/>
              <w:spacing w:after="0" w:line="202" w:lineRule="exact"/>
              <w:rPr>
                <w:sz w:val="20"/>
                <w:szCs w:val="20"/>
                <w:color w:val="auto"/>
              </w:rPr>
            </w:pPr>
            <w:r>
              <w:rPr>
                <w:rFonts w:ascii="Arial" w:cs="Arial" w:eastAsia="Arial" w:hAnsi="Arial"/>
                <w:sz w:val="18"/>
                <w:szCs w:val="18"/>
                <w:color w:val="auto"/>
                <w:w w:val="99"/>
              </w:rPr>
              <w:t>—</w:t>
            </w:r>
          </w:p>
        </w:tc>
        <w:tc>
          <w:tcPr>
            <w:tcW w:w="60" w:type="dxa"/>
            <w:vAlign w:val="bottom"/>
            <w:shd w:val="clear" w:color="auto" w:fill="CFF0FC"/>
          </w:tcPr>
          <w:p>
            <w:pPr>
              <w:spacing w:after="0"/>
              <w:rPr>
                <w:sz w:val="17"/>
                <w:szCs w:val="17"/>
                <w:color w:val="auto"/>
              </w:rPr>
            </w:pPr>
          </w:p>
        </w:tc>
      </w:tr>
      <w:tr>
        <w:trPr>
          <w:trHeight w:val="203"/>
        </w:trPr>
        <w:tc>
          <w:tcPr>
            <w:tcW w:w="7700" w:type="dxa"/>
            <w:vAlign w:val="bottom"/>
          </w:tcPr>
          <w:p>
            <w:pPr>
              <w:ind w:left="20"/>
              <w:spacing w:after="0" w:line="202" w:lineRule="exact"/>
              <w:rPr>
                <w:sz w:val="20"/>
                <w:szCs w:val="20"/>
                <w:color w:val="auto"/>
              </w:rPr>
            </w:pPr>
            <w:r>
              <w:rPr>
                <w:rFonts w:ascii="Arial" w:cs="Arial" w:eastAsia="Arial" w:hAnsi="Arial"/>
                <w:sz w:val="18"/>
                <w:szCs w:val="18"/>
                <w:color w:val="auto"/>
              </w:rPr>
              <w:t>Increase for tax positions due to acquisition</w:t>
            </w:r>
          </w:p>
        </w:tc>
        <w:tc>
          <w:tcPr>
            <w:tcW w:w="112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1,145</w:t>
            </w:r>
          </w:p>
        </w:tc>
        <w:tc>
          <w:tcPr>
            <w:tcW w:w="16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ind w:left="1060"/>
              <w:spacing w:after="0" w:line="202" w:lineRule="exact"/>
              <w:rPr>
                <w:sz w:val="20"/>
                <w:szCs w:val="20"/>
                <w:color w:val="auto"/>
              </w:rPr>
            </w:pPr>
            <w:r>
              <w:rPr>
                <w:rFonts w:ascii="Arial" w:cs="Arial" w:eastAsia="Arial" w:hAnsi="Arial"/>
                <w:sz w:val="18"/>
                <w:szCs w:val="18"/>
                <w:color w:val="auto"/>
                <w:w w:val="99"/>
              </w:rPr>
              <w:t>—</w:t>
            </w:r>
          </w:p>
        </w:tc>
        <w:tc>
          <w:tcPr>
            <w:tcW w:w="60" w:type="dxa"/>
            <w:vAlign w:val="bottom"/>
          </w:tcPr>
          <w:p>
            <w:pPr>
              <w:spacing w:after="0"/>
              <w:rPr>
                <w:sz w:val="17"/>
                <w:szCs w:val="17"/>
                <w:color w:val="auto"/>
              </w:rPr>
            </w:pPr>
          </w:p>
        </w:tc>
      </w:tr>
      <w:tr>
        <w:trPr>
          <w:trHeight w:val="236"/>
        </w:trPr>
        <w:tc>
          <w:tcPr>
            <w:tcW w:w="770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Net tax position as of December 31,</w:t>
            </w:r>
          </w:p>
        </w:tc>
        <w:tc>
          <w:tcPr>
            <w:tcW w:w="1120" w:type="dxa"/>
            <w:vAlign w:val="bottom"/>
            <w:tcBorders>
              <w:bottom w:val="single" w:sz="8" w:color="auto"/>
            </w:tcBorders>
            <w:shd w:val="clear" w:color="auto" w:fill="CFF0FC"/>
          </w:tcPr>
          <w:p>
            <w:pPr>
              <w:jc w:val="right"/>
              <w:ind w:right="936"/>
              <w:spacing w:after="0" w:line="196" w:lineRule="exact"/>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1,145</w:t>
            </w:r>
          </w:p>
        </w:tc>
        <w:tc>
          <w:tcPr>
            <w:tcW w:w="160" w:type="dxa"/>
            <w:vAlign w:val="bottom"/>
            <w:tcBorders>
              <w:bottom w:val="single" w:sz="8" w:color="CFF0FC"/>
            </w:tcBorders>
            <w:shd w:val="clear" w:color="auto" w:fill="CFF0FC"/>
          </w:tcPr>
          <w:p>
            <w:pPr>
              <w:spacing w:after="0"/>
              <w:rPr>
                <w:sz w:val="20"/>
                <w:szCs w:val="20"/>
                <w:color w:val="auto"/>
              </w:rPr>
            </w:pPr>
          </w:p>
        </w:tc>
        <w:tc>
          <w:tcPr>
            <w:tcW w:w="380" w:type="dxa"/>
            <w:vAlign w:val="bottom"/>
            <w:tcBorders>
              <w:bottom w:val="single" w:sz="8" w:color="auto"/>
            </w:tcBorders>
            <w:shd w:val="clear" w:color="auto" w:fill="CFF0FC"/>
          </w:tcPr>
          <w:p>
            <w:pPr>
              <w:jc w:val="right"/>
              <w:ind w:right="190"/>
              <w:spacing w:after="0" w:line="196" w:lineRule="exact"/>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FF0FC"/>
          </w:tcPr>
          <w:p>
            <w:pPr>
              <w:ind w:left="1060"/>
              <w:spacing w:after="0" w:line="196" w:lineRule="exact"/>
              <w:rPr>
                <w:sz w:val="20"/>
                <w:szCs w:val="20"/>
                <w:color w:val="auto"/>
              </w:rPr>
            </w:pPr>
            <w:r>
              <w:rPr>
                <w:rFonts w:ascii="Arial" w:cs="Arial" w:eastAsia="Arial" w:hAnsi="Arial"/>
                <w:sz w:val="18"/>
                <w:szCs w:val="18"/>
                <w:color w:val="auto"/>
                <w:w w:val="99"/>
              </w:rPr>
              <w:t>—</w:t>
            </w:r>
          </w:p>
        </w:tc>
        <w:tc>
          <w:tcPr>
            <w:tcW w:w="6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5954395</wp:posOffset>
            </wp:positionH>
            <wp:positionV relativeFrom="paragraph">
              <wp:posOffset>-24765</wp:posOffset>
            </wp:positionV>
            <wp:extent cx="51435"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-7620</wp:posOffset>
            </wp:positionV>
            <wp:extent cx="51435"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9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-24765</wp:posOffset>
            </wp:positionV>
            <wp:extent cx="43180"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1">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-7620</wp:posOffset>
            </wp:positionV>
            <wp:extent cx="43180"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2">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276" w:lineRule="exact"/>
        <w:rPr>
          <w:sz w:val="20"/>
          <w:szCs w:val="20"/>
          <w:color w:val="auto"/>
        </w:rPr>
      </w:pPr>
    </w:p>
    <w:p>
      <w:pPr>
        <w:ind w:right="320" w:firstLine="644"/>
        <w:spacing w:after="0" w:line="248" w:lineRule="auto"/>
        <w:rPr>
          <w:sz w:val="20"/>
          <w:szCs w:val="20"/>
          <w:color w:val="auto"/>
        </w:rPr>
      </w:pPr>
      <w:r>
        <w:rPr>
          <w:rFonts w:ascii="Arial" w:cs="Arial" w:eastAsia="Arial" w:hAnsi="Arial"/>
          <w:sz w:val="18"/>
          <w:szCs w:val="18"/>
          <w:color w:val="auto"/>
        </w:rPr>
        <w:t>The Company’s federal and state income tax returns are subject to examination by income taxing authorities, generally for three years after the returns are filed. However, tax attribute carryforwards may still be adjusted upon examination by tax authorities. The Company is not currently under examination by any tax jurisdiction.</w:t>
      </w:r>
    </w:p>
    <w:p>
      <w:pPr>
        <w:spacing w:after="0" w:line="74" w:lineRule="exact"/>
        <w:rPr>
          <w:sz w:val="20"/>
          <w:szCs w:val="20"/>
          <w:color w:val="auto"/>
        </w:rPr>
      </w:pPr>
    </w:p>
    <w:p>
      <w:pPr>
        <w:ind w:right="20" w:firstLine="644"/>
        <w:spacing w:after="0" w:line="261" w:lineRule="auto"/>
        <w:rPr>
          <w:sz w:val="20"/>
          <w:szCs w:val="20"/>
          <w:color w:val="auto"/>
        </w:rPr>
      </w:pPr>
      <w:r>
        <w:rPr>
          <w:rFonts w:ascii="Arial" w:cs="Arial" w:eastAsia="Arial" w:hAnsi="Arial"/>
          <w:sz w:val="18"/>
          <w:szCs w:val="18"/>
          <w:color w:val="auto"/>
        </w:rPr>
        <w:t>As of December 31, 2021 and 2020, we had accrued interest expense related to uncertain tax positions of $0.4 million and zero, respectively. As of December 31,2021 and 2020, we have accrued penalty expense of $0.4 million and zero, respectively.</w:t>
      </w:r>
    </w:p>
    <w:p>
      <w:pPr>
        <w:spacing w:after="0" w:line="396" w:lineRule="exact"/>
        <w:rPr>
          <w:sz w:val="20"/>
          <w:szCs w:val="20"/>
          <w:color w:val="auto"/>
        </w:rPr>
      </w:pPr>
    </w:p>
    <w:p>
      <w:pPr>
        <w:ind w:left="660" w:hanging="652"/>
        <w:spacing w:after="0"/>
        <w:tabs>
          <w:tab w:leader="none" w:pos="660" w:val="left"/>
        </w:tabs>
        <w:numPr>
          <w:ilvl w:val="0"/>
          <w:numId w:val="70"/>
        </w:numPr>
        <w:rPr>
          <w:rFonts w:ascii="Arial" w:cs="Arial" w:eastAsia="Arial" w:hAnsi="Arial"/>
          <w:sz w:val="18"/>
          <w:szCs w:val="18"/>
          <w:b w:val="1"/>
          <w:bCs w:val="1"/>
          <w:color w:val="auto"/>
        </w:rPr>
      </w:pPr>
      <w:r>
        <w:rPr>
          <w:rFonts w:ascii="Arial" w:cs="Arial" w:eastAsia="Arial" w:hAnsi="Arial"/>
          <w:sz w:val="18"/>
          <w:szCs w:val="18"/>
          <w:b w:val="1"/>
          <w:bCs w:val="1"/>
          <w:color w:val="auto"/>
        </w:rPr>
        <w:t>Net Loss Per Share Attributable to Common Stockholders</w:t>
      </w:r>
    </w:p>
    <w:p>
      <w:pPr>
        <w:spacing w:after="0" w:line="108" w:lineRule="exact"/>
        <w:rPr>
          <w:sz w:val="20"/>
          <w:szCs w:val="20"/>
          <w:color w:val="auto"/>
        </w:rPr>
      </w:pPr>
    </w:p>
    <w:p>
      <w:pPr>
        <w:ind w:right="240" w:firstLine="644"/>
        <w:spacing w:after="0" w:line="243" w:lineRule="auto"/>
        <w:rPr>
          <w:sz w:val="20"/>
          <w:szCs w:val="20"/>
          <w:color w:val="auto"/>
        </w:rPr>
      </w:pPr>
      <w:r>
        <w:rPr>
          <w:rFonts w:ascii="Arial" w:cs="Arial" w:eastAsia="Arial" w:hAnsi="Arial"/>
          <w:sz w:val="18"/>
          <w:szCs w:val="18"/>
          <w:color w:val="auto"/>
        </w:rPr>
        <w:t>The Company computes net loss per share of Class A common stock, Class B common stock and participating securities using the two-class method. Basic and diluted EPS are the same for each class of common stock and participating securities because they are entitled to the same liquidation and dividend rights. The following table sets forth the computation of basic and diluted net loss per share attributable to common stockholders (in thousands, except share and per share data):</w:t>
      </w: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7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w w:val="94"/>
              </w:rPr>
              <w:t>Year Ended December 31,</w:t>
            </w: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67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67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Net loss</w:t>
            </w:r>
          </w:p>
        </w:tc>
        <w:tc>
          <w:tcPr>
            <w:tcW w:w="300" w:type="dxa"/>
            <w:vAlign w:val="bottom"/>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(61,381</w:t>
            </w:r>
          </w:p>
        </w:tc>
        <w:tc>
          <w:tcPr>
            <w:tcW w:w="200" w:type="dxa"/>
            <w:vAlign w:val="bottom"/>
            <w:shd w:val="clear" w:color="auto" w:fill="CFF0FC"/>
          </w:tcPr>
          <w:p>
            <w:pPr>
              <w:jc w:val="right"/>
              <w:ind w:right="39"/>
              <w:spacing w:after="0" w:line="196" w:lineRule="exact"/>
              <w:rPr>
                <w:sz w:val="20"/>
                <w:szCs w:val="20"/>
                <w:color w:val="auto"/>
              </w:rPr>
            </w:pPr>
            <w:r>
              <w:rPr>
                <w:rFonts w:ascii="Arial" w:cs="Arial" w:eastAsia="Arial" w:hAnsi="Arial"/>
                <w:sz w:val="18"/>
                <w:szCs w:val="18"/>
                <w:color w:val="auto"/>
                <w:w w:val="99"/>
              </w:rPr>
              <w:t>)</w:t>
            </w:r>
          </w:p>
        </w:tc>
        <w:tc>
          <w:tcPr>
            <w:tcW w:w="300" w:type="dxa"/>
            <w:vAlign w:val="bottom"/>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(31,085</w:t>
            </w:r>
          </w:p>
        </w:tc>
        <w:tc>
          <w:tcPr>
            <w:tcW w:w="1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320" w:type="dxa"/>
            <w:vAlign w:val="bottom"/>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(30,994</w:t>
            </w:r>
          </w:p>
        </w:tc>
        <w:tc>
          <w:tcPr>
            <w:tcW w:w="1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03"/>
        </w:trPr>
        <w:tc>
          <w:tcPr>
            <w:tcW w:w="6780" w:type="dxa"/>
            <w:vAlign w:val="bottom"/>
          </w:tcPr>
          <w:p>
            <w:pPr>
              <w:ind w:left="20"/>
              <w:spacing w:after="0" w:line="202" w:lineRule="exact"/>
              <w:rPr>
                <w:sz w:val="20"/>
                <w:szCs w:val="20"/>
                <w:color w:val="auto"/>
              </w:rPr>
            </w:pPr>
            <w:r>
              <w:rPr>
                <w:rFonts w:ascii="Arial" w:cs="Arial" w:eastAsia="Arial" w:hAnsi="Arial"/>
                <w:sz w:val="18"/>
                <w:szCs w:val="18"/>
                <w:color w:val="auto"/>
              </w:rPr>
              <w:t>Deemed dividend to preferred stockholders</w:t>
            </w:r>
          </w:p>
        </w:tc>
        <w:tc>
          <w:tcPr>
            <w:tcW w:w="300" w:type="dxa"/>
            <w:vAlign w:val="bottom"/>
          </w:tcPr>
          <w:p>
            <w:pPr>
              <w:spacing w:after="0"/>
              <w:rPr>
                <w:sz w:val="17"/>
                <w:szCs w:val="17"/>
                <w:color w:val="auto"/>
              </w:rPr>
            </w:pPr>
          </w:p>
        </w:tc>
        <w:tc>
          <w:tcPr>
            <w:tcW w:w="1240" w:type="dxa"/>
            <w:vAlign w:val="bottom"/>
            <w:gridSpan w:val="2"/>
          </w:tcPr>
          <w:p>
            <w:pPr>
              <w:jc w:val="right"/>
              <w:ind w:right="139"/>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12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(8,801 )</w:t>
            </w:r>
          </w:p>
        </w:tc>
        <w:tc>
          <w:tcPr>
            <w:tcW w:w="320" w:type="dxa"/>
            <w:vAlign w:val="bottom"/>
          </w:tcPr>
          <w:p>
            <w:pPr>
              <w:spacing w:after="0"/>
              <w:rPr>
                <w:sz w:val="17"/>
                <w:szCs w:val="17"/>
                <w:color w:val="auto"/>
              </w:rPr>
            </w:pPr>
          </w:p>
        </w:tc>
        <w:tc>
          <w:tcPr>
            <w:tcW w:w="1100" w:type="dxa"/>
            <w:vAlign w:val="bottom"/>
            <w:gridSpan w:val="2"/>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678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Net loss attributable to noncontrolling interest</w:t>
            </w:r>
          </w:p>
        </w:tc>
        <w:tc>
          <w:tcPr>
            <w:tcW w:w="30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w:t>
            </w:r>
          </w:p>
        </w:tc>
        <w:tc>
          <w:tcPr>
            <w:tcW w:w="20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780" w:type="dxa"/>
            <w:vAlign w:val="bottom"/>
          </w:tcPr>
          <w:p>
            <w:pPr>
              <w:ind w:left="20"/>
              <w:spacing w:after="0" w:line="196" w:lineRule="exact"/>
              <w:rPr>
                <w:sz w:val="20"/>
                <w:szCs w:val="20"/>
                <w:color w:val="auto"/>
              </w:rPr>
            </w:pPr>
            <w:r>
              <w:rPr>
                <w:rFonts w:ascii="Arial" w:cs="Arial" w:eastAsia="Arial" w:hAnsi="Arial"/>
                <w:sz w:val="18"/>
                <w:szCs w:val="18"/>
                <w:color w:val="auto"/>
              </w:rPr>
              <w:t>Net loss attributable to common stockholders</w:t>
            </w:r>
          </w:p>
        </w:tc>
        <w:tc>
          <w:tcPr>
            <w:tcW w:w="300" w:type="dxa"/>
            <w:vAlign w:val="bottom"/>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39"/>
              <w:spacing w:after="0" w:line="196" w:lineRule="exact"/>
              <w:rPr>
                <w:sz w:val="20"/>
                <w:szCs w:val="20"/>
                <w:color w:val="auto"/>
              </w:rPr>
            </w:pPr>
            <w:r>
              <w:rPr>
                <w:rFonts w:ascii="Arial" w:cs="Arial" w:eastAsia="Arial" w:hAnsi="Arial"/>
                <w:sz w:val="18"/>
                <w:szCs w:val="18"/>
                <w:color w:val="auto"/>
              </w:rPr>
              <w:t>(61,379 )</w:t>
            </w:r>
          </w:p>
        </w:tc>
        <w:tc>
          <w:tcPr>
            <w:tcW w:w="300" w:type="dxa"/>
            <w:vAlign w:val="bottom"/>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(39,886 )</w:t>
            </w:r>
          </w:p>
        </w:tc>
        <w:tc>
          <w:tcPr>
            <w:tcW w:w="320" w:type="dxa"/>
            <w:vAlign w:val="bottom"/>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(30,994 )</w:t>
            </w:r>
          </w:p>
        </w:tc>
        <w:tc>
          <w:tcPr>
            <w:tcW w:w="0" w:type="dxa"/>
            <w:vAlign w:val="bottom"/>
          </w:tcPr>
          <w:p>
            <w:pPr>
              <w:spacing w:after="0"/>
              <w:rPr>
                <w:sz w:val="1"/>
                <w:szCs w:val="1"/>
                <w:color w:val="auto"/>
              </w:rPr>
            </w:pPr>
          </w:p>
        </w:tc>
      </w:tr>
      <w:tr>
        <w:trPr>
          <w:trHeight w:val="20"/>
        </w:trPr>
        <w:tc>
          <w:tcPr>
            <w:tcW w:w="67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780" w:type="dxa"/>
            <w:vAlign w:val="bottom"/>
            <w:shd w:val="clear" w:color="auto" w:fill="CFF0FC"/>
          </w:tcPr>
          <w:p>
            <w:pPr>
              <w:ind w:left="20"/>
              <w:spacing w:after="0" w:line="142" w:lineRule="exact"/>
              <w:rPr>
                <w:sz w:val="20"/>
                <w:szCs w:val="20"/>
                <w:color w:val="auto"/>
              </w:rPr>
            </w:pPr>
            <w:r>
              <w:rPr>
                <w:rFonts w:ascii="Arial" w:cs="Arial" w:eastAsia="Arial" w:hAnsi="Arial"/>
                <w:sz w:val="16"/>
                <w:szCs w:val="16"/>
                <w:color w:val="auto"/>
              </w:rPr>
              <w:t>Weighted-average number of shares outstanding used to compute net</w:t>
            </w:r>
          </w:p>
        </w:tc>
        <w:tc>
          <w:tcPr>
            <w:tcW w:w="300" w:type="dxa"/>
            <w:vAlign w:val="bottom"/>
            <w:shd w:val="clear" w:color="auto" w:fill="CFF0FC"/>
          </w:tcPr>
          <w:p>
            <w:pPr>
              <w:spacing w:after="0"/>
              <w:rPr>
                <w:sz w:val="12"/>
                <w:szCs w:val="12"/>
                <w:color w:val="auto"/>
              </w:rPr>
            </w:pPr>
          </w:p>
        </w:tc>
        <w:tc>
          <w:tcPr>
            <w:tcW w:w="10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26,318,349</w:t>
            </w:r>
          </w:p>
        </w:tc>
        <w:tc>
          <w:tcPr>
            <w:tcW w:w="2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7,492,876</w:t>
            </w:r>
          </w:p>
        </w:tc>
        <w:tc>
          <w:tcPr>
            <w:tcW w:w="16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0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6,345,498</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15"/>
        </w:trPr>
        <w:tc>
          <w:tcPr>
            <w:tcW w:w="6780" w:type="dxa"/>
            <w:vAlign w:val="bottom"/>
            <w:tcBorders>
              <w:bottom w:val="single" w:sz="8" w:color="CFF0FC"/>
            </w:tcBorders>
            <w:shd w:val="clear" w:color="auto" w:fill="CFF0FC"/>
          </w:tcPr>
          <w:p>
            <w:pPr>
              <w:ind w:left="160"/>
              <w:spacing w:after="0" w:line="156" w:lineRule="exact"/>
              <w:rPr>
                <w:sz w:val="20"/>
                <w:szCs w:val="20"/>
                <w:color w:val="auto"/>
              </w:rPr>
            </w:pPr>
            <w:r>
              <w:rPr>
                <w:rFonts w:ascii="Arial" w:cs="Arial" w:eastAsia="Arial" w:hAnsi="Arial"/>
                <w:sz w:val="18"/>
                <w:szCs w:val="18"/>
                <w:color w:val="auto"/>
              </w:rPr>
              <w:t>loss per share attributable to common stockholders, basic and diluted</w:t>
            </w:r>
          </w:p>
        </w:tc>
        <w:tc>
          <w:tcPr>
            <w:tcW w:w="3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vMerge w:val="continue"/>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vMerge w:val="continue"/>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vMerge w:val="continue"/>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6780" w:type="dxa"/>
            <w:vAlign w:val="bottom"/>
          </w:tcPr>
          <w:p>
            <w:pPr>
              <w:ind w:left="20"/>
              <w:spacing w:after="0" w:line="183" w:lineRule="exact"/>
              <w:rPr>
                <w:sz w:val="20"/>
                <w:szCs w:val="20"/>
                <w:color w:val="auto"/>
              </w:rPr>
            </w:pPr>
            <w:r>
              <w:rPr>
                <w:rFonts w:ascii="Arial" w:cs="Arial" w:eastAsia="Arial" w:hAnsi="Arial"/>
                <w:sz w:val="18"/>
                <w:szCs w:val="18"/>
                <w:color w:val="auto"/>
              </w:rPr>
              <w:t>Net loss per share attributable to common stockholders, basic and diluted</w:t>
            </w:r>
          </w:p>
        </w:tc>
        <w:tc>
          <w:tcPr>
            <w:tcW w:w="300" w:type="dxa"/>
            <w:vAlign w:val="bottom"/>
          </w:tcPr>
          <w:p>
            <w:pPr>
              <w:jc w:val="right"/>
              <w:ind w:right="110"/>
              <w:spacing w:after="0" w:line="183" w:lineRule="exact"/>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39"/>
              <w:spacing w:after="0" w:line="183" w:lineRule="exact"/>
              <w:rPr>
                <w:sz w:val="20"/>
                <w:szCs w:val="20"/>
                <w:color w:val="auto"/>
              </w:rPr>
            </w:pPr>
            <w:r>
              <w:rPr>
                <w:rFonts w:ascii="Arial" w:cs="Arial" w:eastAsia="Arial" w:hAnsi="Arial"/>
                <w:sz w:val="18"/>
                <w:szCs w:val="18"/>
                <w:color w:val="auto"/>
              </w:rPr>
              <w:t>(2.33 )</w:t>
            </w:r>
          </w:p>
        </w:tc>
        <w:tc>
          <w:tcPr>
            <w:tcW w:w="300" w:type="dxa"/>
            <w:vAlign w:val="bottom"/>
          </w:tcPr>
          <w:p>
            <w:pPr>
              <w:jc w:val="right"/>
              <w:ind w:right="110"/>
              <w:spacing w:after="0" w:line="183" w:lineRule="exact"/>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spacing w:after="0" w:line="183" w:lineRule="exact"/>
              <w:rPr>
                <w:sz w:val="20"/>
                <w:szCs w:val="20"/>
                <w:color w:val="auto"/>
              </w:rPr>
            </w:pPr>
            <w:r>
              <w:rPr>
                <w:rFonts w:ascii="Arial" w:cs="Arial" w:eastAsia="Arial" w:hAnsi="Arial"/>
                <w:sz w:val="18"/>
                <w:szCs w:val="18"/>
                <w:color w:val="auto"/>
              </w:rPr>
              <w:t>(5.32 )</w:t>
            </w:r>
          </w:p>
        </w:tc>
        <w:tc>
          <w:tcPr>
            <w:tcW w:w="320" w:type="dxa"/>
            <w:vAlign w:val="bottom"/>
          </w:tcPr>
          <w:p>
            <w:pPr>
              <w:jc w:val="right"/>
              <w:ind w:right="130"/>
              <w:spacing w:after="0" w:line="183" w:lineRule="exact"/>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spacing w:after="0" w:line="183" w:lineRule="exact"/>
              <w:rPr>
                <w:sz w:val="20"/>
                <w:szCs w:val="20"/>
                <w:color w:val="auto"/>
              </w:rPr>
            </w:pPr>
            <w:r>
              <w:rPr>
                <w:rFonts w:ascii="Arial" w:cs="Arial" w:eastAsia="Arial" w:hAnsi="Arial"/>
                <w:sz w:val="18"/>
                <w:szCs w:val="18"/>
                <w:color w:val="auto"/>
              </w:rPr>
              <w:t>(4.88 )</w:t>
            </w:r>
          </w:p>
        </w:tc>
        <w:tc>
          <w:tcPr>
            <w:tcW w:w="0" w:type="dxa"/>
            <w:vAlign w:val="bottom"/>
          </w:tcPr>
          <w:p>
            <w:pPr>
              <w:spacing w:after="0"/>
              <w:rPr>
                <w:sz w:val="1"/>
                <w:szCs w:val="1"/>
                <w:color w:val="auto"/>
              </w:rPr>
            </w:pPr>
          </w:p>
        </w:tc>
      </w:tr>
      <w:tr>
        <w:trPr>
          <w:trHeight w:val="20"/>
        </w:trPr>
        <w:tc>
          <w:tcPr>
            <w:tcW w:w="67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5156835</wp:posOffset>
            </wp:positionH>
            <wp:positionV relativeFrom="paragraph">
              <wp:posOffset>-553720</wp:posOffset>
            </wp:positionV>
            <wp:extent cx="68580" cy="571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-553720</wp:posOffset>
            </wp:positionV>
            <wp:extent cx="60325" cy="571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4">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-553720</wp:posOffset>
            </wp:positionV>
            <wp:extent cx="59690" cy="571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5">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-179705</wp:posOffset>
            </wp:positionV>
            <wp:extent cx="68580"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-162560</wp:posOffset>
            </wp:positionV>
            <wp:extent cx="68580"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-179705</wp:posOffset>
            </wp:positionV>
            <wp:extent cx="60325"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-162560</wp:posOffset>
            </wp:positionV>
            <wp:extent cx="60325"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-179705</wp:posOffset>
            </wp:positionV>
            <wp:extent cx="59690"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00">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-162560</wp:posOffset>
            </wp:positionV>
            <wp:extent cx="5969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1">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168" w:lineRule="exact"/>
        <w:rPr>
          <w:sz w:val="20"/>
          <w:szCs w:val="20"/>
          <w:color w:val="auto"/>
        </w:rPr>
      </w:pPr>
    </w:p>
    <w:p>
      <w:pPr>
        <w:ind w:right="520" w:firstLine="644"/>
        <w:spacing w:after="0" w:line="291" w:lineRule="auto"/>
        <w:rPr>
          <w:sz w:val="20"/>
          <w:szCs w:val="20"/>
          <w:color w:val="auto"/>
        </w:rPr>
      </w:pPr>
      <w:r>
        <w:rPr>
          <w:rFonts w:ascii="Arial" w:cs="Arial" w:eastAsia="Arial" w:hAnsi="Arial"/>
          <w:sz w:val="17"/>
          <w:szCs w:val="17"/>
          <w:color w:val="auto"/>
        </w:rPr>
        <w:t>The following outstanding shares of potentially dilutive securities were excluded from the computation of diluted net loss per share because including them would have had an anti-dilutive effect, or issuance of such shares is contingent upon the occurrence of an event:</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45085</wp:posOffset>
            </wp:positionV>
            <wp:extent cx="7157720" cy="425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81" w:name="page82"/>
    <w:bookmarkEnd w:id="81"/>
    <w:p>
      <w:pPr>
        <w:ind w:left="8760"/>
        <w:spacing w:after="0"/>
        <w:rPr>
          <w:sz w:val="20"/>
          <w:szCs w:val="20"/>
          <w:color w:val="auto"/>
        </w:rPr>
      </w:pPr>
      <w:r>
        <w:rPr>
          <w:rFonts w:ascii="Arial" w:cs="Arial" w:eastAsia="Arial" w:hAnsi="Arial"/>
          <w:sz w:val="14"/>
          <w:szCs w:val="14"/>
          <w:b w:val="1"/>
          <w:bCs w:val="1"/>
          <w:color w:val="auto"/>
        </w:rPr>
        <w:t>December 31,</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7200" w:type="dxa"/>
            <w:vAlign w:val="bottom"/>
          </w:tcPr>
          <w:p>
            <w:pPr>
              <w:spacing w:after="0"/>
              <w:rPr>
                <w:sz w:val="14"/>
                <w:szCs w:val="14"/>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760" w:type="dxa"/>
            <w:vAlign w:val="bottom"/>
            <w:tcBorders>
              <w:top w:val="single" w:sz="8" w:color="auto"/>
            </w:tcBorders>
          </w:tcPr>
          <w:p>
            <w:pPr>
              <w:spacing w:after="0"/>
              <w:rPr>
                <w:sz w:val="14"/>
                <w:szCs w:val="14"/>
                <w:color w:val="auto"/>
              </w:rPr>
            </w:pPr>
          </w:p>
        </w:tc>
        <w:tc>
          <w:tcPr>
            <w:tcW w:w="2120" w:type="dxa"/>
            <w:vAlign w:val="bottom"/>
            <w:tcBorders>
              <w:top w:val="single" w:sz="8" w:color="auto"/>
            </w:tcBorders>
            <w:gridSpan w:val="2"/>
          </w:tcPr>
          <w:p>
            <w:pPr>
              <w:jc w:val="right"/>
              <w:ind w:right="690"/>
              <w:spacing w:after="0"/>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4"/>
                <w:szCs w:val="14"/>
                <w:color w:val="auto"/>
              </w:rPr>
            </w:pPr>
          </w:p>
        </w:tc>
      </w:tr>
      <w:tr>
        <w:trPr>
          <w:trHeight w:val="196"/>
        </w:trPr>
        <w:tc>
          <w:tcPr>
            <w:tcW w:w="7200" w:type="dxa"/>
            <w:vAlign w:val="bottom"/>
          </w:tcPr>
          <w:p>
            <w:pPr>
              <w:ind w:left="20"/>
              <w:spacing w:after="0" w:line="196" w:lineRule="exact"/>
              <w:rPr>
                <w:sz w:val="20"/>
                <w:szCs w:val="20"/>
                <w:color w:val="auto"/>
              </w:rPr>
            </w:pPr>
            <w:r>
              <w:rPr>
                <w:rFonts w:ascii="Arial" w:cs="Arial" w:eastAsia="Arial" w:hAnsi="Arial"/>
                <w:sz w:val="18"/>
                <w:szCs w:val="18"/>
                <w:color w:val="auto"/>
              </w:rPr>
              <w:t>Convertible preferred stock</w:t>
            </w:r>
          </w:p>
        </w:tc>
        <w:tc>
          <w:tcPr>
            <w:tcW w:w="110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186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27,758,941</w:t>
            </w:r>
          </w:p>
        </w:tc>
        <w:tc>
          <w:tcPr>
            <w:tcW w:w="60" w:type="dxa"/>
            <w:vAlign w:val="bottom"/>
          </w:tcPr>
          <w:p>
            <w:pPr>
              <w:spacing w:after="0"/>
              <w:rPr>
                <w:sz w:val="17"/>
                <w:szCs w:val="17"/>
                <w:color w:val="auto"/>
              </w:rPr>
            </w:pPr>
          </w:p>
        </w:tc>
      </w:tr>
      <w:tr>
        <w:trPr>
          <w:trHeight w:val="203"/>
        </w:trPr>
        <w:tc>
          <w:tcPr>
            <w:tcW w:w="8300" w:type="dxa"/>
            <w:vAlign w:val="bottom"/>
            <w:gridSpan w:val="2"/>
            <w:shd w:val="clear" w:color="auto" w:fill="CFF0FC"/>
          </w:tcPr>
          <w:p>
            <w:pPr>
              <w:ind w:left="20"/>
              <w:spacing w:after="0" w:line="202" w:lineRule="exact"/>
              <w:rPr>
                <w:sz w:val="20"/>
                <w:szCs w:val="20"/>
                <w:color w:val="auto"/>
              </w:rPr>
            </w:pPr>
            <w:r>
              <w:rPr>
                <w:rFonts w:ascii="Arial" w:cs="Arial" w:eastAsia="Arial" w:hAnsi="Arial"/>
                <w:sz w:val="18"/>
                <w:szCs w:val="18"/>
                <w:color w:val="auto"/>
              </w:rPr>
              <w:t>Stock options outstanding</w:t>
            </w:r>
          </w:p>
        </w:tc>
        <w:tc>
          <w:tcPr>
            <w:tcW w:w="7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92"/>
              </w:rPr>
              <w:t>3,286,870</w:t>
            </w:r>
          </w:p>
        </w:tc>
        <w:tc>
          <w:tcPr>
            <w:tcW w:w="212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3,152,774</w:t>
            </w:r>
          </w:p>
        </w:tc>
        <w:tc>
          <w:tcPr>
            <w:tcW w:w="60" w:type="dxa"/>
            <w:vAlign w:val="bottom"/>
            <w:shd w:val="clear" w:color="auto" w:fill="CFF0FC"/>
          </w:tcPr>
          <w:p>
            <w:pPr>
              <w:spacing w:after="0"/>
              <w:rPr>
                <w:sz w:val="17"/>
                <w:szCs w:val="17"/>
                <w:color w:val="auto"/>
              </w:rPr>
            </w:pPr>
          </w:p>
        </w:tc>
      </w:tr>
      <w:tr>
        <w:trPr>
          <w:trHeight w:val="203"/>
        </w:trPr>
        <w:tc>
          <w:tcPr>
            <w:tcW w:w="830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Unvested restricted stock units</w:t>
            </w: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186,480</w:t>
            </w:r>
          </w:p>
        </w:tc>
        <w:tc>
          <w:tcPr>
            <w:tcW w:w="260" w:type="dxa"/>
            <w:vAlign w:val="bottom"/>
          </w:tcPr>
          <w:p>
            <w:pPr>
              <w:spacing w:after="0"/>
              <w:rPr>
                <w:sz w:val="17"/>
                <w:szCs w:val="17"/>
                <w:color w:val="auto"/>
              </w:rPr>
            </w:pPr>
          </w:p>
        </w:tc>
        <w:tc>
          <w:tcPr>
            <w:tcW w:w="18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r>
      <w:tr>
        <w:trPr>
          <w:trHeight w:val="203"/>
        </w:trPr>
        <w:tc>
          <w:tcPr>
            <w:tcW w:w="8300" w:type="dxa"/>
            <w:vAlign w:val="bottom"/>
            <w:gridSpan w:val="2"/>
            <w:shd w:val="clear" w:color="auto" w:fill="CFF0FC"/>
          </w:tcPr>
          <w:p>
            <w:pPr>
              <w:ind w:left="20"/>
              <w:spacing w:after="0" w:line="202" w:lineRule="exact"/>
              <w:rPr>
                <w:sz w:val="20"/>
                <w:szCs w:val="20"/>
                <w:color w:val="auto"/>
              </w:rPr>
            </w:pPr>
            <w:r>
              <w:rPr>
                <w:rFonts w:ascii="Arial" w:cs="Arial" w:eastAsia="Arial" w:hAnsi="Arial"/>
                <w:sz w:val="18"/>
                <w:szCs w:val="18"/>
                <w:color w:val="auto"/>
              </w:rPr>
              <w:t>Warrants outstanding</w:t>
            </w:r>
          </w:p>
        </w:tc>
        <w:tc>
          <w:tcPr>
            <w:tcW w:w="7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87,784</w:t>
            </w:r>
          </w:p>
        </w:tc>
        <w:tc>
          <w:tcPr>
            <w:tcW w:w="212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112,026</w:t>
            </w:r>
          </w:p>
        </w:tc>
        <w:tc>
          <w:tcPr>
            <w:tcW w:w="60" w:type="dxa"/>
            <w:vAlign w:val="bottom"/>
            <w:shd w:val="clear" w:color="auto" w:fill="CFF0FC"/>
          </w:tcPr>
          <w:p>
            <w:pPr>
              <w:spacing w:after="0"/>
              <w:rPr>
                <w:sz w:val="17"/>
                <w:szCs w:val="17"/>
                <w:color w:val="auto"/>
              </w:rPr>
            </w:pPr>
          </w:p>
        </w:tc>
      </w:tr>
      <w:tr>
        <w:trPr>
          <w:trHeight w:val="203"/>
        </w:trPr>
        <w:tc>
          <w:tcPr>
            <w:tcW w:w="830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Shares reserved for charitable contribution</w:t>
            </w: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362,392</w:t>
            </w:r>
          </w:p>
        </w:tc>
        <w:tc>
          <w:tcPr>
            <w:tcW w:w="260" w:type="dxa"/>
            <w:vAlign w:val="bottom"/>
          </w:tcPr>
          <w:p>
            <w:pPr>
              <w:spacing w:after="0"/>
              <w:rPr>
                <w:sz w:val="17"/>
                <w:szCs w:val="17"/>
                <w:color w:val="auto"/>
              </w:rPr>
            </w:pPr>
          </w:p>
        </w:tc>
        <w:tc>
          <w:tcPr>
            <w:tcW w:w="18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r>
      <w:tr>
        <w:trPr>
          <w:trHeight w:val="236"/>
        </w:trPr>
        <w:tc>
          <w:tcPr>
            <w:tcW w:w="720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Total shares</w:t>
            </w:r>
          </w:p>
        </w:tc>
        <w:tc>
          <w:tcPr>
            <w:tcW w:w="1100" w:type="dxa"/>
            <w:vAlign w:val="bottom"/>
            <w:tcBorders>
              <w:top w:val="single" w:sz="8" w:color="auto"/>
              <w:bottom w:val="single" w:sz="8" w:color="auto"/>
            </w:tcBorders>
            <w:shd w:val="clear" w:color="auto" w:fill="CFF0FC"/>
          </w:tcPr>
          <w:p>
            <w:pPr>
              <w:spacing w:after="0"/>
              <w:rPr>
                <w:sz w:val="20"/>
                <w:szCs w:val="20"/>
                <w:color w:val="auto"/>
              </w:rPr>
            </w:pPr>
          </w:p>
        </w:tc>
        <w:tc>
          <w:tcPr>
            <w:tcW w:w="7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2"/>
              </w:rPr>
              <w:t>3,923,526</w:t>
            </w:r>
          </w:p>
        </w:tc>
        <w:tc>
          <w:tcPr>
            <w:tcW w:w="260" w:type="dxa"/>
            <w:vAlign w:val="bottom"/>
            <w:tcBorders>
              <w:bottom w:val="single" w:sz="8" w:color="CFF0FC"/>
            </w:tcBorders>
            <w:shd w:val="clear" w:color="auto" w:fill="CFF0FC"/>
          </w:tcPr>
          <w:p>
            <w:pPr>
              <w:spacing w:after="0"/>
              <w:rPr>
                <w:sz w:val="20"/>
                <w:szCs w:val="20"/>
                <w:color w:val="auto"/>
              </w:rPr>
            </w:pPr>
          </w:p>
        </w:tc>
        <w:tc>
          <w:tcPr>
            <w:tcW w:w="18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31,023,741</w:t>
            </w:r>
          </w:p>
        </w:tc>
        <w:tc>
          <w:tcPr>
            <w:tcW w:w="6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5756910</wp:posOffset>
            </wp:positionH>
            <wp:positionV relativeFrom="paragraph">
              <wp:posOffset>-25400</wp:posOffset>
            </wp:positionV>
            <wp:extent cx="43180"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3">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-7620</wp:posOffset>
            </wp:positionV>
            <wp:extent cx="43180"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4">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-25400</wp:posOffset>
            </wp:positionV>
            <wp:extent cx="43180"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5">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-7620</wp:posOffset>
            </wp:positionV>
            <wp:extent cx="43180"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6">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164" w:lineRule="exact"/>
        <w:rPr>
          <w:sz w:val="20"/>
          <w:szCs w:val="20"/>
          <w:color w:val="auto"/>
        </w:rPr>
      </w:pPr>
    </w:p>
    <w:p>
      <w:pPr>
        <w:ind w:left="660" w:hanging="652"/>
        <w:spacing w:after="0"/>
        <w:tabs>
          <w:tab w:leader="none" w:pos="660" w:val="left"/>
        </w:tabs>
        <w:numPr>
          <w:ilvl w:val="0"/>
          <w:numId w:val="71"/>
        </w:numPr>
        <w:rPr>
          <w:rFonts w:ascii="Arial" w:cs="Arial" w:eastAsia="Arial" w:hAnsi="Arial"/>
          <w:sz w:val="18"/>
          <w:szCs w:val="18"/>
          <w:b w:val="1"/>
          <w:bCs w:val="1"/>
          <w:color w:val="auto"/>
        </w:rPr>
      </w:pPr>
      <w:r>
        <w:rPr>
          <w:rFonts w:ascii="Arial" w:cs="Arial" w:eastAsia="Arial" w:hAnsi="Arial"/>
          <w:sz w:val="18"/>
          <w:szCs w:val="18"/>
          <w:b w:val="1"/>
          <w:bCs w:val="1"/>
          <w:color w:val="auto"/>
        </w:rPr>
        <w:t>Debt Commitments and Contingencies</w:t>
      </w:r>
    </w:p>
    <w:p>
      <w:pPr>
        <w:spacing w:after="0" w:line="108" w:lineRule="exact"/>
        <w:rPr>
          <w:sz w:val="20"/>
          <w:szCs w:val="20"/>
          <w:color w:val="auto"/>
        </w:rPr>
      </w:pPr>
    </w:p>
    <w:p>
      <w:pPr>
        <w:ind w:right="40" w:firstLine="644"/>
        <w:spacing w:after="0" w:line="279" w:lineRule="auto"/>
        <w:rPr>
          <w:sz w:val="20"/>
          <w:szCs w:val="20"/>
          <w:color w:val="auto"/>
        </w:rPr>
      </w:pPr>
      <w:r>
        <w:rPr>
          <w:rFonts w:ascii="Arial" w:cs="Arial" w:eastAsia="Arial" w:hAnsi="Arial"/>
          <w:sz w:val="16"/>
          <w:szCs w:val="16"/>
          <w:color w:val="auto"/>
        </w:rPr>
        <w:t>The Company was party to an amended and restated loan and security agreement ("Amended Loan and Security Agreement") with Hercules Capital, Inc. (“Hercules”) for a term loan ("the Term Loan Facility"). Under the Amended Loan and Security Agreement, effective January 30, 2020, the Company could borrow up to $15 million under the Term Loan Facility, all of which became available to the Company immediately on the agreement date. On July 9, 2021, the Company repaid the full amount of its term loan with Hercules with proceeds from the IPO (see Note 1). In connection with the debt extinguishment, the Company paid Hercules $16.1 million and recorded a loss on debt extinguishment of approximately $0.3 million.</w:t>
      </w:r>
    </w:p>
    <w:p>
      <w:pPr>
        <w:spacing w:after="0" w:line="119" w:lineRule="exact"/>
        <w:rPr>
          <w:sz w:val="20"/>
          <w:szCs w:val="20"/>
          <w:color w:val="auto"/>
        </w:rPr>
      </w:pPr>
    </w:p>
    <w:p>
      <w:pPr>
        <w:ind w:right="80" w:firstLine="644"/>
        <w:spacing w:after="0" w:line="243" w:lineRule="auto"/>
        <w:rPr>
          <w:sz w:val="20"/>
          <w:szCs w:val="20"/>
          <w:color w:val="auto"/>
        </w:rPr>
      </w:pPr>
      <w:r>
        <w:rPr>
          <w:rFonts w:ascii="Arial" w:cs="Arial" w:eastAsia="Arial" w:hAnsi="Arial"/>
          <w:sz w:val="18"/>
          <w:szCs w:val="18"/>
          <w:color w:val="auto"/>
        </w:rPr>
        <w:t>Prior to its repayment, the term loan accrued interest at the greater of (i) 8.7% per annum or (ii) 8.7% per annum plus the prime rate minus 4.75% per annum. The term loan agreement required a maximum $1.2 million end of term fee due and payable on the maturity date of May 1, 2022, however, if the term loan was repaid prior to November 1, 2021, the amount owed would be $0.9 million. As of December 31, 2020, the Company owed $15.8 million on this term loan, including principal borrowings and accrued end of term fee.</w:t>
      </w:r>
    </w:p>
    <w:p>
      <w:pPr>
        <w:spacing w:after="0" w:line="161" w:lineRule="exact"/>
        <w:rPr>
          <w:sz w:val="20"/>
          <w:szCs w:val="20"/>
          <w:color w:val="auto"/>
        </w:rPr>
      </w:pPr>
    </w:p>
    <w:p>
      <w:pPr>
        <w:ind w:right="200" w:firstLine="644"/>
        <w:spacing w:after="0" w:line="248" w:lineRule="auto"/>
        <w:rPr>
          <w:sz w:val="20"/>
          <w:szCs w:val="20"/>
          <w:color w:val="auto"/>
        </w:rPr>
      </w:pPr>
      <w:r>
        <w:rPr>
          <w:rFonts w:ascii="Arial" w:cs="Arial" w:eastAsia="Arial" w:hAnsi="Arial"/>
          <w:sz w:val="18"/>
          <w:szCs w:val="18"/>
          <w:color w:val="auto"/>
        </w:rPr>
        <w:t>As part of the initial term loan agreement with Hercules, the Company issued a warrant to purchase 87,784 shares of the Company’s Series B Convertible Preferred Stock with a strike price of $5.13 per share that expires in May 2025. Upon closing of the IPO on July 2, 2021, the warrant held by Hercules may only be exercised for shares of Class A common stock.</w:t>
      </w:r>
    </w:p>
    <w:p>
      <w:pPr>
        <w:spacing w:after="0" w:line="141" w:lineRule="exact"/>
        <w:rPr>
          <w:sz w:val="20"/>
          <w:szCs w:val="20"/>
          <w:color w:val="auto"/>
        </w:rPr>
      </w:pPr>
    </w:p>
    <w:p>
      <w:pPr>
        <w:ind w:right="180" w:firstLine="644"/>
        <w:spacing w:after="0" w:line="241" w:lineRule="auto"/>
        <w:rPr>
          <w:sz w:val="20"/>
          <w:szCs w:val="20"/>
          <w:color w:val="auto"/>
        </w:rPr>
      </w:pPr>
      <w:r>
        <w:rPr>
          <w:rFonts w:ascii="Arial" w:cs="Arial" w:eastAsia="Arial" w:hAnsi="Arial"/>
          <w:sz w:val="18"/>
          <w:szCs w:val="18"/>
          <w:color w:val="auto"/>
        </w:rPr>
        <w:t>The Term Loan Facility contained customary affirmative and negative covenants, including covenants that required Hercules consent to, among other things, merge or consolidate or acquire assets outside the ordinary course of business, make investments, incur additional indebtedness or guarantee indebtedness of others, pay dividends and redeem and repurchase the Company’s capital stock, enter into transactions with affiliates outside the ordinary course of business, and create liens on Company assets. Xometry was in compliance with covenants at the time the term loan was repaid and as of December 31, 2020.</w:t>
      </w:r>
    </w:p>
    <w:p>
      <w:pPr>
        <w:spacing w:after="0" w:line="14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Paycheck Protection Program</w:t>
      </w:r>
    </w:p>
    <w:p>
      <w:pPr>
        <w:spacing w:after="0" w:line="104" w:lineRule="exact"/>
        <w:rPr>
          <w:sz w:val="20"/>
          <w:szCs w:val="20"/>
          <w:color w:val="auto"/>
        </w:rPr>
      </w:pPr>
    </w:p>
    <w:p>
      <w:pPr>
        <w:ind w:right="40" w:firstLine="644"/>
        <w:spacing w:after="0" w:line="243" w:lineRule="auto"/>
        <w:rPr>
          <w:sz w:val="20"/>
          <w:szCs w:val="20"/>
          <w:color w:val="auto"/>
        </w:rPr>
      </w:pPr>
      <w:r>
        <w:rPr>
          <w:rFonts w:ascii="Arial" w:cs="Arial" w:eastAsia="Arial" w:hAnsi="Arial"/>
          <w:sz w:val="18"/>
          <w:szCs w:val="18"/>
          <w:color w:val="auto"/>
        </w:rPr>
        <w:t>In April 2020, the Company received loan proceeds in the amount of approximately $4.8 million under the Paycheck Protection Program (“PPP”). The PPP, established as part of the Coronavirus Aid, Relief and Economic Security Act (“CARES Act”) enacted March 27, 2020, provides for loans to qualifying businesses for amounts up to 2.5 times of the average monthly payroll expenses of the qualifying business. The Company paid back the loan principal with interest on July 8, 2020.</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Contingencies</w:t>
      </w:r>
    </w:p>
    <w:p>
      <w:pPr>
        <w:spacing w:after="0" w:line="104" w:lineRule="exact"/>
        <w:rPr>
          <w:sz w:val="20"/>
          <w:szCs w:val="20"/>
          <w:color w:val="auto"/>
        </w:rPr>
      </w:pPr>
    </w:p>
    <w:p>
      <w:pPr>
        <w:jc w:val="both"/>
        <w:ind w:right="400" w:firstLine="644"/>
        <w:spacing w:after="0" w:line="239" w:lineRule="auto"/>
        <w:rPr>
          <w:sz w:val="20"/>
          <w:szCs w:val="20"/>
          <w:color w:val="auto"/>
        </w:rPr>
      </w:pPr>
      <w:r>
        <w:rPr>
          <w:rFonts w:ascii="Arial" w:cs="Arial" w:eastAsia="Arial" w:hAnsi="Arial"/>
          <w:sz w:val="18"/>
          <w:szCs w:val="18"/>
          <w:color w:val="auto"/>
        </w:rPr>
        <w:t>The Company from time to time may be subject to various claims and legal proceedings covering a range of matters that arise in the ordinary course of its business activities. In the opinion of the Company, although the outcome of any legal proceedings cannot be predicted with certainty, the ultimate liability of the Company in connection with its legal proceedings is not expected to have a material adverse effect on the Company’s financial position or operations.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82" w:name="page83"/>
    <w:bookmarkEnd w:id="82"/>
    <w:p>
      <w:pPr>
        <w:ind w:left="660" w:hanging="652"/>
        <w:spacing w:after="0"/>
        <w:tabs>
          <w:tab w:leader="none" w:pos="660" w:val="left"/>
        </w:tabs>
        <w:numPr>
          <w:ilvl w:val="0"/>
          <w:numId w:val="72"/>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Acquisitions</w:t>
      </w:r>
    </w:p>
    <w:p>
      <w:pPr>
        <w:spacing w:after="0" w:line="108" w:lineRule="exact"/>
        <w:rPr>
          <w:sz w:val="20"/>
          <w:szCs w:val="20"/>
          <w:color w:val="auto"/>
        </w:rPr>
      </w:pPr>
    </w:p>
    <w:p>
      <w:pPr>
        <w:ind w:right="160" w:firstLine="644"/>
        <w:spacing w:after="0" w:line="271" w:lineRule="auto"/>
        <w:rPr>
          <w:sz w:val="20"/>
          <w:szCs w:val="20"/>
          <w:color w:val="auto"/>
        </w:rPr>
      </w:pPr>
      <w:r>
        <w:rPr>
          <w:rFonts w:ascii="Arial" w:cs="Arial" w:eastAsia="Arial" w:hAnsi="Arial"/>
          <w:sz w:val="16"/>
          <w:szCs w:val="16"/>
          <w:color w:val="auto"/>
        </w:rPr>
        <w:t>On November 1, 2021, the Company acquired Big Blue Saw subject to an Asset Purchase Agreement. The acquisition of Big Blue Saw extends our marketplace capabilities in water jet and laser cutting. The Company accounted for the acquisition as a business combination. The goodwill of $2.1 million arising from the acquisition of Big Blue Saw related to certain expected synergies which includes improved pricing capabilities. This goodwill which is included in our U.S. reporting segment is expected to be deductible for tax purposes. The aggregate non-contingent portion of the purchase price was $1.5 million and was paid in cash and Class A common stock on the acquisition date. In addition, the purchase price includes a contingent consideration arrangement to the former owner of Big Blue Saw up to a maximum amount of $1.0 million (undiscounted) in two installments on the first and second anniversary of the acquisition and is based on client conversions. The fair value of the contingent consideration of $0.9 million was estimated by applying an income valuation approach. The measurement is based on inputs that are not observable in the market (Level 3 inputs). Key assumptions made include (a) discount rate and (b) probably weighted assumptions about client conversions.</w:t>
      </w:r>
    </w:p>
    <w:p>
      <w:pPr>
        <w:spacing w:after="0" w:line="61" w:lineRule="exact"/>
        <w:rPr>
          <w:sz w:val="20"/>
          <w:szCs w:val="20"/>
          <w:color w:val="auto"/>
        </w:rPr>
      </w:pPr>
    </w:p>
    <w:p>
      <w:pPr>
        <w:jc w:val="both"/>
        <w:ind w:right="120" w:firstLine="644"/>
        <w:spacing w:after="0" w:line="243" w:lineRule="auto"/>
        <w:rPr>
          <w:sz w:val="20"/>
          <w:szCs w:val="20"/>
          <w:color w:val="auto"/>
        </w:rPr>
      </w:pPr>
      <w:r>
        <w:rPr>
          <w:rFonts w:ascii="Arial" w:cs="Arial" w:eastAsia="Arial" w:hAnsi="Arial"/>
          <w:sz w:val="18"/>
          <w:szCs w:val="18"/>
          <w:color w:val="auto"/>
        </w:rPr>
        <w:t>The Company has performed a preliminary valuation analysis of the fair market value of the acquired assets and liabilities of Big Blue Saw. The final purchase price allocation will be determined when the Company has completed and fully reviewed all information necessary to finalize the fair value of the acquired assets and liabilities. The final allocation could differ materially from the preliminary allocation and may include changes in allocations to current asset, current liabilities and goodwill.</w:t>
      </w:r>
    </w:p>
    <w:p>
      <w:pPr>
        <w:spacing w:after="0" w:line="147" w:lineRule="exact"/>
        <w:rPr>
          <w:sz w:val="20"/>
          <w:szCs w:val="20"/>
          <w:color w:val="auto"/>
        </w:rPr>
      </w:pPr>
    </w:p>
    <w:p>
      <w:pPr>
        <w:ind w:right="180" w:firstLine="644"/>
        <w:spacing w:after="0" w:line="246" w:lineRule="auto"/>
        <w:rPr>
          <w:sz w:val="20"/>
          <w:szCs w:val="20"/>
          <w:color w:val="auto"/>
        </w:rPr>
      </w:pPr>
      <w:r>
        <w:rPr>
          <w:rFonts w:ascii="Arial" w:cs="Arial" w:eastAsia="Arial" w:hAnsi="Arial"/>
          <w:sz w:val="18"/>
          <w:szCs w:val="18"/>
          <w:color w:val="auto"/>
        </w:rPr>
        <w:t>The following table (in thousands) summarizes the consideration paid for Big Blue Saw and the preliminary fair value of the assets acquired and liabilities assumed on the acquisition date:</w:t>
      </w:r>
    </w:p>
    <w:tbl>
      <w:tblPr>
        <w:tblLayout w:type="fixed"/>
        <w:tblInd w:w="0" w:type="dxa"/>
        <w:tblCellMar>
          <w:top w:w="0" w:type="dxa"/>
          <w:left w:w="0" w:type="dxa"/>
          <w:bottom w:w="0" w:type="dxa"/>
          <w:right w:w="0" w:type="dxa"/>
        </w:tblCellMar>
      </w:tblPr>
      <w:tr>
        <w:trPr>
          <w:trHeight w:val="198"/>
        </w:trPr>
        <w:tc>
          <w:tcPr>
            <w:tcW w:w="9200" w:type="dxa"/>
            <w:vAlign w:val="bottom"/>
            <w:shd w:val="clear" w:color="auto" w:fill="CFF0FC"/>
          </w:tcPr>
          <w:p>
            <w:pPr>
              <w:ind w:left="20"/>
              <w:spacing w:after="0" w:line="198" w:lineRule="exact"/>
              <w:rPr>
                <w:sz w:val="20"/>
                <w:szCs w:val="20"/>
                <w:color w:val="auto"/>
              </w:rPr>
            </w:pPr>
            <w:r>
              <w:rPr>
                <w:rFonts w:ascii="Arial" w:cs="Arial" w:eastAsia="Arial" w:hAnsi="Arial"/>
                <w:sz w:val="18"/>
                <w:szCs w:val="18"/>
                <w:color w:val="auto"/>
              </w:rPr>
              <w:t>Consideration:</w:t>
            </w:r>
          </w:p>
        </w:tc>
        <w:tc>
          <w:tcPr>
            <w:tcW w:w="82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9200" w:type="dxa"/>
            <w:vAlign w:val="bottom"/>
          </w:tcPr>
          <w:p>
            <w:pPr>
              <w:ind w:left="200"/>
              <w:spacing w:after="0" w:line="202" w:lineRule="exact"/>
              <w:rPr>
                <w:sz w:val="20"/>
                <w:szCs w:val="20"/>
                <w:color w:val="auto"/>
              </w:rPr>
            </w:pPr>
            <w:r>
              <w:rPr>
                <w:rFonts w:ascii="Arial" w:cs="Arial" w:eastAsia="Arial" w:hAnsi="Arial"/>
                <w:sz w:val="18"/>
                <w:szCs w:val="18"/>
                <w:color w:val="auto"/>
              </w:rPr>
              <w:t>Cash</w:t>
            </w:r>
          </w:p>
        </w:tc>
        <w:tc>
          <w:tcPr>
            <w:tcW w:w="820" w:type="dxa"/>
            <w:vAlign w:val="bottom"/>
          </w:tcPr>
          <w:p>
            <w:pPr>
              <w:jc w:val="right"/>
              <w:ind w:right="630"/>
              <w:spacing w:after="0" w:line="202" w:lineRule="exact"/>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1,201</w:t>
            </w:r>
          </w:p>
        </w:tc>
        <w:tc>
          <w:tcPr>
            <w:tcW w:w="100" w:type="dxa"/>
            <w:vAlign w:val="bottom"/>
          </w:tcPr>
          <w:p>
            <w:pPr>
              <w:spacing w:after="0"/>
              <w:rPr>
                <w:sz w:val="17"/>
                <w:szCs w:val="17"/>
                <w:color w:val="auto"/>
              </w:rPr>
            </w:pPr>
          </w:p>
        </w:tc>
      </w:tr>
      <w:tr>
        <w:trPr>
          <w:trHeight w:val="203"/>
        </w:trPr>
        <w:tc>
          <w:tcPr>
            <w:tcW w:w="920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Fair value of Class A common stock</w:t>
            </w:r>
          </w:p>
        </w:tc>
        <w:tc>
          <w:tcPr>
            <w:tcW w:w="82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250</w:t>
            </w:r>
          </w:p>
        </w:tc>
        <w:tc>
          <w:tcPr>
            <w:tcW w:w="100" w:type="dxa"/>
            <w:vAlign w:val="bottom"/>
            <w:shd w:val="clear" w:color="auto" w:fill="CFF0FC"/>
          </w:tcPr>
          <w:p>
            <w:pPr>
              <w:spacing w:after="0"/>
              <w:rPr>
                <w:sz w:val="17"/>
                <w:szCs w:val="17"/>
                <w:color w:val="auto"/>
              </w:rPr>
            </w:pPr>
          </w:p>
        </w:tc>
      </w:tr>
      <w:tr>
        <w:trPr>
          <w:trHeight w:val="203"/>
        </w:trPr>
        <w:tc>
          <w:tcPr>
            <w:tcW w:w="9200" w:type="dxa"/>
            <w:vAlign w:val="bottom"/>
          </w:tcPr>
          <w:p>
            <w:pPr>
              <w:ind w:left="200"/>
              <w:spacing w:after="0" w:line="202" w:lineRule="exact"/>
              <w:rPr>
                <w:sz w:val="20"/>
                <w:szCs w:val="20"/>
                <w:color w:val="auto"/>
              </w:rPr>
            </w:pPr>
            <w:r>
              <w:rPr>
                <w:rFonts w:ascii="Arial" w:cs="Arial" w:eastAsia="Arial" w:hAnsi="Arial"/>
                <w:sz w:val="18"/>
                <w:szCs w:val="18"/>
                <w:color w:val="auto"/>
              </w:rPr>
              <w:t>Fair value of contingent consideration</w:t>
            </w:r>
          </w:p>
        </w:tc>
        <w:tc>
          <w:tcPr>
            <w:tcW w:w="8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859</w:t>
            </w:r>
          </w:p>
        </w:tc>
        <w:tc>
          <w:tcPr>
            <w:tcW w:w="100" w:type="dxa"/>
            <w:vAlign w:val="bottom"/>
          </w:tcPr>
          <w:p>
            <w:pPr>
              <w:spacing w:after="0"/>
              <w:rPr>
                <w:sz w:val="17"/>
                <w:szCs w:val="17"/>
                <w:color w:val="auto"/>
              </w:rPr>
            </w:pPr>
          </w:p>
        </w:tc>
      </w:tr>
      <w:tr>
        <w:trPr>
          <w:trHeight w:val="236"/>
        </w:trPr>
        <w:tc>
          <w:tcPr>
            <w:tcW w:w="9200" w:type="dxa"/>
            <w:vAlign w:val="bottom"/>
            <w:tcBorders>
              <w:bottom w:val="single" w:sz="8" w:color="CFF0FC"/>
            </w:tcBorders>
            <w:shd w:val="clear" w:color="auto" w:fill="CFF0FC"/>
          </w:tcPr>
          <w:p>
            <w:pPr>
              <w:ind w:left="200"/>
              <w:spacing w:after="0" w:line="196" w:lineRule="exact"/>
              <w:rPr>
                <w:sz w:val="20"/>
                <w:szCs w:val="20"/>
                <w:color w:val="auto"/>
              </w:rPr>
            </w:pPr>
            <w:r>
              <w:rPr>
                <w:rFonts w:ascii="Arial" w:cs="Arial" w:eastAsia="Arial" w:hAnsi="Arial"/>
                <w:sz w:val="18"/>
                <w:szCs w:val="18"/>
                <w:color w:val="auto"/>
              </w:rPr>
              <w:t>Fair value of consideration</w:t>
            </w:r>
          </w:p>
        </w:tc>
        <w:tc>
          <w:tcPr>
            <w:tcW w:w="820" w:type="dxa"/>
            <w:vAlign w:val="bottom"/>
            <w:tcBorders>
              <w:bottom w:val="single" w:sz="8" w:color="auto"/>
            </w:tcBorders>
            <w:shd w:val="clear" w:color="auto" w:fill="CFF0FC"/>
          </w:tcPr>
          <w:p>
            <w:pPr>
              <w:spacing w:after="0"/>
              <w:rPr>
                <w:sz w:val="20"/>
                <w:szCs w:val="20"/>
                <w:color w:val="auto"/>
              </w:rPr>
            </w:pPr>
          </w:p>
        </w:tc>
        <w:tc>
          <w:tcPr>
            <w:tcW w:w="11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2,310</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183"/>
        </w:trPr>
        <w:tc>
          <w:tcPr>
            <w:tcW w:w="9200" w:type="dxa"/>
            <w:vAlign w:val="bottom"/>
          </w:tcPr>
          <w:p>
            <w:pPr>
              <w:ind w:left="20"/>
              <w:spacing w:after="0" w:line="183" w:lineRule="exact"/>
              <w:rPr>
                <w:sz w:val="20"/>
                <w:szCs w:val="20"/>
                <w:color w:val="auto"/>
              </w:rPr>
            </w:pPr>
            <w:r>
              <w:rPr>
                <w:rFonts w:ascii="Arial" w:cs="Arial" w:eastAsia="Arial" w:hAnsi="Arial"/>
                <w:sz w:val="18"/>
                <w:szCs w:val="18"/>
                <w:color w:val="auto"/>
              </w:rPr>
              <w:t>Acquisition costs included in general and administrative</w:t>
            </w:r>
          </w:p>
        </w:tc>
        <w:tc>
          <w:tcPr>
            <w:tcW w:w="820" w:type="dxa"/>
            <w:vAlign w:val="bottom"/>
          </w:tcPr>
          <w:p>
            <w:pPr>
              <w:spacing w:after="0"/>
              <w:rPr>
                <w:sz w:val="15"/>
                <w:szCs w:val="15"/>
                <w:color w:val="auto"/>
              </w:rPr>
            </w:pPr>
          </w:p>
        </w:tc>
        <w:tc>
          <w:tcPr>
            <w:tcW w:w="1120" w:type="dxa"/>
            <w:vAlign w:val="bottom"/>
          </w:tcPr>
          <w:p>
            <w:pPr>
              <w:jc w:val="right"/>
              <w:spacing w:after="0" w:line="183" w:lineRule="exact"/>
              <w:rPr>
                <w:sz w:val="20"/>
                <w:szCs w:val="20"/>
                <w:color w:val="auto"/>
              </w:rPr>
            </w:pPr>
            <w:r>
              <w:rPr>
                <w:rFonts w:ascii="Arial" w:cs="Arial" w:eastAsia="Arial" w:hAnsi="Arial"/>
                <w:sz w:val="18"/>
                <w:szCs w:val="18"/>
                <w:color w:val="auto"/>
              </w:rPr>
              <w:t>17</w:t>
            </w:r>
          </w:p>
        </w:tc>
        <w:tc>
          <w:tcPr>
            <w:tcW w:w="100" w:type="dxa"/>
            <w:vAlign w:val="bottom"/>
          </w:tcPr>
          <w:p>
            <w:pPr>
              <w:spacing w:after="0"/>
              <w:rPr>
                <w:sz w:val="15"/>
                <w:szCs w:val="15"/>
                <w:color w:val="auto"/>
              </w:rPr>
            </w:pPr>
          </w:p>
        </w:tc>
      </w:tr>
      <w:tr>
        <w:trPr>
          <w:trHeight w:val="203"/>
        </w:trPr>
        <w:tc>
          <w:tcPr>
            <w:tcW w:w="92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Recognized amounts of identifiable assets acquired and liabilities assumed:</w:t>
            </w:r>
          </w:p>
        </w:tc>
        <w:tc>
          <w:tcPr>
            <w:tcW w:w="82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9200" w:type="dxa"/>
            <w:vAlign w:val="bottom"/>
          </w:tcPr>
          <w:p>
            <w:pPr>
              <w:ind w:left="200"/>
              <w:spacing w:after="0" w:line="202" w:lineRule="exact"/>
              <w:rPr>
                <w:sz w:val="20"/>
                <w:szCs w:val="20"/>
                <w:color w:val="auto"/>
              </w:rPr>
            </w:pPr>
            <w:r>
              <w:rPr>
                <w:rFonts w:ascii="Arial" w:cs="Arial" w:eastAsia="Arial" w:hAnsi="Arial"/>
                <w:sz w:val="18"/>
                <w:szCs w:val="18"/>
                <w:color w:val="auto"/>
              </w:rPr>
              <w:t>Current assets</w:t>
            </w:r>
          </w:p>
        </w:tc>
        <w:tc>
          <w:tcPr>
            <w:tcW w:w="82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125</w:t>
            </w:r>
          </w:p>
        </w:tc>
        <w:tc>
          <w:tcPr>
            <w:tcW w:w="100" w:type="dxa"/>
            <w:vAlign w:val="bottom"/>
          </w:tcPr>
          <w:p>
            <w:pPr>
              <w:spacing w:after="0"/>
              <w:rPr>
                <w:sz w:val="17"/>
                <w:szCs w:val="17"/>
                <w:color w:val="auto"/>
              </w:rPr>
            </w:pPr>
          </w:p>
        </w:tc>
      </w:tr>
      <w:tr>
        <w:trPr>
          <w:trHeight w:val="203"/>
        </w:trPr>
        <w:tc>
          <w:tcPr>
            <w:tcW w:w="920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Property and equipment</w:t>
            </w:r>
          </w:p>
        </w:tc>
        <w:tc>
          <w:tcPr>
            <w:tcW w:w="82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206</w:t>
            </w:r>
          </w:p>
        </w:tc>
        <w:tc>
          <w:tcPr>
            <w:tcW w:w="100" w:type="dxa"/>
            <w:vAlign w:val="bottom"/>
            <w:shd w:val="clear" w:color="auto" w:fill="CFF0FC"/>
          </w:tcPr>
          <w:p>
            <w:pPr>
              <w:spacing w:after="0"/>
              <w:rPr>
                <w:sz w:val="17"/>
                <w:szCs w:val="17"/>
                <w:color w:val="auto"/>
              </w:rPr>
            </w:pPr>
          </w:p>
        </w:tc>
      </w:tr>
      <w:tr>
        <w:trPr>
          <w:trHeight w:val="203"/>
        </w:trPr>
        <w:tc>
          <w:tcPr>
            <w:tcW w:w="9200" w:type="dxa"/>
            <w:vAlign w:val="bottom"/>
          </w:tcPr>
          <w:p>
            <w:pPr>
              <w:ind w:left="200"/>
              <w:spacing w:after="0" w:line="202" w:lineRule="exact"/>
              <w:rPr>
                <w:sz w:val="20"/>
                <w:szCs w:val="20"/>
                <w:color w:val="auto"/>
              </w:rPr>
            </w:pPr>
            <w:r>
              <w:rPr>
                <w:rFonts w:ascii="Arial" w:cs="Arial" w:eastAsia="Arial" w:hAnsi="Arial"/>
                <w:sz w:val="18"/>
                <w:szCs w:val="18"/>
                <w:color w:val="auto"/>
              </w:rPr>
              <w:t>Right-of-use asset</w:t>
            </w:r>
          </w:p>
        </w:tc>
        <w:tc>
          <w:tcPr>
            <w:tcW w:w="82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105</w:t>
            </w:r>
          </w:p>
        </w:tc>
        <w:tc>
          <w:tcPr>
            <w:tcW w:w="100" w:type="dxa"/>
            <w:vAlign w:val="bottom"/>
          </w:tcPr>
          <w:p>
            <w:pPr>
              <w:spacing w:after="0"/>
              <w:rPr>
                <w:sz w:val="17"/>
                <w:szCs w:val="17"/>
                <w:color w:val="auto"/>
              </w:rPr>
            </w:pPr>
          </w:p>
        </w:tc>
      </w:tr>
      <w:tr>
        <w:trPr>
          <w:trHeight w:val="203"/>
        </w:trPr>
        <w:tc>
          <w:tcPr>
            <w:tcW w:w="920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Lease liability</w:t>
            </w:r>
          </w:p>
        </w:tc>
        <w:tc>
          <w:tcPr>
            <w:tcW w:w="820" w:type="dxa"/>
            <w:vAlign w:val="bottom"/>
            <w:shd w:val="clear" w:color="auto" w:fill="CFF0FC"/>
          </w:tcPr>
          <w:p>
            <w:pPr>
              <w:spacing w:after="0"/>
              <w:rPr>
                <w:sz w:val="17"/>
                <w:szCs w:val="17"/>
                <w:color w:val="auto"/>
              </w:rPr>
            </w:pPr>
          </w:p>
        </w:tc>
        <w:tc>
          <w:tcPr>
            <w:tcW w:w="122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(105 )</w:t>
            </w:r>
          </w:p>
        </w:tc>
      </w:tr>
      <w:tr>
        <w:trPr>
          <w:trHeight w:val="203"/>
        </w:trPr>
        <w:tc>
          <w:tcPr>
            <w:tcW w:w="9200" w:type="dxa"/>
            <w:vAlign w:val="bottom"/>
          </w:tcPr>
          <w:p>
            <w:pPr>
              <w:ind w:left="200"/>
              <w:spacing w:after="0" w:line="202" w:lineRule="exact"/>
              <w:rPr>
                <w:sz w:val="20"/>
                <w:szCs w:val="20"/>
                <w:color w:val="auto"/>
              </w:rPr>
            </w:pPr>
            <w:r>
              <w:rPr>
                <w:rFonts w:ascii="Arial" w:cs="Arial" w:eastAsia="Arial" w:hAnsi="Arial"/>
                <w:sz w:val="18"/>
                <w:szCs w:val="18"/>
                <w:color w:val="auto"/>
              </w:rPr>
              <w:t>Current liabilities</w:t>
            </w:r>
          </w:p>
        </w:tc>
        <w:tc>
          <w:tcPr>
            <w:tcW w:w="820" w:type="dxa"/>
            <w:vAlign w:val="bottom"/>
          </w:tcPr>
          <w:p>
            <w:pPr>
              <w:spacing w:after="0"/>
              <w:rPr>
                <w:sz w:val="17"/>
                <w:szCs w:val="17"/>
                <w:color w:val="auto"/>
              </w:rPr>
            </w:pPr>
          </w:p>
        </w:tc>
        <w:tc>
          <w:tcPr>
            <w:tcW w:w="12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(109 )</w:t>
            </w:r>
          </w:p>
        </w:tc>
      </w:tr>
      <w:tr>
        <w:trPr>
          <w:trHeight w:val="196"/>
        </w:trPr>
        <w:tc>
          <w:tcPr>
            <w:tcW w:w="9200" w:type="dxa"/>
            <w:vAlign w:val="bottom"/>
            <w:shd w:val="clear" w:color="auto" w:fill="CFF0FC"/>
          </w:tcPr>
          <w:p>
            <w:pPr>
              <w:ind w:left="380"/>
              <w:spacing w:after="0" w:line="196" w:lineRule="exact"/>
              <w:rPr>
                <w:sz w:val="20"/>
                <w:szCs w:val="20"/>
                <w:color w:val="auto"/>
              </w:rPr>
            </w:pPr>
            <w:r>
              <w:rPr>
                <w:rFonts w:ascii="Arial" w:cs="Arial" w:eastAsia="Arial" w:hAnsi="Arial"/>
                <w:sz w:val="18"/>
                <w:szCs w:val="18"/>
                <w:color w:val="auto"/>
              </w:rPr>
              <w:t>Total identifiable net assets assumed</w:t>
            </w:r>
          </w:p>
        </w:tc>
        <w:tc>
          <w:tcPr>
            <w:tcW w:w="820" w:type="dxa"/>
            <w:vAlign w:val="bottom"/>
            <w:tcBorders>
              <w:top w:val="single" w:sz="8" w:color="auto"/>
            </w:tcBorders>
            <w:shd w:val="clear" w:color="auto" w:fill="CFF0FC"/>
          </w:tcPr>
          <w:p>
            <w:pPr>
              <w:spacing w:after="0"/>
              <w:rPr>
                <w:sz w:val="17"/>
                <w:szCs w:val="17"/>
                <w:color w:val="auto"/>
              </w:rPr>
            </w:pPr>
          </w:p>
        </w:tc>
        <w:tc>
          <w:tcPr>
            <w:tcW w:w="11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222</w:t>
            </w:r>
          </w:p>
        </w:tc>
        <w:tc>
          <w:tcPr>
            <w:tcW w:w="100" w:type="dxa"/>
            <w:vAlign w:val="bottom"/>
            <w:shd w:val="clear" w:color="auto" w:fill="CFF0FC"/>
          </w:tcPr>
          <w:p>
            <w:pPr>
              <w:spacing w:after="0"/>
              <w:rPr>
                <w:sz w:val="17"/>
                <w:szCs w:val="17"/>
                <w:color w:val="auto"/>
              </w:rPr>
            </w:pPr>
          </w:p>
        </w:tc>
      </w:tr>
      <w:tr>
        <w:trPr>
          <w:trHeight w:val="203"/>
        </w:trPr>
        <w:tc>
          <w:tcPr>
            <w:tcW w:w="9200" w:type="dxa"/>
            <w:vAlign w:val="bottom"/>
          </w:tcPr>
          <w:p>
            <w:pPr>
              <w:ind w:left="200"/>
              <w:spacing w:after="0" w:line="202" w:lineRule="exact"/>
              <w:rPr>
                <w:sz w:val="20"/>
                <w:szCs w:val="20"/>
                <w:color w:val="auto"/>
              </w:rPr>
            </w:pPr>
            <w:r>
              <w:rPr>
                <w:rFonts w:ascii="Arial" w:cs="Arial" w:eastAsia="Arial" w:hAnsi="Arial"/>
                <w:sz w:val="18"/>
                <w:szCs w:val="18"/>
                <w:color w:val="auto"/>
              </w:rPr>
              <w:t>Goodwill</w:t>
            </w:r>
          </w:p>
        </w:tc>
        <w:tc>
          <w:tcPr>
            <w:tcW w:w="8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2,088</w:t>
            </w:r>
          </w:p>
        </w:tc>
        <w:tc>
          <w:tcPr>
            <w:tcW w:w="100" w:type="dxa"/>
            <w:vAlign w:val="bottom"/>
          </w:tcPr>
          <w:p>
            <w:pPr>
              <w:spacing w:after="0"/>
              <w:rPr>
                <w:sz w:val="17"/>
                <w:szCs w:val="17"/>
                <w:color w:val="auto"/>
              </w:rPr>
            </w:pPr>
          </w:p>
        </w:tc>
      </w:tr>
      <w:tr>
        <w:trPr>
          <w:trHeight w:val="236"/>
        </w:trPr>
        <w:tc>
          <w:tcPr>
            <w:tcW w:w="9200" w:type="dxa"/>
            <w:vAlign w:val="bottom"/>
            <w:tcBorders>
              <w:bottom w:val="single" w:sz="8" w:color="CFF0FC"/>
            </w:tcBorders>
            <w:shd w:val="clear" w:color="auto" w:fill="CFF0FC"/>
          </w:tcPr>
          <w:p>
            <w:pPr>
              <w:ind w:left="380"/>
              <w:spacing w:after="0" w:line="196" w:lineRule="exact"/>
              <w:rPr>
                <w:sz w:val="20"/>
                <w:szCs w:val="20"/>
                <w:color w:val="auto"/>
              </w:rPr>
            </w:pPr>
            <w:r>
              <w:rPr>
                <w:rFonts w:ascii="Arial" w:cs="Arial" w:eastAsia="Arial" w:hAnsi="Arial"/>
                <w:sz w:val="18"/>
                <w:szCs w:val="18"/>
                <w:color w:val="auto"/>
              </w:rPr>
              <w:t>Total</w:t>
            </w:r>
          </w:p>
        </w:tc>
        <w:tc>
          <w:tcPr>
            <w:tcW w:w="820" w:type="dxa"/>
            <w:vAlign w:val="bottom"/>
            <w:tcBorders>
              <w:bottom w:val="single" w:sz="8" w:color="auto"/>
            </w:tcBorders>
            <w:shd w:val="clear" w:color="auto" w:fill="CFF0FC"/>
          </w:tcPr>
          <w:p>
            <w:pPr>
              <w:jc w:val="right"/>
              <w:ind w:right="63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2,310</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7077075</wp:posOffset>
            </wp:positionH>
            <wp:positionV relativeFrom="paragraph">
              <wp:posOffset>-1353820</wp:posOffset>
            </wp:positionV>
            <wp:extent cx="59690"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-1336675</wp:posOffset>
            </wp:positionV>
            <wp:extent cx="59690"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-24765</wp:posOffset>
            </wp:positionV>
            <wp:extent cx="59690"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1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-7620</wp:posOffset>
            </wp:positionV>
            <wp:extent cx="59690"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1">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384" w:lineRule="exact"/>
        <w:rPr>
          <w:sz w:val="20"/>
          <w:szCs w:val="20"/>
          <w:color w:val="auto"/>
        </w:rPr>
      </w:pPr>
    </w:p>
    <w:p>
      <w:pPr>
        <w:ind w:right="20" w:firstLine="644"/>
        <w:spacing w:after="0" w:line="270" w:lineRule="auto"/>
        <w:rPr>
          <w:sz w:val="20"/>
          <w:szCs w:val="20"/>
          <w:color w:val="auto"/>
        </w:rPr>
      </w:pPr>
      <w:r>
        <w:rPr>
          <w:rFonts w:ascii="Arial" w:cs="Arial" w:eastAsia="Arial" w:hAnsi="Arial"/>
          <w:sz w:val="16"/>
          <w:szCs w:val="16"/>
          <w:color w:val="auto"/>
        </w:rPr>
        <w:t>On November 5, 2021, the Company acquired FactoryFour subject to an Asset Purchase Agreement. FactoryFour provides SaaS based solution to help manufacturers in the Xometry marketplace improve lead times and make strong, data-driven decisions through real-time production tracking. The Company accounted for the acquisition as a business combination. The goodwill of $5.0 million arising from the acquisition of FactoryFour related to certain expected synergies which includes our ability to offer a wider range of products to sellers on our platform. This goodwill which is included in our U.S. reporting segment is expected to be deductible for tax purposes. The aggregate non-contingent portion of the purchase price was $3.3 million and was paid in cash and Class A common stock on the acquisition date. In addition, the purchase price includes a contingent consideration arrangement to the former owners of FactoryFour up to a maximum amount of $2.5 million (undiscounted) in three installments on the first, second and third anniversary of the acquisition and is based on gross total orders. The fair value of the contingent consideration of $1.5 million was estimated by applying an option pricing model. The measurement is based on inputs that are not observable in the market (Level 3 inputs). Key assumptions made include (a) discount rate, (b) time to expiration, (c) stock price, (d) hurdle rate, (e) risk free rate, (f) volatility, (g) dividend rate and (f) assumptions about gross total orders.</w:t>
      </w:r>
    </w:p>
    <w:p>
      <w:pPr>
        <w:spacing w:after="0" w:line="63" w:lineRule="exact"/>
        <w:rPr>
          <w:sz w:val="20"/>
          <w:szCs w:val="20"/>
          <w:color w:val="auto"/>
        </w:rPr>
      </w:pPr>
    </w:p>
    <w:p>
      <w:pPr>
        <w:ind w:right="120" w:firstLine="644"/>
        <w:spacing w:after="0" w:line="239" w:lineRule="auto"/>
        <w:rPr>
          <w:sz w:val="20"/>
          <w:szCs w:val="20"/>
          <w:color w:val="auto"/>
        </w:rPr>
      </w:pPr>
      <w:r>
        <w:rPr>
          <w:rFonts w:ascii="Arial" w:cs="Arial" w:eastAsia="Arial" w:hAnsi="Arial"/>
          <w:sz w:val="18"/>
          <w:szCs w:val="18"/>
          <w:color w:val="auto"/>
        </w:rPr>
        <w:t>The Company has performed a preliminary valuation analysis of the fair market value of the acquired assets and liabilities of FactoryFour. The final purchase price allocation will be determined when the Company has completed and fully reviewed all information necessary to finalize the fair value of the acquired assets and liabilities. The final allocation could differ materially from the preliminary allocation and may include changes in allocations to current asset, current liabilities and goodwill.</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83" w:name="page84"/>
    <w:bookmarkEnd w:id="83"/>
    <w:p>
      <w:pPr>
        <w:ind w:left="660"/>
        <w:spacing w:after="0"/>
        <w:rPr>
          <w:sz w:val="20"/>
          <w:szCs w:val="20"/>
          <w:color w:val="auto"/>
        </w:rPr>
      </w:pPr>
      <w:r>
        <w:rPr>
          <w:rFonts w:ascii="Arial" w:cs="Arial" w:eastAsia="Arial" w:hAnsi="Arial"/>
          <w:sz w:val="16"/>
          <w:szCs w:val="16"/>
          <w:color w:val="auto"/>
        </w:rPr>
        <w:t>The following table (in thousands) summarizes the consideration paid for Factory Four and the preliminary fair value of the assets acquired and</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liabilities assumed on the acquisition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6934835" cy="14605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3">
                      <a:extLst>
                        <a:ext uri="{28A0092B-C50C-407E-A947-70E740481C1C}"/>
                      </a:extLst>
                    </a:blip>
                    <a:srcRect/>
                    <a:stretch>
                      <a:fillRect/>
                    </a:stretch>
                  </pic:blipFill>
                  <pic:spPr bwMode="auto">
                    <a:xfrm>
                      <a:off x="0" y="0"/>
                      <a:ext cx="6934835" cy="146050"/>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color w:val="auto"/>
        </w:rPr>
        <w:t>Consideration:</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960" w:type="dxa"/>
            <w:vAlign w:val="bottom"/>
          </w:tcPr>
          <w:p>
            <w:pPr>
              <w:ind w:left="200"/>
              <w:spacing w:after="0"/>
              <w:rPr>
                <w:sz w:val="20"/>
                <w:szCs w:val="20"/>
                <w:color w:val="auto"/>
              </w:rPr>
            </w:pPr>
            <w:r>
              <w:rPr>
                <w:rFonts w:ascii="Arial" w:cs="Arial" w:eastAsia="Arial" w:hAnsi="Arial"/>
                <w:sz w:val="18"/>
                <w:szCs w:val="18"/>
                <w:color w:val="auto"/>
              </w:rPr>
              <w:t>Cash</w:t>
            </w:r>
          </w:p>
        </w:tc>
        <w:tc>
          <w:tcPr>
            <w:tcW w:w="740" w:type="dxa"/>
            <w:vAlign w:val="bottom"/>
          </w:tcPr>
          <w:p>
            <w:pPr>
              <w:jc w:val="right"/>
              <w:ind w:right="5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2,167</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89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Fair value of Class A common stock</w:t>
            </w:r>
          </w:p>
        </w:tc>
        <w:tc>
          <w:tcPr>
            <w:tcW w:w="7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1,139</w:t>
            </w:r>
          </w:p>
        </w:tc>
        <w:tc>
          <w:tcPr>
            <w:tcW w:w="80" w:type="dxa"/>
            <w:vAlign w:val="bottom"/>
            <w:shd w:val="clear" w:color="auto" w:fill="CFF0FC"/>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960" w:type="dxa"/>
            <w:vAlign w:val="bottom"/>
          </w:tcPr>
          <w:p>
            <w:pPr>
              <w:ind w:left="200"/>
              <w:spacing w:after="0"/>
              <w:rPr>
                <w:sz w:val="20"/>
                <w:szCs w:val="20"/>
                <w:color w:val="auto"/>
              </w:rPr>
            </w:pPr>
            <w:r>
              <w:rPr>
                <w:rFonts w:ascii="Arial" w:cs="Arial" w:eastAsia="Arial" w:hAnsi="Arial"/>
                <w:sz w:val="18"/>
                <w:szCs w:val="18"/>
                <w:color w:val="auto"/>
              </w:rPr>
              <w:t>Fair value of contingent consideration</w:t>
            </w:r>
          </w:p>
        </w:tc>
        <w:tc>
          <w:tcPr>
            <w:tcW w:w="7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8960" w:type="dxa"/>
            <w:vAlign w:val="bottom"/>
            <w:tcBorders>
              <w:bottom w:val="single" w:sz="8" w:color="CFF0FC"/>
            </w:tcBorders>
            <w:shd w:val="clear" w:color="auto" w:fill="CFF0FC"/>
          </w:tcPr>
          <w:p>
            <w:pPr>
              <w:ind w:left="200"/>
              <w:spacing w:after="0" w:line="196" w:lineRule="exact"/>
              <w:rPr>
                <w:sz w:val="20"/>
                <w:szCs w:val="20"/>
                <w:color w:val="auto"/>
              </w:rPr>
            </w:pPr>
            <w:r>
              <w:rPr>
                <w:rFonts w:ascii="Arial" w:cs="Arial" w:eastAsia="Arial" w:hAnsi="Arial"/>
                <w:sz w:val="18"/>
                <w:szCs w:val="18"/>
                <w:color w:val="auto"/>
              </w:rPr>
              <w:t>Fair value of consideration</w:t>
            </w:r>
          </w:p>
        </w:tc>
        <w:tc>
          <w:tcPr>
            <w:tcW w:w="740" w:type="dxa"/>
            <w:vAlign w:val="bottom"/>
            <w:tcBorders>
              <w:bottom w:val="single" w:sz="8" w:color="auto"/>
            </w:tcBorders>
            <w:shd w:val="clear" w:color="auto" w:fill="CFF0FC"/>
          </w:tcPr>
          <w:p>
            <w:pPr>
              <w:spacing w:after="0"/>
              <w:rPr>
                <w:sz w:val="20"/>
                <w:szCs w:val="20"/>
                <w:color w:val="auto"/>
              </w:rPr>
            </w:pPr>
          </w:p>
        </w:tc>
        <w:tc>
          <w:tcPr>
            <w:tcW w:w="11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4,776</w:t>
            </w:r>
          </w:p>
        </w:tc>
        <w:tc>
          <w:tcPr>
            <w:tcW w:w="80" w:type="dxa"/>
            <w:vAlign w:val="bottom"/>
            <w:tcBorders>
              <w:bottom w:val="single" w:sz="8" w:color="CFF0FC"/>
            </w:tcBorders>
            <w:shd w:val="clear" w:color="auto" w:fill="CFF0FC"/>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9"/>
        </w:trPr>
        <w:tc>
          <w:tcPr>
            <w:tcW w:w="8960" w:type="dxa"/>
            <w:vAlign w:val="bottom"/>
          </w:tcPr>
          <w:p>
            <w:pPr>
              <w:ind w:left="20"/>
              <w:spacing w:after="0"/>
              <w:rPr>
                <w:sz w:val="20"/>
                <w:szCs w:val="20"/>
                <w:color w:val="auto"/>
              </w:rPr>
            </w:pPr>
            <w:r>
              <w:rPr>
                <w:rFonts w:ascii="Arial" w:cs="Arial" w:eastAsia="Arial" w:hAnsi="Arial"/>
                <w:sz w:val="18"/>
                <w:szCs w:val="18"/>
                <w:color w:val="auto"/>
              </w:rPr>
              <w:t>Acquisition costs included in general and administrative</w:t>
            </w:r>
          </w:p>
        </w:tc>
        <w:tc>
          <w:tcPr>
            <w:tcW w:w="7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896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Recognized amounts of identifiable assets acquired and liabilities assumed:</w:t>
            </w:r>
          </w:p>
        </w:tc>
        <w:tc>
          <w:tcPr>
            <w:tcW w:w="74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960" w:type="dxa"/>
            <w:vAlign w:val="bottom"/>
          </w:tcPr>
          <w:p>
            <w:pPr>
              <w:ind w:left="200"/>
              <w:spacing w:after="0"/>
              <w:rPr>
                <w:sz w:val="20"/>
                <w:szCs w:val="20"/>
                <w:color w:val="auto"/>
              </w:rPr>
            </w:pPr>
            <w:r>
              <w:rPr>
                <w:rFonts w:ascii="Arial" w:cs="Arial" w:eastAsia="Arial" w:hAnsi="Arial"/>
                <w:sz w:val="18"/>
                <w:szCs w:val="18"/>
                <w:color w:val="auto"/>
              </w:rPr>
              <w:t>Current assets</w:t>
            </w:r>
          </w:p>
        </w:tc>
        <w:tc>
          <w:tcPr>
            <w:tcW w:w="7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234</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9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Property and equipment</w:t>
            </w:r>
          </w:p>
        </w:tc>
        <w:tc>
          <w:tcPr>
            <w:tcW w:w="7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w:t>
            </w:r>
          </w:p>
        </w:tc>
        <w:tc>
          <w:tcPr>
            <w:tcW w:w="80" w:type="dxa"/>
            <w:vAlign w:val="bottom"/>
            <w:shd w:val="clear" w:color="auto" w:fill="CFF0FC"/>
          </w:tcPr>
          <w:p>
            <w:pPr>
              <w:spacing w:after="0"/>
              <w:rPr>
                <w:sz w:val="19"/>
                <w:szCs w:val="19"/>
                <w:color w:val="auto"/>
              </w:rPr>
            </w:pPr>
          </w:p>
        </w:tc>
        <w:tc>
          <w:tcPr>
            <w:tcW w:w="180" w:type="dxa"/>
            <w:vAlign w:val="bottom"/>
            <w:vMerge w:val="restart"/>
          </w:tcPr>
          <w:p>
            <w:pPr>
              <w:jc w:val="right"/>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203"/>
        </w:trPr>
        <w:tc>
          <w:tcPr>
            <w:tcW w:w="8960" w:type="dxa"/>
            <w:vAlign w:val="bottom"/>
          </w:tcPr>
          <w:p>
            <w:pPr>
              <w:ind w:left="200"/>
              <w:spacing w:after="0" w:line="202" w:lineRule="exact"/>
              <w:rPr>
                <w:sz w:val="20"/>
                <w:szCs w:val="20"/>
                <w:color w:val="auto"/>
              </w:rPr>
            </w:pPr>
            <w:r>
              <w:rPr>
                <w:rFonts w:ascii="Arial" w:cs="Arial" w:eastAsia="Arial" w:hAnsi="Arial"/>
                <w:sz w:val="18"/>
                <w:szCs w:val="18"/>
                <w:color w:val="auto"/>
              </w:rPr>
              <w:t>Intangible asset - developed technology</w:t>
            </w:r>
          </w:p>
        </w:tc>
        <w:tc>
          <w:tcPr>
            <w:tcW w:w="74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140</w:t>
            </w:r>
          </w:p>
        </w:tc>
        <w:tc>
          <w:tcPr>
            <w:tcW w:w="80" w:type="dxa"/>
            <w:vAlign w:val="bottom"/>
          </w:tcPr>
          <w:p>
            <w:pPr>
              <w:spacing w:after="0"/>
              <w:rPr>
                <w:sz w:val="17"/>
                <w:szCs w:val="17"/>
                <w:color w:val="auto"/>
              </w:rPr>
            </w:pPr>
          </w:p>
        </w:tc>
        <w:tc>
          <w:tcPr>
            <w:tcW w:w="1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9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Right-of-use asset</w:t>
            </w:r>
          </w:p>
        </w:tc>
        <w:tc>
          <w:tcPr>
            <w:tcW w:w="7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1,044</w:t>
            </w:r>
          </w:p>
        </w:tc>
        <w:tc>
          <w:tcPr>
            <w:tcW w:w="80" w:type="dxa"/>
            <w:vAlign w:val="bottom"/>
            <w:shd w:val="clear" w:color="auto" w:fill="CFF0FC"/>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960" w:type="dxa"/>
            <w:vAlign w:val="bottom"/>
          </w:tcPr>
          <w:p>
            <w:pPr>
              <w:ind w:left="200"/>
              <w:spacing w:after="0"/>
              <w:rPr>
                <w:sz w:val="20"/>
                <w:szCs w:val="20"/>
                <w:color w:val="auto"/>
              </w:rPr>
            </w:pPr>
            <w:r>
              <w:rPr>
                <w:rFonts w:ascii="Arial" w:cs="Arial" w:eastAsia="Arial" w:hAnsi="Arial"/>
                <w:sz w:val="18"/>
                <w:szCs w:val="18"/>
                <w:color w:val="auto"/>
              </w:rPr>
              <w:t>Lease liability</w:t>
            </w:r>
          </w:p>
        </w:tc>
        <w:tc>
          <w:tcPr>
            <w:tcW w:w="740" w:type="dxa"/>
            <w:vAlign w:val="bottom"/>
          </w:tcPr>
          <w:p>
            <w:pPr>
              <w:spacing w:after="0"/>
              <w:rPr>
                <w:sz w:val="19"/>
                <w:szCs w:val="19"/>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(1,044 )</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9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Current liabilities</w:t>
            </w:r>
          </w:p>
        </w:tc>
        <w:tc>
          <w:tcPr>
            <w:tcW w:w="74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(658 )</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960" w:type="dxa"/>
            <w:vAlign w:val="bottom"/>
            <w:shd w:val="clear" w:color="auto" w:fill="CFF0FC"/>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960" w:type="dxa"/>
            <w:vAlign w:val="bottom"/>
          </w:tcPr>
          <w:p>
            <w:pPr>
              <w:ind w:left="380"/>
              <w:spacing w:after="0"/>
              <w:rPr>
                <w:sz w:val="20"/>
                <w:szCs w:val="20"/>
                <w:color w:val="auto"/>
              </w:rPr>
            </w:pPr>
            <w:r>
              <w:rPr>
                <w:rFonts w:ascii="Arial" w:cs="Arial" w:eastAsia="Arial" w:hAnsi="Arial"/>
                <w:sz w:val="18"/>
                <w:szCs w:val="18"/>
                <w:color w:val="auto"/>
              </w:rPr>
              <w:t>Total identifiable net assets assumed</w:t>
            </w:r>
          </w:p>
        </w:tc>
        <w:tc>
          <w:tcPr>
            <w:tcW w:w="740" w:type="dxa"/>
            <w:vAlign w:val="bottom"/>
          </w:tcPr>
          <w:p>
            <w:pPr>
              <w:spacing w:after="0"/>
              <w:rPr>
                <w:sz w:val="19"/>
                <w:szCs w:val="19"/>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(256 )</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96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Goodwill</w:t>
            </w:r>
          </w:p>
        </w:tc>
        <w:tc>
          <w:tcPr>
            <w:tcW w:w="74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5,032</w:t>
            </w:r>
          </w:p>
        </w:tc>
        <w:tc>
          <w:tcPr>
            <w:tcW w:w="80" w:type="dxa"/>
            <w:vAlign w:val="bottom"/>
            <w:tcBorders>
              <w:bottom w:val="single" w:sz="8" w:color="CFF0FC"/>
            </w:tcBorders>
            <w:shd w:val="clear" w:color="auto" w:fill="CFF0FC"/>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960" w:type="dxa"/>
            <w:vAlign w:val="bottom"/>
          </w:tcPr>
          <w:p>
            <w:pPr>
              <w:ind w:left="380"/>
              <w:spacing w:after="0" w:line="196" w:lineRule="exact"/>
              <w:rPr>
                <w:sz w:val="20"/>
                <w:szCs w:val="20"/>
                <w:color w:val="auto"/>
              </w:rPr>
            </w:pPr>
            <w:r>
              <w:rPr>
                <w:rFonts w:ascii="Arial" w:cs="Arial" w:eastAsia="Arial" w:hAnsi="Arial"/>
                <w:sz w:val="18"/>
                <w:szCs w:val="18"/>
                <w:color w:val="auto"/>
              </w:rPr>
              <w:t>Total</w:t>
            </w:r>
          </w:p>
        </w:tc>
        <w:tc>
          <w:tcPr>
            <w:tcW w:w="740" w:type="dxa"/>
            <w:vAlign w:val="bottom"/>
            <w:tcBorders>
              <w:bottom w:val="single" w:sz="8" w:color="auto"/>
            </w:tcBorders>
          </w:tcPr>
          <w:p>
            <w:pPr>
              <w:jc w:val="right"/>
              <w:ind w:right="550"/>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4,776</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9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6880225</wp:posOffset>
            </wp:positionH>
            <wp:positionV relativeFrom="paragraph">
              <wp:posOffset>-1765300</wp:posOffset>
            </wp:positionV>
            <wp:extent cx="59690"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6880225</wp:posOffset>
            </wp:positionH>
            <wp:positionV relativeFrom="paragraph">
              <wp:posOffset>-1748155</wp:posOffset>
            </wp:positionV>
            <wp:extent cx="59690"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6880225</wp:posOffset>
            </wp:positionH>
            <wp:positionV relativeFrom="paragraph">
              <wp:posOffset>-450850</wp:posOffset>
            </wp:positionV>
            <wp:extent cx="59690" cy="571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6">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6880225</wp:posOffset>
            </wp:positionH>
            <wp:positionV relativeFrom="paragraph">
              <wp:posOffset>-159385</wp:posOffset>
            </wp:positionV>
            <wp:extent cx="59690" cy="571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7">
                      <a:extLst>
                        <a:ext uri="{28A0092B-C50C-407E-A947-70E740481C1C}"/>
                      </a:extLst>
                    </a:blip>
                    <a:srcRect/>
                    <a:stretch>
                      <a:fillRect/>
                    </a:stretch>
                  </pic:blipFill>
                  <pic:spPr bwMode="auto">
                    <a:xfrm>
                      <a:off x="0" y="0"/>
                      <a:ext cx="59690" cy="5715"/>
                    </a:xfrm>
                    <a:prstGeom prst="rect">
                      <a:avLst/>
                    </a:prstGeom>
                    <a:noFill/>
                  </pic:spPr>
                </pic:pic>
              </a:graphicData>
            </a:graphic>
          </wp:anchor>
        </w:drawing>
      </w:r>
    </w:p>
    <w:p>
      <w:pPr>
        <w:spacing w:after="0" w:line="2" w:lineRule="exact"/>
        <w:rPr>
          <w:sz w:val="20"/>
          <w:szCs w:val="20"/>
          <w:color w:val="auto"/>
        </w:rPr>
      </w:pPr>
    </w:p>
    <w:p>
      <w:pPr>
        <w:ind w:left="660"/>
        <w:spacing w:after="0"/>
        <w:rPr>
          <w:sz w:val="20"/>
          <w:szCs w:val="20"/>
          <w:color w:val="auto"/>
        </w:rPr>
      </w:pPr>
      <w:r>
        <w:rPr>
          <w:rFonts w:ascii="Arial" w:cs="Arial" w:eastAsia="Arial" w:hAnsi="Arial"/>
          <w:sz w:val="14"/>
          <w:szCs w:val="14"/>
          <w:color w:val="auto"/>
        </w:rPr>
        <w:t>(1) The useful life of the acquired developed technology is 3 years.</w:t>
      </w:r>
    </w:p>
    <w:p>
      <w:pPr>
        <w:spacing w:after="0" w:line="194" w:lineRule="exact"/>
        <w:rPr>
          <w:sz w:val="20"/>
          <w:szCs w:val="20"/>
          <w:color w:val="auto"/>
        </w:rPr>
      </w:pPr>
    </w:p>
    <w:p>
      <w:pPr>
        <w:ind w:right="160" w:firstLine="644"/>
        <w:spacing w:after="0" w:line="261" w:lineRule="auto"/>
        <w:rPr>
          <w:sz w:val="20"/>
          <w:szCs w:val="20"/>
          <w:color w:val="auto"/>
        </w:rPr>
      </w:pPr>
      <w:r>
        <w:rPr>
          <w:rFonts w:ascii="Arial" w:cs="Arial" w:eastAsia="Arial" w:hAnsi="Arial"/>
          <w:sz w:val="18"/>
          <w:szCs w:val="18"/>
          <w:color w:val="auto"/>
        </w:rPr>
        <w:t>The acquisitions of Big Blue Saw and FactoryFour were not considered material individually or in the aggregate to the Company for the periods presented, and therefore, proforma information has not been presented.</w:t>
      </w:r>
    </w:p>
    <w:p>
      <w:pPr>
        <w:spacing w:after="0" w:line="63" w:lineRule="exact"/>
        <w:rPr>
          <w:sz w:val="20"/>
          <w:szCs w:val="20"/>
          <w:color w:val="auto"/>
        </w:rPr>
      </w:pPr>
    </w:p>
    <w:p>
      <w:pPr>
        <w:ind w:right="20" w:firstLine="644"/>
        <w:spacing w:after="0" w:line="257" w:lineRule="auto"/>
        <w:rPr>
          <w:sz w:val="20"/>
          <w:szCs w:val="20"/>
          <w:color w:val="auto"/>
        </w:rPr>
      </w:pPr>
      <w:r>
        <w:rPr>
          <w:rFonts w:ascii="Arial" w:cs="Arial" w:eastAsia="Arial" w:hAnsi="Arial"/>
          <w:sz w:val="17"/>
          <w:szCs w:val="17"/>
          <w:color w:val="auto"/>
        </w:rPr>
        <w:t>On December 9, 2021, the Company acquired Thomas subject to the Merger Agreement. Xometry expects to leverage Thomas’ marketing and data services to deliver a suite of end-to-end services for sellers with additional financial services and digital marketing products. The Company accounted for the acquisition as a business combination. The goodwill of $246.7 million arising from the acquisition of Thomas related to certain expected synergies which includes the ability to drive buyers and seller onto our platform and provide additional products and services. This goodwill which is included in our U.S. reporting segment is not expected to be deductible for tax purposes. The aggregate non-contingent portion of the purchase price was approximately $276.3 million and was paid in cash and Class A common stock on the acquisition date.</w:t>
      </w:r>
    </w:p>
    <w:p>
      <w:pPr>
        <w:spacing w:after="0" w:line="67" w:lineRule="exact"/>
        <w:rPr>
          <w:sz w:val="20"/>
          <w:szCs w:val="20"/>
          <w:color w:val="auto"/>
        </w:rPr>
      </w:pPr>
    </w:p>
    <w:p>
      <w:pPr>
        <w:ind w:firstLine="644"/>
        <w:spacing w:after="0" w:line="262" w:lineRule="auto"/>
        <w:rPr>
          <w:sz w:val="20"/>
          <w:szCs w:val="20"/>
          <w:color w:val="auto"/>
        </w:rPr>
      </w:pPr>
      <w:r>
        <w:rPr>
          <w:rFonts w:ascii="Arial" w:cs="Arial" w:eastAsia="Arial" w:hAnsi="Arial"/>
          <w:sz w:val="17"/>
          <w:szCs w:val="17"/>
          <w:color w:val="auto"/>
        </w:rPr>
        <w:t>The Company has performed a preliminary valuation analysis of the fair market value of the acquired assets and liabilities of Thomas. The final purchase price allocation will be determined when the Company has completed and fully reviewed all information necessary to finalize the fair value of the acquired assets and liabilities. The final allocation could differ materially from the preliminary allocation and may include changes in allocations to current and long term asset, current and long term liabilities, deferred tax liabilities and goodwill.</w:t>
      </w:r>
    </w:p>
    <w:p>
      <w:pPr>
        <w:spacing w:after="0" w:line="132" w:lineRule="exact"/>
        <w:rPr>
          <w:sz w:val="20"/>
          <w:szCs w:val="20"/>
          <w:color w:val="auto"/>
        </w:rPr>
      </w:pPr>
    </w:p>
    <w:p>
      <w:pPr>
        <w:ind w:right="560" w:firstLine="644"/>
        <w:spacing w:after="0" w:line="261" w:lineRule="auto"/>
        <w:rPr>
          <w:sz w:val="20"/>
          <w:szCs w:val="20"/>
          <w:color w:val="auto"/>
        </w:rPr>
      </w:pPr>
      <w:r>
        <w:rPr>
          <w:rFonts w:ascii="Arial" w:cs="Arial" w:eastAsia="Arial" w:hAnsi="Arial"/>
          <w:sz w:val="18"/>
          <w:szCs w:val="18"/>
          <w:color w:val="auto"/>
        </w:rPr>
        <w:t>The following table (in thousands) summarizes the consideration paid for Thomas and the preliminary fair value of the assets acquired and liabilities assumed on the acquisition date:</w:t>
      </w:r>
    </w:p>
    <w:p>
      <w:pPr>
        <w:spacing w:after="0" w:line="15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03" w:right="379" w:bottom="1440" w:gutter="0" w:footer="0" w:header="0"/>
        </w:sectPr>
      </w:pPr>
    </w:p>
    <w:bookmarkStart w:id="84" w:name="page85"/>
    <w:bookmarkEnd w:id="84"/>
    <w:tbl>
      <w:tblPr>
        <w:tblLayout w:type="fixed"/>
        <w:tblInd w:w="0" w:type="dxa"/>
        <w:tblCellMar>
          <w:top w:w="0" w:type="dxa"/>
          <w:left w:w="0" w:type="dxa"/>
          <w:bottom w:w="0" w:type="dxa"/>
          <w:right w:w="0" w:type="dxa"/>
        </w:tblCellMar>
      </w:tblPr>
      <w:tr>
        <w:trPr>
          <w:trHeight w:val="207"/>
        </w:trPr>
        <w:tc>
          <w:tcPr>
            <w:tcW w:w="818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Consideration:</w:t>
            </w:r>
          </w:p>
        </w:tc>
        <w:tc>
          <w:tcPr>
            <w:tcW w:w="10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8180" w:type="dxa"/>
            <w:vAlign w:val="bottom"/>
          </w:tcPr>
          <w:p>
            <w:pPr>
              <w:ind w:left="200"/>
              <w:spacing w:after="0" w:line="202" w:lineRule="exact"/>
              <w:rPr>
                <w:sz w:val="20"/>
                <w:szCs w:val="20"/>
                <w:color w:val="auto"/>
              </w:rPr>
            </w:pPr>
            <w:r>
              <w:rPr>
                <w:rFonts w:ascii="Arial" w:cs="Arial" w:eastAsia="Arial" w:hAnsi="Arial"/>
                <w:sz w:val="18"/>
                <w:szCs w:val="18"/>
                <w:color w:val="auto"/>
              </w:rPr>
              <w:t>Cash</w:t>
            </w:r>
          </w:p>
        </w:tc>
        <w:tc>
          <w:tcPr>
            <w:tcW w:w="11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560" w:type="dxa"/>
            <w:vAlign w:val="bottom"/>
          </w:tcPr>
          <w:p>
            <w:pPr>
              <w:spacing w:after="0"/>
              <w:rPr>
                <w:sz w:val="17"/>
                <w:szCs w:val="17"/>
                <w:color w:val="auto"/>
              </w:rPr>
            </w:pPr>
          </w:p>
        </w:tc>
        <w:tc>
          <w:tcPr>
            <w:tcW w:w="12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174,838</w:t>
            </w:r>
          </w:p>
        </w:tc>
        <w:tc>
          <w:tcPr>
            <w:tcW w:w="100" w:type="dxa"/>
            <w:vAlign w:val="bottom"/>
          </w:tcPr>
          <w:p>
            <w:pPr>
              <w:spacing w:after="0"/>
              <w:rPr>
                <w:sz w:val="17"/>
                <w:szCs w:val="17"/>
                <w:color w:val="auto"/>
              </w:rPr>
            </w:pPr>
          </w:p>
        </w:tc>
      </w:tr>
      <w:tr>
        <w:trPr>
          <w:trHeight w:val="203"/>
        </w:trPr>
        <w:tc>
          <w:tcPr>
            <w:tcW w:w="8180" w:type="dxa"/>
            <w:vAlign w:val="bottom"/>
            <w:tcBorders>
              <w:bottom w:val="single" w:sz="8" w:color="CFF0FC"/>
            </w:tcBorders>
            <w:shd w:val="clear" w:color="auto" w:fill="CFF0FC"/>
          </w:tcPr>
          <w:p>
            <w:pPr>
              <w:ind w:left="200"/>
              <w:spacing w:after="0" w:line="202" w:lineRule="exact"/>
              <w:rPr>
                <w:sz w:val="20"/>
                <w:szCs w:val="20"/>
                <w:color w:val="auto"/>
              </w:rPr>
            </w:pPr>
            <w:r>
              <w:rPr>
                <w:rFonts w:ascii="Arial" w:cs="Arial" w:eastAsia="Arial" w:hAnsi="Arial"/>
                <w:sz w:val="18"/>
                <w:szCs w:val="18"/>
                <w:color w:val="auto"/>
              </w:rPr>
              <w:t>Fair value of Class A common stock</w:t>
            </w:r>
          </w:p>
        </w:tc>
        <w:tc>
          <w:tcPr>
            <w:tcW w:w="104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560" w:type="dxa"/>
            <w:vAlign w:val="bottom"/>
            <w:tcBorders>
              <w:bottom w:val="single" w:sz="8" w:color="auto"/>
            </w:tcBorders>
            <w:shd w:val="clear" w:color="auto" w:fill="CFF0FC"/>
          </w:tcPr>
          <w:p>
            <w:pPr>
              <w:spacing w:after="0"/>
              <w:rPr>
                <w:sz w:val="17"/>
                <w:szCs w:val="17"/>
                <w:color w:val="auto"/>
              </w:rPr>
            </w:pPr>
          </w:p>
        </w:tc>
        <w:tc>
          <w:tcPr>
            <w:tcW w:w="1220" w:type="dxa"/>
            <w:vAlign w:val="bottom"/>
            <w:tcBorders>
              <w:bottom w:val="single" w:sz="8" w:color="auto"/>
            </w:tcBorders>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101,499</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8180" w:type="dxa"/>
            <w:vAlign w:val="bottom"/>
          </w:tcPr>
          <w:p>
            <w:pPr>
              <w:ind w:left="200"/>
              <w:spacing w:after="0" w:line="196" w:lineRule="exact"/>
              <w:rPr>
                <w:sz w:val="20"/>
                <w:szCs w:val="20"/>
                <w:color w:val="auto"/>
              </w:rPr>
            </w:pPr>
            <w:r>
              <w:rPr>
                <w:rFonts w:ascii="Arial" w:cs="Arial" w:eastAsia="Arial" w:hAnsi="Arial"/>
                <w:sz w:val="18"/>
                <w:szCs w:val="18"/>
                <w:color w:val="auto"/>
              </w:rPr>
              <w:t>Fair value of consideration</w:t>
            </w:r>
          </w:p>
        </w:tc>
        <w:tc>
          <w:tcPr>
            <w:tcW w:w="10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rPr>
              <w:t>276,337</w:t>
            </w:r>
          </w:p>
        </w:tc>
        <w:tc>
          <w:tcPr>
            <w:tcW w:w="100" w:type="dxa"/>
            <w:vAlign w:val="bottom"/>
          </w:tcPr>
          <w:p>
            <w:pPr>
              <w:spacing w:after="0"/>
              <w:rPr>
                <w:sz w:val="17"/>
                <w:szCs w:val="17"/>
                <w:color w:val="auto"/>
              </w:rPr>
            </w:pPr>
          </w:p>
        </w:tc>
      </w:tr>
      <w:tr>
        <w:trPr>
          <w:trHeight w:val="20"/>
        </w:trPr>
        <w:tc>
          <w:tcPr>
            <w:tcW w:w="8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8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3"/>
        </w:trPr>
        <w:tc>
          <w:tcPr>
            <w:tcW w:w="81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Acquisition costs included in general and administrative</w:t>
            </w:r>
          </w:p>
        </w:tc>
        <w:tc>
          <w:tcPr>
            <w:tcW w:w="10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22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5,661</w:t>
            </w:r>
          </w:p>
        </w:tc>
        <w:tc>
          <w:tcPr>
            <w:tcW w:w="100" w:type="dxa"/>
            <w:vAlign w:val="bottom"/>
            <w:shd w:val="clear" w:color="auto" w:fill="CFF0FC"/>
          </w:tcPr>
          <w:p>
            <w:pPr>
              <w:spacing w:after="0"/>
              <w:rPr>
                <w:sz w:val="17"/>
                <w:szCs w:val="17"/>
                <w:color w:val="auto"/>
              </w:rPr>
            </w:pPr>
          </w:p>
        </w:tc>
      </w:tr>
      <w:tr>
        <w:trPr>
          <w:trHeight w:val="203"/>
        </w:trPr>
        <w:tc>
          <w:tcPr>
            <w:tcW w:w="8180" w:type="dxa"/>
            <w:vAlign w:val="bottom"/>
          </w:tcPr>
          <w:p>
            <w:pPr>
              <w:ind w:left="20"/>
              <w:spacing w:after="0" w:line="202" w:lineRule="exact"/>
              <w:rPr>
                <w:sz w:val="20"/>
                <w:szCs w:val="20"/>
                <w:color w:val="auto"/>
              </w:rPr>
            </w:pPr>
            <w:r>
              <w:rPr>
                <w:rFonts w:ascii="Arial" w:cs="Arial" w:eastAsia="Arial" w:hAnsi="Arial"/>
                <w:sz w:val="18"/>
                <w:szCs w:val="18"/>
                <w:color w:val="auto"/>
              </w:rPr>
              <w:t>Recognized amounts of identifiable assets acquired and liabilities assumed:</w:t>
            </w: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818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Current assets</w:t>
            </w:r>
          </w:p>
        </w:tc>
        <w:tc>
          <w:tcPr>
            <w:tcW w:w="10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22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18,244</w:t>
            </w:r>
          </w:p>
        </w:tc>
        <w:tc>
          <w:tcPr>
            <w:tcW w:w="100" w:type="dxa"/>
            <w:vAlign w:val="bottom"/>
            <w:shd w:val="clear" w:color="auto" w:fill="CFF0FC"/>
          </w:tcPr>
          <w:p>
            <w:pPr>
              <w:spacing w:after="0"/>
              <w:rPr>
                <w:sz w:val="17"/>
                <w:szCs w:val="17"/>
                <w:color w:val="auto"/>
              </w:rPr>
            </w:pPr>
          </w:p>
        </w:tc>
      </w:tr>
      <w:tr>
        <w:trPr>
          <w:trHeight w:val="203"/>
        </w:trPr>
        <w:tc>
          <w:tcPr>
            <w:tcW w:w="8180" w:type="dxa"/>
            <w:vAlign w:val="bottom"/>
          </w:tcPr>
          <w:p>
            <w:pPr>
              <w:ind w:left="200"/>
              <w:spacing w:after="0" w:line="202" w:lineRule="exact"/>
              <w:rPr>
                <w:sz w:val="20"/>
                <w:szCs w:val="20"/>
                <w:color w:val="auto"/>
              </w:rPr>
            </w:pPr>
            <w:r>
              <w:rPr>
                <w:rFonts w:ascii="Arial" w:cs="Arial" w:eastAsia="Arial" w:hAnsi="Arial"/>
                <w:sz w:val="18"/>
                <w:szCs w:val="18"/>
                <w:color w:val="auto"/>
              </w:rPr>
              <w:t>Property and equipment</w:t>
            </w: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890</w:t>
            </w:r>
          </w:p>
        </w:tc>
        <w:tc>
          <w:tcPr>
            <w:tcW w:w="100" w:type="dxa"/>
            <w:vAlign w:val="bottom"/>
          </w:tcPr>
          <w:p>
            <w:pPr>
              <w:spacing w:after="0"/>
              <w:rPr>
                <w:sz w:val="17"/>
                <w:szCs w:val="17"/>
                <w:color w:val="auto"/>
              </w:rPr>
            </w:pPr>
          </w:p>
        </w:tc>
      </w:tr>
      <w:tr>
        <w:trPr>
          <w:trHeight w:val="203"/>
        </w:trPr>
        <w:tc>
          <w:tcPr>
            <w:tcW w:w="818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Intangible assets</w:t>
            </w:r>
          </w:p>
        </w:tc>
        <w:tc>
          <w:tcPr>
            <w:tcW w:w="10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22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40,400</w:t>
            </w:r>
          </w:p>
        </w:tc>
        <w:tc>
          <w:tcPr>
            <w:tcW w:w="100" w:type="dxa"/>
            <w:vAlign w:val="bottom"/>
            <w:shd w:val="clear" w:color="auto" w:fill="CFF0FC"/>
          </w:tcPr>
          <w:p>
            <w:pPr>
              <w:spacing w:after="0"/>
              <w:rPr>
                <w:sz w:val="17"/>
                <w:szCs w:val="17"/>
                <w:color w:val="auto"/>
              </w:rPr>
            </w:pPr>
          </w:p>
        </w:tc>
      </w:tr>
      <w:tr>
        <w:trPr>
          <w:trHeight w:val="203"/>
        </w:trPr>
        <w:tc>
          <w:tcPr>
            <w:tcW w:w="8180" w:type="dxa"/>
            <w:vAlign w:val="bottom"/>
          </w:tcPr>
          <w:p>
            <w:pPr>
              <w:ind w:left="200"/>
              <w:spacing w:after="0" w:line="202" w:lineRule="exact"/>
              <w:rPr>
                <w:sz w:val="20"/>
                <w:szCs w:val="20"/>
                <w:color w:val="auto"/>
              </w:rPr>
            </w:pPr>
            <w:r>
              <w:rPr>
                <w:rFonts w:ascii="Arial" w:cs="Arial" w:eastAsia="Arial" w:hAnsi="Arial"/>
                <w:sz w:val="18"/>
                <w:szCs w:val="18"/>
                <w:color w:val="auto"/>
              </w:rPr>
              <w:t>Right-of-use assets</w:t>
            </w: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24,130</w:t>
            </w:r>
          </w:p>
        </w:tc>
        <w:tc>
          <w:tcPr>
            <w:tcW w:w="100" w:type="dxa"/>
            <w:vAlign w:val="bottom"/>
          </w:tcPr>
          <w:p>
            <w:pPr>
              <w:spacing w:after="0"/>
              <w:rPr>
                <w:sz w:val="17"/>
                <w:szCs w:val="17"/>
                <w:color w:val="auto"/>
              </w:rPr>
            </w:pPr>
          </w:p>
        </w:tc>
      </w:tr>
      <w:tr>
        <w:trPr>
          <w:trHeight w:val="203"/>
        </w:trPr>
        <w:tc>
          <w:tcPr>
            <w:tcW w:w="818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Other long term assets</w:t>
            </w:r>
          </w:p>
        </w:tc>
        <w:tc>
          <w:tcPr>
            <w:tcW w:w="10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22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250</w:t>
            </w:r>
          </w:p>
        </w:tc>
        <w:tc>
          <w:tcPr>
            <w:tcW w:w="100" w:type="dxa"/>
            <w:vAlign w:val="bottom"/>
            <w:shd w:val="clear" w:color="auto" w:fill="CFF0FC"/>
          </w:tcPr>
          <w:p>
            <w:pPr>
              <w:spacing w:after="0"/>
              <w:rPr>
                <w:sz w:val="17"/>
                <w:szCs w:val="17"/>
                <w:color w:val="auto"/>
              </w:rPr>
            </w:pPr>
          </w:p>
        </w:tc>
      </w:tr>
      <w:tr>
        <w:trPr>
          <w:trHeight w:val="203"/>
        </w:trPr>
        <w:tc>
          <w:tcPr>
            <w:tcW w:w="8180" w:type="dxa"/>
            <w:vAlign w:val="bottom"/>
          </w:tcPr>
          <w:p>
            <w:pPr>
              <w:ind w:left="200"/>
              <w:spacing w:after="0" w:line="202" w:lineRule="exact"/>
              <w:rPr>
                <w:sz w:val="20"/>
                <w:szCs w:val="20"/>
                <w:color w:val="auto"/>
              </w:rPr>
            </w:pPr>
            <w:r>
              <w:rPr>
                <w:rFonts w:ascii="Arial" w:cs="Arial" w:eastAsia="Arial" w:hAnsi="Arial"/>
                <w:sz w:val="18"/>
                <w:szCs w:val="18"/>
                <w:color w:val="auto"/>
              </w:rPr>
              <w:t>Investment in unconsolidated joint venture</w:t>
            </w: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4,156</w:t>
            </w:r>
          </w:p>
        </w:tc>
        <w:tc>
          <w:tcPr>
            <w:tcW w:w="100" w:type="dxa"/>
            <w:vAlign w:val="bottom"/>
          </w:tcPr>
          <w:p>
            <w:pPr>
              <w:spacing w:after="0"/>
              <w:rPr>
                <w:sz w:val="17"/>
                <w:szCs w:val="17"/>
                <w:color w:val="auto"/>
              </w:rPr>
            </w:pPr>
          </w:p>
        </w:tc>
      </w:tr>
      <w:tr>
        <w:trPr>
          <w:trHeight w:val="203"/>
        </w:trPr>
        <w:tc>
          <w:tcPr>
            <w:tcW w:w="818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Lease liabilities</w:t>
            </w:r>
          </w:p>
        </w:tc>
        <w:tc>
          <w:tcPr>
            <w:tcW w:w="10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320" w:type="dxa"/>
            <w:vAlign w:val="bottom"/>
            <w:gridSpan w:val="3"/>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(18,690 )</w:t>
            </w:r>
          </w:p>
        </w:tc>
      </w:tr>
      <w:tr>
        <w:trPr>
          <w:trHeight w:val="203"/>
        </w:trPr>
        <w:tc>
          <w:tcPr>
            <w:tcW w:w="8180" w:type="dxa"/>
            <w:vAlign w:val="bottom"/>
          </w:tcPr>
          <w:p>
            <w:pPr>
              <w:ind w:left="200"/>
              <w:spacing w:after="0" w:line="202" w:lineRule="exact"/>
              <w:rPr>
                <w:sz w:val="20"/>
                <w:szCs w:val="20"/>
                <w:color w:val="auto"/>
              </w:rPr>
            </w:pPr>
            <w:r>
              <w:rPr>
                <w:rFonts w:ascii="Arial" w:cs="Arial" w:eastAsia="Arial" w:hAnsi="Arial"/>
                <w:sz w:val="18"/>
                <w:szCs w:val="18"/>
                <w:color w:val="auto"/>
              </w:rPr>
              <w:t>Income taxes payable</w:t>
            </w: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320" w:type="dxa"/>
            <w:vAlign w:val="bottom"/>
            <w:gridSpan w:val="3"/>
          </w:tcPr>
          <w:p>
            <w:pPr>
              <w:jc w:val="right"/>
              <w:ind w:right="20"/>
              <w:spacing w:after="0" w:line="202" w:lineRule="exact"/>
              <w:rPr>
                <w:sz w:val="20"/>
                <w:szCs w:val="20"/>
                <w:color w:val="auto"/>
              </w:rPr>
            </w:pPr>
            <w:r>
              <w:rPr>
                <w:rFonts w:ascii="Arial" w:cs="Arial" w:eastAsia="Arial" w:hAnsi="Arial"/>
                <w:sz w:val="18"/>
                <w:szCs w:val="18"/>
                <w:color w:val="auto"/>
              </w:rPr>
              <w:t>(1,647 )</w:t>
            </w:r>
          </w:p>
        </w:tc>
      </w:tr>
      <w:tr>
        <w:trPr>
          <w:trHeight w:val="203"/>
        </w:trPr>
        <w:tc>
          <w:tcPr>
            <w:tcW w:w="818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Other long term liabilities</w:t>
            </w:r>
          </w:p>
        </w:tc>
        <w:tc>
          <w:tcPr>
            <w:tcW w:w="10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320" w:type="dxa"/>
            <w:vAlign w:val="bottom"/>
            <w:gridSpan w:val="3"/>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(281 )</w:t>
            </w:r>
          </w:p>
        </w:tc>
      </w:tr>
      <w:tr>
        <w:trPr>
          <w:trHeight w:val="203"/>
        </w:trPr>
        <w:tc>
          <w:tcPr>
            <w:tcW w:w="8180" w:type="dxa"/>
            <w:vAlign w:val="bottom"/>
          </w:tcPr>
          <w:p>
            <w:pPr>
              <w:ind w:left="200"/>
              <w:spacing w:after="0" w:line="202" w:lineRule="exact"/>
              <w:rPr>
                <w:sz w:val="20"/>
                <w:szCs w:val="20"/>
                <w:color w:val="auto"/>
              </w:rPr>
            </w:pPr>
            <w:r>
              <w:rPr>
                <w:rFonts w:ascii="Arial" w:cs="Arial" w:eastAsia="Arial" w:hAnsi="Arial"/>
                <w:sz w:val="18"/>
                <w:szCs w:val="18"/>
                <w:color w:val="auto"/>
              </w:rPr>
              <w:t>Contract liabilities</w:t>
            </w: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320" w:type="dxa"/>
            <w:vAlign w:val="bottom"/>
            <w:gridSpan w:val="3"/>
          </w:tcPr>
          <w:p>
            <w:pPr>
              <w:jc w:val="right"/>
              <w:ind w:right="20"/>
              <w:spacing w:after="0" w:line="202" w:lineRule="exact"/>
              <w:rPr>
                <w:sz w:val="20"/>
                <w:szCs w:val="20"/>
                <w:color w:val="auto"/>
              </w:rPr>
            </w:pPr>
            <w:r>
              <w:rPr>
                <w:rFonts w:ascii="Arial" w:cs="Arial" w:eastAsia="Arial" w:hAnsi="Arial"/>
                <w:sz w:val="18"/>
                <w:szCs w:val="18"/>
                <w:color w:val="auto"/>
              </w:rPr>
              <w:t>(6,634 )</w:t>
            </w:r>
          </w:p>
        </w:tc>
      </w:tr>
      <w:tr>
        <w:trPr>
          <w:trHeight w:val="203"/>
        </w:trPr>
        <w:tc>
          <w:tcPr>
            <w:tcW w:w="818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Current liabilities</w:t>
            </w:r>
          </w:p>
        </w:tc>
        <w:tc>
          <w:tcPr>
            <w:tcW w:w="10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320" w:type="dxa"/>
            <w:vAlign w:val="bottom"/>
            <w:gridSpan w:val="3"/>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(30,183 )</w:t>
            </w:r>
          </w:p>
        </w:tc>
      </w:tr>
      <w:tr>
        <w:trPr>
          <w:trHeight w:val="203"/>
        </w:trPr>
        <w:tc>
          <w:tcPr>
            <w:tcW w:w="8180" w:type="dxa"/>
            <w:vAlign w:val="bottom"/>
          </w:tcPr>
          <w:p>
            <w:pPr>
              <w:ind w:left="200"/>
              <w:spacing w:after="0" w:line="202" w:lineRule="exact"/>
              <w:rPr>
                <w:sz w:val="20"/>
                <w:szCs w:val="20"/>
                <w:color w:val="auto"/>
              </w:rPr>
            </w:pPr>
            <w:r>
              <w:rPr>
                <w:rFonts w:ascii="Arial" w:cs="Arial" w:eastAsia="Arial" w:hAnsi="Arial"/>
                <w:sz w:val="18"/>
                <w:szCs w:val="18"/>
                <w:color w:val="auto"/>
              </w:rPr>
              <w:t>Noncontrolling interest</w:t>
            </w: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320" w:type="dxa"/>
            <w:vAlign w:val="bottom"/>
            <w:gridSpan w:val="3"/>
          </w:tcPr>
          <w:p>
            <w:pPr>
              <w:jc w:val="right"/>
              <w:ind w:right="20"/>
              <w:spacing w:after="0" w:line="202" w:lineRule="exact"/>
              <w:rPr>
                <w:sz w:val="20"/>
                <w:szCs w:val="20"/>
                <w:color w:val="auto"/>
              </w:rPr>
            </w:pPr>
            <w:r>
              <w:rPr>
                <w:rFonts w:ascii="Arial" w:cs="Arial" w:eastAsia="Arial" w:hAnsi="Arial"/>
                <w:sz w:val="18"/>
                <w:szCs w:val="18"/>
                <w:color w:val="auto"/>
              </w:rPr>
              <w:t>(1,036 )</w:t>
            </w:r>
          </w:p>
        </w:tc>
      </w:tr>
      <w:tr>
        <w:trPr>
          <w:trHeight w:val="196"/>
        </w:trPr>
        <w:tc>
          <w:tcPr>
            <w:tcW w:w="8180" w:type="dxa"/>
            <w:vAlign w:val="bottom"/>
            <w:shd w:val="clear" w:color="auto" w:fill="CFF0FC"/>
          </w:tcPr>
          <w:p>
            <w:pPr>
              <w:ind w:left="380"/>
              <w:spacing w:after="0" w:line="196" w:lineRule="exact"/>
              <w:rPr>
                <w:sz w:val="20"/>
                <w:szCs w:val="20"/>
                <w:color w:val="auto"/>
              </w:rPr>
            </w:pPr>
            <w:r>
              <w:rPr>
                <w:rFonts w:ascii="Arial" w:cs="Arial" w:eastAsia="Arial" w:hAnsi="Arial"/>
                <w:sz w:val="18"/>
                <w:szCs w:val="18"/>
                <w:color w:val="auto"/>
              </w:rPr>
              <w:t>Total identifiable net assets assumed</w:t>
            </w:r>
          </w:p>
        </w:tc>
        <w:tc>
          <w:tcPr>
            <w:tcW w:w="1040" w:type="dxa"/>
            <w:vAlign w:val="bottom"/>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560" w:type="dxa"/>
            <w:vAlign w:val="bottom"/>
            <w:tcBorders>
              <w:top w:val="single" w:sz="8" w:color="auto"/>
            </w:tcBorders>
            <w:shd w:val="clear" w:color="auto" w:fill="CFF0FC"/>
          </w:tcPr>
          <w:p>
            <w:pPr>
              <w:spacing w:after="0"/>
              <w:rPr>
                <w:sz w:val="17"/>
                <w:szCs w:val="17"/>
                <w:color w:val="auto"/>
              </w:rPr>
            </w:pPr>
          </w:p>
        </w:tc>
        <w:tc>
          <w:tcPr>
            <w:tcW w:w="1220" w:type="dxa"/>
            <w:vAlign w:val="bottom"/>
            <w:tcBorders>
              <w:top w:val="single" w:sz="8" w:color="auto"/>
            </w:tcBorders>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29,599</w:t>
            </w:r>
          </w:p>
        </w:tc>
        <w:tc>
          <w:tcPr>
            <w:tcW w:w="100" w:type="dxa"/>
            <w:vAlign w:val="bottom"/>
            <w:shd w:val="clear" w:color="auto" w:fill="CFF0FC"/>
          </w:tcPr>
          <w:p>
            <w:pPr>
              <w:spacing w:after="0"/>
              <w:rPr>
                <w:sz w:val="17"/>
                <w:szCs w:val="17"/>
                <w:color w:val="auto"/>
              </w:rPr>
            </w:pPr>
          </w:p>
        </w:tc>
      </w:tr>
      <w:tr>
        <w:trPr>
          <w:trHeight w:val="203"/>
        </w:trPr>
        <w:tc>
          <w:tcPr>
            <w:tcW w:w="8180" w:type="dxa"/>
            <w:vAlign w:val="bottom"/>
          </w:tcPr>
          <w:p>
            <w:pPr>
              <w:ind w:left="200"/>
              <w:spacing w:after="0" w:line="202" w:lineRule="exact"/>
              <w:rPr>
                <w:sz w:val="20"/>
                <w:szCs w:val="20"/>
                <w:color w:val="auto"/>
              </w:rPr>
            </w:pPr>
            <w:r>
              <w:rPr>
                <w:rFonts w:ascii="Arial" w:cs="Arial" w:eastAsia="Arial" w:hAnsi="Arial"/>
                <w:sz w:val="18"/>
                <w:szCs w:val="18"/>
                <w:color w:val="auto"/>
              </w:rPr>
              <w:t>Goodwill</w:t>
            </w:r>
          </w:p>
        </w:tc>
        <w:tc>
          <w:tcPr>
            <w:tcW w:w="10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gridSpan w:val="2"/>
          </w:tcPr>
          <w:p>
            <w:pPr>
              <w:jc w:val="right"/>
              <w:spacing w:after="0" w:line="202" w:lineRule="exact"/>
              <w:rPr>
                <w:sz w:val="20"/>
                <w:szCs w:val="20"/>
                <w:color w:val="auto"/>
              </w:rPr>
            </w:pPr>
            <w:r>
              <w:rPr>
                <w:rFonts w:ascii="Arial" w:cs="Arial" w:eastAsia="Arial" w:hAnsi="Arial"/>
                <w:sz w:val="18"/>
                <w:szCs w:val="18"/>
                <w:color w:val="auto"/>
              </w:rPr>
              <w:t>246,738</w:t>
            </w:r>
          </w:p>
        </w:tc>
        <w:tc>
          <w:tcPr>
            <w:tcW w:w="100" w:type="dxa"/>
            <w:vAlign w:val="bottom"/>
          </w:tcPr>
          <w:p>
            <w:pPr>
              <w:spacing w:after="0"/>
              <w:rPr>
                <w:sz w:val="17"/>
                <w:szCs w:val="17"/>
                <w:color w:val="auto"/>
              </w:rPr>
            </w:pPr>
          </w:p>
        </w:tc>
      </w:tr>
      <w:tr>
        <w:trPr>
          <w:trHeight w:val="236"/>
        </w:trPr>
        <w:tc>
          <w:tcPr>
            <w:tcW w:w="8180" w:type="dxa"/>
            <w:vAlign w:val="bottom"/>
            <w:tcBorders>
              <w:bottom w:val="single" w:sz="8" w:color="CFF0FC"/>
            </w:tcBorders>
            <w:shd w:val="clear" w:color="auto" w:fill="CFF0FC"/>
          </w:tcPr>
          <w:p>
            <w:pPr>
              <w:ind w:left="380"/>
              <w:spacing w:after="0" w:line="196" w:lineRule="exact"/>
              <w:rPr>
                <w:sz w:val="20"/>
                <w:szCs w:val="20"/>
                <w:color w:val="auto"/>
              </w:rPr>
            </w:pPr>
            <w:r>
              <w:rPr>
                <w:rFonts w:ascii="Arial" w:cs="Arial" w:eastAsia="Arial" w:hAnsi="Arial"/>
                <w:sz w:val="18"/>
                <w:szCs w:val="18"/>
                <w:color w:val="auto"/>
              </w:rPr>
              <w:t>Total</w:t>
            </w:r>
          </w:p>
        </w:tc>
        <w:tc>
          <w:tcPr>
            <w:tcW w:w="104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FF0FC"/>
          </w:tcPr>
          <w:p>
            <w:pPr>
              <w:spacing w:after="0"/>
              <w:rPr>
                <w:sz w:val="20"/>
                <w:szCs w:val="20"/>
                <w:color w:val="auto"/>
              </w:rPr>
            </w:pPr>
          </w:p>
        </w:tc>
        <w:tc>
          <w:tcPr>
            <w:tcW w:w="1220" w:type="dxa"/>
            <w:vAlign w:val="bottom"/>
            <w:tcBorders>
              <w:bottom w:val="single" w:sz="8" w:color="auto"/>
            </w:tcBorders>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276,337</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399"/>
        </w:trPr>
        <w:tc>
          <w:tcPr>
            <w:tcW w:w="8180" w:type="dxa"/>
            <w:vAlign w:val="bottom"/>
          </w:tcPr>
          <w:p>
            <w:pPr>
              <w:ind w:left="660"/>
              <w:spacing w:after="0"/>
              <w:rPr>
                <w:sz w:val="20"/>
                <w:szCs w:val="20"/>
                <w:color w:val="auto"/>
              </w:rPr>
            </w:pPr>
            <w:r>
              <w:rPr>
                <w:rFonts w:ascii="Arial" w:cs="Arial" w:eastAsia="Arial" w:hAnsi="Arial"/>
                <w:sz w:val="18"/>
                <w:szCs w:val="18"/>
                <w:color w:val="auto"/>
                <w:w w:val="98"/>
              </w:rPr>
              <w:t>The following table (in thousands) summarizes the fair value of the identifiable intangible assets:</w:t>
            </w: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92"/>
        </w:trPr>
        <w:tc>
          <w:tcPr>
            <w:tcW w:w="8180" w:type="dxa"/>
            <w:vAlign w:val="bottom"/>
          </w:tcPr>
          <w:p>
            <w:pPr>
              <w:spacing w:after="0"/>
              <w:rPr>
                <w:sz w:val="24"/>
                <w:szCs w:val="24"/>
                <w:color w:val="auto"/>
              </w:rPr>
            </w:pPr>
          </w:p>
        </w:tc>
        <w:tc>
          <w:tcPr>
            <w:tcW w:w="118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8"/>
                <w:szCs w:val="18"/>
                <w:b w:val="1"/>
                <w:bCs w:val="1"/>
                <w:color w:val="auto"/>
              </w:rPr>
              <w:t>Total</w:t>
            </w:r>
          </w:p>
        </w:tc>
        <w:tc>
          <w:tcPr>
            <w:tcW w:w="56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26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b w:val="1"/>
                <w:bCs w:val="1"/>
                <w:color w:val="auto"/>
                <w:w w:val="97"/>
              </w:rPr>
              <w:t>Estimated life</w:t>
            </w:r>
          </w:p>
        </w:tc>
      </w:tr>
      <w:tr>
        <w:trPr>
          <w:trHeight w:val="196"/>
        </w:trPr>
        <w:tc>
          <w:tcPr>
            <w:tcW w:w="8180" w:type="dxa"/>
            <w:vAlign w:val="bottom"/>
            <w:shd w:val="clear" w:color="auto" w:fill="CFF0FC"/>
          </w:tcPr>
          <w:p>
            <w:pPr>
              <w:ind w:left="200"/>
              <w:spacing w:after="0" w:line="196" w:lineRule="exact"/>
              <w:rPr>
                <w:sz w:val="20"/>
                <w:szCs w:val="20"/>
                <w:color w:val="auto"/>
              </w:rPr>
            </w:pPr>
            <w:r>
              <w:rPr>
                <w:rFonts w:ascii="Arial" w:cs="Arial" w:eastAsia="Arial" w:hAnsi="Arial"/>
                <w:sz w:val="18"/>
                <w:szCs w:val="18"/>
                <w:color w:val="auto"/>
              </w:rPr>
              <w:t>Customer relationships</w:t>
            </w:r>
          </w:p>
        </w:tc>
        <w:tc>
          <w:tcPr>
            <w:tcW w:w="1040" w:type="dxa"/>
            <w:vAlign w:val="bottom"/>
            <w:shd w:val="clear" w:color="auto" w:fill="CFF0FC"/>
          </w:tcPr>
          <w:p>
            <w:pPr>
              <w:jc w:val="right"/>
              <w:ind w:right="830"/>
              <w:spacing w:after="0" w:line="196" w:lineRule="exact"/>
              <w:rPr>
                <w:sz w:val="20"/>
                <w:szCs w:val="20"/>
                <w:color w:val="auto"/>
              </w:rPr>
            </w:pPr>
            <w:r>
              <w:rPr>
                <w:rFonts w:ascii="Arial" w:cs="Arial" w:eastAsia="Arial" w:hAnsi="Arial"/>
                <w:sz w:val="18"/>
                <w:szCs w:val="18"/>
                <w:color w:val="auto"/>
                <w:w w:val="99"/>
              </w:rPr>
              <w:t>$</w:t>
            </w:r>
          </w:p>
        </w:tc>
        <w:tc>
          <w:tcPr>
            <w:tcW w:w="140" w:type="dxa"/>
            <w:vAlign w:val="bottom"/>
            <w:shd w:val="clear" w:color="auto" w:fill="CFF0FC"/>
          </w:tcPr>
          <w:p>
            <w:pPr>
              <w:spacing w:after="0"/>
              <w:rPr>
                <w:sz w:val="17"/>
                <w:szCs w:val="17"/>
                <w:color w:val="auto"/>
              </w:rPr>
            </w:pPr>
          </w:p>
        </w:tc>
        <w:tc>
          <w:tcPr>
            <w:tcW w:w="5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4"/>
              </w:rPr>
              <w:t>36,600</w:t>
            </w:r>
          </w:p>
        </w:tc>
        <w:tc>
          <w:tcPr>
            <w:tcW w:w="60" w:type="dxa"/>
            <w:vAlign w:val="bottom"/>
            <w:shd w:val="clear" w:color="auto" w:fill="CFF0FC"/>
          </w:tcPr>
          <w:p>
            <w:pPr>
              <w:spacing w:after="0"/>
              <w:rPr>
                <w:sz w:val="17"/>
                <w:szCs w:val="17"/>
                <w:color w:val="auto"/>
              </w:rPr>
            </w:pPr>
          </w:p>
        </w:tc>
        <w:tc>
          <w:tcPr>
            <w:tcW w:w="1160" w:type="dxa"/>
            <w:vAlign w:val="bottom"/>
            <w:shd w:val="clear" w:color="auto" w:fill="CFF0FC"/>
          </w:tcPr>
          <w:p>
            <w:pPr>
              <w:jc w:val="center"/>
              <w:ind w:left="10"/>
              <w:spacing w:after="0" w:line="196" w:lineRule="exact"/>
              <w:rPr>
                <w:sz w:val="20"/>
                <w:szCs w:val="20"/>
                <w:color w:val="auto"/>
              </w:rPr>
            </w:pPr>
            <w:r>
              <w:rPr>
                <w:rFonts w:ascii="Arial" w:cs="Arial" w:eastAsia="Arial" w:hAnsi="Arial"/>
                <w:sz w:val="18"/>
                <w:szCs w:val="18"/>
                <w:color w:val="auto"/>
                <w:w w:val="89"/>
              </w:rPr>
              <w:t>15</w:t>
            </w:r>
          </w:p>
        </w:tc>
        <w:tc>
          <w:tcPr>
            <w:tcW w:w="100" w:type="dxa"/>
            <w:vAlign w:val="bottom"/>
            <w:shd w:val="clear" w:color="auto" w:fill="CFF0FC"/>
          </w:tcPr>
          <w:p>
            <w:pPr>
              <w:spacing w:after="0"/>
              <w:rPr>
                <w:sz w:val="17"/>
                <w:szCs w:val="17"/>
                <w:color w:val="auto"/>
              </w:rPr>
            </w:pPr>
          </w:p>
        </w:tc>
      </w:tr>
      <w:tr>
        <w:trPr>
          <w:trHeight w:val="203"/>
        </w:trPr>
        <w:tc>
          <w:tcPr>
            <w:tcW w:w="8180" w:type="dxa"/>
            <w:vAlign w:val="bottom"/>
          </w:tcPr>
          <w:p>
            <w:pPr>
              <w:ind w:left="200"/>
              <w:spacing w:after="0" w:line="202" w:lineRule="exact"/>
              <w:rPr>
                <w:sz w:val="20"/>
                <w:szCs w:val="20"/>
                <w:color w:val="auto"/>
              </w:rPr>
            </w:pPr>
            <w:r>
              <w:rPr>
                <w:rFonts w:ascii="Arial" w:cs="Arial" w:eastAsia="Arial" w:hAnsi="Arial"/>
                <w:sz w:val="18"/>
                <w:szCs w:val="18"/>
                <w:color w:val="auto"/>
              </w:rPr>
              <w:t>Database</w:t>
            </w: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2,400</w:t>
            </w:r>
          </w:p>
        </w:tc>
        <w:tc>
          <w:tcPr>
            <w:tcW w:w="1220" w:type="dxa"/>
            <w:vAlign w:val="bottom"/>
            <w:gridSpan w:val="2"/>
          </w:tcPr>
          <w:p>
            <w:pPr>
              <w:jc w:val="center"/>
              <w:ind w:left="70"/>
              <w:spacing w:after="0" w:line="202" w:lineRule="exact"/>
              <w:rPr>
                <w:sz w:val="20"/>
                <w:szCs w:val="20"/>
                <w:color w:val="auto"/>
              </w:rPr>
            </w:pPr>
            <w:r>
              <w:rPr>
                <w:rFonts w:ascii="Arial" w:cs="Arial" w:eastAsia="Arial" w:hAnsi="Arial"/>
                <w:sz w:val="18"/>
                <w:szCs w:val="18"/>
                <w:color w:val="auto"/>
                <w:w w:val="99"/>
              </w:rPr>
              <w:t>5</w:t>
            </w:r>
          </w:p>
        </w:tc>
        <w:tc>
          <w:tcPr>
            <w:tcW w:w="100" w:type="dxa"/>
            <w:vAlign w:val="bottom"/>
          </w:tcPr>
          <w:p>
            <w:pPr>
              <w:spacing w:after="0"/>
              <w:rPr>
                <w:sz w:val="17"/>
                <w:szCs w:val="17"/>
                <w:color w:val="auto"/>
              </w:rPr>
            </w:pPr>
          </w:p>
        </w:tc>
      </w:tr>
      <w:tr>
        <w:trPr>
          <w:trHeight w:val="203"/>
        </w:trPr>
        <w:tc>
          <w:tcPr>
            <w:tcW w:w="818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Trade name</w:t>
            </w:r>
          </w:p>
        </w:tc>
        <w:tc>
          <w:tcPr>
            <w:tcW w:w="10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5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800</w:t>
            </w:r>
          </w:p>
        </w:tc>
        <w:tc>
          <w:tcPr>
            <w:tcW w:w="1220" w:type="dxa"/>
            <w:vAlign w:val="bottom"/>
            <w:gridSpan w:val="2"/>
            <w:shd w:val="clear" w:color="auto" w:fill="CFF0FC"/>
          </w:tcPr>
          <w:p>
            <w:pPr>
              <w:jc w:val="center"/>
              <w:ind w:left="70"/>
              <w:spacing w:after="0" w:line="202" w:lineRule="exact"/>
              <w:rPr>
                <w:sz w:val="20"/>
                <w:szCs w:val="20"/>
                <w:color w:val="auto"/>
              </w:rPr>
            </w:pPr>
            <w:r>
              <w:rPr>
                <w:rFonts w:ascii="Arial" w:cs="Arial" w:eastAsia="Arial" w:hAnsi="Arial"/>
                <w:sz w:val="18"/>
                <w:szCs w:val="18"/>
                <w:color w:val="auto"/>
                <w:w w:val="89"/>
              </w:rPr>
              <w:t>10</w:t>
            </w:r>
          </w:p>
        </w:tc>
        <w:tc>
          <w:tcPr>
            <w:tcW w:w="100" w:type="dxa"/>
            <w:vAlign w:val="bottom"/>
            <w:shd w:val="clear" w:color="auto" w:fill="CFF0FC"/>
          </w:tcPr>
          <w:p>
            <w:pPr>
              <w:spacing w:after="0"/>
              <w:rPr>
                <w:sz w:val="17"/>
                <w:szCs w:val="17"/>
                <w:color w:val="auto"/>
              </w:rPr>
            </w:pPr>
          </w:p>
        </w:tc>
      </w:tr>
      <w:tr>
        <w:trPr>
          <w:trHeight w:val="203"/>
        </w:trPr>
        <w:tc>
          <w:tcPr>
            <w:tcW w:w="8180" w:type="dxa"/>
            <w:vAlign w:val="bottom"/>
          </w:tcPr>
          <w:p>
            <w:pPr>
              <w:ind w:left="200"/>
              <w:spacing w:after="0" w:line="202" w:lineRule="exact"/>
              <w:rPr>
                <w:sz w:val="20"/>
                <w:szCs w:val="20"/>
                <w:color w:val="auto"/>
              </w:rPr>
            </w:pPr>
            <w:r>
              <w:rPr>
                <w:rFonts w:ascii="Arial" w:cs="Arial" w:eastAsia="Arial" w:hAnsi="Arial"/>
                <w:sz w:val="18"/>
                <w:szCs w:val="18"/>
                <w:color w:val="auto"/>
              </w:rPr>
              <w:t>Developed technology</w:t>
            </w:r>
          </w:p>
        </w:tc>
        <w:tc>
          <w:tcPr>
            <w:tcW w:w="104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600</w:t>
            </w:r>
          </w:p>
        </w:tc>
        <w:tc>
          <w:tcPr>
            <w:tcW w:w="1220" w:type="dxa"/>
            <w:vAlign w:val="bottom"/>
            <w:gridSpan w:val="2"/>
          </w:tcPr>
          <w:p>
            <w:pPr>
              <w:jc w:val="center"/>
              <w:ind w:left="70"/>
              <w:spacing w:after="0" w:line="202" w:lineRule="exact"/>
              <w:rPr>
                <w:sz w:val="20"/>
                <w:szCs w:val="20"/>
                <w:color w:val="auto"/>
              </w:rPr>
            </w:pPr>
            <w:r>
              <w:rPr>
                <w:rFonts w:ascii="Arial" w:cs="Arial" w:eastAsia="Arial" w:hAnsi="Arial"/>
                <w:sz w:val="18"/>
                <w:szCs w:val="18"/>
                <w:color w:val="auto"/>
                <w:w w:val="99"/>
              </w:rPr>
              <w:t>5</w:t>
            </w:r>
          </w:p>
        </w:tc>
        <w:tc>
          <w:tcPr>
            <w:tcW w:w="100" w:type="dxa"/>
            <w:vAlign w:val="bottom"/>
          </w:tcPr>
          <w:p>
            <w:pPr>
              <w:spacing w:after="0"/>
              <w:rPr>
                <w:sz w:val="17"/>
                <w:szCs w:val="17"/>
                <w:color w:val="auto"/>
              </w:rPr>
            </w:pPr>
          </w:p>
        </w:tc>
      </w:tr>
      <w:tr>
        <w:trPr>
          <w:trHeight w:val="236"/>
        </w:trPr>
        <w:tc>
          <w:tcPr>
            <w:tcW w:w="8180" w:type="dxa"/>
            <w:vAlign w:val="bottom"/>
            <w:tcBorders>
              <w:bottom w:val="single" w:sz="8" w:color="CFF0FC"/>
            </w:tcBorders>
            <w:shd w:val="clear" w:color="auto" w:fill="CFF0FC"/>
          </w:tcPr>
          <w:p>
            <w:pPr>
              <w:ind w:left="200"/>
              <w:spacing w:after="0" w:line="196" w:lineRule="exact"/>
              <w:rPr>
                <w:sz w:val="20"/>
                <w:szCs w:val="20"/>
                <w:color w:val="auto"/>
              </w:rPr>
            </w:pPr>
            <w:r>
              <w:rPr>
                <w:rFonts w:ascii="Arial" w:cs="Arial" w:eastAsia="Arial" w:hAnsi="Arial"/>
                <w:sz w:val="18"/>
                <w:szCs w:val="18"/>
                <w:color w:val="auto"/>
              </w:rPr>
              <w:t>Total intangible assets</w:t>
            </w:r>
          </w:p>
        </w:tc>
        <w:tc>
          <w:tcPr>
            <w:tcW w:w="1040" w:type="dxa"/>
            <w:vAlign w:val="bottom"/>
            <w:tcBorders>
              <w:bottom w:val="single" w:sz="8" w:color="auto"/>
            </w:tcBorders>
            <w:shd w:val="clear" w:color="auto" w:fill="CFF0FC"/>
          </w:tcPr>
          <w:p>
            <w:pPr>
              <w:jc w:val="right"/>
              <w:ind w:right="830"/>
              <w:spacing w:after="0" w:line="196" w:lineRule="exact"/>
              <w:rPr>
                <w:sz w:val="20"/>
                <w:szCs w:val="20"/>
                <w:color w:val="auto"/>
              </w:rPr>
            </w:pPr>
            <w:r>
              <w:rPr>
                <w:rFonts w:ascii="Arial" w:cs="Arial" w:eastAsia="Arial" w:hAnsi="Arial"/>
                <w:sz w:val="18"/>
                <w:szCs w:val="18"/>
                <w:color w:val="auto"/>
                <w:w w:val="99"/>
              </w:rPr>
              <w:t>$</w:t>
            </w:r>
          </w:p>
        </w:tc>
        <w:tc>
          <w:tcPr>
            <w:tcW w:w="140" w:type="dxa"/>
            <w:vAlign w:val="bottom"/>
            <w:tcBorders>
              <w:bottom w:val="single" w:sz="8" w:color="auto"/>
            </w:tcBorders>
            <w:shd w:val="clear" w:color="auto" w:fill="CFF0FC"/>
          </w:tcPr>
          <w:p>
            <w:pPr>
              <w:spacing w:after="0"/>
              <w:rPr>
                <w:sz w:val="20"/>
                <w:szCs w:val="20"/>
                <w:color w:val="auto"/>
              </w:rPr>
            </w:pPr>
          </w:p>
        </w:tc>
        <w:tc>
          <w:tcPr>
            <w:tcW w:w="5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4"/>
              </w:rPr>
              <w:t>40,400</w:t>
            </w:r>
          </w:p>
        </w:tc>
        <w:tc>
          <w:tcPr>
            <w:tcW w:w="60" w:type="dxa"/>
            <w:vAlign w:val="bottom"/>
            <w:tcBorders>
              <w:bottom w:val="single" w:sz="8" w:color="CFF0FC"/>
            </w:tcBorders>
            <w:shd w:val="clear" w:color="auto" w:fill="CFF0FC"/>
          </w:tcPr>
          <w:p>
            <w:pPr>
              <w:spacing w:after="0"/>
              <w:rPr>
                <w:sz w:val="20"/>
                <w:szCs w:val="20"/>
                <w:color w:val="auto"/>
              </w:rPr>
            </w:pPr>
          </w:p>
        </w:tc>
        <w:tc>
          <w:tcPr>
            <w:tcW w:w="116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7077075</wp:posOffset>
            </wp:positionH>
            <wp:positionV relativeFrom="paragraph">
              <wp:posOffset>-3716655</wp:posOffset>
            </wp:positionV>
            <wp:extent cx="59690" cy="571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9">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-1225550</wp:posOffset>
            </wp:positionV>
            <wp:extent cx="59690" cy="88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20">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-1207770</wp:posOffset>
            </wp:positionV>
            <wp:extent cx="59690"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-24765</wp:posOffset>
            </wp:positionV>
            <wp:extent cx="42545"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2">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-8255</wp:posOffset>
            </wp:positionV>
            <wp:extent cx="42545" cy="88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3">
                      <a:extLst>
                        <a:ext uri="{28A0092B-C50C-407E-A947-70E740481C1C}"/>
                      </a:extLst>
                    </a:blip>
                    <a:srcRect/>
                    <a:stretch>
                      <a:fillRect/>
                    </a:stretch>
                  </pic:blipFill>
                  <pic:spPr bwMode="auto">
                    <a:xfrm>
                      <a:off x="0" y="0"/>
                      <a:ext cx="42545" cy="8890"/>
                    </a:xfrm>
                    <a:prstGeom prst="rect">
                      <a:avLst/>
                    </a:prstGeom>
                    <a:noFill/>
                  </pic:spPr>
                </pic:pic>
              </a:graphicData>
            </a:graphic>
          </wp:anchor>
        </w:drawing>
      </w:r>
    </w:p>
    <w:p>
      <w:pPr>
        <w:spacing w:after="0" w:line="168" w:lineRule="exact"/>
        <w:rPr>
          <w:sz w:val="20"/>
          <w:szCs w:val="20"/>
          <w:color w:val="auto"/>
        </w:rPr>
      </w:pPr>
    </w:p>
    <w:p>
      <w:pPr>
        <w:ind w:right="180" w:firstLine="644"/>
        <w:spacing w:after="0" w:line="210" w:lineRule="exact"/>
        <w:rPr>
          <w:sz w:val="20"/>
          <w:szCs w:val="20"/>
          <w:color w:val="auto"/>
        </w:rPr>
      </w:pPr>
      <w:r>
        <w:rPr>
          <w:rFonts w:ascii="Arial" w:cs="Arial" w:eastAsia="Arial" w:hAnsi="Arial"/>
          <w:sz w:val="16"/>
          <w:szCs w:val="16"/>
          <w:color w:val="auto"/>
        </w:rPr>
        <w:t>The estimated fair value of the intangible assets acquired was determined by the Company. The Company engaged a third</w:t>
      </w:r>
      <w:r>
        <w:rPr>
          <w:rFonts w:ascii="MS PGothic" w:cs="MS PGothic" w:eastAsia="MS PGothic" w:hAnsi="MS PGothic"/>
          <w:sz w:val="16"/>
          <w:szCs w:val="16"/>
          <w:color w:val="auto"/>
        </w:rPr>
        <w:t>‑</w:t>
      </w:r>
      <w:r>
        <w:rPr>
          <w:rFonts w:ascii="Arial" w:cs="Arial" w:eastAsia="Arial" w:hAnsi="Arial"/>
          <w:sz w:val="16"/>
          <w:szCs w:val="16"/>
          <w:color w:val="auto"/>
        </w:rPr>
        <w:t>party expert to assist with the valuation analysis. The Company used a relief from royalty method to estimate the fair values of the developed technology, database and tradename and a multi-period excess earnings method to estimate the fair value of the customer relationships. To measure the fair value of the noncontrolling interest, the Company used a market approach which considered historical revenues of the investee and market multiples (Level 3 inputs).</w:t>
      </w:r>
    </w:p>
    <w:p>
      <w:pPr>
        <w:spacing w:after="0" w:line="175" w:lineRule="exact"/>
        <w:rPr>
          <w:sz w:val="20"/>
          <w:szCs w:val="20"/>
          <w:color w:val="auto"/>
        </w:rPr>
      </w:pPr>
    </w:p>
    <w:p>
      <w:pPr>
        <w:ind w:right="160" w:firstLine="644"/>
        <w:spacing w:after="0" w:line="243" w:lineRule="auto"/>
        <w:rPr>
          <w:sz w:val="20"/>
          <w:szCs w:val="20"/>
          <w:color w:val="auto"/>
        </w:rPr>
      </w:pPr>
      <w:r>
        <w:rPr>
          <w:rFonts w:ascii="Arial" w:cs="Arial" w:eastAsia="Arial" w:hAnsi="Arial"/>
          <w:sz w:val="18"/>
          <w:szCs w:val="18"/>
          <w:color w:val="auto"/>
        </w:rPr>
        <w:t>Thomas’ results of operations were included in the Company's consolidated financial statements from the date of acquisition, December 9, 2021. For the year ended December 31, 2021, Thomas contributed revenue of $4.1 million, which is reflected in the accompanying Consolidated Statement of Operations and Comprehensive Loss. Of the $5.7 million of transaction costs, $4.5 million of underwriters fees are included in accounts payable as of December 31, 2021.</w:t>
      </w:r>
    </w:p>
    <w:p>
      <w:pPr>
        <w:spacing w:after="0" w:line="174" w:lineRule="exact"/>
        <w:rPr>
          <w:sz w:val="20"/>
          <w:szCs w:val="20"/>
          <w:color w:val="auto"/>
        </w:rPr>
      </w:pPr>
    </w:p>
    <w:p>
      <w:pPr>
        <w:ind w:right="80" w:firstLine="644"/>
        <w:spacing w:after="0" w:line="248" w:lineRule="auto"/>
        <w:rPr>
          <w:sz w:val="20"/>
          <w:szCs w:val="20"/>
          <w:color w:val="auto"/>
        </w:rPr>
      </w:pPr>
      <w:r>
        <w:rPr>
          <w:rFonts w:ascii="Arial" w:cs="Arial" w:eastAsia="Arial" w:hAnsi="Arial"/>
          <w:sz w:val="18"/>
          <w:szCs w:val="18"/>
          <w:color w:val="auto"/>
        </w:rPr>
        <w:t>The following unaudited pro forma condensed combined financial information gives effect to the acquisition of Thomas as if it was consummated on January 1, 2020 (the beginning of the comparable prior reporting period), and includes pro forma adjustments related to the amortization of acquired intangible assets, direct and incremental transaction costs reflected in the historical financial statements.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color w:val="auto"/>
        </w:rPr>
        <w:t>Specifically, the following adjustments were made:</w:t>
      </w:r>
    </w:p>
    <w:p>
      <w:pPr>
        <w:spacing w:after="0" w:line="104" w:lineRule="exact"/>
        <w:rPr>
          <w:sz w:val="20"/>
          <w:szCs w:val="20"/>
          <w:color w:val="auto"/>
        </w:rPr>
      </w:pPr>
    </w:p>
    <w:p>
      <w:pPr>
        <w:ind w:left="1020" w:right="340" w:hanging="503"/>
        <w:spacing w:after="0" w:line="261" w:lineRule="auto"/>
        <w:tabs>
          <w:tab w:leader="none" w:pos="1020" w:val="left"/>
        </w:tabs>
        <w:numPr>
          <w:ilvl w:val="0"/>
          <w:numId w:val="73"/>
        </w:numPr>
        <w:rPr>
          <w:rFonts w:ascii="Arial" w:cs="Arial" w:eastAsia="Arial" w:hAnsi="Arial"/>
          <w:sz w:val="18"/>
          <w:szCs w:val="18"/>
          <w:color w:val="auto"/>
        </w:rPr>
      </w:pPr>
      <w:r>
        <w:rPr>
          <w:rFonts w:ascii="Arial" w:cs="Arial" w:eastAsia="Arial" w:hAnsi="Arial"/>
          <w:sz w:val="18"/>
          <w:szCs w:val="18"/>
          <w:color w:val="auto"/>
        </w:rPr>
        <w:t>For the year ended December 31, 2021, the Company's direct and incremental transaction costs of $5.7 million are excluded from the pro forma condensed combined net loss.</w:t>
      </w:r>
    </w:p>
    <w:p>
      <w:pPr>
        <w:spacing w:after="0" w:line="157" w:lineRule="exact"/>
        <w:rPr>
          <w:sz w:val="20"/>
          <w:szCs w:val="20"/>
          <w:color w:val="auto"/>
        </w:rPr>
      </w:pPr>
    </w:p>
    <w:p>
      <w:pPr>
        <w:ind w:right="200" w:firstLine="644"/>
        <w:spacing w:after="0" w:line="270" w:lineRule="auto"/>
        <w:rPr>
          <w:sz w:val="20"/>
          <w:szCs w:val="20"/>
          <w:color w:val="auto"/>
        </w:rPr>
      </w:pPr>
      <w:r>
        <w:rPr>
          <w:rFonts w:ascii="Arial" w:cs="Arial" w:eastAsia="Arial" w:hAnsi="Arial"/>
          <w:sz w:val="17"/>
          <w:szCs w:val="17"/>
          <w:color w:val="auto"/>
        </w:rPr>
        <w:t>This unaudited data is presented for informational purposes only and is not intended to represent or be indicative of the results of operations that would have been reported had the acquisition occurred on January 1, 2020. It should not be taken as representative of future results of operations of the combined company. The following table presents the unaudited pro forma condensed combined financial information:</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8" w:right="339" w:bottom="1440" w:gutter="0" w:footer="0" w:header="0"/>
        </w:sectPr>
      </w:pPr>
    </w:p>
    <w:bookmarkStart w:id="85" w:name="page86"/>
    <w:bookmarkEnd w:id="85"/>
    <w:tbl>
      <w:tblPr>
        <w:tblLayout w:type="fixed"/>
        <w:tblInd w:w="0" w:type="dxa"/>
        <w:tblCellMar>
          <w:top w:w="0" w:type="dxa"/>
          <w:left w:w="0" w:type="dxa"/>
          <w:bottom w:w="0" w:type="dxa"/>
          <w:right w:w="0" w:type="dxa"/>
        </w:tblCellMar>
      </w:tblPr>
      <w:tr>
        <w:trPr>
          <w:trHeight w:val="221"/>
        </w:trPr>
        <w:tc>
          <w:tcPr>
            <w:tcW w:w="76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300" w:type="dxa"/>
            <w:vAlign w:val="bottom"/>
            <w:gridSpan w:val="5"/>
          </w:tcPr>
          <w:p>
            <w:pPr>
              <w:jc w:val="right"/>
              <w:ind w:right="540"/>
              <w:spacing w:after="0"/>
              <w:rPr>
                <w:sz w:val="20"/>
                <w:szCs w:val="20"/>
                <w:color w:val="auto"/>
              </w:rPr>
            </w:pPr>
            <w:r>
              <w:rPr>
                <w:rFonts w:ascii="Arial" w:cs="Arial" w:eastAsia="Arial" w:hAnsi="Arial"/>
                <w:sz w:val="18"/>
                <w:szCs w:val="18"/>
                <w:b w:val="1"/>
                <w:bCs w:val="1"/>
                <w:color w:val="auto"/>
                <w:w w:val="95"/>
              </w:rPr>
              <w:t>For the Year Ended December 31,</w:t>
            </w:r>
          </w:p>
        </w:tc>
      </w:tr>
      <w:tr>
        <w:trPr>
          <w:trHeight w:val="196"/>
        </w:trPr>
        <w:tc>
          <w:tcPr>
            <w:tcW w:w="7660" w:type="dxa"/>
            <w:vAlign w:val="bottom"/>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340" w:type="dxa"/>
            <w:vAlign w:val="bottom"/>
            <w:tcBorders>
              <w:top w:val="single" w:sz="8" w:color="auto"/>
              <w:bottom w:val="single" w:sz="8" w:color="auto"/>
            </w:tcBorders>
          </w:tcPr>
          <w:p>
            <w:pPr>
              <w:jc w:val="right"/>
              <w:ind w:right="530"/>
              <w:spacing w:after="0" w:line="196" w:lineRule="exact"/>
              <w:rPr>
                <w:sz w:val="20"/>
                <w:szCs w:val="20"/>
                <w:color w:val="auto"/>
              </w:rPr>
            </w:pPr>
            <w:r>
              <w:rPr>
                <w:rFonts w:ascii="Arial" w:cs="Arial" w:eastAsia="Arial" w:hAnsi="Arial"/>
                <w:sz w:val="18"/>
                <w:szCs w:val="18"/>
                <w:b w:val="1"/>
                <w:bCs w:val="1"/>
                <w:color w:val="auto"/>
              </w:rPr>
              <w:t>2021</w:t>
            </w:r>
          </w:p>
        </w:tc>
        <w:tc>
          <w:tcPr>
            <w:tcW w:w="280" w:type="dxa"/>
            <w:vAlign w:val="bottom"/>
            <w:tcBorders>
              <w:top w:val="single" w:sz="8" w:color="auto"/>
            </w:tcBorders>
          </w:tcPr>
          <w:p>
            <w:pPr>
              <w:spacing w:after="0"/>
              <w:rPr>
                <w:sz w:val="17"/>
                <w:szCs w:val="17"/>
                <w:color w:val="auto"/>
              </w:rPr>
            </w:pPr>
          </w:p>
        </w:tc>
        <w:tc>
          <w:tcPr>
            <w:tcW w:w="46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ind w:right="530"/>
              <w:spacing w:after="0" w:line="196" w:lineRule="exact"/>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7"/>
                <w:szCs w:val="17"/>
                <w:color w:val="auto"/>
              </w:rPr>
            </w:pPr>
          </w:p>
        </w:tc>
      </w:tr>
      <w:tr>
        <w:trPr>
          <w:trHeight w:val="196"/>
        </w:trPr>
        <w:tc>
          <w:tcPr>
            <w:tcW w:w="7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80" w:type="dxa"/>
            <w:vAlign w:val="bottom"/>
            <w:gridSpan w:val="3"/>
          </w:tcPr>
          <w:p>
            <w:pPr>
              <w:jc w:val="right"/>
              <w:ind w:right="70"/>
              <w:spacing w:after="0" w:line="196" w:lineRule="exact"/>
              <w:rPr>
                <w:sz w:val="20"/>
                <w:szCs w:val="20"/>
                <w:color w:val="auto"/>
              </w:rPr>
            </w:pPr>
            <w:r>
              <w:rPr>
                <w:rFonts w:ascii="Arial" w:cs="Arial" w:eastAsia="Arial" w:hAnsi="Arial"/>
                <w:sz w:val="18"/>
                <w:szCs w:val="18"/>
                <w:b w:val="1"/>
                <w:bCs w:val="1"/>
                <w:color w:val="auto"/>
              </w:rPr>
              <w:t>(unaudited)</w:t>
            </w: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66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Revenue</w:t>
            </w:r>
          </w:p>
        </w:tc>
        <w:tc>
          <w:tcPr>
            <w:tcW w:w="280" w:type="dxa"/>
            <w:vAlign w:val="bottom"/>
            <w:shd w:val="clear" w:color="auto" w:fill="CFF0FC"/>
          </w:tcPr>
          <w:p>
            <w:pPr>
              <w:jc w:val="right"/>
              <w:ind w:right="90"/>
              <w:spacing w:after="0" w:line="202" w:lineRule="exact"/>
              <w:rPr>
                <w:sz w:val="20"/>
                <w:szCs w:val="20"/>
                <w:color w:val="auto"/>
              </w:rPr>
            </w:pPr>
            <w:r>
              <w:rPr>
                <w:rFonts w:ascii="Arial" w:cs="Arial" w:eastAsia="Arial" w:hAnsi="Arial"/>
                <w:sz w:val="18"/>
                <w:szCs w:val="18"/>
                <w:color w:val="auto"/>
                <w:w w:val="79"/>
              </w:rPr>
              <w:t>$</w:t>
            </w:r>
          </w:p>
        </w:tc>
        <w:tc>
          <w:tcPr>
            <w:tcW w:w="13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280,790</w:t>
            </w:r>
          </w:p>
        </w:tc>
        <w:tc>
          <w:tcPr>
            <w:tcW w:w="280" w:type="dxa"/>
            <w:vAlign w:val="bottom"/>
            <w:shd w:val="clear" w:color="auto" w:fill="CFF0FC"/>
          </w:tcPr>
          <w:p>
            <w:pPr>
              <w:spacing w:after="0"/>
              <w:rPr>
                <w:sz w:val="17"/>
                <w:szCs w:val="17"/>
                <w:color w:val="auto"/>
              </w:rPr>
            </w:pPr>
          </w:p>
        </w:tc>
        <w:tc>
          <w:tcPr>
            <w:tcW w:w="460" w:type="dxa"/>
            <w:vAlign w:val="bottom"/>
            <w:shd w:val="clear" w:color="auto" w:fill="CFF0FC"/>
          </w:tcPr>
          <w:p>
            <w:pPr>
              <w:jc w:val="right"/>
              <w:ind w:right="270"/>
              <w:spacing w:after="0" w:line="202" w:lineRule="exact"/>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206,095</w:t>
            </w:r>
          </w:p>
        </w:tc>
        <w:tc>
          <w:tcPr>
            <w:tcW w:w="100" w:type="dxa"/>
            <w:vAlign w:val="bottom"/>
            <w:shd w:val="clear" w:color="auto" w:fill="CFF0FC"/>
          </w:tcPr>
          <w:p>
            <w:pPr>
              <w:spacing w:after="0"/>
              <w:rPr>
                <w:sz w:val="17"/>
                <w:szCs w:val="17"/>
                <w:color w:val="auto"/>
              </w:rPr>
            </w:pPr>
          </w:p>
        </w:tc>
      </w:tr>
      <w:tr>
        <w:trPr>
          <w:trHeight w:val="230"/>
        </w:trPr>
        <w:tc>
          <w:tcPr>
            <w:tcW w:w="7660" w:type="dxa"/>
            <w:vAlign w:val="bottom"/>
          </w:tcPr>
          <w:p>
            <w:pPr>
              <w:ind w:left="200"/>
              <w:spacing w:after="0"/>
              <w:rPr>
                <w:sz w:val="20"/>
                <w:szCs w:val="20"/>
                <w:color w:val="auto"/>
              </w:rPr>
            </w:pPr>
            <w:r>
              <w:rPr>
                <w:rFonts w:ascii="Arial" w:cs="Arial" w:eastAsia="Arial" w:hAnsi="Arial"/>
                <w:sz w:val="18"/>
                <w:szCs w:val="18"/>
                <w:color w:val="auto"/>
              </w:rPr>
              <w:t>Net loss attributable to common stockholders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620" w:type="dxa"/>
            <w:vAlign w:val="bottom"/>
            <w:gridSpan w:val="2"/>
          </w:tcPr>
          <w:p>
            <w:pPr>
              <w:jc w:val="right"/>
              <w:ind w:right="200"/>
              <w:spacing w:after="0"/>
              <w:rPr>
                <w:sz w:val="20"/>
                <w:szCs w:val="20"/>
                <w:color w:val="auto"/>
              </w:rPr>
            </w:pPr>
            <w:r>
              <w:rPr>
                <w:rFonts w:ascii="Arial" w:cs="Arial" w:eastAsia="Arial" w:hAnsi="Arial"/>
                <w:sz w:val="18"/>
                <w:szCs w:val="18"/>
                <w:color w:val="auto"/>
              </w:rPr>
              <w:t>(61,852 )</w:t>
            </w: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(43,159 )</w:t>
            </w:r>
          </w:p>
        </w:tc>
      </w:tr>
    </w:tbl>
    <w:p>
      <w:pPr>
        <w:spacing w:after="0" w:line="332" w:lineRule="exact"/>
        <w:rPr>
          <w:sz w:val="20"/>
          <w:szCs w:val="20"/>
          <w:color w:val="auto"/>
        </w:rPr>
      </w:pPr>
    </w:p>
    <w:p>
      <w:pPr>
        <w:ind w:left="660" w:hanging="652"/>
        <w:spacing w:after="0"/>
        <w:tabs>
          <w:tab w:leader="none" w:pos="660" w:val="left"/>
        </w:tabs>
        <w:numPr>
          <w:ilvl w:val="0"/>
          <w:numId w:val="74"/>
        </w:numPr>
        <w:rPr>
          <w:rFonts w:ascii="Arial" w:cs="Arial" w:eastAsia="Arial" w:hAnsi="Arial"/>
          <w:sz w:val="18"/>
          <w:szCs w:val="18"/>
          <w:b w:val="1"/>
          <w:bCs w:val="1"/>
          <w:color w:val="auto"/>
        </w:rPr>
      </w:pPr>
      <w:r>
        <w:rPr>
          <w:rFonts w:ascii="Arial" w:cs="Arial" w:eastAsia="Arial" w:hAnsi="Arial"/>
          <w:sz w:val="18"/>
          <w:szCs w:val="18"/>
          <w:b w:val="1"/>
          <w:bCs w:val="1"/>
          <w:color w:val="auto"/>
        </w:rPr>
        <w:t>Segments</w:t>
      </w:r>
    </w:p>
    <w:p>
      <w:pPr>
        <w:spacing w:after="0" w:line="108" w:lineRule="exact"/>
        <w:rPr>
          <w:sz w:val="20"/>
          <w:szCs w:val="20"/>
          <w:color w:val="auto"/>
        </w:rPr>
      </w:pPr>
    </w:p>
    <w:p>
      <w:pPr>
        <w:ind w:right="40" w:firstLine="644"/>
        <w:spacing w:after="0" w:line="271" w:lineRule="auto"/>
        <w:rPr>
          <w:sz w:val="20"/>
          <w:szCs w:val="20"/>
          <w:color w:val="auto"/>
        </w:rPr>
      </w:pPr>
      <w:r>
        <w:rPr>
          <w:rFonts w:ascii="Arial" w:cs="Arial" w:eastAsia="Arial" w:hAnsi="Arial"/>
          <w:sz w:val="16"/>
          <w:szCs w:val="16"/>
          <w:color w:val="auto"/>
        </w:rPr>
        <w:t>Xometry is organized in two segments referred to as: (1) the U.S. and (2) International (formerly referred to as Europe). Xometry’s operating segments are also the Company’s reportable segments. Xometry’s reportable segments, whose products and offerings are generally the same, are managed separately based on geography. Xometry’s two segments are defined based on the reporting and review process used by the chief operating decision maker (“CODM”), the Chief Executive Officer. The Company evaluates the performance of the operating segments primarily based on revenue and segment “profits/loss” which is largely the results of the segment before income taxes. The Company has not allocated certain general and administrative expenses to the Europe segment. The Company’s CODM monitors assets of the consolidated Company, but does not use assets, by operating segment when assessing performance or making operating segment resource decisions. As of December 31, 2019, the Company only had one segment. For the year ended December 31, 2019, our International segment had revenue of approximately $0.1 million, a net loss of approximately $0.4 million, property and equipment of $42,000, depreciation and amortization of $0.1 million, and expenditures for property and equipment of $13,000.</w:t>
      </w:r>
    </w:p>
    <w:p>
      <w:pPr>
        <w:spacing w:after="0" w:line="14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reflect certain segment information for the year ended December 31, 2021 and 2020 (in thousands):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240" w:type="dxa"/>
            <w:vAlign w:val="bottom"/>
          </w:tcPr>
          <w:p>
            <w:pPr>
              <w:spacing w:after="0"/>
              <w:rPr>
                <w:sz w:val="16"/>
                <w:szCs w:val="16"/>
                <w:color w:val="auto"/>
              </w:rPr>
            </w:pPr>
          </w:p>
        </w:tc>
        <w:tc>
          <w:tcPr>
            <w:tcW w:w="37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960" w:type="dxa"/>
            <w:vAlign w:val="bottom"/>
            <w:gridSpan w:val="5"/>
          </w:tcPr>
          <w:p>
            <w:pPr>
              <w:jc w:val="right"/>
              <w:ind w:right="795"/>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209"/>
        </w:trPr>
        <w:tc>
          <w:tcPr>
            <w:tcW w:w="424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77"/>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595"/>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96"/>
        </w:trPr>
        <w:tc>
          <w:tcPr>
            <w:tcW w:w="424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Revenue</w:t>
            </w:r>
          </w:p>
        </w:tc>
        <w:tc>
          <w:tcPr>
            <w:tcW w:w="3700" w:type="dxa"/>
            <w:vAlign w:val="bottom"/>
            <w:tcBorders>
              <w:right w:val="single" w:sz="8" w:color="CFF0FC"/>
            </w:tcBorders>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140" w:type="dxa"/>
            <w:vAlign w:val="bottom"/>
            <w:tcBorders>
              <w:right w:val="single" w:sz="8" w:color="CFF0FC"/>
            </w:tcBorders>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60" w:type="dxa"/>
            <w:vAlign w:val="bottom"/>
            <w:tcBorders>
              <w:right w:val="single" w:sz="8" w:color="CFF0FC"/>
            </w:tcBorders>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140" w:type="dxa"/>
            <w:vAlign w:val="bottom"/>
            <w:tcBorders>
              <w:right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40" w:type="dxa"/>
            <w:vAlign w:val="bottom"/>
          </w:tcPr>
          <w:p>
            <w:pPr>
              <w:ind w:left="20"/>
              <w:spacing w:after="0" w:line="202" w:lineRule="exact"/>
              <w:rPr>
                <w:sz w:val="20"/>
                <w:szCs w:val="20"/>
                <w:color w:val="auto"/>
              </w:rPr>
            </w:pPr>
            <w:r>
              <w:rPr>
                <w:rFonts w:ascii="Arial" w:cs="Arial" w:eastAsia="Arial" w:hAnsi="Arial"/>
                <w:sz w:val="18"/>
                <w:szCs w:val="18"/>
                <w:color w:val="auto"/>
              </w:rPr>
              <w:t>U.S.</w:t>
            </w:r>
          </w:p>
        </w:tc>
        <w:tc>
          <w:tcPr>
            <w:tcW w:w="4040" w:type="dxa"/>
            <w:vAlign w:val="bottom"/>
            <w:gridSpan w:val="2"/>
          </w:tcPr>
          <w:p>
            <w:pPr>
              <w:jc w:val="right"/>
              <w:ind w:right="176"/>
              <w:spacing w:after="0" w:line="202" w:lineRule="exact"/>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202,034</w:t>
            </w:r>
          </w:p>
        </w:tc>
        <w:tc>
          <w:tcPr>
            <w:tcW w:w="600" w:type="dxa"/>
            <w:vAlign w:val="bottom"/>
            <w:gridSpan w:val="2"/>
          </w:tcPr>
          <w:p>
            <w:pPr>
              <w:jc w:val="right"/>
              <w:ind w:right="250"/>
              <w:spacing w:after="0" w:line="202" w:lineRule="exact"/>
              <w:rPr>
                <w:sz w:val="20"/>
                <w:szCs w:val="20"/>
                <w:color w:val="auto"/>
              </w:rPr>
            </w:pPr>
            <w:r>
              <w:rPr>
                <w:rFonts w:ascii="Arial" w:cs="Arial" w:eastAsia="Arial" w:hAnsi="Arial"/>
                <w:sz w:val="18"/>
                <w:szCs w:val="18"/>
                <w:color w:val="auto"/>
              </w:rPr>
              <w:t>$</w:t>
            </w: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138,272</w:t>
            </w:r>
          </w:p>
        </w:tc>
        <w:tc>
          <w:tcPr>
            <w:tcW w:w="0" w:type="dxa"/>
            <w:vAlign w:val="bottom"/>
          </w:tcPr>
          <w:p>
            <w:pPr>
              <w:spacing w:after="0"/>
              <w:rPr>
                <w:sz w:val="1"/>
                <w:szCs w:val="1"/>
                <w:color w:val="auto"/>
              </w:rPr>
            </w:pPr>
          </w:p>
        </w:tc>
      </w:tr>
      <w:tr>
        <w:trPr>
          <w:trHeight w:val="203"/>
        </w:trPr>
        <w:tc>
          <w:tcPr>
            <w:tcW w:w="424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International</w:t>
            </w:r>
          </w:p>
        </w:tc>
        <w:tc>
          <w:tcPr>
            <w:tcW w:w="3700" w:type="dxa"/>
            <w:vAlign w:val="bottom"/>
            <w:tcBorders>
              <w:bottom w:val="single" w:sz="8" w:color="CFF0FC"/>
              <w:right w:val="single" w:sz="8" w:color="CFF0FC"/>
            </w:tcBorders>
            <w:shd w:val="clear" w:color="auto" w:fill="CFF0FC"/>
          </w:tcPr>
          <w:p>
            <w:pPr>
              <w:spacing w:after="0"/>
              <w:rPr>
                <w:sz w:val="17"/>
                <w:szCs w:val="17"/>
                <w:color w:val="auto"/>
              </w:rPr>
            </w:pPr>
          </w:p>
        </w:tc>
        <w:tc>
          <w:tcPr>
            <w:tcW w:w="340" w:type="dxa"/>
            <w:vAlign w:val="bottom"/>
            <w:tcBorders>
              <w:bottom w:val="single" w:sz="8" w:color="auto"/>
            </w:tcBorders>
            <w:shd w:val="clear" w:color="auto" w:fill="CFF0FC"/>
          </w:tcPr>
          <w:p>
            <w:pPr>
              <w:spacing w:after="0"/>
              <w:rPr>
                <w:sz w:val="17"/>
                <w:szCs w:val="17"/>
                <w:color w:val="auto"/>
              </w:rPr>
            </w:pPr>
          </w:p>
        </w:tc>
        <w:tc>
          <w:tcPr>
            <w:tcW w:w="1220" w:type="dxa"/>
            <w:vAlign w:val="bottom"/>
            <w:tcBorders>
              <w:bottom w:val="single" w:sz="8" w:color="auto"/>
            </w:tcBorders>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16,302</w:t>
            </w:r>
          </w:p>
        </w:tc>
        <w:tc>
          <w:tcPr>
            <w:tcW w:w="160" w:type="dxa"/>
            <w:vAlign w:val="bottom"/>
            <w:tcBorders>
              <w:bottom w:val="single" w:sz="8" w:color="CFF0FC"/>
              <w:right w:val="single" w:sz="8" w:color="CFF0FC"/>
            </w:tcBorders>
            <w:shd w:val="clear" w:color="auto" w:fill="CFF0FC"/>
          </w:tcPr>
          <w:p>
            <w:pPr>
              <w:spacing w:after="0"/>
              <w:rPr>
                <w:sz w:val="17"/>
                <w:szCs w:val="17"/>
                <w:color w:val="auto"/>
              </w:rPr>
            </w:pPr>
          </w:p>
        </w:tc>
        <w:tc>
          <w:tcPr>
            <w:tcW w:w="440" w:type="dxa"/>
            <w:vAlign w:val="bottom"/>
            <w:tcBorders>
              <w:bottom w:val="single" w:sz="8" w:color="auto"/>
            </w:tcBorders>
            <w:shd w:val="clear" w:color="auto" w:fill="CFF0FC"/>
          </w:tcPr>
          <w:p>
            <w:pPr>
              <w:spacing w:after="0"/>
              <w:rPr>
                <w:sz w:val="17"/>
                <w:szCs w:val="17"/>
                <w:color w:val="auto"/>
              </w:rPr>
            </w:pPr>
          </w:p>
        </w:tc>
        <w:tc>
          <w:tcPr>
            <w:tcW w:w="1140" w:type="dxa"/>
            <w:vAlign w:val="bottom"/>
            <w:tcBorders>
              <w:bottom w:val="single" w:sz="8" w:color="auto"/>
              <w:right w:val="single" w:sz="8" w:color="CFF0FC"/>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3,134</w:t>
            </w:r>
          </w:p>
        </w:tc>
        <w:tc>
          <w:tcPr>
            <w:tcW w:w="0" w:type="dxa"/>
            <w:vAlign w:val="bottom"/>
          </w:tcPr>
          <w:p>
            <w:pPr>
              <w:spacing w:after="0"/>
              <w:rPr>
                <w:sz w:val="1"/>
                <w:szCs w:val="1"/>
                <w:color w:val="auto"/>
              </w:rPr>
            </w:pPr>
          </w:p>
        </w:tc>
      </w:tr>
      <w:tr>
        <w:trPr>
          <w:trHeight w:val="196"/>
        </w:trPr>
        <w:tc>
          <w:tcPr>
            <w:tcW w:w="4240" w:type="dxa"/>
            <w:vAlign w:val="bottom"/>
          </w:tcPr>
          <w:p>
            <w:pPr>
              <w:ind w:left="20"/>
              <w:spacing w:after="0" w:line="196" w:lineRule="exact"/>
              <w:rPr>
                <w:sz w:val="20"/>
                <w:szCs w:val="20"/>
                <w:color w:val="auto"/>
              </w:rPr>
            </w:pPr>
            <w:r>
              <w:rPr>
                <w:rFonts w:ascii="Arial" w:cs="Arial" w:eastAsia="Arial" w:hAnsi="Arial"/>
                <w:sz w:val="18"/>
                <w:szCs w:val="18"/>
                <w:color w:val="auto"/>
              </w:rPr>
              <w:t>Total</w:t>
            </w:r>
          </w:p>
        </w:tc>
        <w:tc>
          <w:tcPr>
            <w:tcW w:w="3700" w:type="dxa"/>
            <w:vAlign w:val="bottom"/>
          </w:tcPr>
          <w:p>
            <w:pPr>
              <w:spacing w:after="0"/>
              <w:rPr>
                <w:sz w:val="17"/>
                <w:szCs w:val="17"/>
                <w:color w:val="auto"/>
              </w:rPr>
            </w:pPr>
          </w:p>
        </w:tc>
        <w:tc>
          <w:tcPr>
            <w:tcW w:w="340" w:type="dxa"/>
            <w:vAlign w:val="bottom"/>
            <w:tcBorders>
              <w:bottom w:val="single" w:sz="8" w:color="auto"/>
            </w:tcBorders>
          </w:tcPr>
          <w:p>
            <w:pPr>
              <w:jc w:val="right"/>
              <w:ind w:right="176"/>
              <w:spacing w:after="0" w:line="196" w:lineRule="exact"/>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gridSpan w:val="2"/>
          </w:tcPr>
          <w:p>
            <w:pPr>
              <w:jc w:val="right"/>
              <w:ind w:right="20"/>
              <w:spacing w:after="0" w:line="196" w:lineRule="exact"/>
              <w:rPr>
                <w:sz w:val="20"/>
                <w:szCs w:val="20"/>
                <w:color w:val="auto"/>
              </w:rPr>
            </w:pPr>
            <w:r>
              <w:rPr>
                <w:rFonts w:ascii="Arial" w:cs="Arial" w:eastAsia="Arial" w:hAnsi="Arial"/>
                <w:sz w:val="18"/>
                <w:szCs w:val="18"/>
                <w:color w:val="auto"/>
              </w:rPr>
              <w:t>218,336</w:t>
            </w:r>
          </w:p>
        </w:tc>
        <w:tc>
          <w:tcPr>
            <w:tcW w:w="160" w:type="dxa"/>
            <w:vAlign w:val="bottom"/>
          </w:tcPr>
          <w:p>
            <w:pPr>
              <w:spacing w:after="0"/>
              <w:rPr>
                <w:sz w:val="17"/>
                <w:szCs w:val="17"/>
                <w:color w:val="auto"/>
              </w:rPr>
            </w:pPr>
          </w:p>
        </w:tc>
        <w:tc>
          <w:tcPr>
            <w:tcW w:w="440" w:type="dxa"/>
            <w:vAlign w:val="bottom"/>
            <w:tcBorders>
              <w:bottom w:val="single" w:sz="8" w:color="auto"/>
            </w:tcBorders>
          </w:tcPr>
          <w:p>
            <w:pPr>
              <w:jc w:val="right"/>
              <w:ind w:right="250"/>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141,406</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8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424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960" w:type="dxa"/>
            <w:vAlign w:val="bottom"/>
            <w:gridSpan w:val="5"/>
          </w:tcPr>
          <w:p>
            <w:pPr>
              <w:jc w:val="center"/>
              <w:ind w:right="395"/>
              <w:spacing w:after="0"/>
              <w:rPr>
                <w:sz w:val="20"/>
                <w:szCs w:val="20"/>
                <w:color w:val="auto"/>
              </w:rPr>
            </w:pPr>
            <w:r>
              <w:rPr>
                <w:rFonts w:ascii="Arial" w:cs="Arial" w:eastAsia="Arial" w:hAnsi="Arial"/>
                <w:sz w:val="14"/>
                <w:szCs w:val="14"/>
                <w:b w:val="1"/>
                <w:bCs w:val="1"/>
                <w:color w:val="auto"/>
                <w:w w:val="93"/>
              </w:rPr>
              <w:t>Year Ended December 31,</w:t>
            </w:r>
          </w:p>
        </w:tc>
        <w:tc>
          <w:tcPr>
            <w:tcW w:w="0" w:type="dxa"/>
            <w:vAlign w:val="bottom"/>
          </w:tcPr>
          <w:p>
            <w:pPr>
              <w:spacing w:after="0"/>
              <w:rPr>
                <w:sz w:val="1"/>
                <w:szCs w:val="1"/>
                <w:color w:val="auto"/>
              </w:rPr>
            </w:pPr>
          </w:p>
        </w:tc>
      </w:tr>
      <w:tr>
        <w:trPr>
          <w:trHeight w:val="183"/>
        </w:trPr>
        <w:tc>
          <w:tcPr>
            <w:tcW w:w="4240" w:type="dxa"/>
            <w:vAlign w:val="bottom"/>
          </w:tcPr>
          <w:p>
            <w:pPr>
              <w:spacing w:after="0"/>
              <w:rPr>
                <w:sz w:val="15"/>
                <w:szCs w:val="15"/>
                <w:color w:val="auto"/>
              </w:rPr>
            </w:pPr>
          </w:p>
        </w:tc>
        <w:tc>
          <w:tcPr>
            <w:tcW w:w="3700" w:type="dxa"/>
            <w:vAlign w:val="bottom"/>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1140" w:type="dxa"/>
            <w:vAlign w:val="bottom"/>
            <w:tcBorders>
              <w:top w:val="single" w:sz="8" w:color="auto"/>
              <w:bottom w:val="single" w:sz="8" w:color="auto"/>
            </w:tcBorders>
          </w:tcPr>
          <w:p>
            <w:pPr>
              <w:jc w:val="right"/>
              <w:ind w:right="537"/>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440" w:type="dxa"/>
            <w:vAlign w:val="bottom"/>
            <w:tcBorders>
              <w:top w:val="single" w:sz="8" w:color="auto"/>
              <w:bottom w:val="single" w:sz="8" w:color="auto"/>
            </w:tcBorders>
          </w:tcPr>
          <w:p>
            <w:pPr>
              <w:spacing w:after="0"/>
              <w:rPr>
                <w:sz w:val="15"/>
                <w:szCs w:val="15"/>
                <w:color w:val="auto"/>
              </w:rPr>
            </w:pPr>
          </w:p>
        </w:tc>
        <w:tc>
          <w:tcPr>
            <w:tcW w:w="1140" w:type="dxa"/>
            <w:vAlign w:val="bottom"/>
            <w:tcBorders>
              <w:top w:val="single" w:sz="8" w:color="auto"/>
              <w:bottom w:val="single" w:sz="8" w:color="auto"/>
            </w:tcBorders>
          </w:tcPr>
          <w:p>
            <w:pPr>
              <w:jc w:val="right"/>
              <w:ind w:right="615"/>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96"/>
        </w:trPr>
        <w:tc>
          <w:tcPr>
            <w:tcW w:w="424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Segment Losses</w:t>
            </w:r>
          </w:p>
        </w:tc>
        <w:tc>
          <w:tcPr>
            <w:tcW w:w="3700" w:type="dxa"/>
            <w:vAlign w:val="bottom"/>
            <w:tcBorders>
              <w:right w:val="single" w:sz="8" w:color="CFF0FC"/>
            </w:tcBorders>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140" w:type="dxa"/>
            <w:vAlign w:val="bottom"/>
            <w:tcBorders>
              <w:right w:val="single" w:sz="8" w:color="CFF0FC"/>
            </w:tcBorders>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60" w:type="dxa"/>
            <w:vAlign w:val="bottom"/>
            <w:tcBorders>
              <w:right w:val="single" w:sz="8" w:color="CFF0FC"/>
            </w:tcBorders>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140" w:type="dxa"/>
            <w:vAlign w:val="bottom"/>
            <w:tcBorders>
              <w:right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40" w:type="dxa"/>
            <w:vAlign w:val="bottom"/>
          </w:tcPr>
          <w:p>
            <w:pPr>
              <w:ind w:left="20"/>
              <w:spacing w:after="0" w:line="202" w:lineRule="exact"/>
              <w:rPr>
                <w:sz w:val="20"/>
                <w:szCs w:val="20"/>
                <w:color w:val="auto"/>
              </w:rPr>
            </w:pPr>
            <w:r>
              <w:rPr>
                <w:rFonts w:ascii="Arial" w:cs="Arial" w:eastAsia="Arial" w:hAnsi="Arial"/>
                <w:sz w:val="18"/>
                <w:szCs w:val="18"/>
                <w:color w:val="auto"/>
              </w:rPr>
              <w:t>U.S.</w:t>
            </w:r>
          </w:p>
        </w:tc>
        <w:tc>
          <w:tcPr>
            <w:tcW w:w="4040" w:type="dxa"/>
            <w:vAlign w:val="bottom"/>
            <w:gridSpan w:val="2"/>
          </w:tcPr>
          <w:p>
            <w:pPr>
              <w:jc w:val="right"/>
              <w:ind w:right="216"/>
              <w:spacing w:after="0" w:line="202" w:lineRule="exact"/>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(51,230 )</w:t>
            </w:r>
          </w:p>
        </w:tc>
        <w:tc>
          <w:tcPr>
            <w:tcW w:w="600" w:type="dxa"/>
            <w:vAlign w:val="bottom"/>
            <w:gridSpan w:val="2"/>
          </w:tcPr>
          <w:p>
            <w:pPr>
              <w:jc w:val="right"/>
              <w:ind w:right="250"/>
              <w:spacing w:after="0" w:line="202" w:lineRule="exact"/>
              <w:rPr>
                <w:sz w:val="20"/>
                <w:szCs w:val="20"/>
                <w:color w:val="auto"/>
              </w:rPr>
            </w:pPr>
            <w:r>
              <w:rPr>
                <w:rFonts w:ascii="Arial" w:cs="Arial" w:eastAsia="Arial" w:hAnsi="Arial"/>
                <w:sz w:val="18"/>
                <w:szCs w:val="18"/>
                <w:color w:val="auto"/>
              </w:rPr>
              <w:t>$</w:t>
            </w: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(22,130 )</w:t>
            </w:r>
          </w:p>
        </w:tc>
        <w:tc>
          <w:tcPr>
            <w:tcW w:w="0" w:type="dxa"/>
            <w:vAlign w:val="bottom"/>
          </w:tcPr>
          <w:p>
            <w:pPr>
              <w:spacing w:after="0"/>
              <w:rPr>
                <w:sz w:val="1"/>
                <w:szCs w:val="1"/>
                <w:color w:val="auto"/>
              </w:rPr>
            </w:pPr>
          </w:p>
        </w:tc>
      </w:tr>
      <w:tr>
        <w:trPr>
          <w:trHeight w:val="203"/>
        </w:trPr>
        <w:tc>
          <w:tcPr>
            <w:tcW w:w="42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International</w:t>
            </w:r>
          </w:p>
        </w:tc>
        <w:tc>
          <w:tcPr>
            <w:tcW w:w="3700" w:type="dxa"/>
            <w:vAlign w:val="bottom"/>
            <w:tcBorders>
              <w:right w:val="single" w:sz="8" w:color="CFF0FC"/>
            </w:tcBorders>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2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(10,151 )</w:t>
            </w:r>
          </w:p>
        </w:tc>
        <w:tc>
          <w:tcPr>
            <w:tcW w:w="160" w:type="dxa"/>
            <w:vAlign w:val="bottom"/>
            <w:tcBorders>
              <w:right w:val="single" w:sz="8" w:color="CFF0FC"/>
            </w:tcBorders>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140" w:type="dxa"/>
            <w:vAlign w:val="bottom"/>
            <w:tcBorders>
              <w:right w:val="single" w:sz="8" w:color="CFF0FC"/>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(8,955 )</w:t>
            </w:r>
          </w:p>
        </w:tc>
        <w:tc>
          <w:tcPr>
            <w:tcW w:w="0" w:type="dxa"/>
            <w:vAlign w:val="bottom"/>
          </w:tcPr>
          <w:p>
            <w:pPr>
              <w:spacing w:after="0"/>
              <w:rPr>
                <w:sz w:val="1"/>
                <w:szCs w:val="1"/>
                <w:color w:val="auto"/>
              </w:rPr>
            </w:pPr>
          </w:p>
        </w:tc>
      </w:tr>
      <w:tr>
        <w:trPr>
          <w:trHeight w:val="20"/>
        </w:trPr>
        <w:tc>
          <w:tcPr>
            <w:tcW w:w="4240" w:type="dxa"/>
            <w:vAlign w:val="bottom"/>
            <w:shd w:val="clear" w:color="auto" w:fill="CFF0FC"/>
          </w:tcPr>
          <w:p>
            <w:pPr>
              <w:spacing w:after="0" w:line="20" w:lineRule="exact"/>
              <w:rPr>
                <w:sz w:val="1"/>
                <w:szCs w:val="1"/>
                <w:color w:val="auto"/>
              </w:rPr>
            </w:pPr>
          </w:p>
        </w:tc>
        <w:tc>
          <w:tcPr>
            <w:tcW w:w="3700" w:type="dxa"/>
            <w:vAlign w:val="bottom"/>
            <w:tcBorders>
              <w:right w:val="single" w:sz="8" w:color="auto"/>
            </w:tcBorders>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40" w:type="dxa"/>
            <w:vAlign w:val="bottom"/>
            <w:tcBorders>
              <w:right w:val="single" w:sz="8" w:color="CFF0FC"/>
            </w:tcBorders>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60" w:type="dxa"/>
            <w:vAlign w:val="bottom"/>
            <w:tcBorders>
              <w:right w:val="single" w:sz="8" w:color="CFF0FC"/>
            </w:tcBorders>
            <w:shd w:val="clear" w:color="auto" w:fill="CFF0FC"/>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140" w:type="dxa"/>
            <w:vAlign w:val="bottom"/>
            <w:tcBorders>
              <w:right w:val="single" w:sz="8" w:color="CFF0FC"/>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240" w:type="dxa"/>
            <w:vAlign w:val="bottom"/>
          </w:tcPr>
          <w:p>
            <w:pPr>
              <w:ind w:left="20"/>
              <w:spacing w:after="0" w:line="196" w:lineRule="exact"/>
              <w:rPr>
                <w:sz w:val="20"/>
                <w:szCs w:val="20"/>
                <w:color w:val="auto"/>
              </w:rPr>
            </w:pPr>
            <w:r>
              <w:rPr>
                <w:rFonts w:ascii="Arial" w:cs="Arial" w:eastAsia="Arial" w:hAnsi="Arial"/>
                <w:sz w:val="18"/>
                <w:szCs w:val="18"/>
                <w:color w:val="auto"/>
              </w:rPr>
              <w:t>Total</w:t>
            </w:r>
          </w:p>
        </w:tc>
        <w:tc>
          <w:tcPr>
            <w:tcW w:w="3700" w:type="dxa"/>
            <w:vAlign w:val="bottom"/>
          </w:tcPr>
          <w:p>
            <w:pPr>
              <w:spacing w:after="0"/>
              <w:rPr>
                <w:sz w:val="17"/>
                <w:szCs w:val="17"/>
                <w:color w:val="auto"/>
              </w:rPr>
            </w:pPr>
          </w:p>
        </w:tc>
        <w:tc>
          <w:tcPr>
            <w:tcW w:w="340" w:type="dxa"/>
            <w:vAlign w:val="bottom"/>
          </w:tcPr>
          <w:p>
            <w:pPr>
              <w:jc w:val="right"/>
              <w:ind w:right="216"/>
              <w:spacing w:after="0"/>
              <w:rPr>
                <w:sz w:val="20"/>
                <w:szCs w:val="20"/>
                <w:color w:val="auto"/>
              </w:rPr>
            </w:pPr>
            <w:r>
              <w:rPr>
                <w:rFonts w:ascii="Arial" w:cs="Arial" w:eastAsia="Arial" w:hAnsi="Arial"/>
                <w:sz w:val="10"/>
                <w:szCs w:val="10"/>
                <w:color w:val="auto"/>
                <w:w w:val="71"/>
              </w:rPr>
              <w:t>$</w:t>
            </w:r>
          </w:p>
        </w:tc>
        <w:tc>
          <w:tcPr>
            <w:tcW w:w="12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(61,381 )</w:t>
            </w:r>
          </w:p>
        </w:tc>
        <w:tc>
          <w:tcPr>
            <w:tcW w:w="600" w:type="dxa"/>
            <w:vAlign w:val="bottom"/>
            <w:gridSpan w:val="2"/>
          </w:tcPr>
          <w:p>
            <w:pPr>
              <w:jc w:val="right"/>
              <w:ind w:right="250"/>
              <w:spacing w:after="0" w:line="196" w:lineRule="exact"/>
              <w:rPr>
                <w:sz w:val="20"/>
                <w:szCs w:val="20"/>
                <w:color w:val="auto"/>
              </w:rPr>
            </w:pPr>
            <w:r>
              <w:rPr>
                <w:rFonts w:ascii="Arial" w:cs="Arial" w:eastAsia="Arial" w:hAnsi="Arial"/>
                <w:sz w:val="18"/>
                <w:szCs w:val="18"/>
                <w:color w:val="auto"/>
              </w:rPr>
              <w:t>$</w:t>
            </w:r>
          </w:p>
        </w:tc>
        <w:tc>
          <w:tcPr>
            <w:tcW w:w="1140" w:type="dxa"/>
            <w:vAlign w:val="bottom"/>
          </w:tcPr>
          <w:p>
            <w:pPr>
              <w:jc w:val="right"/>
              <w:spacing w:after="0" w:line="196" w:lineRule="exact"/>
              <w:rPr>
                <w:sz w:val="20"/>
                <w:szCs w:val="20"/>
                <w:color w:val="auto"/>
              </w:rPr>
            </w:pPr>
            <w:r>
              <w:rPr>
                <w:rFonts w:ascii="Arial" w:cs="Arial" w:eastAsia="Arial" w:hAnsi="Arial"/>
                <w:sz w:val="18"/>
                <w:szCs w:val="18"/>
                <w:color w:val="auto"/>
              </w:rPr>
              <w:t>(31,085 )</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424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4"/>
          </w:tcPr>
          <w:p>
            <w:pPr>
              <w:jc w:val="center"/>
              <w:ind w:left="617"/>
              <w:spacing w:after="0"/>
              <w:rPr>
                <w:sz w:val="20"/>
                <w:szCs w:val="20"/>
                <w:color w:val="auto"/>
              </w:rPr>
            </w:pPr>
            <w:r>
              <w:rPr>
                <w:rFonts w:ascii="Arial" w:cs="Arial" w:eastAsia="Arial" w:hAnsi="Arial"/>
                <w:sz w:val="14"/>
                <w:szCs w:val="14"/>
                <w:b w:val="1"/>
                <w:bCs w:val="1"/>
                <w:color w:val="auto"/>
                <w:w w:val="92"/>
              </w:rPr>
              <w:t>December 31,</w:t>
            </w:r>
          </w:p>
        </w:tc>
        <w:tc>
          <w:tcPr>
            <w:tcW w:w="1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424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537"/>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595"/>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69"/>
        </w:trPr>
        <w:tc>
          <w:tcPr>
            <w:tcW w:w="424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42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Segment Property and Equipment</w:t>
            </w:r>
          </w:p>
        </w:tc>
        <w:tc>
          <w:tcPr>
            <w:tcW w:w="3700" w:type="dxa"/>
            <w:vAlign w:val="bottom"/>
            <w:tcBorders>
              <w:right w:val="single" w:sz="8" w:color="CFF0FC"/>
            </w:tcBorders>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140" w:type="dxa"/>
            <w:vAlign w:val="bottom"/>
            <w:tcBorders>
              <w:right w:val="single" w:sz="8" w:color="CFF0FC"/>
            </w:tcBorders>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60" w:type="dxa"/>
            <w:vAlign w:val="bottom"/>
            <w:tcBorders>
              <w:right w:val="single" w:sz="8" w:color="CFF0FC"/>
            </w:tcBorders>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140" w:type="dxa"/>
            <w:vAlign w:val="bottom"/>
            <w:tcBorders>
              <w:right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40" w:type="dxa"/>
            <w:vAlign w:val="bottom"/>
          </w:tcPr>
          <w:p>
            <w:pPr>
              <w:ind w:left="20"/>
              <w:spacing w:after="0" w:line="202" w:lineRule="exact"/>
              <w:rPr>
                <w:sz w:val="20"/>
                <w:szCs w:val="20"/>
                <w:color w:val="auto"/>
              </w:rPr>
            </w:pPr>
            <w:r>
              <w:rPr>
                <w:rFonts w:ascii="Arial" w:cs="Arial" w:eastAsia="Arial" w:hAnsi="Arial"/>
                <w:sz w:val="18"/>
                <w:szCs w:val="18"/>
                <w:color w:val="auto"/>
              </w:rPr>
              <w:t>U.S.</w:t>
            </w:r>
          </w:p>
        </w:tc>
        <w:tc>
          <w:tcPr>
            <w:tcW w:w="4040" w:type="dxa"/>
            <w:vAlign w:val="bottom"/>
            <w:gridSpan w:val="2"/>
          </w:tcPr>
          <w:p>
            <w:pPr>
              <w:jc w:val="right"/>
              <w:ind w:right="216"/>
              <w:spacing w:after="0" w:line="202" w:lineRule="exact"/>
              <w:rPr>
                <w:sz w:val="20"/>
                <w:szCs w:val="20"/>
                <w:color w:val="auto"/>
              </w:rPr>
            </w:pPr>
            <w:r>
              <w:rPr>
                <w:rFonts w:ascii="Arial" w:cs="Arial" w:eastAsia="Arial" w:hAnsi="Arial"/>
                <w:sz w:val="18"/>
                <w:szCs w:val="18"/>
                <w:color w:val="auto"/>
              </w:rPr>
              <w:t>$</w:t>
            </w: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9,057</w:t>
            </w:r>
          </w:p>
        </w:tc>
        <w:tc>
          <w:tcPr>
            <w:tcW w:w="80" w:type="dxa"/>
            <w:vAlign w:val="bottom"/>
          </w:tcPr>
          <w:p>
            <w:pPr>
              <w:spacing w:after="0"/>
              <w:rPr>
                <w:sz w:val="17"/>
                <w:szCs w:val="17"/>
                <w:color w:val="auto"/>
              </w:rPr>
            </w:pPr>
          </w:p>
        </w:tc>
        <w:tc>
          <w:tcPr>
            <w:tcW w:w="600" w:type="dxa"/>
            <w:vAlign w:val="bottom"/>
            <w:gridSpan w:val="2"/>
          </w:tcPr>
          <w:p>
            <w:pPr>
              <w:jc w:val="right"/>
              <w:ind w:right="250"/>
              <w:spacing w:after="0" w:line="202" w:lineRule="exact"/>
              <w:rPr>
                <w:sz w:val="20"/>
                <w:szCs w:val="20"/>
                <w:color w:val="auto"/>
              </w:rPr>
            </w:pPr>
            <w:r>
              <w:rPr>
                <w:rFonts w:ascii="Arial" w:cs="Arial" w:eastAsia="Arial" w:hAnsi="Arial"/>
                <w:sz w:val="18"/>
                <w:szCs w:val="18"/>
                <w:color w:val="auto"/>
              </w:rPr>
              <w:t>$</w:t>
            </w: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5,612</w:t>
            </w:r>
          </w:p>
        </w:tc>
        <w:tc>
          <w:tcPr>
            <w:tcW w:w="0" w:type="dxa"/>
            <w:vAlign w:val="bottom"/>
          </w:tcPr>
          <w:p>
            <w:pPr>
              <w:spacing w:after="0"/>
              <w:rPr>
                <w:sz w:val="1"/>
                <w:szCs w:val="1"/>
                <w:color w:val="auto"/>
              </w:rPr>
            </w:pPr>
          </w:p>
        </w:tc>
      </w:tr>
      <w:tr>
        <w:trPr>
          <w:trHeight w:val="203"/>
        </w:trPr>
        <w:tc>
          <w:tcPr>
            <w:tcW w:w="424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International</w:t>
            </w:r>
          </w:p>
        </w:tc>
        <w:tc>
          <w:tcPr>
            <w:tcW w:w="3700" w:type="dxa"/>
            <w:vAlign w:val="bottom"/>
            <w:tcBorders>
              <w:bottom w:val="single" w:sz="8" w:color="CFF0FC"/>
              <w:right w:val="single" w:sz="8" w:color="CFF0FC"/>
            </w:tcBorders>
            <w:shd w:val="clear" w:color="auto" w:fill="CFF0FC"/>
          </w:tcPr>
          <w:p>
            <w:pPr>
              <w:spacing w:after="0"/>
              <w:rPr>
                <w:sz w:val="17"/>
                <w:szCs w:val="17"/>
                <w:color w:val="auto"/>
              </w:rPr>
            </w:pPr>
          </w:p>
        </w:tc>
        <w:tc>
          <w:tcPr>
            <w:tcW w:w="340" w:type="dxa"/>
            <w:vAlign w:val="bottom"/>
            <w:tcBorders>
              <w:bottom w:val="single" w:sz="8" w:color="auto"/>
            </w:tcBorders>
            <w:shd w:val="clear" w:color="auto" w:fill="CFF0FC"/>
          </w:tcPr>
          <w:p>
            <w:pPr>
              <w:spacing w:after="0"/>
              <w:rPr>
                <w:sz w:val="17"/>
                <w:szCs w:val="17"/>
                <w:color w:val="auto"/>
              </w:rPr>
            </w:pPr>
          </w:p>
        </w:tc>
        <w:tc>
          <w:tcPr>
            <w:tcW w:w="1140" w:type="dxa"/>
            <w:vAlign w:val="bottom"/>
            <w:tcBorders>
              <w:bottom w:val="single" w:sz="8" w:color="auto"/>
              <w:right w:val="single" w:sz="8" w:color="CFF0FC"/>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1,230</w:t>
            </w:r>
          </w:p>
        </w:tc>
        <w:tc>
          <w:tcPr>
            <w:tcW w:w="8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CFF0FC"/>
              <w:right w:val="single" w:sz="8" w:color="CFF0FC"/>
            </w:tcBorders>
            <w:shd w:val="clear" w:color="auto" w:fill="CFF0FC"/>
          </w:tcPr>
          <w:p>
            <w:pPr>
              <w:spacing w:after="0"/>
              <w:rPr>
                <w:sz w:val="17"/>
                <w:szCs w:val="17"/>
                <w:color w:val="auto"/>
              </w:rPr>
            </w:pPr>
          </w:p>
        </w:tc>
        <w:tc>
          <w:tcPr>
            <w:tcW w:w="440" w:type="dxa"/>
            <w:vAlign w:val="bottom"/>
            <w:tcBorders>
              <w:bottom w:val="single" w:sz="8" w:color="auto"/>
            </w:tcBorders>
            <w:shd w:val="clear" w:color="auto" w:fill="CFF0FC"/>
          </w:tcPr>
          <w:p>
            <w:pPr>
              <w:spacing w:after="0"/>
              <w:rPr>
                <w:sz w:val="17"/>
                <w:szCs w:val="17"/>
                <w:color w:val="auto"/>
              </w:rPr>
            </w:pPr>
          </w:p>
        </w:tc>
        <w:tc>
          <w:tcPr>
            <w:tcW w:w="1140" w:type="dxa"/>
            <w:vAlign w:val="bottom"/>
            <w:tcBorders>
              <w:bottom w:val="single" w:sz="8" w:color="auto"/>
              <w:right w:val="single" w:sz="8" w:color="CFF0FC"/>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501</w:t>
            </w:r>
          </w:p>
        </w:tc>
        <w:tc>
          <w:tcPr>
            <w:tcW w:w="0" w:type="dxa"/>
            <w:vAlign w:val="bottom"/>
          </w:tcPr>
          <w:p>
            <w:pPr>
              <w:spacing w:after="0"/>
              <w:rPr>
                <w:sz w:val="1"/>
                <w:szCs w:val="1"/>
                <w:color w:val="auto"/>
              </w:rPr>
            </w:pPr>
          </w:p>
        </w:tc>
      </w:tr>
      <w:tr>
        <w:trPr>
          <w:trHeight w:val="196"/>
        </w:trPr>
        <w:tc>
          <w:tcPr>
            <w:tcW w:w="4240" w:type="dxa"/>
            <w:vAlign w:val="bottom"/>
          </w:tcPr>
          <w:p>
            <w:pPr>
              <w:ind w:left="20"/>
              <w:spacing w:after="0" w:line="196" w:lineRule="exact"/>
              <w:rPr>
                <w:sz w:val="20"/>
                <w:szCs w:val="20"/>
                <w:color w:val="auto"/>
              </w:rPr>
            </w:pPr>
            <w:r>
              <w:rPr>
                <w:rFonts w:ascii="Arial" w:cs="Arial" w:eastAsia="Arial" w:hAnsi="Arial"/>
                <w:sz w:val="18"/>
                <w:szCs w:val="18"/>
                <w:color w:val="auto"/>
              </w:rPr>
              <w:t>Total</w:t>
            </w:r>
          </w:p>
        </w:tc>
        <w:tc>
          <w:tcPr>
            <w:tcW w:w="3700" w:type="dxa"/>
            <w:vAlign w:val="bottom"/>
          </w:tcPr>
          <w:p>
            <w:pPr>
              <w:spacing w:after="0"/>
              <w:rPr>
                <w:sz w:val="17"/>
                <w:szCs w:val="17"/>
                <w:color w:val="auto"/>
              </w:rPr>
            </w:pPr>
          </w:p>
        </w:tc>
        <w:tc>
          <w:tcPr>
            <w:tcW w:w="340" w:type="dxa"/>
            <w:vAlign w:val="bottom"/>
            <w:tcBorders>
              <w:bottom w:val="single" w:sz="8" w:color="auto"/>
            </w:tcBorders>
          </w:tcPr>
          <w:p>
            <w:pPr>
              <w:jc w:val="right"/>
              <w:ind w:right="216"/>
              <w:spacing w:after="0"/>
              <w:rPr>
                <w:sz w:val="20"/>
                <w:szCs w:val="20"/>
                <w:color w:val="auto"/>
              </w:rPr>
            </w:pPr>
            <w:r>
              <w:rPr>
                <w:rFonts w:ascii="Arial" w:cs="Arial" w:eastAsia="Arial" w:hAnsi="Arial"/>
                <w:sz w:val="10"/>
                <w:szCs w:val="10"/>
                <w:color w:val="auto"/>
                <w:w w:val="71"/>
              </w:rPr>
              <w:t>$</w:t>
            </w:r>
          </w:p>
        </w:tc>
        <w:tc>
          <w:tcPr>
            <w:tcW w:w="1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10,287</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Borders>
              <w:bottom w:val="single" w:sz="8" w:color="auto"/>
            </w:tcBorders>
          </w:tcPr>
          <w:p>
            <w:pPr>
              <w:jc w:val="right"/>
              <w:ind w:right="250"/>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6,113</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58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24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960" w:type="dxa"/>
            <w:vAlign w:val="bottom"/>
            <w:gridSpan w:val="5"/>
          </w:tcPr>
          <w:p>
            <w:pPr>
              <w:jc w:val="center"/>
              <w:ind w:right="355"/>
              <w:spacing w:after="0"/>
              <w:rPr>
                <w:sz w:val="20"/>
                <w:szCs w:val="20"/>
                <w:color w:val="auto"/>
              </w:rPr>
            </w:pPr>
            <w:r>
              <w:rPr>
                <w:rFonts w:ascii="Arial" w:cs="Arial" w:eastAsia="Arial" w:hAnsi="Arial"/>
                <w:sz w:val="14"/>
                <w:szCs w:val="14"/>
                <w:b w:val="1"/>
                <w:bCs w:val="1"/>
                <w:color w:val="auto"/>
                <w:w w:val="93"/>
              </w:rPr>
              <w:t>Year Ended December 31,</w:t>
            </w:r>
          </w:p>
        </w:tc>
        <w:tc>
          <w:tcPr>
            <w:tcW w:w="0" w:type="dxa"/>
            <w:vAlign w:val="bottom"/>
          </w:tcPr>
          <w:p>
            <w:pPr>
              <w:spacing w:after="0"/>
              <w:rPr>
                <w:sz w:val="1"/>
                <w:szCs w:val="1"/>
                <w:color w:val="auto"/>
              </w:rPr>
            </w:pPr>
          </w:p>
        </w:tc>
      </w:tr>
      <w:tr>
        <w:trPr>
          <w:trHeight w:val="209"/>
        </w:trPr>
        <w:tc>
          <w:tcPr>
            <w:tcW w:w="424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537"/>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595"/>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69"/>
        </w:trPr>
        <w:tc>
          <w:tcPr>
            <w:tcW w:w="424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42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Segment Depreciation and Amortization</w:t>
            </w:r>
          </w:p>
        </w:tc>
        <w:tc>
          <w:tcPr>
            <w:tcW w:w="3700" w:type="dxa"/>
            <w:vAlign w:val="bottom"/>
            <w:tcBorders>
              <w:right w:val="single" w:sz="8" w:color="CFF0FC"/>
            </w:tcBorders>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140" w:type="dxa"/>
            <w:vAlign w:val="bottom"/>
            <w:tcBorders>
              <w:right w:val="single" w:sz="8" w:color="CFF0FC"/>
            </w:tcBorders>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60" w:type="dxa"/>
            <w:vAlign w:val="bottom"/>
            <w:tcBorders>
              <w:right w:val="single" w:sz="8" w:color="CFF0FC"/>
            </w:tcBorders>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140" w:type="dxa"/>
            <w:vAlign w:val="bottom"/>
            <w:tcBorders>
              <w:right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40" w:type="dxa"/>
            <w:vAlign w:val="bottom"/>
          </w:tcPr>
          <w:p>
            <w:pPr>
              <w:ind w:left="20"/>
              <w:spacing w:after="0" w:line="202" w:lineRule="exact"/>
              <w:rPr>
                <w:sz w:val="20"/>
                <w:szCs w:val="20"/>
                <w:color w:val="auto"/>
              </w:rPr>
            </w:pPr>
            <w:r>
              <w:rPr>
                <w:rFonts w:ascii="Arial" w:cs="Arial" w:eastAsia="Arial" w:hAnsi="Arial"/>
                <w:sz w:val="18"/>
                <w:szCs w:val="18"/>
                <w:color w:val="auto"/>
              </w:rPr>
              <w:t>U.S.</w:t>
            </w:r>
          </w:p>
        </w:tc>
        <w:tc>
          <w:tcPr>
            <w:tcW w:w="4040" w:type="dxa"/>
            <w:vAlign w:val="bottom"/>
            <w:gridSpan w:val="2"/>
          </w:tcPr>
          <w:p>
            <w:pPr>
              <w:jc w:val="right"/>
              <w:ind w:right="216"/>
              <w:spacing w:after="0" w:line="202" w:lineRule="exact"/>
              <w:rPr>
                <w:sz w:val="20"/>
                <w:szCs w:val="20"/>
                <w:color w:val="auto"/>
              </w:rPr>
            </w:pPr>
            <w:r>
              <w:rPr>
                <w:rFonts w:ascii="Arial" w:cs="Arial" w:eastAsia="Arial" w:hAnsi="Arial"/>
                <w:sz w:val="18"/>
                <w:szCs w:val="18"/>
                <w:color w:val="auto"/>
              </w:rPr>
              <w:t>$</w:t>
            </w: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3,208</w:t>
            </w:r>
          </w:p>
        </w:tc>
        <w:tc>
          <w:tcPr>
            <w:tcW w:w="80" w:type="dxa"/>
            <w:vAlign w:val="bottom"/>
          </w:tcPr>
          <w:p>
            <w:pPr>
              <w:spacing w:after="0"/>
              <w:rPr>
                <w:sz w:val="17"/>
                <w:szCs w:val="17"/>
                <w:color w:val="auto"/>
              </w:rPr>
            </w:pPr>
          </w:p>
        </w:tc>
        <w:tc>
          <w:tcPr>
            <w:tcW w:w="600" w:type="dxa"/>
            <w:vAlign w:val="bottom"/>
            <w:gridSpan w:val="2"/>
          </w:tcPr>
          <w:p>
            <w:pPr>
              <w:jc w:val="right"/>
              <w:ind w:right="250"/>
              <w:spacing w:after="0" w:line="202" w:lineRule="exact"/>
              <w:rPr>
                <w:sz w:val="20"/>
                <w:szCs w:val="20"/>
                <w:color w:val="auto"/>
              </w:rPr>
            </w:pPr>
            <w:r>
              <w:rPr>
                <w:rFonts w:ascii="Arial" w:cs="Arial" w:eastAsia="Arial" w:hAnsi="Arial"/>
                <w:sz w:val="18"/>
                <w:szCs w:val="18"/>
                <w:color w:val="auto"/>
              </w:rPr>
              <w:t>$</w:t>
            </w: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2,389</w:t>
            </w:r>
          </w:p>
        </w:tc>
        <w:tc>
          <w:tcPr>
            <w:tcW w:w="0" w:type="dxa"/>
            <w:vAlign w:val="bottom"/>
          </w:tcPr>
          <w:p>
            <w:pPr>
              <w:spacing w:after="0"/>
              <w:rPr>
                <w:sz w:val="1"/>
                <w:szCs w:val="1"/>
                <w:color w:val="auto"/>
              </w:rPr>
            </w:pPr>
          </w:p>
        </w:tc>
      </w:tr>
      <w:tr>
        <w:trPr>
          <w:trHeight w:val="203"/>
        </w:trPr>
        <w:tc>
          <w:tcPr>
            <w:tcW w:w="424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International</w:t>
            </w:r>
          </w:p>
        </w:tc>
        <w:tc>
          <w:tcPr>
            <w:tcW w:w="3700" w:type="dxa"/>
            <w:vAlign w:val="bottom"/>
            <w:tcBorders>
              <w:bottom w:val="single" w:sz="8" w:color="CFF0FC"/>
              <w:right w:val="single" w:sz="8" w:color="CFF0FC"/>
            </w:tcBorders>
            <w:shd w:val="clear" w:color="auto" w:fill="CFF0FC"/>
          </w:tcPr>
          <w:p>
            <w:pPr>
              <w:spacing w:after="0"/>
              <w:rPr>
                <w:sz w:val="17"/>
                <w:szCs w:val="17"/>
                <w:color w:val="auto"/>
              </w:rPr>
            </w:pPr>
          </w:p>
        </w:tc>
        <w:tc>
          <w:tcPr>
            <w:tcW w:w="340" w:type="dxa"/>
            <w:vAlign w:val="bottom"/>
            <w:tcBorders>
              <w:bottom w:val="single" w:sz="8" w:color="auto"/>
            </w:tcBorders>
            <w:shd w:val="clear" w:color="auto" w:fill="CFF0FC"/>
          </w:tcPr>
          <w:p>
            <w:pPr>
              <w:spacing w:after="0"/>
              <w:rPr>
                <w:sz w:val="17"/>
                <w:szCs w:val="17"/>
                <w:color w:val="auto"/>
              </w:rPr>
            </w:pPr>
          </w:p>
        </w:tc>
        <w:tc>
          <w:tcPr>
            <w:tcW w:w="1140" w:type="dxa"/>
            <w:vAlign w:val="bottom"/>
            <w:tcBorders>
              <w:bottom w:val="single" w:sz="8" w:color="auto"/>
              <w:right w:val="single" w:sz="8" w:color="CFF0FC"/>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388</w:t>
            </w:r>
          </w:p>
        </w:tc>
        <w:tc>
          <w:tcPr>
            <w:tcW w:w="8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CFF0FC"/>
              <w:right w:val="single" w:sz="8" w:color="CFF0FC"/>
            </w:tcBorders>
            <w:shd w:val="clear" w:color="auto" w:fill="CFF0FC"/>
          </w:tcPr>
          <w:p>
            <w:pPr>
              <w:spacing w:after="0"/>
              <w:rPr>
                <w:sz w:val="17"/>
                <w:szCs w:val="17"/>
                <w:color w:val="auto"/>
              </w:rPr>
            </w:pPr>
          </w:p>
        </w:tc>
        <w:tc>
          <w:tcPr>
            <w:tcW w:w="440" w:type="dxa"/>
            <w:vAlign w:val="bottom"/>
            <w:tcBorders>
              <w:bottom w:val="single" w:sz="8" w:color="auto"/>
            </w:tcBorders>
            <w:shd w:val="clear" w:color="auto" w:fill="CFF0FC"/>
          </w:tcPr>
          <w:p>
            <w:pPr>
              <w:spacing w:after="0"/>
              <w:rPr>
                <w:sz w:val="17"/>
                <w:szCs w:val="17"/>
                <w:color w:val="auto"/>
              </w:rPr>
            </w:pPr>
          </w:p>
        </w:tc>
        <w:tc>
          <w:tcPr>
            <w:tcW w:w="1140" w:type="dxa"/>
            <w:vAlign w:val="bottom"/>
            <w:tcBorders>
              <w:bottom w:val="single" w:sz="8" w:color="auto"/>
              <w:right w:val="single" w:sz="8" w:color="CFF0FC"/>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731</w:t>
            </w:r>
          </w:p>
        </w:tc>
        <w:tc>
          <w:tcPr>
            <w:tcW w:w="0" w:type="dxa"/>
            <w:vAlign w:val="bottom"/>
          </w:tcPr>
          <w:p>
            <w:pPr>
              <w:spacing w:after="0"/>
              <w:rPr>
                <w:sz w:val="1"/>
                <w:szCs w:val="1"/>
                <w:color w:val="auto"/>
              </w:rPr>
            </w:pPr>
          </w:p>
        </w:tc>
      </w:tr>
      <w:tr>
        <w:trPr>
          <w:trHeight w:val="196"/>
        </w:trPr>
        <w:tc>
          <w:tcPr>
            <w:tcW w:w="4240" w:type="dxa"/>
            <w:vAlign w:val="bottom"/>
          </w:tcPr>
          <w:p>
            <w:pPr>
              <w:ind w:left="20"/>
              <w:spacing w:after="0" w:line="196" w:lineRule="exact"/>
              <w:rPr>
                <w:sz w:val="20"/>
                <w:szCs w:val="20"/>
                <w:color w:val="auto"/>
              </w:rPr>
            </w:pPr>
            <w:r>
              <w:rPr>
                <w:rFonts w:ascii="Arial" w:cs="Arial" w:eastAsia="Arial" w:hAnsi="Arial"/>
                <w:sz w:val="18"/>
                <w:szCs w:val="18"/>
                <w:color w:val="auto"/>
              </w:rPr>
              <w:t>Total</w:t>
            </w:r>
          </w:p>
        </w:tc>
        <w:tc>
          <w:tcPr>
            <w:tcW w:w="4040" w:type="dxa"/>
            <w:vAlign w:val="bottom"/>
            <w:gridSpan w:val="2"/>
          </w:tcPr>
          <w:p>
            <w:pPr>
              <w:jc w:val="right"/>
              <w:ind w:right="216"/>
              <w:spacing w:after="0" w:line="196" w:lineRule="exact"/>
              <w:rPr>
                <w:sz w:val="20"/>
                <w:szCs w:val="20"/>
                <w:color w:val="auto"/>
              </w:rPr>
            </w:pPr>
            <w:r>
              <w:rPr>
                <w:rFonts w:ascii="Arial" w:cs="Arial" w:eastAsia="Arial" w:hAnsi="Arial"/>
                <w:sz w:val="18"/>
                <w:szCs w:val="18"/>
                <w:color w:val="auto"/>
              </w:rPr>
              <w:t>$</w:t>
            </w:r>
          </w:p>
        </w:tc>
        <w:tc>
          <w:tcPr>
            <w:tcW w:w="1140" w:type="dxa"/>
            <w:vAlign w:val="bottom"/>
          </w:tcPr>
          <w:p>
            <w:pPr>
              <w:jc w:val="right"/>
              <w:spacing w:after="0" w:line="196" w:lineRule="exact"/>
              <w:rPr>
                <w:sz w:val="20"/>
                <w:szCs w:val="20"/>
                <w:color w:val="auto"/>
              </w:rPr>
            </w:pPr>
            <w:r>
              <w:rPr>
                <w:rFonts w:ascii="Arial" w:cs="Arial" w:eastAsia="Arial" w:hAnsi="Arial"/>
                <w:sz w:val="18"/>
                <w:szCs w:val="18"/>
                <w:color w:val="auto"/>
              </w:rPr>
              <w:t>3,596</w:t>
            </w:r>
          </w:p>
        </w:tc>
        <w:tc>
          <w:tcPr>
            <w:tcW w:w="80" w:type="dxa"/>
            <w:vAlign w:val="bottom"/>
          </w:tcPr>
          <w:p>
            <w:pPr>
              <w:spacing w:after="0"/>
              <w:rPr>
                <w:sz w:val="17"/>
                <w:szCs w:val="17"/>
                <w:color w:val="auto"/>
              </w:rPr>
            </w:pPr>
          </w:p>
        </w:tc>
        <w:tc>
          <w:tcPr>
            <w:tcW w:w="600" w:type="dxa"/>
            <w:vAlign w:val="bottom"/>
            <w:gridSpan w:val="2"/>
          </w:tcPr>
          <w:p>
            <w:pPr>
              <w:jc w:val="right"/>
              <w:ind w:right="250"/>
              <w:spacing w:after="0" w:line="196" w:lineRule="exact"/>
              <w:rPr>
                <w:sz w:val="20"/>
                <w:szCs w:val="20"/>
                <w:color w:val="auto"/>
              </w:rPr>
            </w:pPr>
            <w:r>
              <w:rPr>
                <w:rFonts w:ascii="Arial" w:cs="Arial" w:eastAsia="Arial" w:hAnsi="Arial"/>
                <w:sz w:val="18"/>
                <w:szCs w:val="18"/>
                <w:color w:val="auto"/>
              </w:rPr>
              <w:t>$</w:t>
            </w:r>
          </w:p>
        </w:tc>
        <w:tc>
          <w:tcPr>
            <w:tcW w:w="1140" w:type="dxa"/>
            <w:vAlign w:val="bottom"/>
          </w:tcPr>
          <w:p>
            <w:pPr>
              <w:jc w:val="right"/>
              <w:spacing w:after="0" w:line="196" w:lineRule="exact"/>
              <w:rPr>
                <w:sz w:val="20"/>
                <w:szCs w:val="20"/>
                <w:color w:val="auto"/>
              </w:rPr>
            </w:pPr>
            <w:r>
              <w:rPr>
                <w:rFonts w:ascii="Arial" w:cs="Arial" w:eastAsia="Arial" w:hAnsi="Arial"/>
                <w:sz w:val="18"/>
                <w:szCs w:val="18"/>
                <w:color w:val="auto"/>
              </w:rPr>
              <w:t>3,120</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3700" w:type="dxa"/>
            <w:vAlign w:val="bottom"/>
            <w:vMerge w:val="restart"/>
          </w:tcPr>
          <w:p>
            <w:pPr>
              <w:jc w:val="right"/>
              <w:ind w:right="2130"/>
              <w:spacing w:after="0"/>
              <w:rPr>
                <w:sz w:val="20"/>
                <w:szCs w:val="20"/>
                <w:color w:val="auto"/>
              </w:rPr>
            </w:pPr>
            <w:r>
              <w:rPr>
                <w:rFonts w:ascii="Arial" w:cs="Arial" w:eastAsia="Arial" w:hAnsi="Arial"/>
                <w:sz w:val="18"/>
                <w:szCs w:val="18"/>
                <w:color w:val="auto"/>
              </w:rPr>
              <w:t>83</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4240" w:type="dxa"/>
            <w:vAlign w:val="bottom"/>
          </w:tcPr>
          <w:p>
            <w:pPr>
              <w:spacing w:after="0"/>
              <w:rPr>
                <w:sz w:val="24"/>
                <w:szCs w:val="24"/>
                <w:color w:val="auto"/>
              </w:rPr>
            </w:pPr>
          </w:p>
        </w:tc>
        <w:tc>
          <w:tcPr>
            <w:tcW w:w="370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4240" w:type="dxa"/>
            <w:vAlign w:val="bottom"/>
            <w:tcBorders>
              <w:bottom w:val="single" w:sz="8" w:color="9A9A9A"/>
            </w:tcBorders>
          </w:tcPr>
          <w:p>
            <w:pPr>
              <w:spacing w:after="0"/>
              <w:rPr>
                <w:sz w:val="8"/>
                <w:szCs w:val="8"/>
                <w:color w:val="auto"/>
              </w:rPr>
            </w:pPr>
          </w:p>
        </w:tc>
        <w:tc>
          <w:tcPr>
            <w:tcW w:w="370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440" w:type="dxa"/>
            <w:vAlign w:val="bottom"/>
            <w:tcBorders>
              <w:bottom w:val="single" w:sz="8" w:color="9A9A9A"/>
            </w:tcBorders>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6031230</wp:posOffset>
            </wp:positionH>
            <wp:positionV relativeFrom="paragraph">
              <wp:posOffset>-3562350</wp:posOffset>
            </wp:positionV>
            <wp:extent cx="43180" cy="571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5">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-3562350</wp:posOffset>
            </wp:positionV>
            <wp:extent cx="43180" cy="571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6">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-2636520</wp:posOffset>
            </wp:positionV>
            <wp:extent cx="60325" cy="571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7">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-2636520</wp:posOffset>
            </wp:positionV>
            <wp:extent cx="59690" cy="571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8">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-1556385</wp:posOffset>
            </wp:positionV>
            <wp:extent cx="51435" cy="571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9">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-1556385</wp:posOffset>
            </wp:positionV>
            <wp:extent cx="43180" cy="571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30">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-502285</wp:posOffset>
            </wp:positionV>
            <wp:extent cx="43180" cy="571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1">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-502285</wp:posOffset>
            </wp:positionV>
            <wp:extent cx="43180" cy="571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2">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86" w:name="page87"/>
    <w:bookmarkEnd w:id="86"/>
    <w:tbl>
      <w:tblPr>
        <w:tblLayout w:type="fixed"/>
        <w:tblInd w:w="0" w:type="dxa"/>
        <w:tblCellMar>
          <w:top w:w="0" w:type="dxa"/>
          <w:left w:w="0" w:type="dxa"/>
          <w:bottom w:w="0" w:type="dxa"/>
          <w:right w:w="0" w:type="dxa"/>
        </w:tblCellMar>
      </w:tblPr>
      <w:tr>
        <w:trPr>
          <w:trHeight w:val="185"/>
        </w:trPr>
        <w:tc>
          <w:tcPr>
            <w:tcW w:w="7900" w:type="dxa"/>
            <w:vAlign w:val="bottom"/>
          </w:tcPr>
          <w:p>
            <w:pPr>
              <w:spacing w:after="0"/>
              <w:rPr>
                <w:sz w:val="16"/>
                <w:szCs w:val="16"/>
                <w:color w:val="auto"/>
              </w:rPr>
            </w:pPr>
          </w:p>
        </w:tc>
        <w:tc>
          <w:tcPr>
            <w:tcW w:w="2760" w:type="dxa"/>
            <w:vAlign w:val="bottom"/>
            <w:tcBorders>
              <w:bottom w:val="single" w:sz="8" w:color="auto"/>
            </w:tcBorders>
            <w:gridSpan w:val="5"/>
          </w:tcPr>
          <w:p>
            <w:pPr>
              <w:jc w:val="right"/>
              <w:ind w:right="236"/>
              <w:spacing w:after="0"/>
              <w:rPr>
                <w:sz w:val="20"/>
                <w:szCs w:val="20"/>
                <w:color w:val="auto"/>
              </w:rPr>
            </w:pPr>
            <w:r>
              <w:rPr>
                <w:rFonts w:ascii="Arial" w:cs="Arial" w:eastAsia="Arial" w:hAnsi="Arial"/>
                <w:sz w:val="14"/>
                <w:szCs w:val="14"/>
                <w:b w:val="1"/>
                <w:bCs w:val="1"/>
                <w:color w:val="auto"/>
              </w:rPr>
              <w:t>Year Ended December 31,</w:t>
            </w:r>
          </w:p>
        </w:tc>
        <w:tc>
          <w:tcPr>
            <w:tcW w:w="52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210"/>
        </w:trPr>
        <w:tc>
          <w:tcPr>
            <w:tcW w:w="7900" w:type="dxa"/>
            <w:vAlign w:val="bottom"/>
          </w:tcPr>
          <w:p>
            <w:pPr>
              <w:spacing w:after="0"/>
              <w:rPr>
                <w:sz w:val="18"/>
                <w:szCs w:val="18"/>
                <w:color w:val="auto"/>
              </w:rPr>
            </w:pPr>
          </w:p>
        </w:tc>
        <w:tc>
          <w:tcPr>
            <w:tcW w:w="100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2021</w:t>
            </w:r>
          </w:p>
        </w:tc>
        <w:tc>
          <w:tcPr>
            <w:tcW w:w="50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2020</w:t>
            </w:r>
          </w:p>
        </w:tc>
        <w:tc>
          <w:tcPr>
            <w:tcW w:w="52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r>
      <w:tr>
        <w:trPr>
          <w:trHeight w:val="169"/>
        </w:trPr>
        <w:tc>
          <w:tcPr>
            <w:tcW w:w="79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03"/>
        </w:trPr>
        <w:tc>
          <w:tcPr>
            <w:tcW w:w="79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Segment Expenditures for Property and Equipment and Long-Lived Assets</w:t>
            </w:r>
          </w:p>
        </w:tc>
        <w:tc>
          <w:tcPr>
            <w:tcW w:w="100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r>
      <w:tr>
        <w:trPr>
          <w:trHeight w:val="203"/>
        </w:trPr>
        <w:tc>
          <w:tcPr>
            <w:tcW w:w="7900" w:type="dxa"/>
            <w:vAlign w:val="bottom"/>
          </w:tcPr>
          <w:p>
            <w:pPr>
              <w:ind w:left="20"/>
              <w:spacing w:after="0" w:line="202" w:lineRule="exact"/>
              <w:rPr>
                <w:sz w:val="20"/>
                <w:szCs w:val="20"/>
                <w:color w:val="auto"/>
              </w:rPr>
            </w:pPr>
            <w:r>
              <w:rPr>
                <w:rFonts w:ascii="Arial" w:cs="Arial" w:eastAsia="Arial" w:hAnsi="Arial"/>
                <w:sz w:val="18"/>
                <w:szCs w:val="18"/>
                <w:color w:val="auto"/>
              </w:rPr>
              <w:t>U.S.</w:t>
            </w:r>
          </w:p>
        </w:tc>
        <w:tc>
          <w:tcPr>
            <w:tcW w:w="1000" w:type="dxa"/>
            <w:vAlign w:val="bottom"/>
          </w:tcPr>
          <w:p>
            <w:pPr>
              <w:jc w:val="right"/>
              <w:ind w:right="819"/>
              <w:spacing w:after="0" w:line="202" w:lineRule="exact"/>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line="202" w:lineRule="exact"/>
              <w:rPr>
                <w:sz w:val="20"/>
                <w:szCs w:val="20"/>
                <w:color w:val="auto"/>
              </w:rPr>
            </w:pPr>
            <w:r>
              <w:rPr>
                <w:rFonts w:ascii="Arial" w:cs="Arial" w:eastAsia="Arial" w:hAnsi="Arial"/>
                <w:sz w:val="18"/>
                <w:szCs w:val="18"/>
                <w:color w:val="auto"/>
              </w:rPr>
              <w:t>5,636</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ind w:right="816"/>
              <w:spacing w:after="0" w:line="202" w:lineRule="exact"/>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rPr>
              <w:t>3,671</w:t>
            </w:r>
          </w:p>
        </w:tc>
        <w:tc>
          <w:tcPr>
            <w:tcW w:w="60" w:type="dxa"/>
            <w:vAlign w:val="bottom"/>
          </w:tcPr>
          <w:p>
            <w:pPr>
              <w:spacing w:after="0"/>
              <w:rPr>
                <w:sz w:val="17"/>
                <w:szCs w:val="17"/>
                <w:color w:val="auto"/>
              </w:rPr>
            </w:pPr>
          </w:p>
        </w:tc>
      </w:tr>
      <w:tr>
        <w:trPr>
          <w:trHeight w:val="203"/>
        </w:trPr>
        <w:tc>
          <w:tcPr>
            <w:tcW w:w="790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International</w:t>
            </w:r>
          </w:p>
        </w:tc>
        <w:tc>
          <w:tcPr>
            <w:tcW w:w="1000" w:type="dxa"/>
            <w:vAlign w:val="bottom"/>
            <w:tcBorders>
              <w:bottom w:val="single" w:sz="8" w:color="auto"/>
            </w:tcBorders>
            <w:shd w:val="clear" w:color="auto" w:fill="CFF0FC"/>
          </w:tcPr>
          <w:p>
            <w:pPr>
              <w:spacing w:after="0"/>
              <w:rPr>
                <w:sz w:val="17"/>
                <w:szCs w:val="17"/>
                <w:color w:val="auto"/>
              </w:rPr>
            </w:pPr>
          </w:p>
        </w:tc>
        <w:tc>
          <w:tcPr>
            <w:tcW w:w="5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626</w:t>
            </w:r>
          </w:p>
        </w:tc>
        <w:tc>
          <w:tcPr>
            <w:tcW w:w="2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CFF0FC"/>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spacing w:after="0"/>
              <w:rPr>
                <w:sz w:val="17"/>
                <w:szCs w:val="17"/>
                <w:color w:val="auto"/>
              </w:rPr>
            </w:pPr>
          </w:p>
        </w:tc>
        <w:tc>
          <w:tcPr>
            <w:tcW w:w="5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519</w:t>
            </w:r>
          </w:p>
        </w:tc>
        <w:tc>
          <w:tcPr>
            <w:tcW w:w="60" w:type="dxa"/>
            <w:vAlign w:val="bottom"/>
            <w:tcBorders>
              <w:bottom w:val="single" w:sz="8" w:color="CFF0FC"/>
            </w:tcBorders>
            <w:shd w:val="clear" w:color="auto" w:fill="CFF0FC"/>
          </w:tcPr>
          <w:p>
            <w:pPr>
              <w:spacing w:after="0"/>
              <w:rPr>
                <w:sz w:val="17"/>
                <w:szCs w:val="17"/>
                <w:color w:val="auto"/>
              </w:rPr>
            </w:pPr>
          </w:p>
        </w:tc>
      </w:tr>
      <w:tr>
        <w:trPr>
          <w:trHeight w:val="196"/>
        </w:trPr>
        <w:tc>
          <w:tcPr>
            <w:tcW w:w="7900" w:type="dxa"/>
            <w:vAlign w:val="bottom"/>
          </w:tcPr>
          <w:p>
            <w:pPr>
              <w:ind w:left="20"/>
              <w:spacing w:after="0" w:line="196" w:lineRule="exact"/>
              <w:rPr>
                <w:sz w:val="20"/>
                <w:szCs w:val="20"/>
                <w:color w:val="auto"/>
              </w:rPr>
            </w:pPr>
            <w:r>
              <w:rPr>
                <w:rFonts w:ascii="Arial" w:cs="Arial" w:eastAsia="Arial" w:hAnsi="Arial"/>
                <w:sz w:val="18"/>
                <w:szCs w:val="18"/>
                <w:color w:val="auto"/>
              </w:rPr>
              <w:t>Total</w:t>
            </w:r>
          </w:p>
        </w:tc>
        <w:tc>
          <w:tcPr>
            <w:tcW w:w="1000" w:type="dxa"/>
            <w:vAlign w:val="bottom"/>
            <w:tcBorders>
              <w:bottom w:val="single" w:sz="8" w:color="auto"/>
            </w:tcBorders>
          </w:tcPr>
          <w:p>
            <w:pPr>
              <w:jc w:val="right"/>
              <w:ind w:right="819"/>
              <w:spacing w:after="0" w:line="196" w:lineRule="exact"/>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6,262</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Borders>
              <w:bottom w:val="single" w:sz="8" w:color="auto"/>
            </w:tcBorders>
          </w:tcPr>
          <w:p>
            <w:pPr>
              <w:jc w:val="right"/>
              <w:ind w:right="816"/>
              <w:spacing w:after="0" w:line="196" w:lineRule="exact"/>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4,190</w:t>
            </w:r>
          </w:p>
        </w:tc>
        <w:tc>
          <w:tcPr>
            <w:tcW w:w="60" w:type="dxa"/>
            <w:vAlign w:val="bottom"/>
          </w:tcPr>
          <w:p>
            <w:pPr>
              <w:spacing w:after="0"/>
              <w:rPr>
                <w:sz w:val="17"/>
                <w:szCs w:val="17"/>
                <w:color w:val="auto"/>
              </w:rPr>
            </w:pPr>
          </w:p>
        </w:tc>
      </w:tr>
      <w:tr>
        <w:trPr>
          <w:trHeight w:val="20"/>
        </w:trPr>
        <w:tc>
          <w:tcPr>
            <w:tcW w:w="7900" w:type="dxa"/>
            <w:vAlign w:val="bottom"/>
          </w:tcPr>
          <w:p>
            <w:pPr>
              <w:spacing w:after="0" w:line="20" w:lineRule="exact"/>
              <w:rPr>
                <w:sz w:val="1"/>
                <w:szCs w:val="1"/>
                <w:color w:val="auto"/>
              </w:rPr>
            </w:pPr>
          </w:p>
        </w:tc>
        <w:tc>
          <w:tcPr>
            <w:tcW w:w="150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8"/>
        </w:trPr>
        <w:tc>
          <w:tcPr>
            <w:tcW w:w="7900" w:type="dxa"/>
            <w:vAlign w:val="bottom"/>
          </w:tcPr>
          <w:p>
            <w:pPr>
              <w:spacing w:after="0"/>
              <w:rPr>
                <w:sz w:val="24"/>
                <w:szCs w:val="24"/>
                <w:color w:val="auto"/>
              </w:rPr>
            </w:pPr>
          </w:p>
        </w:tc>
        <w:tc>
          <w:tcPr>
            <w:tcW w:w="2760" w:type="dxa"/>
            <w:vAlign w:val="bottom"/>
            <w:tcBorders>
              <w:bottom w:val="single" w:sz="8" w:color="auto"/>
            </w:tcBorders>
            <w:gridSpan w:val="5"/>
          </w:tcPr>
          <w:p>
            <w:pPr>
              <w:jc w:val="right"/>
              <w:ind w:right="236"/>
              <w:spacing w:after="0"/>
              <w:rPr>
                <w:sz w:val="20"/>
                <w:szCs w:val="20"/>
                <w:color w:val="auto"/>
              </w:rPr>
            </w:pPr>
            <w:r>
              <w:rPr>
                <w:rFonts w:ascii="Arial" w:cs="Arial" w:eastAsia="Arial" w:hAnsi="Arial"/>
                <w:sz w:val="14"/>
                <w:szCs w:val="14"/>
                <w:b w:val="1"/>
                <w:bCs w:val="1"/>
                <w:color w:val="auto"/>
              </w:rPr>
              <w:t>Year Ended December 31,</w:t>
            </w:r>
          </w:p>
        </w:tc>
        <w:tc>
          <w:tcPr>
            <w:tcW w:w="52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209"/>
        </w:trPr>
        <w:tc>
          <w:tcPr>
            <w:tcW w:w="7900" w:type="dxa"/>
            <w:vAlign w:val="bottom"/>
          </w:tcPr>
          <w:p>
            <w:pPr>
              <w:spacing w:after="0"/>
              <w:rPr>
                <w:sz w:val="18"/>
                <w:szCs w:val="18"/>
                <w:color w:val="auto"/>
              </w:rPr>
            </w:pPr>
          </w:p>
        </w:tc>
        <w:tc>
          <w:tcPr>
            <w:tcW w:w="100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2021</w:t>
            </w:r>
          </w:p>
        </w:tc>
        <w:tc>
          <w:tcPr>
            <w:tcW w:w="5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2020</w:t>
            </w:r>
          </w:p>
        </w:tc>
        <w:tc>
          <w:tcPr>
            <w:tcW w:w="52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r>
      <w:tr>
        <w:trPr>
          <w:trHeight w:val="196"/>
        </w:trPr>
        <w:tc>
          <w:tcPr>
            <w:tcW w:w="790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Segment Impairments of Goodwill and Intangible Assets</w:t>
            </w:r>
          </w:p>
        </w:tc>
        <w:tc>
          <w:tcPr>
            <w:tcW w:w="100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r>
      <w:tr>
        <w:trPr>
          <w:trHeight w:val="203"/>
        </w:trPr>
        <w:tc>
          <w:tcPr>
            <w:tcW w:w="7900" w:type="dxa"/>
            <w:vAlign w:val="bottom"/>
          </w:tcPr>
          <w:p>
            <w:pPr>
              <w:ind w:left="20"/>
              <w:spacing w:after="0" w:line="202" w:lineRule="exact"/>
              <w:rPr>
                <w:sz w:val="20"/>
                <w:szCs w:val="20"/>
                <w:color w:val="auto"/>
              </w:rPr>
            </w:pPr>
            <w:r>
              <w:rPr>
                <w:rFonts w:ascii="Arial" w:cs="Arial" w:eastAsia="Arial" w:hAnsi="Arial"/>
                <w:sz w:val="18"/>
                <w:szCs w:val="18"/>
                <w:color w:val="auto"/>
              </w:rPr>
              <w:t>U.S.</w:t>
            </w:r>
          </w:p>
        </w:tc>
        <w:tc>
          <w:tcPr>
            <w:tcW w:w="1000" w:type="dxa"/>
            <w:vAlign w:val="bottom"/>
          </w:tcPr>
          <w:p>
            <w:pPr>
              <w:jc w:val="right"/>
              <w:ind w:right="819"/>
              <w:spacing w:after="0" w:line="202" w:lineRule="exact"/>
              <w:rPr>
                <w:sz w:val="20"/>
                <w:szCs w:val="20"/>
                <w:color w:val="auto"/>
              </w:rPr>
            </w:pPr>
            <w:r>
              <w:rPr>
                <w:rFonts w:ascii="Arial" w:cs="Arial" w:eastAsia="Arial" w:hAnsi="Arial"/>
                <w:sz w:val="18"/>
                <w:szCs w:val="18"/>
                <w:color w:val="auto"/>
                <w:w w:val="79"/>
              </w:rPr>
              <w:t>$</w:t>
            </w:r>
          </w:p>
        </w:tc>
        <w:tc>
          <w:tcPr>
            <w:tcW w:w="760" w:type="dxa"/>
            <w:vAlign w:val="bottom"/>
            <w:gridSpan w:val="3"/>
          </w:tcPr>
          <w:p>
            <w:pPr>
              <w:ind w:left="320"/>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ind w:right="816"/>
              <w:spacing w:after="0" w:line="202" w:lineRule="exact"/>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rPr>
              <w:t>83</w:t>
            </w:r>
          </w:p>
        </w:tc>
        <w:tc>
          <w:tcPr>
            <w:tcW w:w="60" w:type="dxa"/>
            <w:vAlign w:val="bottom"/>
          </w:tcPr>
          <w:p>
            <w:pPr>
              <w:spacing w:after="0"/>
              <w:rPr>
                <w:sz w:val="17"/>
                <w:szCs w:val="17"/>
                <w:color w:val="auto"/>
              </w:rPr>
            </w:pPr>
          </w:p>
        </w:tc>
      </w:tr>
      <w:tr>
        <w:trPr>
          <w:trHeight w:val="203"/>
        </w:trPr>
        <w:tc>
          <w:tcPr>
            <w:tcW w:w="790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International</w:t>
            </w:r>
          </w:p>
        </w:tc>
        <w:tc>
          <w:tcPr>
            <w:tcW w:w="1000" w:type="dxa"/>
            <w:vAlign w:val="bottom"/>
            <w:tcBorders>
              <w:bottom w:val="single" w:sz="8" w:color="auto"/>
            </w:tcBorders>
            <w:shd w:val="clear" w:color="auto" w:fill="CFF0FC"/>
          </w:tcPr>
          <w:p>
            <w:pPr>
              <w:spacing w:after="0"/>
              <w:rPr>
                <w:sz w:val="17"/>
                <w:szCs w:val="17"/>
                <w:color w:val="auto"/>
              </w:rPr>
            </w:pPr>
          </w:p>
        </w:tc>
        <w:tc>
          <w:tcPr>
            <w:tcW w:w="520" w:type="dxa"/>
            <w:vAlign w:val="bottom"/>
            <w:tcBorders>
              <w:bottom w:val="single" w:sz="8" w:color="auto"/>
            </w:tcBorders>
            <w:gridSpan w:val="2"/>
            <w:shd w:val="clear" w:color="auto" w:fill="CFF0FC"/>
          </w:tcPr>
          <w:p>
            <w:pPr>
              <w:ind w:left="320"/>
              <w:spacing w:after="0" w:line="202" w:lineRule="exact"/>
              <w:rPr>
                <w:sz w:val="20"/>
                <w:szCs w:val="20"/>
                <w:color w:val="auto"/>
              </w:rPr>
            </w:pPr>
            <w:r>
              <w:rPr>
                <w:rFonts w:ascii="Arial" w:cs="Arial" w:eastAsia="Arial" w:hAnsi="Arial"/>
                <w:sz w:val="18"/>
                <w:szCs w:val="18"/>
                <w:color w:val="auto"/>
                <w:w w:val="99"/>
              </w:rPr>
              <w:t>—</w:t>
            </w:r>
          </w:p>
        </w:tc>
        <w:tc>
          <w:tcPr>
            <w:tcW w:w="240" w:type="dxa"/>
            <w:vAlign w:val="bottom"/>
            <w:tcBorders>
              <w:bottom w:val="single" w:sz="8" w:color="CFF0FC"/>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spacing w:after="0"/>
              <w:rPr>
                <w:sz w:val="17"/>
                <w:szCs w:val="17"/>
                <w:color w:val="auto"/>
              </w:rPr>
            </w:pPr>
          </w:p>
        </w:tc>
        <w:tc>
          <w:tcPr>
            <w:tcW w:w="5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1,509</w:t>
            </w:r>
          </w:p>
        </w:tc>
        <w:tc>
          <w:tcPr>
            <w:tcW w:w="60" w:type="dxa"/>
            <w:vAlign w:val="bottom"/>
            <w:tcBorders>
              <w:bottom w:val="single" w:sz="8" w:color="CFF0FC"/>
            </w:tcBorders>
            <w:shd w:val="clear" w:color="auto" w:fill="CFF0FC"/>
          </w:tcPr>
          <w:p>
            <w:pPr>
              <w:spacing w:after="0"/>
              <w:rPr>
                <w:sz w:val="17"/>
                <w:szCs w:val="17"/>
                <w:color w:val="auto"/>
              </w:rPr>
            </w:pPr>
          </w:p>
        </w:tc>
      </w:tr>
      <w:tr>
        <w:trPr>
          <w:trHeight w:val="196"/>
        </w:trPr>
        <w:tc>
          <w:tcPr>
            <w:tcW w:w="7900" w:type="dxa"/>
            <w:vAlign w:val="bottom"/>
          </w:tcPr>
          <w:p>
            <w:pPr>
              <w:ind w:left="20"/>
              <w:spacing w:after="0" w:line="196" w:lineRule="exact"/>
              <w:rPr>
                <w:sz w:val="20"/>
                <w:szCs w:val="20"/>
                <w:color w:val="auto"/>
              </w:rPr>
            </w:pPr>
            <w:r>
              <w:rPr>
                <w:rFonts w:ascii="Arial" w:cs="Arial" w:eastAsia="Arial" w:hAnsi="Arial"/>
                <w:sz w:val="18"/>
                <w:szCs w:val="18"/>
                <w:color w:val="auto"/>
              </w:rPr>
              <w:t>Total</w:t>
            </w:r>
          </w:p>
        </w:tc>
        <w:tc>
          <w:tcPr>
            <w:tcW w:w="1000" w:type="dxa"/>
            <w:vAlign w:val="bottom"/>
          </w:tcPr>
          <w:p>
            <w:pPr>
              <w:jc w:val="right"/>
              <w:ind w:right="819"/>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gridSpan w:val="3"/>
          </w:tcPr>
          <w:p>
            <w:pPr>
              <w:ind w:left="320"/>
              <w:spacing w:after="0" w:line="196" w:lineRule="exact"/>
              <w:rPr>
                <w:sz w:val="20"/>
                <w:szCs w:val="20"/>
                <w:color w:val="auto"/>
              </w:rPr>
            </w:pPr>
            <w:r>
              <w:rPr>
                <w:rFonts w:ascii="Arial" w:cs="Arial" w:eastAsia="Arial" w:hAnsi="Arial"/>
                <w:sz w:val="18"/>
                <w:szCs w:val="18"/>
                <w:color w:val="auto"/>
              </w:rPr>
              <w:t>—</w:t>
            </w:r>
          </w:p>
        </w:tc>
        <w:tc>
          <w:tcPr>
            <w:tcW w:w="1000" w:type="dxa"/>
            <w:vAlign w:val="bottom"/>
          </w:tcPr>
          <w:p>
            <w:pPr>
              <w:jc w:val="right"/>
              <w:ind w:right="816"/>
              <w:spacing w:after="0" w:line="196" w:lineRule="exact"/>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1,592</w:t>
            </w:r>
          </w:p>
        </w:tc>
        <w:tc>
          <w:tcPr>
            <w:tcW w:w="60" w:type="dxa"/>
            <w:vAlign w:val="bottom"/>
          </w:tcPr>
          <w:p>
            <w:pPr>
              <w:spacing w:after="0"/>
              <w:rPr>
                <w:sz w:val="17"/>
                <w:szCs w:val="17"/>
                <w:color w:val="auto"/>
              </w:rPr>
            </w:pPr>
          </w:p>
        </w:tc>
      </w:tr>
      <w:tr>
        <w:trPr>
          <w:trHeight w:val="20"/>
        </w:trPr>
        <w:tc>
          <w:tcPr>
            <w:tcW w:w="79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-1102360</wp:posOffset>
            </wp:positionV>
            <wp:extent cx="51435" cy="571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5">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-1102360</wp:posOffset>
            </wp:positionV>
            <wp:extent cx="43180" cy="571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6">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-159385</wp:posOffset>
            </wp:positionV>
            <wp:extent cx="43180" cy="571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7">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-159385</wp:posOffset>
            </wp:positionV>
            <wp:extent cx="43180" cy="571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8">
                      <a:extLst>
                        <a:ext uri="{28A0092B-C50C-407E-A947-70E740481C1C}"/>
                      </a:extLst>
                    </a:blip>
                    <a:srcRect/>
                    <a:stretch>
                      <a:fillRect/>
                    </a:stretch>
                  </pic:blipFill>
                  <pic:spPr bwMode="auto">
                    <a:xfrm>
                      <a:off x="0" y="0"/>
                      <a:ext cx="43180" cy="5715"/>
                    </a:xfrm>
                    <a:prstGeom prst="rect">
                      <a:avLst/>
                    </a:prstGeom>
                    <a:noFill/>
                  </pic:spPr>
                </pic:pic>
              </a:graphicData>
            </a:graphic>
          </wp:anchor>
        </w:drawing>
      </w:r>
    </w:p>
    <w:p>
      <w:pPr>
        <w:spacing w:after="0" w:line="164" w:lineRule="exact"/>
        <w:rPr>
          <w:sz w:val="20"/>
          <w:szCs w:val="20"/>
          <w:color w:val="auto"/>
        </w:rPr>
      </w:pPr>
    </w:p>
    <w:p>
      <w:pPr>
        <w:ind w:left="660" w:hanging="652"/>
        <w:spacing w:after="0"/>
        <w:tabs>
          <w:tab w:leader="none" w:pos="660" w:val="left"/>
        </w:tabs>
        <w:numPr>
          <w:ilvl w:val="0"/>
          <w:numId w:val="75"/>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175" w:lineRule="exact"/>
        <w:rPr>
          <w:sz w:val="20"/>
          <w:szCs w:val="20"/>
          <w:color w:val="auto"/>
        </w:rPr>
      </w:pPr>
    </w:p>
    <w:p>
      <w:pPr>
        <w:ind w:right="200" w:firstLine="644"/>
        <w:spacing w:after="0" w:line="243" w:lineRule="auto"/>
        <w:rPr>
          <w:sz w:val="20"/>
          <w:szCs w:val="20"/>
          <w:color w:val="auto"/>
        </w:rPr>
      </w:pPr>
      <w:r>
        <w:rPr>
          <w:rFonts w:ascii="Arial" w:cs="Arial" w:eastAsia="Arial" w:hAnsi="Arial"/>
          <w:sz w:val="18"/>
          <w:szCs w:val="18"/>
          <w:color w:val="auto"/>
        </w:rPr>
        <w:t>Prior the Company's IPO on July 2, 2021, certain companies and/or affiliates of companies that were holders of the Company’s Convertible Preferred Stock acquired products and assemblies through the Xometry platform. These Convertible Preferred Stock converted to Class A common stock on July 2, 2021. As such, Xometry’s revenue, accounts receivable, and accounts payable include amounts from these companies and/or affiliates of these companies.</w:t>
      </w:r>
    </w:p>
    <w:p>
      <w:pPr>
        <w:spacing w:after="0" w:line="161" w:lineRule="exact"/>
        <w:rPr>
          <w:sz w:val="20"/>
          <w:szCs w:val="20"/>
          <w:color w:val="auto"/>
        </w:rPr>
      </w:pPr>
    </w:p>
    <w:p>
      <w:pPr>
        <w:ind w:right="160" w:firstLine="644"/>
        <w:spacing w:after="0" w:line="248" w:lineRule="auto"/>
        <w:rPr>
          <w:sz w:val="20"/>
          <w:szCs w:val="20"/>
          <w:color w:val="auto"/>
        </w:rPr>
      </w:pPr>
      <w:r>
        <w:rPr>
          <w:rFonts w:ascii="Arial" w:cs="Arial" w:eastAsia="Arial" w:hAnsi="Arial"/>
          <w:sz w:val="18"/>
          <w:szCs w:val="18"/>
          <w:color w:val="auto"/>
        </w:rPr>
        <w:t>For the year ended December 31, 2021 and 2020, Xometry recognized $0.7 million and $1.5 million from companies/and or affiliates of these companies, respectively. As December 31, 2020, the Company had approximately $0.4 million of accounts receivable from companies and/or affiliates of these companies.</w:t>
      </w:r>
    </w:p>
    <w:p>
      <w:pPr>
        <w:spacing w:after="0" w:line="141" w:lineRule="exact"/>
        <w:rPr>
          <w:sz w:val="20"/>
          <w:szCs w:val="20"/>
          <w:color w:val="auto"/>
        </w:rPr>
      </w:pPr>
    </w:p>
    <w:p>
      <w:pPr>
        <w:ind w:right="40" w:firstLine="644"/>
        <w:spacing w:after="0"/>
        <w:rPr>
          <w:sz w:val="20"/>
          <w:szCs w:val="20"/>
          <w:color w:val="auto"/>
        </w:rPr>
      </w:pPr>
      <w:r>
        <w:rPr>
          <w:rFonts w:ascii="Arial" w:cs="Arial" w:eastAsia="Arial" w:hAnsi="Arial"/>
          <w:sz w:val="18"/>
          <w:szCs w:val="18"/>
          <w:color w:val="auto"/>
        </w:rPr>
        <w:t>In February 2018, the Company entered into a consulting agreement with Business Improvement Systems, Inc., which is owned by Peter Goguen. Peter Goguen is Xometry’s Chief Operating Officer. Pursuant to the terms of this agreement, the Company paid Business Improvement Systems, Inc. a monthly consulting fee in the amount of $11,667. Business Improvement Systems, Inc. provided the Company with consulting services related to operating services. This agreement was terminated as of January 31, 2021. For both years ended December 31, 2021 and 2020, the Company paid Business Improvement Systems, Inc., $0.2 million. As of December 31, 2020, the Company had approximately $0.1 million payable to Business Improvement Systems, Inc.</w:t>
      </w:r>
    </w:p>
    <w:p>
      <w:pPr>
        <w:spacing w:after="0" w:line="200" w:lineRule="exact"/>
        <w:rPr>
          <w:sz w:val="20"/>
          <w:szCs w:val="20"/>
          <w:color w:val="auto"/>
        </w:rPr>
      </w:pPr>
    </w:p>
    <w:p>
      <w:pPr>
        <w:spacing w:after="0" w:line="336" w:lineRule="exact"/>
        <w:rPr>
          <w:sz w:val="20"/>
          <w:szCs w:val="20"/>
          <w:color w:val="auto"/>
        </w:rPr>
      </w:pPr>
    </w:p>
    <w:p>
      <w:pPr>
        <w:ind w:left="660" w:hanging="652"/>
        <w:spacing w:after="0"/>
        <w:tabs>
          <w:tab w:leader="none" w:pos="660" w:val="left"/>
        </w:tabs>
        <w:numPr>
          <w:ilvl w:val="0"/>
          <w:numId w:val="76"/>
        </w:numPr>
        <w:rPr>
          <w:rFonts w:ascii="Arial" w:cs="Arial" w:eastAsia="Arial" w:hAnsi="Arial"/>
          <w:sz w:val="18"/>
          <w:szCs w:val="18"/>
          <w:b w:val="1"/>
          <w:bCs w:val="1"/>
          <w:color w:val="auto"/>
        </w:rPr>
      </w:pPr>
      <w:r>
        <w:rPr>
          <w:rFonts w:ascii="Arial" w:cs="Arial" w:eastAsia="Arial" w:hAnsi="Arial"/>
          <w:sz w:val="18"/>
          <w:szCs w:val="18"/>
          <w:b w:val="1"/>
          <w:bCs w:val="1"/>
          <w:color w:val="auto"/>
        </w:rPr>
        <w:t>Goodwill and Intangible Assets</w:t>
      </w:r>
    </w:p>
    <w:p>
      <w:pPr>
        <w:spacing w:after="0" w:line="107"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The following tables summarize the Company’s intangible assets (dollars in thousands):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72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4"/>
          </w:tcPr>
          <w:p>
            <w:pPr>
              <w:jc w:val="right"/>
              <w:ind w:right="675"/>
              <w:spacing w:after="0"/>
              <w:rPr>
                <w:sz w:val="20"/>
                <w:szCs w:val="20"/>
                <w:color w:val="auto"/>
              </w:rPr>
            </w:pPr>
            <w:r>
              <w:rPr>
                <w:rFonts w:ascii="Arial" w:cs="Arial" w:eastAsia="Arial" w:hAnsi="Arial"/>
                <w:sz w:val="14"/>
                <w:szCs w:val="14"/>
                <w:b w:val="1"/>
                <w:bCs w:val="1"/>
                <w:color w:val="auto"/>
              </w:rPr>
              <w:t>December 31, 2021</w:t>
            </w:r>
          </w:p>
        </w:tc>
        <w:tc>
          <w:tcPr>
            <w:tcW w:w="2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5720" w:type="dxa"/>
            <w:vAlign w:val="bottom"/>
          </w:tcPr>
          <w:p>
            <w:pPr>
              <w:spacing w:after="0"/>
              <w:rPr>
                <w:sz w:val="11"/>
                <w:szCs w:val="11"/>
                <w:color w:val="auto"/>
              </w:rPr>
            </w:pPr>
          </w:p>
        </w:tc>
        <w:tc>
          <w:tcPr>
            <w:tcW w:w="1020" w:type="dxa"/>
            <w:vAlign w:val="bottom"/>
          </w:tcPr>
          <w:p>
            <w:pPr>
              <w:jc w:val="center"/>
              <w:ind w:left="128"/>
              <w:spacing w:after="0" w:line="133" w:lineRule="exact"/>
              <w:rPr>
                <w:sz w:val="20"/>
                <w:szCs w:val="20"/>
                <w:color w:val="auto"/>
              </w:rPr>
            </w:pPr>
            <w:r>
              <w:rPr>
                <w:rFonts w:ascii="Arial" w:cs="Arial" w:eastAsia="Arial" w:hAnsi="Arial"/>
                <w:sz w:val="14"/>
                <w:szCs w:val="14"/>
                <w:b w:val="1"/>
                <w:bCs w:val="1"/>
                <w:color w:val="auto"/>
                <w:w w:val="91"/>
              </w:rPr>
              <w:t>Weighted</w:t>
            </w: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720" w:type="dxa"/>
            <w:vAlign w:val="bottom"/>
          </w:tcPr>
          <w:p>
            <w:pPr>
              <w:spacing w:after="0"/>
              <w:rPr>
                <w:sz w:val="12"/>
                <w:szCs w:val="12"/>
                <w:color w:val="auto"/>
              </w:rPr>
            </w:pPr>
          </w:p>
        </w:tc>
        <w:tc>
          <w:tcPr>
            <w:tcW w:w="1020" w:type="dxa"/>
            <w:vAlign w:val="bottom"/>
          </w:tcPr>
          <w:p>
            <w:pPr>
              <w:jc w:val="center"/>
              <w:ind w:left="108"/>
              <w:spacing w:after="0" w:line="149" w:lineRule="exact"/>
              <w:rPr>
                <w:sz w:val="20"/>
                <w:szCs w:val="20"/>
                <w:color w:val="auto"/>
              </w:rPr>
            </w:pPr>
            <w:r>
              <w:rPr>
                <w:rFonts w:ascii="Arial" w:cs="Arial" w:eastAsia="Arial" w:hAnsi="Arial"/>
                <w:sz w:val="14"/>
                <w:szCs w:val="14"/>
                <w:b w:val="1"/>
                <w:bCs w:val="1"/>
                <w:color w:val="auto"/>
                <w:w w:val="90"/>
              </w:rPr>
              <w:t>average</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vMerge w:val="restart"/>
          </w:tcPr>
          <w:p>
            <w:pPr>
              <w:jc w:val="center"/>
              <w:ind w:right="157"/>
              <w:spacing w:after="0"/>
              <w:rPr>
                <w:sz w:val="20"/>
                <w:szCs w:val="20"/>
                <w:color w:val="auto"/>
              </w:rPr>
            </w:pPr>
            <w:r>
              <w:rPr>
                <w:rFonts w:ascii="Arial" w:cs="Arial" w:eastAsia="Arial" w:hAnsi="Arial"/>
                <w:sz w:val="14"/>
                <w:szCs w:val="14"/>
                <w:b w:val="1"/>
                <w:bCs w:val="1"/>
                <w:color w:val="auto"/>
                <w:w w:val="88"/>
              </w:rPr>
              <w:t>Gross</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vMerge w:val="restart"/>
          </w:tcPr>
          <w:p>
            <w:pPr>
              <w:jc w:val="center"/>
              <w:ind w:right="156"/>
              <w:spacing w:after="0"/>
              <w:rPr>
                <w:sz w:val="20"/>
                <w:szCs w:val="20"/>
                <w:color w:val="auto"/>
              </w:rPr>
            </w:pPr>
            <w:r>
              <w:rPr>
                <w:rFonts w:ascii="Arial" w:cs="Arial" w:eastAsia="Arial" w:hAnsi="Arial"/>
                <w:sz w:val="14"/>
                <w:szCs w:val="14"/>
                <w:b w:val="1"/>
                <w:bCs w:val="1"/>
                <w:color w:val="auto"/>
                <w:w w:val="97"/>
              </w:rPr>
              <w:t>Net</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720" w:type="dxa"/>
            <w:vAlign w:val="bottom"/>
          </w:tcPr>
          <w:p>
            <w:pPr>
              <w:spacing w:after="0"/>
              <w:rPr>
                <w:sz w:val="12"/>
                <w:szCs w:val="12"/>
                <w:color w:val="auto"/>
              </w:rPr>
            </w:pPr>
          </w:p>
        </w:tc>
        <w:tc>
          <w:tcPr>
            <w:tcW w:w="1020" w:type="dxa"/>
            <w:vAlign w:val="bottom"/>
          </w:tcPr>
          <w:p>
            <w:pPr>
              <w:jc w:val="center"/>
              <w:ind w:left="128"/>
              <w:spacing w:after="0" w:line="149" w:lineRule="exact"/>
              <w:rPr>
                <w:sz w:val="20"/>
                <w:szCs w:val="20"/>
                <w:color w:val="auto"/>
              </w:rPr>
            </w:pPr>
            <w:r>
              <w:rPr>
                <w:rFonts w:ascii="Arial" w:cs="Arial" w:eastAsia="Arial" w:hAnsi="Arial"/>
                <w:sz w:val="14"/>
                <w:szCs w:val="14"/>
                <w:b w:val="1"/>
                <w:bCs w:val="1"/>
                <w:color w:val="auto"/>
                <w:w w:val="93"/>
              </w:rPr>
              <w:t>amortization</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vMerge w:val="restart"/>
          </w:tcPr>
          <w:p>
            <w:pPr>
              <w:jc w:val="right"/>
              <w:ind w:right="115"/>
              <w:spacing w:after="0"/>
              <w:rPr>
                <w:sz w:val="20"/>
                <w:szCs w:val="20"/>
                <w:color w:val="auto"/>
              </w:rPr>
            </w:pPr>
            <w:r>
              <w:rPr>
                <w:rFonts w:ascii="Arial" w:cs="Arial" w:eastAsia="Arial" w:hAnsi="Arial"/>
                <w:sz w:val="14"/>
                <w:szCs w:val="14"/>
                <w:b w:val="1"/>
                <w:bCs w:val="1"/>
                <w:color w:val="auto"/>
                <w:w w:val="95"/>
              </w:rPr>
              <w:t>Accumulated</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720" w:type="dxa"/>
            <w:vAlign w:val="bottom"/>
          </w:tcPr>
          <w:p>
            <w:pPr>
              <w:spacing w:after="0"/>
              <w:rPr>
                <w:sz w:val="12"/>
                <w:szCs w:val="12"/>
                <w:color w:val="auto"/>
              </w:rPr>
            </w:pPr>
          </w:p>
        </w:tc>
        <w:tc>
          <w:tcPr>
            <w:tcW w:w="1020" w:type="dxa"/>
            <w:vAlign w:val="bottom"/>
          </w:tcPr>
          <w:p>
            <w:pPr>
              <w:jc w:val="center"/>
              <w:ind w:left="108"/>
              <w:spacing w:after="0" w:line="149" w:lineRule="exact"/>
              <w:rPr>
                <w:sz w:val="20"/>
                <w:szCs w:val="20"/>
                <w:color w:val="auto"/>
              </w:rPr>
            </w:pPr>
            <w:r>
              <w:rPr>
                <w:rFonts w:ascii="Arial" w:cs="Arial" w:eastAsia="Arial" w:hAnsi="Arial"/>
                <w:sz w:val="14"/>
                <w:szCs w:val="14"/>
                <w:b w:val="1"/>
                <w:bCs w:val="1"/>
                <w:color w:val="auto"/>
                <w:w w:val="94"/>
              </w:rPr>
              <w:t>period in</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jc w:val="center"/>
              <w:ind w:right="157"/>
              <w:spacing w:after="0" w:line="149" w:lineRule="exact"/>
              <w:rPr>
                <w:sz w:val="20"/>
                <w:szCs w:val="20"/>
                <w:color w:val="auto"/>
              </w:rPr>
            </w:pPr>
            <w:r>
              <w:rPr>
                <w:rFonts w:ascii="Arial" w:cs="Arial" w:eastAsia="Arial" w:hAnsi="Arial"/>
                <w:sz w:val="14"/>
                <w:szCs w:val="14"/>
                <w:b w:val="1"/>
                <w:bCs w:val="1"/>
                <w:color w:val="auto"/>
                <w:w w:val="94"/>
              </w:rPr>
              <w:t>carrying</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Pr>
          <w:p>
            <w:pPr>
              <w:jc w:val="center"/>
              <w:ind w:right="156"/>
              <w:spacing w:after="0" w:line="149" w:lineRule="exact"/>
              <w:rPr>
                <w:sz w:val="20"/>
                <w:szCs w:val="20"/>
                <w:color w:val="auto"/>
              </w:rPr>
            </w:pPr>
            <w:r>
              <w:rPr>
                <w:rFonts w:ascii="Arial" w:cs="Arial" w:eastAsia="Arial" w:hAnsi="Arial"/>
                <w:sz w:val="14"/>
                <w:szCs w:val="14"/>
                <w:b w:val="1"/>
                <w:bCs w:val="1"/>
                <w:color w:val="auto"/>
                <w:w w:val="97"/>
              </w:rPr>
              <w:t>carrying</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5720" w:type="dxa"/>
            <w:vAlign w:val="bottom"/>
          </w:tcPr>
          <w:p>
            <w:pPr>
              <w:spacing w:after="0"/>
              <w:rPr>
                <w:sz w:val="16"/>
                <w:szCs w:val="16"/>
                <w:color w:val="auto"/>
              </w:rPr>
            </w:pPr>
          </w:p>
        </w:tc>
        <w:tc>
          <w:tcPr>
            <w:tcW w:w="1020" w:type="dxa"/>
            <w:vAlign w:val="bottom"/>
            <w:tcBorders>
              <w:bottom w:val="single" w:sz="8" w:color="auto"/>
            </w:tcBorders>
          </w:tcPr>
          <w:p>
            <w:pPr>
              <w:jc w:val="center"/>
              <w:ind w:left="108"/>
              <w:spacing w:after="0"/>
              <w:rPr>
                <w:sz w:val="20"/>
                <w:szCs w:val="20"/>
                <w:color w:val="auto"/>
              </w:rPr>
            </w:pPr>
            <w:r>
              <w:rPr>
                <w:rFonts w:ascii="Arial" w:cs="Arial" w:eastAsia="Arial" w:hAnsi="Arial"/>
                <w:sz w:val="14"/>
                <w:szCs w:val="14"/>
                <w:b w:val="1"/>
                <w:bCs w:val="1"/>
                <w:color w:val="auto"/>
                <w:w w:val="87"/>
              </w:rPr>
              <w:t>years</w:t>
            </w:r>
          </w:p>
        </w:tc>
        <w:tc>
          <w:tcPr>
            <w:tcW w:w="20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157"/>
              <w:spacing w:after="0"/>
              <w:rPr>
                <w:sz w:val="20"/>
                <w:szCs w:val="20"/>
                <w:color w:val="auto"/>
              </w:rPr>
            </w:pPr>
            <w:r>
              <w:rPr>
                <w:rFonts w:ascii="Arial" w:cs="Arial" w:eastAsia="Arial" w:hAnsi="Arial"/>
                <w:sz w:val="14"/>
                <w:szCs w:val="14"/>
                <w:b w:val="1"/>
                <w:bCs w:val="1"/>
                <w:color w:val="auto"/>
                <w:w w:val="94"/>
              </w:rPr>
              <w:t>amount</w:t>
            </w:r>
          </w:p>
        </w:tc>
        <w:tc>
          <w:tcPr>
            <w:tcW w:w="2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amortization</w:t>
            </w:r>
          </w:p>
        </w:tc>
        <w:tc>
          <w:tcPr>
            <w:tcW w:w="2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156"/>
              <w:spacing w:after="0"/>
              <w:rPr>
                <w:sz w:val="20"/>
                <w:szCs w:val="20"/>
                <w:color w:val="auto"/>
              </w:rPr>
            </w:pPr>
            <w:r>
              <w:rPr>
                <w:rFonts w:ascii="Arial" w:cs="Arial" w:eastAsia="Arial" w:hAnsi="Arial"/>
                <w:sz w:val="14"/>
                <w:szCs w:val="14"/>
                <w:b w:val="1"/>
                <w:bCs w:val="1"/>
                <w:color w:val="auto"/>
                <w:w w:val="90"/>
              </w:rPr>
              <w:t>amount</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6740" w:type="dxa"/>
            <w:vAlign w:val="bottom"/>
            <w:gridSpan w:val="2"/>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6740" w:type="dxa"/>
            <w:vAlign w:val="bottom"/>
            <w:gridSpan w:val="2"/>
            <w:shd w:val="clear" w:color="auto" w:fill="CFF0FC"/>
          </w:tcPr>
          <w:p>
            <w:pPr>
              <w:ind w:left="20"/>
              <w:spacing w:after="0" w:line="202" w:lineRule="exact"/>
              <w:rPr>
                <w:sz w:val="20"/>
                <w:szCs w:val="20"/>
                <w:color w:val="auto"/>
              </w:rPr>
            </w:pPr>
            <w:r>
              <w:rPr>
                <w:rFonts w:ascii="Arial" w:cs="Arial" w:eastAsia="Arial" w:hAnsi="Arial"/>
                <w:sz w:val="18"/>
                <w:szCs w:val="18"/>
                <w:color w:val="auto"/>
              </w:rPr>
              <w:t>Intangible Assets</w:t>
            </w:r>
          </w:p>
        </w:tc>
        <w:tc>
          <w:tcPr>
            <w:tcW w:w="2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4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Amortizing intangible assets:</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40" w:type="dxa"/>
            <w:vAlign w:val="bottom"/>
            <w:gridSpan w:val="2"/>
            <w:shd w:val="clear" w:color="auto" w:fill="CFF0FC"/>
          </w:tcPr>
          <w:p>
            <w:pPr>
              <w:ind w:left="380"/>
              <w:spacing w:after="0" w:line="202" w:lineRule="exact"/>
              <w:rPr>
                <w:sz w:val="20"/>
                <w:szCs w:val="20"/>
                <w:color w:val="auto"/>
              </w:rPr>
            </w:pPr>
            <w:r>
              <w:rPr>
                <w:rFonts w:ascii="Arial" w:cs="Arial" w:eastAsia="Arial" w:hAnsi="Arial"/>
                <w:sz w:val="18"/>
                <w:szCs w:val="18"/>
                <w:color w:val="auto"/>
              </w:rPr>
              <w:t>Customer Relationships</w:t>
            </w:r>
          </w:p>
        </w:tc>
        <w:tc>
          <w:tcPr>
            <w:tcW w:w="2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79"/>
              </w:rPr>
              <w:t>15</w:t>
            </w:r>
          </w:p>
        </w:tc>
        <w:tc>
          <w:tcPr>
            <w:tcW w:w="44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37,139</w:t>
            </w:r>
          </w:p>
        </w:tc>
        <w:tc>
          <w:tcPr>
            <w:tcW w:w="34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674</w:t>
            </w:r>
          </w:p>
        </w:tc>
        <w:tc>
          <w:tcPr>
            <w:tcW w:w="42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36,465</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40" w:type="dxa"/>
            <w:vAlign w:val="bottom"/>
            <w:gridSpan w:val="2"/>
          </w:tcPr>
          <w:p>
            <w:pPr>
              <w:ind w:left="380"/>
              <w:spacing w:after="0" w:line="202" w:lineRule="exact"/>
              <w:rPr>
                <w:sz w:val="20"/>
                <w:szCs w:val="20"/>
                <w:color w:val="auto"/>
              </w:rPr>
            </w:pPr>
            <w:r>
              <w:rPr>
                <w:rFonts w:ascii="Arial" w:cs="Arial" w:eastAsia="Arial" w:hAnsi="Arial"/>
                <w:sz w:val="18"/>
                <w:szCs w:val="18"/>
                <w:color w:val="auto"/>
              </w:rPr>
              <w:t>Trade Names</w:t>
            </w:r>
          </w:p>
        </w:tc>
        <w:tc>
          <w:tcPr>
            <w:tcW w:w="200" w:type="dxa"/>
            <w:vAlign w:val="bottom"/>
          </w:tcPr>
          <w:p>
            <w:pPr>
              <w:jc w:val="right"/>
              <w:spacing w:after="0" w:line="202" w:lineRule="exact"/>
              <w:rPr>
                <w:sz w:val="20"/>
                <w:szCs w:val="20"/>
                <w:color w:val="auto"/>
              </w:rPr>
            </w:pPr>
            <w:r>
              <w:rPr>
                <w:rFonts w:ascii="Arial" w:cs="Arial" w:eastAsia="Arial" w:hAnsi="Arial"/>
                <w:sz w:val="18"/>
                <w:szCs w:val="18"/>
                <w:color w:val="auto"/>
              </w:rPr>
              <w:t>9</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973</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147</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826</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40" w:type="dxa"/>
            <w:vAlign w:val="bottom"/>
            <w:gridSpan w:val="2"/>
            <w:shd w:val="clear" w:color="auto" w:fill="CFF0FC"/>
          </w:tcPr>
          <w:p>
            <w:pPr>
              <w:ind w:left="380"/>
              <w:spacing w:after="0" w:line="202" w:lineRule="exact"/>
              <w:rPr>
                <w:sz w:val="20"/>
                <w:szCs w:val="20"/>
                <w:color w:val="auto"/>
              </w:rPr>
            </w:pPr>
            <w:r>
              <w:rPr>
                <w:rFonts w:ascii="Arial" w:cs="Arial" w:eastAsia="Arial" w:hAnsi="Arial"/>
                <w:sz w:val="18"/>
                <w:szCs w:val="18"/>
                <w:color w:val="auto"/>
              </w:rPr>
              <w:t>Developed Technology</w:t>
            </w:r>
          </w:p>
        </w:tc>
        <w:tc>
          <w:tcPr>
            <w:tcW w:w="2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w:t>
            </w:r>
          </w:p>
        </w:tc>
        <w:tc>
          <w:tcPr>
            <w:tcW w:w="2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1,502</w:t>
            </w: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605</w:t>
            </w:r>
          </w:p>
        </w:tc>
        <w:tc>
          <w:tcPr>
            <w:tcW w:w="2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897</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40" w:type="dxa"/>
            <w:vAlign w:val="bottom"/>
            <w:gridSpan w:val="2"/>
          </w:tcPr>
          <w:p>
            <w:pPr>
              <w:ind w:left="380"/>
              <w:spacing w:after="0" w:line="202" w:lineRule="exact"/>
              <w:rPr>
                <w:sz w:val="20"/>
                <w:szCs w:val="20"/>
                <w:color w:val="auto"/>
              </w:rPr>
            </w:pPr>
            <w:r>
              <w:rPr>
                <w:rFonts w:ascii="Arial" w:cs="Arial" w:eastAsia="Arial" w:hAnsi="Arial"/>
                <w:sz w:val="18"/>
                <w:szCs w:val="18"/>
                <w:color w:val="auto"/>
              </w:rPr>
              <w:t>Vendor Relationships</w:t>
            </w:r>
          </w:p>
        </w:tc>
        <w:tc>
          <w:tcPr>
            <w:tcW w:w="200" w:type="dxa"/>
            <w:vAlign w:val="bottom"/>
          </w:tcPr>
          <w:p>
            <w:pPr>
              <w:jc w:val="right"/>
              <w:spacing w:after="0" w:line="202" w:lineRule="exact"/>
              <w:rPr>
                <w:sz w:val="20"/>
                <w:szCs w:val="20"/>
                <w:color w:val="auto"/>
              </w:rPr>
            </w:pPr>
            <w:r>
              <w:rPr>
                <w:rFonts w:ascii="Arial" w:cs="Arial" w:eastAsia="Arial" w:hAnsi="Arial"/>
                <w:sz w:val="18"/>
                <w:szCs w:val="18"/>
                <w:color w:val="auto"/>
                <w:w w:val="79"/>
              </w:rPr>
              <w:t>15</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1,404</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226</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1,178</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40" w:type="dxa"/>
            <w:vAlign w:val="bottom"/>
            <w:tcBorders>
              <w:bottom w:val="single" w:sz="8" w:color="CFF0FC"/>
            </w:tcBorders>
            <w:gridSpan w:val="2"/>
            <w:shd w:val="clear" w:color="auto" w:fill="CFF0FC"/>
          </w:tcPr>
          <w:p>
            <w:pPr>
              <w:ind w:left="380"/>
              <w:spacing w:after="0" w:line="202" w:lineRule="exact"/>
              <w:rPr>
                <w:sz w:val="20"/>
                <w:szCs w:val="20"/>
                <w:color w:val="auto"/>
              </w:rPr>
            </w:pPr>
            <w:r>
              <w:rPr>
                <w:rFonts w:ascii="Arial" w:cs="Arial" w:eastAsia="Arial" w:hAnsi="Arial"/>
                <w:sz w:val="18"/>
                <w:szCs w:val="18"/>
                <w:color w:val="auto"/>
              </w:rPr>
              <w:t>Database</w:t>
            </w:r>
          </w:p>
        </w:tc>
        <w:tc>
          <w:tcPr>
            <w:tcW w:w="200" w:type="dxa"/>
            <w:vAlign w:val="bottom"/>
            <w:tcBorders>
              <w:bottom w:val="single" w:sz="8" w:color="CFF0FC"/>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5</w:t>
            </w:r>
          </w:p>
        </w:tc>
        <w:tc>
          <w:tcPr>
            <w:tcW w:w="20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2,400</w:t>
            </w:r>
          </w:p>
        </w:tc>
        <w:tc>
          <w:tcPr>
            <w:tcW w:w="20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10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30</w:t>
            </w:r>
          </w:p>
        </w:tc>
        <w:tc>
          <w:tcPr>
            <w:tcW w:w="20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2,370</w:t>
            </w:r>
          </w:p>
        </w:tc>
        <w:tc>
          <w:tcPr>
            <w:tcW w:w="6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740" w:type="dxa"/>
            <w:vAlign w:val="bottom"/>
            <w:gridSpan w:val="2"/>
          </w:tcPr>
          <w:p>
            <w:pPr>
              <w:ind w:left="560"/>
              <w:spacing w:after="0" w:line="196" w:lineRule="exact"/>
              <w:rPr>
                <w:sz w:val="20"/>
                <w:szCs w:val="20"/>
                <w:color w:val="auto"/>
              </w:rPr>
            </w:pPr>
            <w:r>
              <w:rPr>
                <w:rFonts w:ascii="Arial" w:cs="Arial" w:eastAsia="Arial" w:hAnsi="Arial"/>
                <w:sz w:val="18"/>
                <w:szCs w:val="18"/>
                <w:color w:val="auto"/>
              </w:rPr>
              <w:t>Total intangible assets</w:t>
            </w:r>
          </w:p>
        </w:tc>
        <w:tc>
          <w:tcPr>
            <w:tcW w:w="200" w:type="dxa"/>
            <w:vAlign w:val="bottom"/>
          </w:tcPr>
          <w:p>
            <w:pPr>
              <w:spacing w:after="0"/>
              <w:rPr>
                <w:sz w:val="17"/>
                <w:szCs w:val="17"/>
                <w:color w:val="auto"/>
              </w:rPr>
            </w:pPr>
          </w:p>
        </w:tc>
        <w:tc>
          <w:tcPr>
            <w:tcW w:w="440" w:type="dxa"/>
            <w:vAlign w:val="bottom"/>
            <w:gridSpan w:val="2"/>
          </w:tcPr>
          <w:p>
            <w:pPr>
              <w:jc w:val="right"/>
              <w:ind w:right="120"/>
              <w:spacing w:after="0" w:line="196" w:lineRule="exact"/>
              <w:rPr>
                <w:sz w:val="20"/>
                <w:szCs w:val="20"/>
                <w:color w:val="auto"/>
              </w:rPr>
            </w:pPr>
            <w:r>
              <w:rPr>
                <w:rFonts w:ascii="Arial" w:cs="Arial" w:eastAsia="Arial" w:hAnsi="Arial"/>
                <w:sz w:val="18"/>
                <w:szCs w:val="18"/>
                <w:color w:val="auto"/>
              </w:rPr>
              <w:t>$</w:t>
            </w:r>
          </w:p>
        </w:tc>
        <w:tc>
          <w:tcPr>
            <w:tcW w:w="1000" w:type="dxa"/>
            <w:vAlign w:val="bottom"/>
          </w:tcPr>
          <w:p>
            <w:pPr>
              <w:jc w:val="right"/>
              <w:spacing w:after="0" w:line="196" w:lineRule="exact"/>
              <w:rPr>
                <w:sz w:val="20"/>
                <w:szCs w:val="20"/>
                <w:color w:val="auto"/>
              </w:rPr>
            </w:pPr>
            <w:r>
              <w:rPr>
                <w:rFonts w:ascii="Arial" w:cs="Arial" w:eastAsia="Arial" w:hAnsi="Arial"/>
                <w:sz w:val="18"/>
                <w:szCs w:val="18"/>
                <w:color w:val="auto"/>
              </w:rPr>
              <w:t>43,418</w:t>
            </w:r>
          </w:p>
        </w:tc>
        <w:tc>
          <w:tcPr>
            <w:tcW w:w="34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w:t>
            </w:r>
          </w:p>
        </w:tc>
        <w:tc>
          <w:tcPr>
            <w:tcW w:w="1060" w:type="dxa"/>
            <w:vAlign w:val="bottom"/>
          </w:tcPr>
          <w:p>
            <w:pPr>
              <w:jc w:val="right"/>
              <w:spacing w:after="0" w:line="196" w:lineRule="exact"/>
              <w:rPr>
                <w:sz w:val="20"/>
                <w:szCs w:val="20"/>
                <w:color w:val="auto"/>
              </w:rPr>
            </w:pPr>
            <w:r>
              <w:rPr>
                <w:rFonts w:ascii="Arial" w:cs="Arial" w:eastAsia="Arial" w:hAnsi="Arial"/>
                <w:sz w:val="18"/>
                <w:szCs w:val="18"/>
                <w:color w:val="auto"/>
              </w:rPr>
              <w:t>1,682</w:t>
            </w:r>
          </w:p>
        </w:tc>
        <w:tc>
          <w:tcPr>
            <w:tcW w:w="420" w:type="dxa"/>
            <w:vAlign w:val="bottom"/>
            <w:gridSpan w:val="2"/>
          </w:tcPr>
          <w:p>
            <w:pPr>
              <w:jc w:val="right"/>
              <w:ind w:right="120"/>
              <w:spacing w:after="0" w:line="196" w:lineRule="exact"/>
              <w:rPr>
                <w:sz w:val="20"/>
                <w:szCs w:val="20"/>
                <w:color w:val="auto"/>
              </w:rPr>
            </w:pPr>
            <w:r>
              <w:rPr>
                <w:rFonts w:ascii="Arial" w:cs="Arial" w:eastAsia="Arial" w:hAnsi="Arial"/>
                <w:sz w:val="18"/>
                <w:szCs w:val="18"/>
                <w:color w:val="auto"/>
              </w:rPr>
              <w:t>$</w:t>
            </w:r>
          </w:p>
        </w:tc>
        <w:tc>
          <w:tcPr>
            <w:tcW w:w="980" w:type="dxa"/>
            <w:vAlign w:val="bottom"/>
          </w:tcPr>
          <w:p>
            <w:pPr>
              <w:jc w:val="right"/>
              <w:spacing w:after="0" w:line="196" w:lineRule="exact"/>
              <w:rPr>
                <w:sz w:val="20"/>
                <w:szCs w:val="20"/>
                <w:color w:val="auto"/>
              </w:rPr>
            </w:pPr>
            <w:r>
              <w:rPr>
                <w:rFonts w:ascii="Arial" w:cs="Arial" w:eastAsia="Arial" w:hAnsi="Arial"/>
                <w:sz w:val="18"/>
                <w:szCs w:val="18"/>
                <w:color w:val="auto"/>
              </w:rPr>
              <w:t>41,736</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720" w:type="dxa"/>
            <w:vAlign w:val="bottom"/>
            <w:vMerge w:val="restart"/>
          </w:tcPr>
          <w:p>
            <w:pPr>
              <w:ind w:left="5540"/>
              <w:spacing w:after="0"/>
              <w:rPr>
                <w:sz w:val="20"/>
                <w:szCs w:val="20"/>
                <w:color w:val="auto"/>
              </w:rPr>
            </w:pPr>
            <w:r>
              <w:rPr>
                <w:rFonts w:ascii="Arial" w:cs="Arial" w:eastAsia="Arial" w:hAnsi="Arial"/>
                <w:sz w:val="18"/>
                <w:szCs w:val="18"/>
                <w:color w:val="auto"/>
                <w:w w:val="79"/>
              </w:rPr>
              <w:t>84</w:t>
            </w:r>
          </w:p>
        </w:tc>
        <w:tc>
          <w:tcPr>
            <w:tcW w:w="1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5720" w:type="dxa"/>
            <w:vAlign w:val="bottom"/>
            <w:vMerge w:val="continue"/>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5720" w:type="dxa"/>
            <w:vAlign w:val="bottom"/>
            <w:tcBorders>
              <w:bottom w:val="single" w:sz="8" w:color="9A9A9A"/>
            </w:tcBorders>
          </w:tcPr>
          <w:p>
            <w:pPr>
              <w:spacing w:after="0"/>
              <w:rPr>
                <w:sz w:val="8"/>
                <w:szCs w:val="8"/>
                <w:color w:val="auto"/>
              </w:rPr>
            </w:pPr>
          </w:p>
        </w:tc>
        <w:tc>
          <w:tcPr>
            <w:tcW w:w="102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00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06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98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5320030</wp:posOffset>
            </wp:positionH>
            <wp:positionV relativeFrom="paragraph">
              <wp:posOffset>-502285</wp:posOffset>
            </wp:positionV>
            <wp:extent cx="51435" cy="571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9">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-502285</wp:posOffset>
            </wp:positionV>
            <wp:extent cx="43180" cy="571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40">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-502285</wp:posOffset>
            </wp:positionV>
            <wp:extent cx="43180" cy="571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1">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87" w:name="page88"/>
    <w:bookmarkEnd w:id="87"/>
    <w:tbl>
      <w:tblPr>
        <w:tblLayout w:type="fixed"/>
        <w:tblInd w:w="0" w:type="dxa"/>
        <w:tblCellMar>
          <w:top w:w="0" w:type="dxa"/>
          <w:left w:w="0" w:type="dxa"/>
          <w:bottom w:w="0" w:type="dxa"/>
          <w:right w:w="0" w:type="dxa"/>
        </w:tblCellMar>
      </w:tblPr>
      <w:tr>
        <w:trPr>
          <w:trHeight w:val="185"/>
        </w:trPr>
        <w:tc>
          <w:tcPr>
            <w:tcW w:w="578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gridSpan w:val="4"/>
          </w:tcPr>
          <w:p>
            <w:pPr>
              <w:jc w:val="right"/>
              <w:ind w:right="655"/>
              <w:spacing w:after="0"/>
              <w:rPr>
                <w:sz w:val="20"/>
                <w:szCs w:val="20"/>
                <w:color w:val="auto"/>
              </w:rPr>
            </w:pPr>
            <w:r>
              <w:rPr>
                <w:rFonts w:ascii="Arial" w:cs="Arial" w:eastAsia="Arial" w:hAnsi="Arial"/>
                <w:sz w:val="14"/>
                <w:szCs w:val="14"/>
                <w:b w:val="1"/>
                <w:bCs w:val="1"/>
                <w:color w:val="auto"/>
              </w:rPr>
              <w:t>December 31, 2020</w:t>
            </w:r>
          </w:p>
        </w:tc>
        <w:tc>
          <w:tcPr>
            <w:tcW w:w="1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5780" w:type="dxa"/>
            <w:vAlign w:val="bottom"/>
          </w:tcPr>
          <w:p>
            <w:pPr>
              <w:spacing w:after="0"/>
              <w:rPr>
                <w:sz w:val="11"/>
                <w:szCs w:val="11"/>
                <w:color w:val="auto"/>
              </w:rPr>
            </w:pPr>
          </w:p>
        </w:tc>
        <w:tc>
          <w:tcPr>
            <w:tcW w:w="1020" w:type="dxa"/>
            <w:vAlign w:val="bottom"/>
          </w:tcPr>
          <w:p>
            <w:pPr>
              <w:jc w:val="center"/>
              <w:ind w:left="128"/>
              <w:spacing w:after="0" w:line="133" w:lineRule="exact"/>
              <w:rPr>
                <w:sz w:val="20"/>
                <w:szCs w:val="20"/>
                <w:color w:val="auto"/>
              </w:rPr>
            </w:pPr>
            <w:r>
              <w:rPr>
                <w:rFonts w:ascii="Arial" w:cs="Arial" w:eastAsia="Arial" w:hAnsi="Arial"/>
                <w:sz w:val="14"/>
                <w:szCs w:val="14"/>
                <w:b w:val="1"/>
                <w:bCs w:val="1"/>
                <w:color w:val="auto"/>
                <w:w w:val="91"/>
              </w:rPr>
              <w:t>Weighted</w:t>
            </w: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780" w:type="dxa"/>
            <w:vAlign w:val="bottom"/>
          </w:tcPr>
          <w:p>
            <w:pPr>
              <w:spacing w:after="0"/>
              <w:rPr>
                <w:sz w:val="12"/>
                <w:szCs w:val="12"/>
                <w:color w:val="auto"/>
              </w:rPr>
            </w:pPr>
          </w:p>
        </w:tc>
        <w:tc>
          <w:tcPr>
            <w:tcW w:w="1020" w:type="dxa"/>
            <w:vAlign w:val="bottom"/>
          </w:tcPr>
          <w:p>
            <w:pPr>
              <w:jc w:val="center"/>
              <w:ind w:left="148"/>
              <w:spacing w:after="0" w:line="149" w:lineRule="exact"/>
              <w:rPr>
                <w:sz w:val="20"/>
                <w:szCs w:val="20"/>
                <w:color w:val="auto"/>
              </w:rPr>
            </w:pPr>
            <w:r>
              <w:rPr>
                <w:rFonts w:ascii="Arial" w:cs="Arial" w:eastAsia="Arial" w:hAnsi="Arial"/>
                <w:sz w:val="14"/>
                <w:szCs w:val="14"/>
                <w:b w:val="1"/>
                <w:bCs w:val="1"/>
                <w:color w:val="auto"/>
                <w:w w:val="90"/>
              </w:rPr>
              <w:t>average</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vMerge w:val="restart"/>
          </w:tcPr>
          <w:p>
            <w:pPr>
              <w:jc w:val="center"/>
              <w:ind w:right="137"/>
              <w:spacing w:after="0"/>
              <w:rPr>
                <w:sz w:val="20"/>
                <w:szCs w:val="20"/>
                <w:color w:val="auto"/>
              </w:rPr>
            </w:pPr>
            <w:r>
              <w:rPr>
                <w:rFonts w:ascii="Arial" w:cs="Arial" w:eastAsia="Arial" w:hAnsi="Arial"/>
                <w:sz w:val="14"/>
                <w:szCs w:val="14"/>
                <w:b w:val="1"/>
                <w:bCs w:val="1"/>
                <w:color w:val="auto"/>
                <w:w w:val="88"/>
              </w:rPr>
              <w:t>Gross</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vMerge w:val="restart"/>
          </w:tcPr>
          <w:p>
            <w:pPr>
              <w:jc w:val="center"/>
              <w:ind w:right="136"/>
              <w:spacing w:after="0"/>
              <w:rPr>
                <w:sz w:val="20"/>
                <w:szCs w:val="20"/>
                <w:color w:val="auto"/>
              </w:rPr>
            </w:pPr>
            <w:r>
              <w:rPr>
                <w:rFonts w:ascii="Arial" w:cs="Arial" w:eastAsia="Arial" w:hAnsi="Arial"/>
                <w:sz w:val="14"/>
                <w:szCs w:val="14"/>
                <w:b w:val="1"/>
                <w:bCs w:val="1"/>
                <w:color w:val="auto"/>
                <w:w w:val="88"/>
              </w:rPr>
              <w:t>Net</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780" w:type="dxa"/>
            <w:vAlign w:val="bottom"/>
          </w:tcPr>
          <w:p>
            <w:pPr>
              <w:spacing w:after="0"/>
              <w:rPr>
                <w:sz w:val="12"/>
                <w:szCs w:val="12"/>
                <w:color w:val="auto"/>
              </w:rPr>
            </w:pPr>
          </w:p>
        </w:tc>
        <w:tc>
          <w:tcPr>
            <w:tcW w:w="1020" w:type="dxa"/>
            <w:vAlign w:val="bottom"/>
          </w:tcPr>
          <w:p>
            <w:pPr>
              <w:jc w:val="center"/>
              <w:ind w:left="128"/>
              <w:spacing w:after="0" w:line="149" w:lineRule="exact"/>
              <w:rPr>
                <w:sz w:val="20"/>
                <w:szCs w:val="20"/>
                <w:color w:val="auto"/>
              </w:rPr>
            </w:pPr>
            <w:r>
              <w:rPr>
                <w:rFonts w:ascii="Arial" w:cs="Arial" w:eastAsia="Arial" w:hAnsi="Arial"/>
                <w:sz w:val="14"/>
                <w:szCs w:val="14"/>
                <w:b w:val="1"/>
                <w:bCs w:val="1"/>
                <w:color w:val="auto"/>
                <w:w w:val="93"/>
              </w:rPr>
              <w:t>amortization</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vMerge w:val="restart"/>
          </w:tcPr>
          <w:p>
            <w:pPr>
              <w:jc w:val="right"/>
              <w:ind w:right="115"/>
              <w:spacing w:after="0"/>
              <w:rPr>
                <w:sz w:val="20"/>
                <w:szCs w:val="20"/>
                <w:color w:val="auto"/>
              </w:rPr>
            </w:pPr>
            <w:r>
              <w:rPr>
                <w:rFonts w:ascii="Arial" w:cs="Arial" w:eastAsia="Arial" w:hAnsi="Arial"/>
                <w:sz w:val="14"/>
                <w:szCs w:val="14"/>
                <w:b w:val="1"/>
                <w:bCs w:val="1"/>
                <w:color w:val="auto"/>
                <w:w w:val="93"/>
              </w:rPr>
              <w:t>Accumulated</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780" w:type="dxa"/>
            <w:vAlign w:val="bottom"/>
          </w:tcPr>
          <w:p>
            <w:pPr>
              <w:spacing w:after="0"/>
              <w:rPr>
                <w:sz w:val="12"/>
                <w:szCs w:val="12"/>
                <w:color w:val="auto"/>
              </w:rPr>
            </w:pPr>
          </w:p>
        </w:tc>
        <w:tc>
          <w:tcPr>
            <w:tcW w:w="1020" w:type="dxa"/>
            <w:vAlign w:val="bottom"/>
          </w:tcPr>
          <w:p>
            <w:pPr>
              <w:jc w:val="center"/>
              <w:ind w:left="148"/>
              <w:spacing w:after="0" w:line="149" w:lineRule="exact"/>
              <w:rPr>
                <w:sz w:val="20"/>
                <w:szCs w:val="20"/>
                <w:color w:val="auto"/>
              </w:rPr>
            </w:pPr>
            <w:r>
              <w:rPr>
                <w:rFonts w:ascii="Arial" w:cs="Arial" w:eastAsia="Arial" w:hAnsi="Arial"/>
                <w:sz w:val="14"/>
                <w:szCs w:val="14"/>
                <w:b w:val="1"/>
                <w:bCs w:val="1"/>
                <w:color w:val="auto"/>
                <w:w w:val="94"/>
              </w:rPr>
              <w:t>period in</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Pr>
          <w:p>
            <w:pPr>
              <w:jc w:val="center"/>
              <w:ind w:right="137"/>
              <w:spacing w:after="0" w:line="149" w:lineRule="exact"/>
              <w:rPr>
                <w:sz w:val="20"/>
                <w:szCs w:val="20"/>
                <w:color w:val="auto"/>
              </w:rPr>
            </w:pPr>
            <w:r>
              <w:rPr>
                <w:rFonts w:ascii="Arial" w:cs="Arial" w:eastAsia="Arial" w:hAnsi="Arial"/>
                <w:sz w:val="14"/>
                <w:szCs w:val="14"/>
                <w:b w:val="1"/>
                <w:bCs w:val="1"/>
                <w:color w:val="auto"/>
                <w:w w:val="94"/>
              </w:rPr>
              <w:t>carrying</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Pr>
          <w:p>
            <w:pPr>
              <w:jc w:val="center"/>
              <w:ind w:right="136"/>
              <w:spacing w:after="0" w:line="149" w:lineRule="exact"/>
              <w:rPr>
                <w:sz w:val="20"/>
                <w:szCs w:val="20"/>
                <w:color w:val="auto"/>
              </w:rPr>
            </w:pPr>
            <w:r>
              <w:rPr>
                <w:rFonts w:ascii="Arial" w:cs="Arial" w:eastAsia="Arial" w:hAnsi="Arial"/>
                <w:sz w:val="14"/>
                <w:szCs w:val="14"/>
                <w:b w:val="1"/>
                <w:bCs w:val="1"/>
                <w:color w:val="auto"/>
                <w:w w:val="94"/>
              </w:rPr>
              <w:t>carrying</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5780" w:type="dxa"/>
            <w:vAlign w:val="bottom"/>
          </w:tcPr>
          <w:p>
            <w:pPr>
              <w:spacing w:after="0"/>
              <w:rPr>
                <w:sz w:val="16"/>
                <w:szCs w:val="16"/>
                <w:color w:val="auto"/>
              </w:rPr>
            </w:pPr>
          </w:p>
        </w:tc>
        <w:tc>
          <w:tcPr>
            <w:tcW w:w="1020" w:type="dxa"/>
            <w:vAlign w:val="bottom"/>
            <w:tcBorders>
              <w:bottom w:val="single" w:sz="8" w:color="auto"/>
            </w:tcBorders>
          </w:tcPr>
          <w:p>
            <w:pPr>
              <w:jc w:val="center"/>
              <w:ind w:left="128"/>
              <w:spacing w:after="0"/>
              <w:rPr>
                <w:sz w:val="20"/>
                <w:szCs w:val="20"/>
                <w:color w:val="auto"/>
              </w:rPr>
            </w:pPr>
            <w:r>
              <w:rPr>
                <w:rFonts w:ascii="Arial" w:cs="Arial" w:eastAsia="Arial" w:hAnsi="Arial"/>
                <w:sz w:val="14"/>
                <w:szCs w:val="14"/>
                <w:b w:val="1"/>
                <w:bCs w:val="1"/>
                <w:color w:val="auto"/>
                <w:w w:val="92"/>
              </w:rPr>
              <w:t>years</w:t>
            </w:r>
          </w:p>
        </w:tc>
        <w:tc>
          <w:tcPr>
            <w:tcW w:w="20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137"/>
              <w:spacing w:after="0"/>
              <w:rPr>
                <w:sz w:val="20"/>
                <w:szCs w:val="20"/>
                <w:color w:val="auto"/>
              </w:rPr>
            </w:pPr>
            <w:r>
              <w:rPr>
                <w:rFonts w:ascii="Arial" w:cs="Arial" w:eastAsia="Arial" w:hAnsi="Arial"/>
                <w:sz w:val="14"/>
                <w:szCs w:val="14"/>
                <w:b w:val="1"/>
                <w:bCs w:val="1"/>
                <w:color w:val="auto"/>
                <w:w w:val="94"/>
              </w:rPr>
              <w:t>amount</w:t>
            </w:r>
          </w:p>
        </w:tc>
        <w:tc>
          <w:tcPr>
            <w:tcW w:w="1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w w:val="98"/>
              </w:rPr>
              <w:t>amortization</w:t>
            </w:r>
          </w:p>
        </w:tc>
        <w:tc>
          <w:tcPr>
            <w:tcW w:w="1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136"/>
              <w:spacing w:after="0"/>
              <w:rPr>
                <w:sz w:val="20"/>
                <w:szCs w:val="20"/>
                <w:color w:val="auto"/>
              </w:rPr>
            </w:pPr>
            <w:r>
              <w:rPr>
                <w:rFonts w:ascii="Arial" w:cs="Arial" w:eastAsia="Arial" w:hAnsi="Arial"/>
                <w:sz w:val="14"/>
                <w:szCs w:val="14"/>
                <w:b w:val="1"/>
                <w:bCs w:val="1"/>
                <w:color w:val="auto"/>
                <w:w w:val="94"/>
              </w:rPr>
              <w:t>amount</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7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Intangible Assets</w:t>
            </w:r>
          </w:p>
        </w:tc>
        <w:tc>
          <w:tcPr>
            <w:tcW w:w="10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0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Amortizing intangible assets:</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00" w:type="dxa"/>
            <w:vAlign w:val="bottom"/>
            <w:gridSpan w:val="2"/>
            <w:shd w:val="clear" w:color="auto" w:fill="CFF0FC"/>
          </w:tcPr>
          <w:p>
            <w:pPr>
              <w:ind w:left="380"/>
              <w:spacing w:after="0" w:line="202" w:lineRule="exact"/>
              <w:rPr>
                <w:sz w:val="20"/>
                <w:szCs w:val="20"/>
                <w:color w:val="auto"/>
              </w:rPr>
            </w:pPr>
            <w:r>
              <w:rPr>
                <w:rFonts w:ascii="Arial" w:cs="Arial" w:eastAsia="Arial" w:hAnsi="Arial"/>
                <w:sz w:val="18"/>
                <w:szCs w:val="18"/>
                <w:color w:val="auto"/>
              </w:rPr>
              <w:t>Non Compete</w:t>
            </w:r>
          </w:p>
        </w:tc>
        <w:tc>
          <w:tcPr>
            <w:tcW w:w="2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w:t>
            </w:r>
          </w:p>
        </w:tc>
        <w:tc>
          <w:tcPr>
            <w:tcW w:w="44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106</w:t>
            </w:r>
          </w:p>
        </w:tc>
        <w:tc>
          <w:tcPr>
            <w:tcW w:w="34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106</w:t>
            </w:r>
          </w:p>
        </w:tc>
        <w:tc>
          <w:tcPr>
            <w:tcW w:w="40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00" w:type="dxa"/>
            <w:vAlign w:val="bottom"/>
            <w:gridSpan w:val="2"/>
          </w:tcPr>
          <w:p>
            <w:pPr>
              <w:ind w:left="380"/>
              <w:spacing w:after="0" w:line="202" w:lineRule="exact"/>
              <w:rPr>
                <w:sz w:val="20"/>
                <w:szCs w:val="20"/>
                <w:color w:val="auto"/>
              </w:rPr>
            </w:pPr>
            <w:r>
              <w:rPr>
                <w:rFonts w:ascii="Arial" w:cs="Arial" w:eastAsia="Arial" w:hAnsi="Arial"/>
                <w:sz w:val="18"/>
                <w:szCs w:val="18"/>
                <w:color w:val="auto"/>
              </w:rPr>
              <w:t>Customer Relationships</w:t>
            </w:r>
          </w:p>
        </w:tc>
        <w:tc>
          <w:tcPr>
            <w:tcW w:w="200" w:type="dxa"/>
            <w:vAlign w:val="bottom"/>
          </w:tcPr>
          <w:p>
            <w:pPr>
              <w:jc w:val="right"/>
              <w:spacing w:after="0" w:line="202" w:lineRule="exact"/>
              <w:rPr>
                <w:sz w:val="20"/>
                <w:szCs w:val="20"/>
                <w:color w:val="auto"/>
              </w:rPr>
            </w:pPr>
            <w:r>
              <w:rPr>
                <w:rFonts w:ascii="Arial" w:cs="Arial" w:eastAsia="Arial" w:hAnsi="Arial"/>
                <w:sz w:val="18"/>
                <w:szCs w:val="18"/>
                <w:color w:val="auto"/>
              </w:rPr>
              <w:t>1</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539</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512</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27</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00" w:type="dxa"/>
            <w:vAlign w:val="bottom"/>
            <w:gridSpan w:val="2"/>
            <w:shd w:val="clear" w:color="auto" w:fill="CFF0FC"/>
          </w:tcPr>
          <w:p>
            <w:pPr>
              <w:ind w:left="380"/>
              <w:spacing w:after="0" w:line="202" w:lineRule="exact"/>
              <w:rPr>
                <w:sz w:val="20"/>
                <w:szCs w:val="20"/>
                <w:color w:val="auto"/>
              </w:rPr>
            </w:pPr>
            <w:r>
              <w:rPr>
                <w:rFonts w:ascii="Arial" w:cs="Arial" w:eastAsia="Arial" w:hAnsi="Arial"/>
                <w:sz w:val="18"/>
                <w:szCs w:val="18"/>
                <w:color w:val="auto"/>
              </w:rPr>
              <w:t>Trade Names</w:t>
            </w:r>
          </w:p>
        </w:tc>
        <w:tc>
          <w:tcPr>
            <w:tcW w:w="2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w:t>
            </w:r>
          </w:p>
        </w:tc>
        <w:tc>
          <w:tcPr>
            <w:tcW w:w="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173</w:t>
            </w:r>
          </w:p>
        </w:tc>
        <w:tc>
          <w:tcPr>
            <w:tcW w:w="1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141</w:t>
            </w:r>
          </w:p>
        </w:tc>
        <w:tc>
          <w:tcPr>
            <w:tcW w:w="1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32</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00" w:type="dxa"/>
            <w:vAlign w:val="bottom"/>
            <w:gridSpan w:val="2"/>
          </w:tcPr>
          <w:p>
            <w:pPr>
              <w:ind w:left="380"/>
              <w:spacing w:after="0" w:line="202" w:lineRule="exact"/>
              <w:rPr>
                <w:sz w:val="20"/>
                <w:szCs w:val="20"/>
                <w:color w:val="auto"/>
              </w:rPr>
            </w:pPr>
            <w:r>
              <w:rPr>
                <w:rFonts w:ascii="Arial" w:cs="Arial" w:eastAsia="Arial" w:hAnsi="Arial"/>
                <w:sz w:val="18"/>
                <w:szCs w:val="18"/>
                <w:color w:val="auto"/>
              </w:rPr>
              <w:t>Developed Technology</w:t>
            </w:r>
          </w:p>
        </w:tc>
        <w:tc>
          <w:tcPr>
            <w:tcW w:w="200" w:type="dxa"/>
            <w:vAlign w:val="bottom"/>
          </w:tcPr>
          <w:p>
            <w:pPr>
              <w:jc w:val="right"/>
              <w:spacing w:after="0" w:line="202" w:lineRule="exact"/>
              <w:rPr>
                <w:sz w:val="20"/>
                <w:szCs w:val="20"/>
                <w:color w:val="auto"/>
              </w:rPr>
            </w:pPr>
            <w:r>
              <w:rPr>
                <w:rFonts w:ascii="Arial" w:cs="Arial" w:eastAsia="Arial" w:hAnsi="Arial"/>
                <w:sz w:val="18"/>
                <w:szCs w:val="18"/>
                <w:color w:val="auto"/>
              </w:rPr>
              <w:t>3</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762</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438</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324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00" w:type="dxa"/>
            <w:vAlign w:val="bottom"/>
            <w:tcBorders>
              <w:bottom w:val="single" w:sz="8" w:color="CFF0FC"/>
            </w:tcBorders>
            <w:gridSpan w:val="2"/>
            <w:shd w:val="clear" w:color="auto" w:fill="CFF0FC"/>
          </w:tcPr>
          <w:p>
            <w:pPr>
              <w:ind w:left="380"/>
              <w:spacing w:after="0" w:line="202" w:lineRule="exact"/>
              <w:rPr>
                <w:sz w:val="20"/>
                <w:szCs w:val="20"/>
                <w:color w:val="auto"/>
              </w:rPr>
            </w:pPr>
            <w:r>
              <w:rPr>
                <w:rFonts w:ascii="Arial" w:cs="Arial" w:eastAsia="Arial" w:hAnsi="Arial"/>
                <w:sz w:val="18"/>
                <w:szCs w:val="18"/>
                <w:color w:val="auto"/>
              </w:rPr>
              <w:t>Vendor Relationships</w:t>
            </w:r>
          </w:p>
        </w:tc>
        <w:tc>
          <w:tcPr>
            <w:tcW w:w="200" w:type="dxa"/>
            <w:vAlign w:val="bottom"/>
            <w:tcBorders>
              <w:bottom w:val="single" w:sz="8" w:color="CFF0FC"/>
            </w:tcBorders>
            <w:shd w:val="clear" w:color="auto" w:fill="CFF0FC"/>
          </w:tcPr>
          <w:p>
            <w:pPr>
              <w:jc w:val="right"/>
              <w:spacing w:after="0" w:line="202" w:lineRule="exact"/>
              <w:rPr>
                <w:sz w:val="20"/>
                <w:szCs w:val="20"/>
                <w:color w:val="auto"/>
              </w:rPr>
            </w:pPr>
            <w:r>
              <w:rPr>
                <w:rFonts w:ascii="Arial" w:cs="Arial" w:eastAsia="Arial" w:hAnsi="Arial"/>
                <w:sz w:val="18"/>
                <w:szCs w:val="18"/>
                <w:color w:val="auto"/>
                <w:w w:val="79"/>
              </w:rPr>
              <w:t>15</w:t>
            </w:r>
          </w:p>
        </w:tc>
        <w:tc>
          <w:tcPr>
            <w:tcW w:w="22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1,404</w:t>
            </w:r>
          </w:p>
        </w:tc>
        <w:tc>
          <w:tcPr>
            <w:tcW w:w="18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135</w:t>
            </w:r>
          </w:p>
        </w:tc>
        <w:tc>
          <w:tcPr>
            <w:tcW w:w="18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1,269</w:t>
            </w:r>
          </w:p>
        </w:tc>
        <w:tc>
          <w:tcPr>
            <w:tcW w:w="6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00" w:type="dxa"/>
            <w:vAlign w:val="bottom"/>
            <w:gridSpan w:val="2"/>
          </w:tcPr>
          <w:p>
            <w:pPr>
              <w:ind w:left="560"/>
              <w:spacing w:after="0" w:line="196" w:lineRule="exact"/>
              <w:rPr>
                <w:sz w:val="20"/>
                <w:szCs w:val="20"/>
                <w:color w:val="auto"/>
              </w:rPr>
            </w:pPr>
            <w:r>
              <w:rPr>
                <w:rFonts w:ascii="Arial" w:cs="Arial" w:eastAsia="Arial" w:hAnsi="Arial"/>
                <w:sz w:val="18"/>
                <w:szCs w:val="18"/>
                <w:color w:val="auto"/>
              </w:rPr>
              <w:t>Total intangible assets</w:t>
            </w:r>
          </w:p>
        </w:tc>
        <w:tc>
          <w:tcPr>
            <w:tcW w:w="200" w:type="dxa"/>
            <w:vAlign w:val="bottom"/>
          </w:tcPr>
          <w:p>
            <w:pPr>
              <w:spacing w:after="0"/>
              <w:rPr>
                <w:sz w:val="17"/>
                <w:szCs w:val="17"/>
                <w:color w:val="auto"/>
              </w:rPr>
            </w:pPr>
          </w:p>
        </w:tc>
        <w:tc>
          <w:tcPr>
            <w:tcW w:w="440" w:type="dxa"/>
            <w:vAlign w:val="bottom"/>
            <w:gridSpan w:val="2"/>
          </w:tcPr>
          <w:p>
            <w:pPr>
              <w:jc w:val="right"/>
              <w:ind w:right="120"/>
              <w:spacing w:after="0" w:line="196" w:lineRule="exact"/>
              <w:rPr>
                <w:sz w:val="20"/>
                <w:szCs w:val="20"/>
                <w:color w:val="auto"/>
              </w:rPr>
            </w:pPr>
            <w:r>
              <w:rPr>
                <w:rFonts w:ascii="Arial" w:cs="Arial" w:eastAsia="Arial" w:hAnsi="Arial"/>
                <w:sz w:val="18"/>
                <w:szCs w:val="18"/>
                <w:color w:val="auto"/>
              </w:rPr>
              <w:t>$</w:t>
            </w:r>
          </w:p>
        </w:tc>
        <w:tc>
          <w:tcPr>
            <w:tcW w:w="980" w:type="dxa"/>
            <w:vAlign w:val="bottom"/>
          </w:tcPr>
          <w:p>
            <w:pPr>
              <w:jc w:val="right"/>
              <w:spacing w:after="0" w:line="196" w:lineRule="exact"/>
              <w:rPr>
                <w:sz w:val="20"/>
                <w:szCs w:val="20"/>
                <w:color w:val="auto"/>
              </w:rPr>
            </w:pPr>
            <w:r>
              <w:rPr>
                <w:rFonts w:ascii="Arial" w:cs="Arial" w:eastAsia="Arial" w:hAnsi="Arial"/>
                <w:sz w:val="18"/>
                <w:szCs w:val="18"/>
                <w:color w:val="auto"/>
              </w:rPr>
              <w:t>2,984</w:t>
            </w:r>
          </w:p>
        </w:tc>
        <w:tc>
          <w:tcPr>
            <w:tcW w:w="34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w:t>
            </w:r>
          </w:p>
        </w:tc>
        <w:tc>
          <w:tcPr>
            <w:tcW w:w="1040" w:type="dxa"/>
            <w:vAlign w:val="bottom"/>
          </w:tcPr>
          <w:p>
            <w:pPr>
              <w:jc w:val="right"/>
              <w:spacing w:after="0" w:line="196" w:lineRule="exact"/>
              <w:rPr>
                <w:sz w:val="20"/>
                <w:szCs w:val="20"/>
                <w:color w:val="auto"/>
              </w:rPr>
            </w:pPr>
            <w:r>
              <w:rPr>
                <w:rFonts w:ascii="Arial" w:cs="Arial" w:eastAsia="Arial" w:hAnsi="Arial"/>
                <w:sz w:val="18"/>
                <w:szCs w:val="18"/>
                <w:color w:val="auto"/>
              </w:rPr>
              <w:t>1,332</w:t>
            </w:r>
          </w:p>
        </w:tc>
        <w:tc>
          <w:tcPr>
            <w:tcW w:w="400" w:type="dxa"/>
            <w:vAlign w:val="bottom"/>
            <w:gridSpan w:val="2"/>
          </w:tcPr>
          <w:p>
            <w:pPr>
              <w:jc w:val="right"/>
              <w:ind w:right="120"/>
              <w:spacing w:after="0" w:line="196" w:lineRule="exact"/>
              <w:rPr>
                <w:sz w:val="20"/>
                <w:szCs w:val="20"/>
                <w:color w:val="auto"/>
              </w:rPr>
            </w:pPr>
            <w:r>
              <w:rPr>
                <w:rFonts w:ascii="Arial" w:cs="Arial" w:eastAsia="Arial" w:hAnsi="Arial"/>
                <w:sz w:val="18"/>
                <w:szCs w:val="18"/>
                <w:color w:val="auto"/>
              </w:rPr>
              <w:t>$</w:t>
            </w:r>
          </w:p>
        </w:tc>
        <w:tc>
          <w:tcPr>
            <w:tcW w:w="980" w:type="dxa"/>
            <w:vAlign w:val="bottom"/>
          </w:tcPr>
          <w:p>
            <w:pPr>
              <w:jc w:val="right"/>
              <w:spacing w:after="0" w:line="196" w:lineRule="exact"/>
              <w:rPr>
                <w:sz w:val="20"/>
                <w:szCs w:val="20"/>
                <w:color w:val="auto"/>
              </w:rPr>
            </w:pPr>
            <w:r>
              <w:rPr>
                <w:rFonts w:ascii="Arial" w:cs="Arial" w:eastAsia="Arial" w:hAnsi="Arial"/>
                <w:sz w:val="18"/>
                <w:szCs w:val="18"/>
                <w:color w:val="auto"/>
              </w:rPr>
              <w:t>1,652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7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5345430</wp:posOffset>
            </wp:positionH>
            <wp:positionV relativeFrom="paragraph">
              <wp:posOffset>-159385</wp:posOffset>
            </wp:positionV>
            <wp:extent cx="43180" cy="571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4">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-159385</wp:posOffset>
            </wp:positionV>
            <wp:extent cx="43180" cy="571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5">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-159385</wp:posOffset>
            </wp:positionV>
            <wp:extent cx="43180" cy="571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6">
                      <a:extLst>
                        <a:ext uri="{28A0092B-C50C-407E-A947-70E740481C1C}"/>
                      </a:extLst>
                    </a:blip>
                    <a:srcRect/>
                    <a:stretch>
                      <a:fillRect/>
                    </a:stretch>
                  </pic:blipFill>
                  <pic:spPr bwMode="auto">
                    <a:xfrm>
                      <a:off x="0" y="0"/>
                      <a:ext cx="43180" cy="5715"/>
                    </a:xfrm>
                    <a:prstGeom prst="rect">
                      <a:avLst/>
                    </a:prstGeom>
                    <a:noFill/>
                  </pic:spPr>
                </pic:pic>
              </a:graphicData>
            </a:graphic>
          </wp:anchor>
        </w:drawing>
      </w:r>
    </w:p>
    <w:p>
      <w:pPr>
        <w:spacing w:after="0" w:line="168" w:lineRule="exact"/>
        <w:rPr>
          <w:sz w:val="20"/>
          <w:szCs w:val="20"/>
          <w:color w:val="auto"/>
        </w:rPr>
      </w:pPr>
    </w:p>
    <w:p>
      <w:pPr>
        <w:ind w:firstLine="644"/>
        <w:spacing w:after="0" w:line="241" w:lineRule="auto"/>
        <w:rPr>
          <w:sz w:val="20"/>
          <w:szCs w:val="20"/>
          <w:color w:val="auto"/>
        </w:rPr>
      </w:pPr>
      <w:r>
        <w:rPr>
          <w:rFonts w:ascii="Arial" w:cs="Arial" w:eastAsia="Arial" w:hAnsi="Arial"/>
          <w:sz w:val="18"/>
          <w:szCs w:val="18"/>
          <w:color w:val="auto"/>
        </w:rPr>
        <w:t>We evaluate property and equipment and tangible and intangible long-lived assets for impairment. During 2021 and 2020, no impairments were recorded on our property and equipment and tangible and intangible long-lived assets. During 2021, no impairments were recorded on our intangible assets. During 2020, we recognized $0.1 million of impairment related to an intangible asset (a tradename) that Xometry ceased using in our U.S. reporting unit and wrote down the tradename to zero, its estimated fair value. The Company’s estimate of fair value considered discounted future cash flows associated with future use of the tradename.</w:t>
      </w:r>
    </w:p>
    <w:p>
      <w:pPr>
        <w:spacing w:after="0" w:line="14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provides a roll forward of the carrying amount of goodwill (in thousands):</w:t>
      </w: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660" w:type="dxa"/>
            <w:vAlign w:val="bottom"/>
          </w:tcPr>
          <w:p>
            <w:pPr>
              <w:spacing w:after="0"/>
              <w:rPr>
                <w:sz w:val="16"/>
                <w:szCs w:val="16"/>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20" w:type="dxa"/>
            <w:vAlign w:val="bottom"/>
            <w:tcBorders>
              <w:top w:val="single" w:sz="8" w:color="auto"/>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380" w:type="dxa"/>
            <w:vAlign w:val="bottom"/>
            <w:tcBorders>
              <w:top w:val="single" w:sz="8" w:color="auto"/>
              <w:bottom w:val="single" w:sz="8" w:color="auto"/>
            </w:tcBorders>
          </w:tcPr>
          <w:p>
            <w:pPr>
              <w:spacing w:after="0"/>
              <w:rPr>
                <w:sz w:val="16"/>
                <w:szCs w:val="16"/>
                <w:color w:val="auto"/>
              </w:rPr>
            </w:pPr>
          </w:p>
        </w:tc>
        <w:tc>
          <w:tcPr>
            <w:tcW w:w="1200" w:type="dxa"/>
            <w:vAlign w:val="bottom"/>
            <w:tcBorders>
              <w:top w:val="single" w:sz="8" w:color="auto"/>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r>
      <w:tr>
        <w:trPr>
          <w:trHeight w:val="169"/>
        </w:trPr>
        <w:tc>
          <w:tcPr>
            <w:tcW w:w="76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03"/>
        </w:trPr>
        <w:tc>
          <w:tcPr>
            <w:tcW w:w="76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Balance as of January 1:</w:t>
            </w:r>
          </w:p>
        </w:tc>
        <w:tc>
          <w:tcPr>
            <w:tcW w:w="100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7660" w:type="dxa"/>
            <w:vAlign w:val="bottom"/>
          </w:tcPr>
          <w:p>
            <w:pPr>
              <w:ind w:left="20"/>
              <w:spacing w:after="0" w:line="202" w:lineRule="exact"/>
              <w:rPr>
                <w:sz w:val="20"/>
                <w:szCs w:val="20"/>
                <w:color w:val="auto"/>
              </w:rPr>
            </w:pPr>
            <w:r>
              <w:rPr>
                <w:rFonts w:ascii="Arial" w:cs="Arial" w:eastAsia="Arial" w:hAnsi="Arial"/>
                <w:sz w:val="18"/>
                <w:szCs w:val="18"/>
                <w:color w:val="auto"/>
              </w:rPr>
              <w:t>Gross goodwill</w:t>
            </w:r>
          </w:p>
        </w:tc>
        <w:tc>
          <w:tcPr>
            <w:tcW w:w="1000" w:type="dxa"/>
            <w:vAlign w:val="bottom"/>
          </w:tcPr>
          <w:p>
            <w:pPr>
              <w:jc w:val="right"/>
              <w:ind w:right="816"/>
              <w:spacing w:after="0" w:line="202" w:lineRule="exact"/>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3,907</w:t>
            </w:r>
          </w:p>
        </w:tc>
        <w:tc>
          <w:tcPr>
            <w:tcW w:w="280" w:type="dxa"/>
            <w:vAlign w:val="bottom"/>
          </w:tcPr>
          <w:p>
            <w:pPr>
              <w:spacing w:after="0"/>
              <w:rPr>
                <w:sz w:val="17"/>
                <w:szCs w:val="17"/>
                <w:color w:val="auto"/>
              </w:rPr>
            </w:pPr>
          </w:p>
        </w:tc>
        <w:tc>
          <w:tcPr>
            <w:tcW w:w="380" w:type="dxa"/>
            <w:vAlign w:val="bottom"/>
          </w:tcPr>
          <w:p>
            <w:pPr>
              <w:jc w:val="right"/>
              <w:ind w:right="190"/>
              <w:spacing w:after="0" w:line="202" w:lineRule="exact"/>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3,907</w:t>
            </w:r>
          </w:p>
        </w:tc>
        <w:tc>
          <w:tcPr>
            <w:tcW w:w="100" w:type="dxa"/>
            <w:vAlign w:val="bottom"/>
          </w:tcPr>
          <w:p>
            <w:pPr>
              <w:spacing w:after="0"/>
              <w:rPr>
                <w:sz w:val="17"/>
                <w:szCs w:val="17"/>
                <w:color w:val="auto"/>
              </w:rPr>
            </w:pPr>
          </w:p>
        </w:tc>
      </w:tr>
      <w:tr>
        <w:trPr>
          <w:trHeight w:val="203"/>
        </w:trPr>
        <w:tc>
          <w:tcPr>
            <w:tcW w:w="76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Accumulated impairments</w:t>
            </w:r>
          </w:p>
        </w:tc>
        <w:tc>
          <w:tcPr>
            <w:tcW w:w="100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ind w:right="200"/>
              <w:spacing w:after="0" w:line="202" w:lineRule="exact"/>
              <w:rPr>
                <w:sz w:val="20"/>
                <w:szCs w:val="20"/>
                <w:color w:val="auto"/>
              </w:rPr>
            </w:pPr>
            <w:r>
              <w:rPr>
                <w:rFonts w:ascii="Arial" w:cs="Arial" w:eastAsia="Arial" w:hAnsi="Arial"/>
                <w:sz w:val="18"/>
                <w:szCs w:val="18"/>
                <w:color w:val="auto"/>
              </w:rPr>
              <w:t>(3,074 )</w:t>
            </w:r>
          </w:p>
        </w:tc>
        <w:tc>
          <w:tcPr>
            <w:tcW w:w="380" w:type="dxa"/>
            <w:vAlign w:val="bottom"/>
            <w:shd w:val="clear" w:color="auto" w:fill="CFF0FC"/>
          </w:tcPr>
          <w:p>
            <w:pPr>
              <w:spacing w:after="0"/>
              <w:rPr>
                <w:sz w:val="17"/>
                <w:szCs w:val="17"/>
                <w:color w:val="auto"/>
              </w:rPr>
            </w:pPr>
          </w:p>
        </w:tc>
        <w:tc>
          <w:tcPr>
            <w:tcW w:w="130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(1,719 )</w:t>
            </w:r>
          </w:p>
        </w:tc>
      </w:tr>
      <w:tr>
        <w:trPr>
          <w:trHeight w:val="196"/>
        </w:trPr>
        <w:tc>
          <w:tcPr>
            <w:tcW w:w="7660" w:type="dxa"/>
            <w:vAlign w:val="bottom"/>
            <w:tcBorders>
              <w:top w:val="single" w:sz="8" w:color="CFF0FC"/>
            </w:tcBorders>
          </w:tcPr>
          <w:p>
            <w:pPr>
              <w:ind w:left="200"/>
              <w:spacing w:after="0" w:line="196" w:lineRule="exact"/>
              <w:rPr>
                <w:sz w:val="20"/>
                <w:szCs w:val="20"/>
                <w:color w:val="auto"/>
              </w:rPr>
            </w:pPr>
            <w:r>
              <w:rPr>
                <w:rFonts w:ascii="Arial" w:cs="Arial" w:eastAsia="Arial" w:hAnsi="Arial"/>
                <w:sz w:val="18"/>
                <w:szCs w:val="18"/>
                <w:color w:val="auto"/>
              </w:rPr>
              <w:t>Net goodwill as of January 1,</w:t>
            </w:r>
          </w:p>
        </w:tc>
        <w:tc>
          <w:tcPr>
            <w:tcW w:w="100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833</w:t>
            </w:r>
          </w:p>
        </w:tc>
        <w:tc>
          <w:tcPr>
            <w:tcW w:w="280" w:type="dxa"/>
            <w:vAlign w:val="bottom"/>
            <w:tcBorders>
              <w:top w:val="single" w:sz="8" w:color="CFF0FC"/>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2,188</w:t>
            </w:r>
          </w:p>
        </w:tc>
        <w:tc>
          <w:tcPr>
            <w:tcW w:w="100" w:type="dxa"/>
            <w:vAlign w:val="bottom"/>
            <w:tcBorders>
              <w:top w:val="single" w:sz="8" w:color="CFF0FC"/>
            </w:tcBorders>
          </w:tcPr>
          <w:p>
            <w:pPr>
              <w:spacing w:after="0"/>
              <w:rPr>
                <w:sz w:val="17"/>
                <w:szCs w:val="17"/>
                <w:color w:val="auto"/>
              </w:rPr>
            </w:pPr>
          </w:p>
        </w:tc>
      </w:tr>
      <w:tr>
        <w:trPr>
          <w:trHeight w:val="203"/>
        </w:trPr>
        <w:tc>
          <w:tcPr>
            <w:tcW w:w="76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Goodwill acquired during the year</w:t>
            </w:r>
          </w:p>
        </w:tc>
        <w:tc>
          <w:tcPr>
            <w:tcW w:w="100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89"/>
              </w:rPr>
              <w:t>253,839</w:t>
            </w:r>
          </w:p>
        </w:tc>
        <w:tc>
          <w:tcPr>
            <w:tcW w:w="28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300" w:type="dxa"/>
            <w:vAlign w:val="bottom"/>
            <w:gridSpan w:val="2"/>
            <w:shd w:val="clear" w:color="auto" w:fill="CFF0FC"/>
          </w:tcPr>
          <w:p>
            <w:pPr>
              <w:jc w:val="right"/>
              <w:ind w:right="100"/>
              <w:spacing w:after="0" w:line="202" w:lineRule="exact"/>
              <w:rPr>
                <w:sz w:val="20"/>
                <w:szCs w:val="20"/>
                <w:color w:val="auto"/>
              </w:rPr>
            </w:pPr>
            <w:r>
              <w:rPr>
                <w:rFonts w:ascii="Arial" w:cs="Arial" w:eastAsia="Arial" w:hAnsi="Arial"/>
                <w:sz w:val="18"/>
                <w:szCs w:val="18"/>
                <w:color w:val="auto"/>
              </w:rPr>
              <w:t>—</w:t>
            </w:r>
          </w:p>
        </w:tc>
      </w:tr>
      <w:tr>
        <w:trPr>
          <w:trHeight w:val="203"/>
        </w:trPr>
        <w:tc>
          <w:tcPr>
            <w:tcW w:w="7660" w:type="dxa"/>
            <w:vAlign w:val="bottom"/>
          </w:tcPr>
          <w:p>
            <w:pPr>
              <w:ind w:left="20"/>
              <w:spacing w:after="0" w:line="202" w:lineRule="exact"/>
              <w:rPr>
                <w:sz w:val="20"/>
                <w:szCs w:val="20"/>
                <w:color w:val="auto"/>
              </w:rPr>
            </w:pPr>
            <w:r>
              <w:rPr>
                <w:rFonts w:ascii="Arial" w:cs="Arial" w:eastAsia="Arial" w:hAnsi="Arial"/>
                <w:sz w:val="18"/>
                <w:szCs w:val="18"/>
                <w:color w:val="auto"/>
              </w:rPr>
              <w:t>Impact of foreign exchange</w:t>
            </w:r>
          </w:p>
        </w:tc>
        <w:tc>
          <w:tcPr>
            <w:tcW w:w="1000" w:type="dxa"/>
            <w:vAlign w:val="bottom"/>
          </w:tcPr>
          <w:p>
            <w:pPr>
              <w:spacing w:after="0"/>
              <w:rPr>
                <w:sz w:val="17"/>
                <w:szCs w:val="17"/>
                <w:color w:val="auto"/>
              </w:rPr>
            </w:pPr>
          </w:p>
        </w:tc>
        <w:tc>
          <w:tcPr>
            <w:tcW w:w="90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38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154</w:t>
            </w:r>
          </w:p>
        </w:tc>
        <w:tc>
          <w:tcPr>
            <w:tcW w:w="100" w:type="dxa"/>
            <w:vAlign w:val="bottom"/>
          </w:tcPr>
          <w:p>
            <w:pPr>
              <w:spacing w:after="0"/>
              <w:rPr>
                <w:sz w:val="17"/>
                <w:szCs w:val="17"/>
                <w:color w:val="auto"/>
              </w:rPr>
            </w:pPr>
          </w:p>
        </w:tc>
      </w:tr>
      <w:tr>
        <w:trPr>
          <w:trHeight w:val="203"/>
        </w:trPr>
        <w:tc>
          <w:tcPr>
            <w:tcW w:w="76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Impairment expense</w:t>
            </w:r>
          </w:p>
        </w:tc>
        <w:tc>
          <w:tcPr>
            <w:tcW w:w="100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spacing w:after="0"/>
              <w:rPr>
                <w:sz w:val="17"/>
                <w:szCs w:val="17"/>
                <w:color w:val="auto"/>
              </w:rPr>
            </w:pPr>
          </w:p>
        </w:tc>
        <w:tc>
          <w:tcPr>
            <w:tcW w:w="130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(1,509 )</w:t>
            </w:r>
          </w:p>
        </w:tc>
      </w:tr>
      <w:tr>
        <w:trPr>
          <w:trHeight w:val="196"/>
        </w:trPr>
        <w:tc>
          <w:tcPr>
            <w:tcW w:w="7660" w:type="dxa"/>
            <w:vAlign w:val="bottom"/>
            <w:tcBorders>
              <w:top w:val="single" w:sz="8" w:color="CFF0FC"/>
            </w:tcBorders>
          </w:tcPr>
          <w:p>
            <w:pPr>
              <w:ind w:left="200"/>
              <w:spacing w:after="0" w:line="196" w:lineRule="exact"/>
              <w:rPr>
                <w:sz w:val="20"/>
                <w:szCs w:val="20"/>
                <w:color w:val="auto"/>
              </w:rPr>
            </w:pPr>
            <w:r>
              <w:rPr>
                <w:rFonts w:ascii="Arial" w:cs="Arial" w:eastAsia="Arial" w:hAnsi="Arial"/>
                <w:sz w:val="18"/>
                <w:szCs w:val="18"/>
                <w:color w:val="auto"/>
              </w:rPr>
              <w:t>Net goodwill as of December 31,</w:t>
            </w:r>
          </w:p>
        </w:tc>
        <w:tc>
          <w:tcPr>
            <w:tcW w:w="1000" w:type="dxa"/>
            <w:vAlign w:val="bottom"/>
            <w:tcBorders>
              <w:top w:val="single" w:sz="8" w:color="auto"/>
              <w:bottom w:val="single" w:sz="8" w:color="auto"/>
            </w:tcBorders>
          </w:tcPr>
          <w:p>
            <w:pPr>
              <w:jc w:val="right"/>
              <w:ind w:right="816"/>
              <w:spacing w:after="0" w:line="196" w:lineRule="exact"/>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89"/>
              </w:rPr>
              <w:t>254,672</w:t>
            </w:r>
          </w:p>
        </w:tc>
        <w:tc>
          <w:tcPr>
            <w:tcW w:w="280" w:type="dxa"/>
            <w:vAlign w:val="bottom"/>
            <w:tcBorders>
              <w:top w:val="single" w:sz="8" w:color="CFF0FC"/>
            </w:tcBorders>
          </w:tcPr>
          <w:p>
            <w:pPr>
              <w:spacing w:after="0"/>
              <w:rPr>
                <w:sz w:val="17"/>
                <w:szCs w:val="17"/>
                <w:color w:val="auto"/>
              </w:rPr>
            </w:pPr>
          </w:p>
        </w:tc>
        <w:tc>
          <w:tcPr>
            <w:tcW w:w="380" w:type="dxa"/>
            <w:vAlign w:val="bottom"/>
            <w:tcBorders>
              <w:top w:val="single" w:sz="8" w:color="auto"/>
              <w:bottom w:val="single" w:sz="8" w:color="auto"/>
            </w:tcBorders>
          </w:tcPr>
          <w:p>
            <w:pPr>
              <w:jc w:val="right"/>
              <w:ind w:right="190"/>
              <w:spacing w:after="0" w:line="196" w:lineRule="exact"/>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833</w:t>
            </w:r>
          </w:p>
        </w:tc>
        <w:tc>
          <w:tcPr>
            <w:tcW w:w="100" w:type="dxa"/>
            <w:vAlign w:val="bottom"/>
            <w:tcBorders>
              <w:top w:val="single" w:sz="8" w:color="CFF0FC"/>
            </w:tcBorders>
          </w:tcPr>
          <w:p>
            <w:pPr>
              <w:spacing w:after="0"/>
              <w:rPr>
                <w:sz w:val="17"/>
                <w:szCs w:val="17"/>
                <w:color w:val="auto"/>
              </w:rPr>
            </w:pPr>
          </w:p>
        </w:tc>
      </w:tr>
      <w:tr>
        <w:trPr>
          <w:trHeight w:val="20"/>
        </w:trPr>
        <w:tc>
          <w:tcPr>
            <w:tcW w:w="76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-681990</wp:posOffset>
            </wp:positionV>
            <wp:extent cx="60325" cy="571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7">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-681990</wp:posOffset>
            </wp:positionV>
            <wp:extent cx="59690" cy="571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8">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-159385</wp:posOffset>
            </wp:positionV>
            <wp:extent cx="60325" cy="571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9">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-159385</wp:posOffset>
            </wp:positionV>
            <wp:extent cx="59690" cy="571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50">
                      <a:extLst>
                        <a:ext uri="{28A0092B-C50C-407E-A947-70E740481C1C}"/>
                      </a:extLst>
                    </a:blip>
                    <a:srcRect/>
                    <a:stretch>
                      <a:fillRect/>
                    </a:stretch>
                  </pic:blipFill>
                  <pic:spPr bwMode="auto">
                    <a:xfrm>
                      <a:off x="0" y="0"/>
                      <a:ext cx="59690" cy="5715"/>
                    </a:xfrm>
                    <a:prstGeom prst="rect">
                      <a:avLst/>
                    </a:prstGeom>
                    <a:noFill/>
                  </pic:spPr>
                </pic:pic>
              </a:graphicData>
            </a:graphic>
          </wp:anchor>
        </w:drawing>
      </w:r>
    </w:p>
    <w:p>
      <w:pPr>
        <w:spacing w:after="0" w:line="168" w:lineRule="exact"/>
        <w:rPr>
          <w:sz w:val="20"/>
          <w:szCs w:val="20"/>
          <w:color w:val="auto"/>
        </w:rPr>
      </w:pPr>
    </w:p>
    <w:p>
      <w:pPr>
        <w:ind w:right="60" w:firstLine="644"/>
        <w:spacing w:after="0" w:line="262" w:lineRule="auto"/>
        <w:rPr>
          <w:sz w:val="20"/>
          <w:szCs w:val="20"/>
          <w:color w:val="auto"/>
        </w:rPr>
      </w:pPr>
      <w:r>
        <w:rPr>
          <w:rFonts w:ascii="Arial" w:cs="Arial" w:eastAsia="Arial" w:hAnsi="Arial"/>
          <w:sz w:val="17"/>
          <w:szCs w:val="17"/>
          <w:color w:val="auto"/>
        </w:rPr>
        <w:t>During 2020 our goodwill impairment analysis indicated that a certain reporting unit with goodwill attributed to it had a carrying amount which exceeded its fair value. The underperformance of the reporting unit relative to its expected performance drove the decline in the fair value of the reporting unit. As a result, during the year ended December 31, 2020, Xometry recorded a pretax charge to reduce the carrying value of goodwill by $1.5 million. As of December 31, 2021 and 2020, Xometry’s goodwill of $254.7 million is part of Xometry’s U.S. operating segment.</w:t>
      </w:r>
    </w:p>
    <w:p>
      <w:pPr>
        <w:spacing w:after="0" w:line="145" w:lineRule="exact"/>
        <w:rPr>
          <w:sz w:val="20"/>
          <w:szCs w:val="20"/>
          <w:color w:val="auto"/>
        </w:rPr>
      </w:pPr>
    </w:p>
    <w:p>
      <w:pPr>
        <w:jc w:val="both"/>
        <w:ind w:right="220" w:firstLine="644"/>
        <w:spacing w:after="0" w:line="248" w:lineRule="auto"/>
        <w:rPr>
          <w:sz w:val="20"/>
          <w:szCs w:val="20"/>
          <w:color w:val="auto"/>
        </w:rPr>
      </w:pPr>
      <w:r>
        <w:rPr>
          <w:rFonts w:ascii="Arial" w:cs="Arial" w:eastAsia="Arial" w:hAnsi="Arial"/>
          <w:sz w:val="18"/>
          <w:szCs w:val="18"/>
          <w:color w:val="auto"/>
        </w:rPr>
        <w:t>Aggregate amortization expense for amortizing intangibles assets was $</w:t>
      </w:r>
      <w:r>
        <w:rPr>
          <w:rFonts w:ascii="Arial" w:cs="Arial" w:eastAsia="Arial" w:hAnsi="Arial"/>
          <w:sz w:val="18"/>
          <w:szCs w:val="18"/>
          <w:color w:val="404040"/>
        </w:rPr>
        <w:t>0.5</w:t>
      </w:r>
      <w:r>
        <w:rPr>
          <w:rFonts w:ascii="Arial" w:cs="Arial" w:eastAsia="Arial" w:hAnsi="Arial"/>
          <w:sz w:val="18"/>
          <w:szCs w:val="18"/>
          <w:color w:val="auto"/>
        </w:rPr>
        <w:t xml:space="preserve"> million and $</w:t>
      </w:r>
      <w:r>
        <w:rPr>
          <w:rFonts w:ascii="Arial" w:cs="Arial" w:eastAsia="Arial" w:hAnsi="Arial"/>
          <w:sz w:val="18"/>
          <w:szCs w:val="18"/>
          <w:color w:val="404040"/>
        </w:rPr>
        <w:t>0.8</w:t>
      </w:r>
      <w:r>
        <w:rPr>
          <w:rFonts w:ascii="Arial" w:cs="Arial" w:eastAsia="Arial" w:hAnsi="Arial"/>
          <w:sz w:val="18"/>
          <w:szCs w:val="18"/>
          <w:color w:val="auto"/>
        </w:rPr>
        <w:t xml:space="preserve"> million for the years ended December 31, 2021 and 2020, respectively. As of December 31, 2021, estimated amortization expense for the next five years is: $3.4 million in 2022, $3.3 million in 2023, $3.2 million in 2024, $3.2 million in 2025, and $3.2 million in 2026.</w:t>
      </w:r>
    </w:p>
    <w:p>
      <w:pPr>
        <w:spacing w:after="0" w:line="14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Amortization expense for the year ended December 31, 2021, 2020 and 2019 was as follows (in thousands):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82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94"/>
              </w:rPr>
              <w:t>Year Ended December 31,</w:t>
            </w: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169"/>
        </w:trPr>
        <w:tc>
          <w:tcPr>
            <w:tcW w:w="6820" w:type="dxa"/>
            <w:vAlign w:val="bottom"/>
          </w:tcPr>
          <w:p>
            <w:pPr>
              <w:spacing w:after="0"/>
              <w:rPr>
                <w:sz w:val="14"/>
                <w:szCs w:val="14"/>
                <w:color w:val="auto"/>
              </w:rPr>
            </w:pPr>
          </w:p>
        </w:tc>
        <w:tc>
          <w:tcPr>
            <w:tcW w:w="96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2021</w:t>
            </w:r>
          </w:p>
        </w:tc>
        <w:tc>
          <w:tcPr>
            <w:tcW w:w="4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4"/>
                <w:szCs w:val="14"/>
                <w:color w:val="auto"/>
              </w:rPr>
            </w:pPr>
          </w:p>
        </w:tc>
      </w:tr>
      <w:tr>
        <w:trPr>
          <w:trHeight w:val="196"/>
        </w:trPr>
        <w:tc>
          <w:tcPr>
            <w:tcW w:w="682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Sales and marketing</w:t>
            </w:r>
          </w:p>
        </w:tc>
        <w:tc>
          <w:tcPr>
            <w:tcW w:w="960" w:type="dxa"/>
            <w:vAlign w:val="bottom"/>
            <w:shd w:val="clear" w:color="auto" w:fill="CFF0FC"/>
          </w:tcPr>
          <w:p>
            <w:pPr>
              <w:jc w:val="right"/>
              <w:ind w:right="776"/>
              <w:spacing w:after="0" w:line="196" w:lineRule="exact"/>
              <w:rPr>
                <w:sz w:val="20"/>
                <w:szCs w:val="20"/>
                <w:color w:val="auto"/>
              </w:rPr>
            </w:pPr>
            <w:r>
              <w:rPr>
                <w:rFonts w:ascii="Arial" w:cs="Arial" w:eastAsia="Arial" w:hAnsi="Arial"/>
                <w:sz w:val="18"/>
                <w:szCs w:val="18"/>
                <w:color w:val="auto"/>
                <w:w w:val="79"/>
              </w:rPr>
              <w:t>$</w:t>
            </w:r>
          </w:p>
        </w:tc>
        <w:tc>
          <w:tcPr>
            <w:tcW w:w="4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289</w:t>
            </w:r>
          </w:p>
        </w:tc>
        <w:tc>
          <w:tcPr>
            <w:tcW w:w="1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642</w:t>
            </w:r>
          </w:p>
        </w:tc>
        <w:tc>
          <w:tcPr>
            <w:tcW w:w="140" w:type="dxa"/>
            <w:vAlign w:val="bottom"/>
            <w:shd w:val="clear" w:color="auto" w:fill="CFF0FC"/>
          </w:tcPr>
          <w:p>
            <w:pPr>
              <w:spacing w:after="0"/>
              <w:rPr>
                <w:sz w:val="17"/>
                <w:szCs w:val="17"/>
                <w:color w:val="auto"/>
              </w:rPr>
            </w:pPr>
          </w:p>
        </w:tc>
        <w:tc>
          <w:tcPr>
            <w:tcW w:w="300" w:type="dxa"/>
            <w:vAlign w:val="bottom"/>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157</w:t>
            </w:r>
          </w:p>
        </w:tc>
        <w:tc>
          <w:tcPr>
            <w:tcW w:w="60" w:type="dxa"/>
            <w:vAlign w:val="bottom"/>
            <w:shd w:val="clear" w:color="auto" w:fill="CFF0FC"/>
          </w:tcPr>
          <w:p>
            <w:pPr>
              <w:spacing w:after="0"/>
              <w:rPr>
                <w:sz w:val="17"/>
                <w:szCs w:val="17"/>
                <w:color w:val="auto"/>
              </w:rPr>
            </w:pPr>
          </w:p>
        </w:tc>
      </w:tr>
      <w:tr>
        <w:trPr>
          <w:trHeight w:val="203"/>
        </w:trPr>
        <w:tc>
          <w:tcPr>
            <w:tcW w:w="6820" w:type="dxa"/>
            <w:vAlign w:val="bottom"/>
          </w:tcPr>
          <w:p>
            <w:pPr>
              <w:ind w:left="20"/>
              <w:spacing w:after="0" w:line="202" w:lineRule="exact"/>
              <w:rPr>
                <w:sz w:val="20"/>
                <w:szCs w:val="20"/>
                <w:color w:val="auto"/>
              </w:rPr>
            </w:pPr>
            <w:r>
              <w:rPr>
                <w:rFonts w:ascii="Arial" w:cs="Arial" w:eastAsia="Arial" w:hAnsi="Arial"/>
                <w:sz w:val="18"/>
                <w:szCs w:val="18"/>
                <w:color w:val="auto"/>
              </w:rPr>
              <w:t>Operations and support</w:t>
            </w:r>
          </w:p>
        </w:tc>
        <w:tc>
          <w:tcPr>
            <w:tcW w:w="960" w:type="dxa"/>
            <w:vAlign w:val="bottom"/>
          </w:tcPr>
          <w:p>
            <w:pPr>
              <w:spacing w:after="0"/>
              <w:rPr>
                <w:sz w:val="17"/>
                <w:szCs w:val="17"/>
                <w:color w:val="auto"/>
              </w:rPr>
            </w:pPr>
          </w:p>
        </w:tc>
        <w:tc>
          <w:tcPr>
            <w:tcW w:w="4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3</w:t>
            </w: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r>
      <w:tr>
        <w:trPr>
          <w:trHeight w:val="203"/>
        </w:trPr>
        <w:tc>
          <w:tcPr>
            <w:tcW w:w="68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Product development</w:t>
            </w:r>
          </w:p>
        </w:tc>
        <w:tc>
          <w:tcPr>
            <w:tcW w:w="960" w:type="dxa"/>
            <w:vAlign w:val="bottom"/>
            <w:shd w:val="clear" w:color="auto" w:fill="CFF0FC"/>
          </w:tcPr>
          <w:p>
            <w:pPr>
              <w:spacing w:after="0"/>
              <w:rPr>
                <w:sz w:val="17"/>
                <w:szCs w:val="17"/>
                <w:color w:val="auto"/>
              </w:rPr>
            </w:pPr>
          </w:p>
        </w:tc>
        <w:tc>
          <w:tcPr>
            <w:tcW w:w="4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166</w:t>
            </w:r>
          </w:p>
        </w:tc>
        <w:tc>
          <w:tcPr>
            <w:tcW w:w="1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177</w:t>
            </w:r>
          </w:p>
        </w:tc>
        <w:tc>
          <w:tcPr>
            <w:tcW w:w="1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128</w:t>
            </w:r>
          </w:p>
        </w:tc>
        <w:tc>
          <w:tcPr>
            <w:tcW w:w="60" w:type="dxa"/>
            <w:vAlign w:val="bottom"/>
            <w:shd w:val="clear" w:color="auto" w:fill="CFF0FC"/>
          </w:tcPr>
          <w:p>
            <w:pPr>
              <w:spacing w:after="0"/>
              <w:rPr>
                <w:sz w:val="17"/>
                <w:szCs w:val="17"/>
                <w:color w:val="auto"/>
              </w:rPr>
            </w:pPr>
          </w:p>
        </w:tc>
      </w:tr>
      <w:tr>
        <w:trPr>
          <w:trHeight w:val="203"/>
        </w:trPr>
        <w:tc>
          <w:tcPr>
            <w:tcW w:w="6820" w:type="dxa"/>
            <w:vAlign w:val="bottom"/>
          </w:tcPr>
          <w:p>
            <w:pPr>
              <w:ind w:left="20"/>
              <w:spacing w:after="0" w:line="202" w:lineRule="exact"/>
              <w:rPr>
                <w:sz w:val="20"/>
                <w:szCs w:val="20"/>
                <w:color w:val="auto"/>
              </w:rPr>
            </w:pPr>
            <w:r>
              <w:rPr>
                <w:rFonts w:ascii="Arial" w:cs="Arial" w:eastAsia="Arial" w:hAnsi="Arial"/>
                <w:sz w:val="18"/>
                <w:szCs w:val="18"/>
                <w:color w:val="auto"/>
              </w:rPr>
              <w:t>General and administrative</w:t>
            </w:r>
          </w:p>
        </w:tc>
        <w:tc>
          <w:tcPr>
            <w:tcW w:w="96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9</w:t>
            </w:r>
          </w:p>
        </w:tc>
        <w:tc>
          <w:tcPr>
            <w:tcW w:w="1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11</w:t>
            </w:r>
          </w:p>
        </w:tc>
        <w:tc>
          <w:tcPr>
            <w:tcW w:w="1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16</w:t>
            </w:r>
          </w:p>
        </w:tc>
        <w:tc>
          <w:tcPr>
            <w:tcW w:w="60" w:type="dxa"/>
            <w:vAlign w:val="bottom"/>
          </w:tcPr>
          <w:p>
            <w:pPr>
              <w:spacing w:after="0"/>
              <w:rPr>
                <w:sz w:val="17"/>
                <w:szCs w:val="17"/>
                <w:color w:val="auto"/>
              </w:rPr>
            </w:pPr>
          </w:p>
        </w:tc>
      </w:tr>
      <w:tr>
        <w:trPr>
          <w:trHeight w:val="236"/>
        </w:trPr>
        <w:tc>
          <w:tcPr>
            <w:tcW w:w="682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Total</w:t>
            </w:r>
          </w:p>
        </w:tc>
        <w:tc>
          <w:tcPr>
            <w:tcW w:w="960" w:type="dxa"/>
            <w:vAlign w:val="bottom"/>
            <w:tcBorders>
              <w:bottom w:val="single" w:sz="8" w:color="auto"/>
            </w:tcBorders>
            <w:shd w:val="clear" w:color="auto" w:fill="CFF0FC"/>
          </w:tcPr>
          <w:p>
            <w:pPr>
              <w:jc w:val="right"/>
              <w:ind w:right="776"/>
              <w:spacing w:after="0" w:line="196" w:lineRule="exact"/>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464</w:t>
            </w:r>
          </w:p>
        </w:tc>
        <w:tc>
          <w:tcPr>
            <w:tcW w:w="18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833</w:t>
            </w:r>
          </w:p>
        </w:tc>
        <w:tc>
          <w:tcPr>
            <w:tcW w:w="14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301</w:t>
            </w:r>
          </w:p>
        </w:tc>
        <w:tc>
          <w:tcPr>
            <w:tcW w:w="6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5200015</wp:posOffset>
            </wp:positionH>
            <wp:positionV relativeFrom="paragraph">
              <wp:posOffset>-25400</wp:posOffset>
            </wp:positionV>
            <wp:extent cx="51435" cy="88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1">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-8255</wp:posOffset>
            </wp:positionV>
            <wp:extent cx="51435" cy="88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2">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-25400</wp:posOffset>
            </wp:positionV>
            <wp:extent cx="43180" cy="889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3">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-8255</wp:posOffset>
            </wp:positionV>
            <wp:extent cx="43180" cy="889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4">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-25400</wp:posOffset>
            </wp:positionV>
            <wp:extent cx="43180" cy="88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5">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-8255</wp:posOffset>
            </wp:positionV>
            <wp:extent cx="43180" cy="889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6">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pacing w:after="0" w:line="164" w:lineRule="exact"/>
        <w:rPr>
          <w:sz w:val="20"/>
          <w:szCs w:val="20"/>
          <w:color w:val="auto"/>
        </w:rPr>
      </w:pPr>
    </w:p>
    <w:p>
      <w:pPr>
        <w:ind w:left="660" w:hanging="652"/>
        <w:spacing w:after="0"/>
        <w:tabs>
          <w:tab w:leader="none" w:pos="660" w:val="left"/>
        </w:tabs>
        <w:numPr>
          <w:ilvl w:val="0"/>
          <w:numId w:val="77"/>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 in Unconsolidated Joint Venture</w:t>
      </w:r>
    </w:p>
    <w:p>
      <w:pPr>
        <w:spacing w:after="0" w:line="202" w:lineRule="exact"/>
        <w:rPr>
          <w:sz w:val="20"/>
          <w:szCs w:val="20"/>
          <w:color w:val="auto"/>
        </w:rPr>
      </w:pPr>
    </w:p>
    <w:p>
      <w:pPr>
        <w:ind w:right="240" w:firstLine="644"/>
        <w:spacing w:after="0" w:line="244" w:lineRule="auto"/>
        <w:rPr>
          <w:sz w:val="20"/>
          <w:szCs w:val="20"/>
          <w:color w:val="auto"/>
        </w:rPr>
      </w:pPr>
      <w:r>
        <w:rPr>
          <w:rFonts w:ascii="Arial" w:cs="Arial" w:eastAsia="Arial" w:hAnsi="Arial"/>
          <w:sz w:val="18"/>
          <w:szCs w:val="18"/>
          <w:color w:val="auto"/>
        </w:rPr>
        <w:t>In connection with the Company's acquisition of Thomas on December 9, 2021, the Company assumed a 50% interest in Industrial Media, LLC ("IM, LLC") with the other 50% owned by Rich Media Group, LLC. IM, LLC primarily manages</w:t>
      </w: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43180</wp:posOffset>
            </wp:positionV>
            <wp:extent cx="7157720" cy="425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88" w:name="page89"/>
    <w:bookmarkEnd w:id="88"/>
    <w:p>
      <w:pPr>
        <w:ind w:right="20"/>
        <w:spacing w:after="0" w:line="241" w:lineRule="auto"/>
        <w:rPr>
          <w:sz w:val="20"/>
          <w:szCs w:val="20"/>
          <w:color w:val="auto"/>
        </w:rPr>
      </w:pPr>
      <w:r>
        <w:rPr>
          <w:rFonts w:ascii="Arial" w:cs="Arial" w:eastAsia="Arial" w:hAnsi="Arial"/>
          <w:sz w:val="18"/>
          <w:szCs w:val="18"/>
          <w:color w:val="auto"/>
        </w:rPr>
        <w:t>content creation, advertising sales, and marketing initiatives for the Industrial Engineering News brand, certain magazines, videos, website and associated electronic media products for industrial engineers. The Company’s ownership interest in the net assets of IM, LLC approximated $5.2 million. We estimated the fair value of the net assets using market approach which considered, market multiples and revenue assumptions based on historical operating results (Level 3 inputs). The Company estimated a basis difference of approximately $4.2 million which is accounted for as equity method goodwill which is not subject to amortization.</w:t>
      </w:r>
    </w:p>
    <w:p>
      <w:pPr>
        <w:spacing w:after="0" w:line="374" w:lineRule="exact"/>
        <w:rPr>
          <w:sz w:val="20"/>
          <w:szCs w:val="20"/>
          <w:color w:val="auto"/>
        </w:rPr>
      </w:pPr>
    </w:p>
    <w:p>
      <w:pPr>
        <w:ind w:left="660" w:hanging="652"/>
        <w:spacing w:after="0"/>
        <w:tabs>
          <w:tab w:leader="none" w:pos="660" w:val="left"/>
        </w:tabs>
        <w:numPr>
          <w:ilvl w:val="0"/>
          <w:numId w:val="78"/>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202" w:lineRule="exact"/>
        <w:rPr>
          <w:sz w:val="20"/>
          <w:szCs w:val="20"/>
          <w:color w:val="auto"/>
        </w:rPr>
      </w:pPr>
    </w:p>
    <w:p>
      <w:pPr>
        <w:ind w:firstLine="644"/>
        <w:spacing w:after="0" w:line="248" w:lineRule="auto"/>
        <w:rPr>
          <w:sz w:val="20"/>
          <w:szCs w:val="20"/>
          <w:color w:val="auto"/>
        </w:rPr>
      </w:pPr>
      <w:r>
        <w:rPr>
          <w:rFonts w:ascii="Arial" w:cs="Arial" w:eastAsia="Arial" w:hAnsi="Arial"/>
          <w:sz w:val="18"/>
          <w:szCs w:val="18"/>
          <w:color w:val="auto"/>
        </w:rPr>
        <w:t>On February 4, 2022, the Company completed a private offering of $250 million aggregate principal amount of 1.00% Convertible Senior Notes due 2027 (the “Initial Notes”). The Initial Notes were issued pursuant to an indenture, dated February 4, 2022 (the “Indenture”), between the Company and U.S. Bank Trust Company, National Association, as trustee.</w:t>
      </w:r>
    </w:p>
    <w:p>
      <w:pPr>
        <w:spacing w:after="0" w:line="168" w:lineRule="exact"/>
        <w:rPr>
          <w:sz w:val="20"/>
          <w:szCs w:val="20"/>
          <w:color w:val="auto"/>
        </w:rPr>
      </w:pPr>
    </w:p>
    <w:p>
      <w:pPr>
        <w:ind w:right="20" w:firstLine="644"/>
        <w:spacing w:after="0" w:line="271" w:lineRule="auto"/>
        <w:rPr>
          <w:sz w:val="20"/>
          <w:szCs w:val="20"/>
          <w:color w:val="auto"/>
        </w:rPr>
      </w:pPr>
      <w:r>
        <w:rPr>
          <w:rFonts w:ascii="Arial" w:cs="Arial" w:eastAsia="Arial" w:hAnsi="Arial"/>
          <w:sz w:val="16"/>
          <w:szCs w:val="16"/>
          <w:color w:val="auto"/>
        </w:rPr>
        <w:t>On February 10, 2022, the Company issued an additional $37.5 million aggregate principal amount of its 1.00% Convertible Senior Notes due 2027 (the “Additional Notes”) to the initial purchasers named in the purchase agreement. The issuance of the Additional Notes was pursuant to the initial purchasers’ exercise in full of their 13-day option to purchase Additional Notes granted in the original offering of $250 million aggregate principal amount of 1.00% Convertible Senior Notes due 2027. The proceeds from the Initial Notes and the Additional Notes (collectively referred to as the “Notes”) are expected to be used for working capital and other general corporate purposes. The Company may also use a portion of the net proceeds for acquisitions of, or strategic investments in, complementary businesses, products, services, or technologies. However, the Company does not have agreements or commitments with respect to any such acquisition or strategic investment at this time. The Notes are general unsecured obligations of the Company and will mature on February 1, 2027, unless earlier converted, redeemed or repurchased. Interest on the Notes will accrue at a rate of 1.00% per year from February 4, 2022 and will be payable semiannually in arrears on February 1 and August 1 of each year, beginning on August 1, 2022.</w:t>
      </w:r>
    </w:p>
    <w:p>
      <w:pPr>
        <w:spacing w:after="0" w:line="155" w:lineRule="exact"/>
        <w:rPr>
          <w:sz w:val="20"/>
          <w:szCs w:val="20"/>
          <w:color w:val="auto"/>
        </w:rPr>
      </w:pPr>
    </w:p>
    <w:p>
      <w:pPr>
        <w:ind w:right="520" w:firstLine="644"/>
        <w:spacing w:after="0" w:line="293" w:lineRule="auto"/>
        <w:rPr>
          <w:sz w:val="20"/>
          <w:szCs w:val="20"/>
          <w:color w:val="auto"/>
        </w:rPr>
      </w:pPr>
      <w:r>
        <w:rPr>
          <w:rFonts w:ascii="Arial" w:cs="Arial" w:eastAsia="Arial" w:hAnsi="Arial"/>
          <w:sz w:val="18"/>
          <w:szCs w:val="18"/>
          <w:color w:val="auto"/>
        </w:rPr>
        <w:t>In connection with the Notes offering, the Company received net cash proceeds of approximately $278.9 million, after deducting the initial purchasers discounts and commissions.</w:t>
      </w:r>
    </w:p>
    <w:p>
      <w:pPr>
        <w:spacing w:after="0" w:line="34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28" w:right="399" w:bottom="1440" w:gutter="0" w:footer="0" w:header="0"/>
        </w:sectPr>
      </w:pPr>
    </w:p>
    <w:bookmarkStart w:id="89" w:name="page90"/>
    <w:bookmarkEnd w:id="89"/>
    <w:p>
      <w:pPr>
        <w:spacing w:after="0"/>
        <w:rPr>
          <w:sz w:val="20"/>
          <w:szCs w:val="20"/>
          <w:color w:val="auto"/>
        </w:rPr>
      </w:pPr>
      <w:r>
        <w:rPr>
          <w:rFonts w:ascii="Arial" w:cs="Arial" w:eastAsia="Arial" w:hAnsi="Arial"/>
          <w:sz w:val="18"/>
          <w:szCs w:val="18"/>
          <w:b w:val="1"/>
          <w:bCs w:val="1"/>
          <w:color w:val="auto"/>
        </w:rPr>
        <w:t>Schedule II—Valuation and Qualifying Accounts</w:t>
      </w:r>
    </w:p>
    <w:p>
      <w:pPr>
        <w:spacing w:after="0" w:line="10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table below details the activity of the allowance for doubtful accounts, for the years ended December 31, 2021 2020, and 2019 (in thousands):</w:t>
      </w:r>
    </w:p>
    <w:tbl>
      <w:tblPr>
        <w:tblLayout w:type="fixed"/>
        <w:tblInd w:w="0" w:type="dxa"/>
        <w:tblCellMar>
          <w:top w:w="0" w:type="dxa"/>
          <w:left w:w="0" w:type="dxa"/>
          <w:bottom w:w="0" w:type="dxa"/>
          <w:right w:w="0" w:type="dxa"/>
        </w:tblCellMar>
      </w:tblPr>
      <w:tr>
        <w:trPr>
          <w:trHeight w:val="195"/>
        </w:trPr>
        <w:tc>
          <w:tcPr>
            <w:tcW w:w="398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jc w:val="center"/>
              <w:ind w:right="10"/>
              <w:spacing w:after="0" w:line="195" w:lineRule="exact"/>
              <w:rPr>
                <w:sz w:val="20"/>
                <w:szCs w:val="20"/>
                <w:color w:val="auto"/>
              </w:rPr>
            </w:pPr>
            <w:r>
              <w:rPr>
                <w:rFonts w:ascii="Arial" w:cs="Arial" w:eastAsia="Arial" w:hAnsi="Arial"/>
                <w:sz w:val="18"/>
                <w:szCs w:val="18"/>
                <w:b w:val="1"/>
                <w:bCs w:val="1"/>
                <w:color w:val="auto"/>
                <w:w w:val="89"/>
              </w:rPr>
              <w:t>Balance</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center"/>
              <w:ind w:right="70"/>
              <w:spacing w:after="0" w:line="195" w:lineRule="exact"/>
              <w:rPr>
                <w:sz w:val="20"/>
                <w:szCs w:val="20"/>
                <w:color w:val="auto"/>
              </w:rPr>
            </w:pPr>
            <w:r>
              <w:rPr>
                <w:rFonts w:ascii="Arial" w:cs="Arial" w:eastAsia="Arial" w:hAnsi="Arial"/>
                <w:sz w:val="18"/>
                <w:szCs w:val="18"/>
                <w:b w:val="1"/>
                <w:bCs w:val="1"/>
                <w:color w:val="auto"/>
                <w:w w:val="90"/>
              </w:rPr>
              <w:t>Charged to</w:t>
            </w:r>
          </w:p>
        </w:tc>
        <w:tc>
          <w:tcPr>
            <w:tcW w:w="180" w:type="dxa"/>
            <w:vAlign w:val="bottom"/>
          </w:tcPr>
          <w:p>
            <w:pPr>
              <w:spacing w:after="0"/>
              <w:rPr>
                <w:sz w:val="16"/>
                <w:szCs w:val="16"/>
                <w:color w:val="auto"/>
              </w:rPr>
            </w:pPr>
          </w:p>
        </w:tc>
        <w:tc>
          <w:tcPr>
            <w:tcW w:w="1420" w:type="dxa"/>
            <w:vAlign w:val="bottom"/>
            <w:gridSpan w:val="3"/>
            <w:vMerge w:val="restart"/>
          </w:tcPr>
          <w:p>
            <w:pPr>
              <w:jc w:val="right"/>
              <w:ind w:right="320"/>
              <w:spacing w:after="0"/>
              <w:rPr>
                <w:sz w:val="20"/>
                <w:szCs w:val="20"/>
                <w:color w:val="auto"/>
              </w:rPr>
            </w:pPr>
            <w:r>
              <w:rPr>
                <w:rFonts w:ascii="Arial" w:cs="Arial" w:eastAsia="Arial" w:hAnsi="Arial"/>
                <w:sz w:val="18"/>
                <w:szCs w:val="18"/>
                <w:b w:val="1"/>
                <w:bCs w:val="1"/>
                <w:color w:val="auto"/>
                <w:w w:val="97"/>
              </w:rPr>
              <w:t>Deduction or</w:t>
            </w:r>
          </w:p>
        </w:tc>
        <w:tc>
          <w:tcPr>
            <w:tcW w:w="140" w:type="dxa"/>
            <w:vAlign w:val="bottom"/>
          </w:tcPr>
          <w:p>
            <w:pPr>
              <w:spacing w:after="0"/>
              <w:rPr>
                <w:sz w:val="16"/>
                <w:szCs w:val="16"/>
                <w:color w:val="auto"/>
              </w:rPr>
            </w:pPr>
          </w:p>
        </w:tc>
        <w:tc>
          <w:tcPr>
            <w:tcW w:w="1060" w:type="dxa"/>
            <w:vAlign w:val="bottom"/>
            <w:vMerge w:val="restart"/>
          </w:tcPr>
          <w:p>
            <w:pPr>
              <w:jc w:val="right"/>
              <w:ind w:right="110"/>
              <w:spacing w:after="0"/>
              <w:rPr>
                <w:sz w:val="20"/>
                <w:szCs w:val="20"/>
                <w:color w:val="auto"/>
              </w:rPr>
            </w:pPr>
            <w:r>
              <w:rPr>
                <w:rFonts w:ascii="Arial" w:cs="Arial" w:eastAsia="Arial" w:hAnsi="Arial"/>
                <w:sz w:val="18"/>
                <w:szCs w:val="18"/>
                <w:b w:val="1"/>
                <w:bCs w:val="1"/>
                <w:color w:val="auto"/>
                <w:w w:val="93"/>
              </w:rPr>
              <w:t>Balance at</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398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Year ended December 31, 2021</w:t>
            </w:r>
          </w:p>
        </w:tc>
        <w:tc>
          <w:tcPr>
            <w:tcW w:w="1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jc w:val="center"/>
              <w:ind w:right="10"/>
              <w:spacing w:after="0" w:line="176" w:lineRule="exact"/>
              <w:rPr>
                <w:sz w:val="20"/>
                <w:szCs w:val="20"/>
                <w:color w:val="auto"/>
              </w:rPr>
            </w:pPr>
            <w:r>
              <w:rPr>
                <w:rFonts w:ascii="Arial" w:cs="Arial" w:eastAsia="Arial" w:hAnsi="Arial"/>
                <w:sz w:val="18"/>
                <w:szCs w:val="18"/>
                <w:b w:val="1"/>
                <w:bCs w:val="1"/>
                <w:color w:val="auto"/>
                <w:w w:val="89"/>
              </w:rPr>
              <w:t>Beginning of</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jc w:val="center"/>
              <w:ind w:right="50"/>
              <w:spacing w:after="0" w:line="176" w:lineRule="exact"/>
              <w:rPr>
                <w:sz w:val="20"/>
                <w:szCs w:val="20"/>
                <w:color w:val="auto"/>
              </w:rPr>
            </w:pPr>
            <w:r>
              <w:rPr>
                <w:rFonts w:ascii="Arial" w:cs="Arial" w:eastAsia="Arial" w:hAnsi="Arial"/>
                <w:sz w:val="18"/>
                <w:szCs w:val="18"/>
                <w:b w:val="1"/>
                <w:bCs w:val="1"/>
                <w:color w:val="auto"/>
                <w:w w:val="87"/>
              </w:rPr>
              <w:t>Provision</w:t>
            </w:r>
          </w:p>
        </w:tc>
        <w:tc>
          <w:tcPr>
            <w:tcW w:w="180" w:type="dxa"/>
            <w:vAlign w:val="bottom"/>
          </w:tcPr>
          <w:p>
            <w:pPr>
              <w:spacing w:after="0"/>
              <w:rPr>
                <w:sz w:val="15"/>
                <w:szCs w:val="15"/>
                <w:color w:val="auto"/>
              </w:rPr>
            </w:pPr>
          </w:p>
        </w:tc>
        <w:tc>
          <w:tcPr>
            <w:tcW w:w="1420" w:type="dxa"/>
            <w:vAlign w:val="bottom"/>
            <w:gridSpan w:val="3"/>
            <w:vMerge w:val="continue"/>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980" w:type="dxa"/>
            <w:vAlign w:val="bottom"/>
            <w:vMerge w:val="continue"/>
          </w:tcPr>
          <w:p>
            <w:pPr>
              <w:spacing w:after="0"/>
              <w:rPr>
                <w:sz w:val="18"/>
                <w:szCs w:val="18"/>
                <w:color w:val="auto"/>
              </w:rPr>
            </w:pPr>
          </w:p>
        </w:tc>
        <w:tc>
          <w:tcPr>
            <w:tcW w:w="1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ind w:right="10"/>
              <w:spacing w:after="0"/>
              <w:rPr>
                <w:sz w:val="20"/>
                <w:szCs w:val="20"/>
                <w:color w:val="auto"/>
              </w:rPr>
            </w:pPr>
            <w:r>
              <w:rPr>
                <w:rFonts w:ascii="Arial" w:cs="Arial" w:eastAsia="Arial" w:hAnsi="Arial"/>
                <w:sz w:val="18"/>
                <w:szCs w:val="18"/>
                <w:b w:val="1"/>
                <w:bCs w:val="1"/>
                <w:color w:val="auto"/>
                <w:w w:val="89"/>
              </w:rPr>
              <w:t>Period</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center"/>
              <w:ind w:right="50"/>
              <w:spacing w:after="0"/>
              <w:rPr>
                <w:sz w:val="20"/>
                <w:szCs w:val="20"/>
                <w:color w:val="auto"/>
              </w:rPr>
            </w:pPr>
            <w:r>
              <w:rPr>
                <w:rFonts w:ascii="Arial" w:cs="Arial" w:eastAsia="Arial" w:hAnsi="Arial"/>
                <w:sz w:val="18"/>
                <w:szCs w:val="18"/>
                <w:b w:val="1"/>
                <w:bCs w:val="1"/>
                <w:color w:val="auto"/>
                <w:w w:val="87"/>
              </w:rPr>
              <w:t>Accounts</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Other</w:t>
            </w:r>
          </w:p>
        </w:tc>
        <w:tc>
          <w:tcPr>
            <w:tcW w:w="1200" w:type="dxa"/>
            <w:vAlign w:val="bottom"/>
            <w:gridSpan w:val="2"/>
          </w:tcPr>
          <w:p>
            <w:pPr>
              <w:jc w:val="right"/>
              <w:spacing w:after="0"/>
              <w:rPr>
                <w:sz w:val="20"/>
                <w:szCs w:val="20"/>
                <w:color w:val="auto"/>
              </w:rPr>
            </w:pPr>
            <w:r>
              <w:rPr>
                <w:rFonts w:ascii="Arial" w:cs="Arial" w:eastAsia="Arial" w:hAnsi="Arial"/>
                <w:sz w:val="18"/>
                <w:szCs w:val="18"/>
                <w:b w:val="1"/>
                <w:bCs w:val="1"/>
                <w:color w:val="auto"/>
                <w:w w:val="93"/>
              </w:rPr>
              <w:t>End of Period</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3980" w:type="dxa"/>
            <w:vAlign w:val="bottom"/>
            <w:tcBorders>
              <w:top w:val="single" w:sz="8" w:color="auto"/>
            </w:tcBorders>
          </w:tcPr>
          <w:p>
            <w:pPr>
              <w:ind w:left="20"/>
              <w:spacing w:after="0" w:line="196" w:lineRule="exact"/>
              <w:rPr>
                <w:sz w:val="20"/>
                <w:szCs w:val="20"/>
                <w:color w:val="auto"/>
              </w:rPr>
            </w:pPr>
            <w:r>
              <w:rPr>
                <w:rFonts w:ascii="Arial" w:cs="Arial" w:eastAsia="Arial" w:hAnsi="Arial"/>
                <w:sz w:val="18"/>
                <w:szCs w:val="18"/>
                <w:color w:val="auto"/>
              </w:rPr>
              <w:t>Allowance for doubtful accounts:</w:t>
            </w:r>
          </w:p>
        </w:tc>
        <w:tc>
          <w:tcPr>
            <w:tcW w:w="162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39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Accounts receivable</w:t>
            </w:r>
          </w:p>
        </w:tc>
        <w:tc>
          <w:tcPr>
            <w:tcW w:w="1860" w:type="dxa"/>
            <w:vAlign w:val="bottom"/>
            <w:gridSpan w:val="3"/>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569</w:t>
            </w:r>
          </w:p>
        </w:tc>
        <w:tc>
          <w:tcPr>
            <w:tcW w:w="36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295</w:t>
            </w:r>
          </w:p>
        </w:tc>
        <w:tc>
          <w:tcPr>
            <w:tcW w:w="420" w:type="dxa"/>
            <w:vAlign w:val="bottom"/>
            <w:gridSpan w:val="2"/>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180" w:type="dxa"/>
            <w:vAlign w:val="bottom"/>
            <w:gridSpan w:val="2"/>
            <w:shd w:val="clear" w:color="auto" w:fill="CFF0FC"/>
          </w:tcPr>
          <w:p>
            <w:pPr>
              <w:jc w:val="right"/>
              <w:ind w:right="160"/>
              <w:spacing w:after="0" w:line="202" w:lineRule="exact"/>
              <w:rPr>
                <w:sz w:val="20"/>
                <w:szCs w:val="20"/>
                <w:color w:val="auto"/>
              </w:rPr>
            </w:pPr>
            <w:r>
              <w:rPr>
                <w:rFonts w:ascii="Arial" w:cs="Arial" w:eastAsia="Arial" w:hAnsi="Arial"/>
                <w:sz w:val="18"/>
                <w:szCs w:val="18"/>
                <w:color w:val="auto"/>
              </w:rPr>
              <w:t>(55 )</w:t>
            </w:r>
          </w:p>
        </w:tc>
        <w:tc>
          <w:tcPr>
            <w:tcW w:w="1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809</w:t>
            </w:r>
          </w:p>
        </w:tc>
        <w:tc>
          <w:tcPr>
            <w:tcW w:w="6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83"/>
        </w:trPr>
        <w:tc>
          <w:tcPr>
            <w:tcW w:w="3980" w:type="dxa"/>
            <w:vAlign w:val="bottom"/>
            <w:tcBorders>
              <w:top w:val="single" w:sz="8" w:color="CFF0FC"/>
            </w:tcBorders>
          </w:tcPr>
          <w:p>
            <w:pPr>
              <w:ind w:left="20"/>
              <w:spacing w:after="0" w:line="183" w:lineRule="exact"/>
              <w:rPr>
                <w:sz w:val="20"/>
                <w:szCs w:val="20"/>
                <w:color w:val="auto"/>
              </w:rPr>
            </w:pPr>
            <w:r>
              <w:rPr>
                <w:rFonts w:ascii="Arial" w:cs="Arial" w:eastAsia="Arial" w:hAnsi="Arial"/>
                <w:sz w:val="18"/>
                <w:szCs w:val="18"/>
                <w:b w:val="1"/>
                <w:bCs w:val="1"/>
                <w:color w:val="auto"/>
              </w:rPr>
              <w:t>Year ended December 31, 2020</w:t>
            </w:r>
          </w:p>
        </w:tc>
        <w:tc>
          <w:tcPr>
            <w:tcW w:w="1620" w:type="dxa"/>
            <w:vAlign w:val="bottom"/>
            <w:tcBorders>
              <w:top w:val="single" w:sz="8" w:color="CFF0FC"/>
            </w:tcBorders>
          </w:tcPr>
          <w:p>
            <w:pPr>
              <w:spacing w:after="0"/>
              <w:rPr>
                <w:sz w:val="15"/>
                <w:szCs w:val="15"/>
                <w:color w:val="auto"/>
              </w:rPr>
            </w:pPr>
          </w:p>
        </w:tc>
        <w:tc>
          <w:tcPr>
            <w:tcW w:w="140" w:type="dxa"/>
            <w:vAlign w:val="bottom"/>
            <w:tcBorders>
              <w:top w:val="single" w:sz="8" w:color="CFF0FC"/>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220" w:type="dxa"/>
            <w:vAlign w:val="bottom"/>
            <w:tcBorders>
              <w:top w:val="single" w:sz="8" w:color="CFF0FC"/>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180" w:type="dxa"/>
            <w:vAlign w:val="bottom"/>
            <w:tcBorders>
              <w:top w:val="single" w:sz="8" w:color="CFF0FC"/>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220" w:type="dxa"/>
            <w:vAlign w:val="bottom"/>
            <w:tcBorders>
              <w:top w:val="single" w:sz="8" w:color="CFF0FC"/>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60" w:type="dxa"/>
            <w:vAlign w:val="bottom"/>
            <w:tcBorders>
              <w:top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9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Allowance for doubtful accounts:</w:t>
            </w:r>
          </w:p>
        </w:tc>
        <w:tc>
          <w:tcPr>
            <w:tcW w:w="16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80" w:type="dxa"/>
            <w:vAlign w:val="bottom"/>
          </w:tcPr>
          <w:p>
            <w:pPr>
              <w:ind w:left="20"/>
              <w:spacing w:after="0" w:line="202" w:lineRule="exact"/>
              <w:rPr>
                <w:sz w:val="20"/>
                <w:szCs w:val="20"/>
                <w:color w:val="auto"/>
              </w:rPr>
            </w:pPr>
            <w:r>
              <w:rPr>
                <w:rFonts w:ascii="Arial" w:cs="Arial" w:eastAsia="Arial" w:hAnsi="Arial"/>
                <w:sz w:val="18"/>
                <w:szCs w:val="18"/>
                <w:color w:val="auto"/>
              </w:rPr>
              <w:t>Accounts receivable</w:t>
            </w:r>
          </w:p>
        </w:tc>
        <w:tc>
          <w:tcPr>
            <w:tcW w:w="186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w:t>
            </w: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378</w:t>
            </w:r>
          </w:p>
        </w:tc>
        <w:tc>
          <w:tcPr>
            <w:tcW w:w="3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315</w:t>
            </w:r>
          </w:p>
        </w:tc>
        <w:tc>
          <w:tcPr>
            <w:tcW w:w="420" w:type="dxa"/>
            <w:vAlign w:val="bottom"/>
            <w:gridSpan w:val="2"/>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(124 )</w:t>
            </w:r>
          </w:p>
        </w:tc>
        <w:tc>
          <w:tcPr>
            <w:tcW w:w="14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569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980" w:type="dxa"/>
            <w:vAlign w:val="bottom"/>
            <w:shd w:val="clear" w:color="auto" w:fill="CFF0FC"/>
          </w:tcPr>
          <w:p>
            <w:pPr>
              <w:ind w:left="20"/>
              <w:spacing w:after="0" w:line="183" w:lineRule="exact"/>
              <w:rPr>
                <w:sz w:val="20"/>
                <w:szCs w:val="20"/>
                <w:color w:val="auto"/>
              </w:rPr>
            </w:pPr>
            <w:r>
              <w:rPr>
                <w:rFonts w:ascii="Arial" w:cs="Arial" w:eastAsia="Arial" w:hAnsi="Arial"/>
                <w:sz w:val="18"/>
                <w:szCs w:val="18"/>
                <w:b w:val="1"/>
                <w:bCs w:val="1"/>
                <w:color w:val="auto"/>
              </w:rPr>
              <w:t>Year ended December 31, 2019</w:t>
            </w:r>
          </w:p>
        </w:tc>
        <w:tc>
          <w:tcPr>
            <w:tcW w:w="16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980" w:type="dxa"/>
            <w:vAlign w:val="bottom"/>
          </w:tcPr>
          <w:p>
            <w:pPr>
              <w:ind w:left="20"/>
              <w:spacing w:after="0" w:line="202" w:lineRule="exact"/>
              <w:rPr>
                <w:sz w:val="20"/>
                <w:szCs w:val="20"/>
                <w:color w:val="auto"/>
              </w:rPr>
            </w:pPr>
            <w:r>
              <w:rPr>
                <w:rFonts w:ascii="Arial" w:cs="Arial" w:eastAsia="Arial" w:hAnsi="Arial"/>
                <w:sz w:val="18"/>
                <w:szCs w:val="18"/>
                <w:color w:val="auto"/>
              </w:rPr>
              <w:t>Allowance for doubtful accounts:</w:t>
            </w:r>
          </w:p>
        </w:tc>
        <w:tc>
          <w:tcPr>
            <w:tcW w:w="1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39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Accounts receivable</w:t>
            </w:r>
          </w:p>
        </w:tc>
        <w:tc>
          <w:tcPr>
            <w:tcW w:w="1860" w:type="dxa"/>
            <w:vAlign w:val="bottom"/>
            <w:gridSpan w:val="3"/>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137</w:t>
            </w:r>
          </w:p>
        </w:tc>
        <w:tc>
          <w:tcPr>
            <w:tcW w:w="36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694</w:t>
            </w:r>
          </w:p>
        </w:tc>
        <w:tc>
          <w:tcPr>
            <w:tcW w:w="420" w:type="dxa"/>
            <w:vAlign w:val="bottom"/>
            <w:gridSpan w:val="2"/>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180" w:type="dxa"/>
            <w:vAlign w:val="bottom"/>
            <w:gridSpan w:val="2"/>
            <w:shd w:val="clear" w:color="auto" w:fill="CFF0FC"/>
          </w:tcPr>
          <w:p>
            <w:pPr>
              <w:jc w:val="right"/>
              <w:ind w:right="160"/>
              <w:spacing w:after="0" w:line="202" w:lineRule="exact"/>
              <w:rPr>
                <w:sz w:val="20"/>
                <w:szCs w:val="20"/>
                <w:color w:val="auto"/>
              </w:rPr>
            </w:pPr>
            <w:r>
              <w:rPr>
                <w:rFonts w:ascii="Arial" w:cs="Arial" w:eastAsia="Arial" w:hAnsi="Arial"/>
                <w:sz w:val="18"/>
                <w:szCs w:val="18"/>
                <w:color w:val="auto"/>
              </w:rPr>
              <w:t>(453 )</w:t>
            </w:r>
          </w:p>
        </w:tc>
        <w:tc>
          <w:tcPr>
            <w:tcW w:w="1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378</w:t>
            </w:r>
          </w:p>
        </w:tc>
        <w:tc>
          <w:tcPr>
            <w:tcW w:w="6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399"/>
        </w:trPr>
        <w:tc>
          <w:tcPr>
            <w:tcW w:w="3980" w:type="dxa"/>
            <w:vAlign w:val="bottom"/>
            <w:tcBorders>
              <w:top w:val="single" w:sz="8" w:color="CFF0FC"/>
            </w:tcBorders>
          </w:tcPr>
          <w:p>
            <w:pPr>
              <w:spacing w:after="0"/>
              <w:rPr>
                <w:sz w:val="24"/>
                <w:szCs w:val="24"/>
                <w:color w:val="auto"/>
              </w:rPr>
            </w:pPr>
          </w:p>
        </w:tc>
        <w:tc>
          <w:tcPr>
            <w:tcW w:w="1760" w:type="dxa"/>
            <w:vAlign w:val="bottom"/>
            <w:tcBorders>
              <w:top w:val="single" w:sz="8" w:color="CFF0FC"/>
            </w:tcBorders>
            <w:gridSpan w:val="2"/>
          </w:tcPr>
          <w:p>
            <w:pPr>
              <w:jc w:val="right"/>
              <w:ind w:right="20"/>
              <w:spacing w:after="0"/>
              <w:rPr>
                <w:sz w:val="20"/>
                <w:szCs w:val="20"/>
                <w:color w:val="auto"/>
              </w:rPr>
            </w:pPr>
            <w:r>
              <w:rPr>
                <w:rFonts w:ascii="Arial" w:cs="Arial" w:eastAsia="Arial" w:hAnsi="Arial"/>
                <w:sz w:val="18"/>
                <w:szCs w:val="18"/>
                <w:color w:val="auto"/>
              </w:rPr>
              <w:t>87</w:t>
            </w:r>
          </w:p>
        </w:tc>
        <w:tc>
          <w:tcPr>
            <w:tcW w:w="10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80" w:type="dxa"/>
            <w:vAlign w:val="bottom"/>
            <w:tcBorders>
              <w:top w:val="single" w:sz="8" w:color="CFF0FC"/>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6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3980" w:type="dxa"/>
            <w:vAlign w:val="bottom"/>
            <w:tcBorders>
              <w:bottom w:val="single" w:sz="8" w:color="9A9A9A"/>
            </w:tcBorders>
          </w:tcPr>
          <w:p>
            <w:pPr>
              <w:spacing w:after="0"/>
              <w:rPr>
                <w:sz w:val="8"/>
                <w:szCs w:val="8"/>
                <w:color w:val="auto"/>
              </w:rPr>
            </w:pPr>
          </w:p>
        </w:tc>
        <w:tc>
          <w:tcPr>
            <w:tcW w:w="162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12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06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96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06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4419600</wp:posOffset>
            </wp:positionH>
            <wp:positionV relativeFrom="paragraph">
              <wp:posOffset>-1191260</wp:posOffset>
            </wp:positionV>
            <wp:extent cx="51435"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-1173480</wp:posOffset>
            </wp:positionV>
            <wp:extent cx="51435"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6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-1191260</wp:posOffset>
            </wp:positionV>
            <wp:extent cx="43180"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1">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-1173480</wp:posOffset>
            </wp:positionV>
            <wp:extent cx="43180"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2">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-1191260</wp:posOffset>
            </wp:positionV>
            <wp:extent cx="60325"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-1173480</wp:posOffset>
            </wp:positionV>
            <wp:extent cx="60325"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-1191260</wp:posOffset>
            </wp:positionV>
            <wp:extent cx="43180"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5">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-1173480</wp:posOffset>
            </wp:positionV>
            <wp:extent cx="43180"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6">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-368300</wp:posOffset>
            </wp:positionV>
            <wp:extent cx="51435" cy="889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7">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-350520</wp:posOffset>
            </wp:positionV>
            <wp:extent cx="51435" cy="8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-368300</wp:posOffset>
            </wp:positionV>
            <wp:extent cx="43180" cy="889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9">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-350520</wp:posOffset>
            </wp:positionV>
            <wp:extent cx="43180"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70">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-368300</wp:posOffset>
            </wp:positionV>
            <wp:extent cx="60325" cy="889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-350520</wp:posOffset>
            </wp:positionV>
            <wp:extent cx="60325"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-368300</wp:posOffset>
            </wp:positionV>
            <wp:extent cx="43180" cy="889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3">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-350520</wp:posOffset>
            </wp:positionV>
            <wp:extent cx="43180"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4">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90" w:name="page91"/>
    <w:bookmarkEnd w:id="90"/>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10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108" w:lineRule="exact"/>
        <w:rPr>
          <w:sz w:val="20"/>
          <w:szCs w:val="20"/>
          <w:color w:val="auto"/>
        </w:rPr>
      </w:pPr>
    </w:p>
    <w:p>
      <w:pPr>
        <w:ind w:firstLine="636"/>
        <w:spacing w:after="0" w:line="238" w:lineRule="auto"/>
        <w:rPr>
          <w:sz w:val="20"/>
          <w:szCs w:val="20"/>
          <w:color w:val="auto"/>
        </w:rPr>
      </w:pPr>
      <w:r>
        <w:rPr>
          <w:rFonts w:ascii="Arial" w:cs="Arial" w:eastAsia="Arial" w:hAnsi="Arial"/>
          <w:sz w:val="18"/>
          <w:szCs w:val="18"/>
          <w:color w:val="auto"/>
        </w:rPr>
        <w:t>As required by Rule 13a-15(b) under the Securities Exchange Act of 1934, as amended (the “Exchange Act”), our management, including our Chief Executive Officer and Chief Financial Officer, evaluated the effectiveness of our disclosure controls and procedures as of the end of the period covered by this Annual Form 10-K. Based upon that evaluation, our Chief Executive Officer and Chief Financial Officer concluded that, as of the end of the period covered by this Annual Report on Form 10-K, our disclosure controls and procedures were effective to provide reasonable assurance that information required to be disclosed by us in the reports that we file or submit under the Exchange Act is recorded, processed, summarized, and reported within the time periods specified in the SEC’s rules and forms and to provide reasonable assurance that such information is accumulated and communicated to our management, including our Chief Executive Officer and Chief Financial Officer, as appropriate to allow timely decisions regarding required disclosure.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Management's Report on Internal Control over Financial Reporting</w:t>
      </w:r>
    </w:p>
    <w:p>
      <w:pPr>
        <w:spacing w:after="0" w:line="104" w:lineRule="exact"/>
        <w:rPr>
          <w:sz w:val="20"/>
          <w:szCs w:val="20"/>
          <w:color w:val="auto"/>
        </w:rPr>
      </w:pPr>
    </w:p>
    <w:p>
      <w:pPr>
        <w:ind w:right="160" w:firstLine="644"/>
        <w:spacing w:after="0" w:line="248" w:lineRule="auto"/>
        <w:rPr>
          <w:sz w:val="20"/>
          <w:szCs w:val="20"/>
          <w:color w:val="auto"/>
        </w:rPr>
      </w:pPr>
      <w:r>
        <w:rPr>
          <w:rFonts w:ascii="Arial" w:cs="Arial" w:eastAsia="Arial" w:hAnsi="Arial"/>
          <w:sz w:val="18"/>
          <w:szCs w:val="18"/>
          <w:color w:val="auto"/>
        </w:rPr>
        <w:t>The Annual Report on Form 10-K does not include a report of management's assessment regarding internal control over financial reporting or an attestation report of our independent registered public accounting firm due to a transition period established by the rules of the SEC for newly public companies.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04" w:lineRule="exact"/>
        <w:rPr>
          <w:sz w:val="20"/>
          <w:szCs w:val="20"/>
          <w:color w:val="auto"/>
        </w:rPr>
      </w:pPr>
    </w:p>
    <w:p>
      <w:pPr>
        <w:ind w:right="40" w:firstLine="644"/>
        <w:spacing w:after="0" w:line="261" w:lineRule="auto"/>
        <w:rPr>
          <w:sz w:val="20"/>
          <w:szCs w:val="20"/>
          <w:color w:val="auto"/>
        </w:rPr>
      </w:pPr>
      <w:r>
        <w:rPr>
          <w:rFonts w:ascii="Arial" w:cs="Arial" w:eastAsia="Arial" w:hAnsi="Arial"/>
          <w:sz w:val="18"/>
          <w:szCs w:val="18"/>
          <w:color w:val="auto"/>
        </w:rPr>
        <w:t>There were no changes to our internal control over financial reporting that occurred during the year ended December 31, 2021 that have materially affected, or are reasonably likely to materially affect, our internal control over financial reporting.</w:t>
      </w:r>
    </w:p>
    <w:p>
      <w:pPr>
        <w:spacing w:after="0" w:line="130" w:lineRule="exact"/>
        <w:rPr>
          <w:sz w:val="20"/>
          <w:szCs w:val="20"/>
          <w:color w:val="auto"/>
        </w:rPr>
      </w:pPr>
    </w:p>
    <w:p>
      <w:pPr>
        <w:ind w:right="40" w:firstLine="644"/>
        <w:spacing w:after="0" w:line="279" w:lineRule="auto"/>
        <w:rPr>
          <w:sz w:val="20"/>
          <w:szCs w:val="20"/>
          <w:color w:val="auto"/>
        </w:rPr>
      </w:pPr>
      <w:r>
        <w:rPr>
          <w:rFonts w:ascii="Arial" w:cs="Arial" w:eastAsia="Arial" w:hAnsi="Arial"/>
          <w:sz w:val="16"/>
          <w:szCs w:val="16"/>
          <w:color w:val="auto"/>
        </w:rPr>
        <w:t>Our disclosure controls and procedures are designed to provide reasonable assurance of achieving their objectives as specified above. However, our management, including our Chief Executive Officer and Chief Financial Officer, does not expect that our disclosure controls and procedures will prevent or detect all error and fraud. Any control system, no matter how well designed and operated, is based upon certain assumptions and can provide only reasonable, not absolute, assurance that its objectives will be met. Further, no evaluation of controls can provide absolute assurance that misstatements due to error or fraud will not occur or that all control issues and instances of fraud, if any, within our company have been detected.</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10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9C. Disclosure Regarding Foreign Jurisdictions that Prevent Inspections.</w:t>
      </w:r>
    </w:p>
    <w:p>
      <w:pPr>
        <w:spacing w:after="0" w:line="11" w:lineRule="exact"/>
        <w:rPr>
          <w:sz w:val="20"/>
          <w:szCs w:val="20"/>
          <w:color w:val="auto"/>
        </w:rPr>
      </w:pPr>
    </w:p>
    <w:p>
      <w:pPr>
        <w:ind w:left="720"/>
        <w:spacing w:after="0"/>
        <w:rPr>
          <w:sz w:val="20"/>
          <w:szCs w:val="20"/>
          <w:color w:val="auto"/>
        </w:rPr>
      </w:pPr>
      <w:r>
        <w:rPr>
          <w:rFonts w:ascii="Arial" w:cs="Arial" w:eastAsia="Arial" w:hAnsi="Arial"/>
          <w:sz w:val="18"/>
          <w:szCs w:val="18"/>
          <w:color w:val="auto"/>
        </w:rPr>
        <w:t>Not applicable.</w:t>
      </w:r>
    </w:p>
    <w:p>
      <w:pPr>
        <w:jc w:val="center"/>
        <w:ind w:right="-1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91" w:name="page92"/>
    <w:bookmarkEnd w:id="91"/>
    <w:p>
      <w:pPr>
        <w:jc w:val="center"/>
        <w:ind w:right="-19"/>
        <w:spacing w:after="0"/>
        <w:rPr>
          <w:sz w:val="20"/>
          <w:szCs w:val="20"/>
          <w:color w:val="auto"/>
        </w:rPr>
      </w:pPr>
      <w:r>
        <w:rPr>
          <w:rFonts w:ascii="Arial" w:cs="Arial" w:eastAsia="Arial" w:hAnsi="Arial"/>
          <w:sz w:val="18"/>
          <w:szCs w:val="18"/>
          <w:b w:val="1"/>
          <w:bCs w:val="1"/>
          <w:color w:val="auto"/>
        </w:rPr>
        <w:t>PART III</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108" w:lineRule="exact"/>
        <w:rPr>
          <w:sz w:val="20"/>
          <w:szCs w:val="20"/>
          <w:color w:val="auto"/>
        </w:rPr>
      </w:pPr>
    </w:p>
    <w:p>
      <w:pPr>
        <w:jc w:val="both"/>
        <w:ind w:right="20" w:firstLine="644"/>
        <w:spacing w:after="0" w:line="248" w:lineRule="auto"/>
        <w:rPr>
          <w:sz w:val="20"/>
          <w:szCs w:val="20"/>
          <w:color w:val="auto"/>
        </w:rPr>
      </w:pPr>
      <w:r>
        <w:rPr>
          <w:rFonts w:ascii="Arial" w:cs="Arial" w:eastAsia="Arial" w:hAnsi="Arial"/>
          <w:sz w:val="18"/>
          <w:szCs w:val="18"/>
          <w:color w:val="auto"/>
        </w:rPr>
        <w:t>The information required by this item, including information about our Directors, Executive Officers and Audit Committee and Code of Conduct, is incorporated by reference to the definitive Proxy Statement for our 2022 Annual Meeting of Stockholders, which will be filed with the SEC, no later than 120 days after December 31, 2021.</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08" w:lineRule="exact"/>
        <w:rPr>
          <w:sz w:val="20"/>
          <w:szCs w:val="20"/>
          <w:color w:val="auto"/>
        </w:rPr>
      </w:pPr>
    </w:p>
    <w:p>
      <w:pPr>
        <w:jc w:val="both"/>
        <w:ind w:firstLine="644"/>
        <w:spacing w:after="0" w:line="261" w:lineRule="auto"/>
        <w:rPr>
          <w:sz w:val="20"/>
          <w:szCs w:val="20"/>
          <w:color w:val="auto"/>
        </w:rPr>
      </w:pPr>
      <w:r>
        <w:rPr>
          <w:rFonts w:ascii="Arial" w:cs="Arial" w:eastAsia="Arial" w:hAnsi="Arial"/>
          <w:sz w:val="18"/>
          <w:szCs w:val="18"/>
          <w:color w:val="auto"/>
        </w:rPr>
        <w:t>The information required by this item is incorporated by reference to the definitive Proxy Statement for our 2022 Annual Meeting of Stockholders, which will be filed with the SEC no later than 120 days after December 31, 2021.</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08" w:lineRule="exact"/>
        <w:rPr>
          <w:sz w:val="20"/>
          <w:szCs w:val="20"/>
          <w:color w:val="auto"/>
        </w:rPr>
      </w:pPr>
    </w:p>
    <w:p>
      <w:pPr>
        <w:jc w:val="both"/>
        <w:ind w:firstLine="644"/>
        <w:spacing w:after="0" w:line="261" w:lineRule="auto"/>
        <w:rPr>
          <w:sz w:val="20"/>
          <w:szCs w:val="20"/>
          <w:color w:val="auto"/>
        </w:rPr>
      </w:pPr>
      <w:r>
        <w:rPr>
          <w:rFonts w:ascii="Arial" w:cs="Arial" w:eastAsia="Arial" w:hAnsi="Arial"/>
          <w:sz w:val="18"/>
          <w:szCs w:val="18"/>
          <w:color w:val="auto"/>
        </w:rPr>
        <w:t>The information required by this item is incorporated by reference to the definitive Proxy Statement for our 2022 Annual Meeting of Stockholders, which will be filed with the SEC no later than 120 days after December 31, 2021.</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108" w:lineRule="exact"/>
        <w:rPr>
          <w:sz w:val="20"/>
          <w:szCs w:val="20"/>
          <w:color w:val="auto"/>
        </w:rPr>
      </w:pPr>
    </w:p>
    <w:p>
      <w:pPr>
        <w:jc w:val="both"/>
        <w:ind w:firstLine="644"/>
        <w:spacing w:after="0" w:line="261" w:lineRule="auto"/>
        <w:rPr>
          <w:sz w:val="20"/>
          <w:szCs w:val="20"/>
          <w:color w:val="auto"/>
        </w:rPr>
      </w:pPr>
      <w:r>
        <w:rPr>
          <w:rFonts w:ascii="Arial" w:cs="Arial" w:eastAsia="Arial" w:hAnsi="Arial"/>
          <w:sz w:val="18"/>
          <w:szCs w:val="18"/>
          <w:color w:val="auto"/>
        </w:rPr>
        <w:t>The information required by this item is incorporated by reference to the definitive Proxy Statement for our 2022 Annual Meeting of Stockholders, which will be filed with the SEC no later than 120 days after December 31, 2021.</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108" w:lineRule="exact"/>
        <w:rPr>
          <w:sz w:val="20"/>
          <w:szCs w:val="20"/>
          <w:color w:val="auto"/>
        </w:rPr>
      </w:pPr>
    </w:p>
    <w:p>
      <w:pPr>
        <w:jc w:val="both"/>
        <w:ind w:firstLine="644"/>
        <w:spacing w:after="0" w:line="244" w:lineRule="auto"/>
        <w:rPr>
          <w:sz w:val="20"/>
          <w:szCs w:val="20"/>
          <w:color w:val="auto"/>
        </w:rPr>
      </w:pPr>
      <w:r>
        <w:rPr>
          <w:rFonts w:ascii="Arial" w:cs="Arial" w:eastAsia="Arial" w:hAnsi="Arial"/>
          <w:sz w:val="18"/>
          <w:szCs w:val="18"/>
          <w:color w:val="auto"/>
        </w:rPr>
        <w:t>The information required by this item is incorporated by reference to the definitive Proxy Statement for our 2022 Annual Meeting of Stockholders, which will be filed with the SEC no later than 120 days after December 31, 2021.</w:t>
      </w:r>
    </w:p>
    <w:p>
      <w:pPr>
        <w:jc w:val="center"/>
        <w:ind w:right="-1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92" w:name="page93"/>
    <w:bookmarkEnd w:id="92"/>
    <w:p>
      <w:pPr>
        <w:jc w:val="center"/>
        <w:ind w:right="-159"/>
        <w:spacing w:after="0"/>
        <w:rPr>
          <w:sz w:val="20"/>
          <w:szCs w:val="20"/>
          <w:color w:val="auto"/>
        </w:rPr>
      </w:pPr>
      <w:r>
        <w:rPr>
          <w:rFonts w:ascii="Arial" w:cs="Arial" w:eastAsia="Arial" w:hAnsi="Arial"/>
          <w:sz w:val="18"/>
          <w:szCs w:val="18"/>
          <w:b w:val="1"/>
          <w:bCs w:val="1"/>
          <w:color w:val="auto"/>
        </w:rPr>
        <w:t>PART IV</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Financial Statement Schedules.</w:t>
      </w:r>
    </w:p>
    <w:p>
      <w:pPr>
        <w:spacing w:after="0" w:line="10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documents are filed as a part of this Annual Report on Form 10-K:</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Financial Statements</w:t>
      </w:r>
    </w:p>
    <w:p>
      <w:pPr>
        <w:spacing w:after="0" w:line="104" w:lineRule="exact"/>
        <w:rPr>
          <w:sz w:val="20"/>
          <w:szCs w:val="20"/>
          <w:color w:val="auto"/>
        </w:rPr>
      </w:pPr>
    </w:p>
    <w:p>
      <w:pPr>
        <w:ind w:firstLine="644"/>
        <w:spacing w:after="0" w:line="261" w:lineRule="auto"/>
        <w:rPr>
          <w:sz w:val="20"/>
          <w:szCs w:val="20"/>
          <w:color w:val="auto"/>
        </w:rPr>
      </w:pPr>
      <w:r>
        <w:rPr>
          <w:rFonts w:ascii="Arial" w:cs="Arial" w:eastAsia="Arial" w:hAnsi="Arial"/>
          <w:sz w:val="18"/>
          <w:szCs w:val="18"/>
          <w:color w:val="auto"/>
        </w:rPr>
        <w:t>Our Consolidated Financial Statements are listed in the “Index to Consolidated Financial Statements” under Part II, Item 8 of this Annual Report on Form 10-K.</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 Financial Statement Schedules</w:t>
      </w:r>
    </w:p>
    <w:p>
      <w:pPr>
        <w:spacing w:after="0" w:line="104" w:lineRule="exact"/>
        <w:rPr>
          <w:sz w:val="20"/>
          <w:szCs w:val="20"/>
          <w:color w:val="auto"/>
        </w:rPr>
      </w:pPr>
    </w:p>
    <w:p>
      <w:pPr>
        <w:ind w:right="200" w:firstLine="644"/>
        <w:spacing w:after="0" w:line="261" w:lineRule="auto"/>
        <w:rPr>
          <w:sz w:val="20"/>
          <w:szCs w:val="20"/>
          <w:color w:val="auto"/>
        </w:rPr>
      </w:pPr>
      <w:r>
        <w:rPr>
          <w:rFonts w:ascii="Arial" w:cs="Arial" w:eastAsia="Arial" w:hAnsi="Arial"/>
          <w:sz w:val="18"/>
          <w:szCs w:val="18"/>
          <w:color w:val="auto"/>
        </w:rPr>
        <w:t>All financial statement schedules are omitted because the information called for is not required or is shown either in the consolidated financial statements or in the notes thereto.</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 Exhibits</w:t>
      </w:r>
    </w:p>
    <w:p>
      <w:pPr>
        <w:spacing w:after="0" w:line="13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exhibits listed below are filed as part of this Annual Report on Form 10-K, or are incorporated herein by reference, in each case as indicated</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below.</w:t>
      </w:r>
    </w:p>
    <w:p>
      <w:pPr>
        <w:jc w:val="center"/>
        <w:ind w:right="-15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324" w:right="499" w:bottom="1440" w:gutter="0" w:footer="0" w:header="0"/>
        </w:sectPr>
      </w:pPr>
    </w:p>
    <w:bookmarkStart w:id="93" w:name="page94"/>
    <w:bookmarkEnd w:id="93"/>
    <w:tbl>
      <w:tblPr>
        <w:tblLayout w:type="fixed"/>
        <w:tblInd w:w="0" w:type="dxa"/>
        <w:tblCellMar>
          <w:top w:w="0" w:type="dxa"/>
          <w:left w:w="0" w:type="dxa"/>
          <w:bottom w:w="0" w:type="dxa"/>
          <w:right w:w="0" w:type="dxa"/>
        </w:tblCellMar>
      </w:tblPr>
      <w:tr>
        <w:trPr>
          <w:trHeight w:val="234"/>
        </w:trPr>
        <w:tc>
          <w:tcPr>
            <w:tcW w:w="1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400" w:type="dxa"/>
            <w:vAlign w:val="bottom"/>
            <w:gridSpan w:val="37"/>
          </w:tcPr>
          <w:p>
            <w:pPr>
              <w:jc w:val="center"/>
              <w:ind w:right="4980"/>
              <w:spacing w:after="0"/>
              <w:rPr>
                <w:sz w:val="20"/>
                <w:szCs w:val="20"/>
                <w:color w:val="auto"/>
              </w:rPr>
            </w:pPr>
            <w:r>
              <w:rPr>
                <w:rFonts w:ascii="Arial" w:cs="Arial" w:eastAsia="Arial" w:hAnsi="Arial"/>
                <w:sz w:val="18"/>
                <w:szCs w:val="18"/>
                <w:b w:val="1"/>
                <w:bCs w:val="1"/>
                <w:color w:val="auto"/>
                <w:w w:val="94"/>
              </w:rPr>
              <w:t>Exhibit Index</w:t>
            </w:r>
          </w:p>
        </w:tc>
        <w:tc>
          <w:tcPr>
            <w:tcW w:w="0" w:type="dxa"/>
            <w:vAlign w:val="bottom"/>
          </w:tcPr>
          <w:p>
            <w:pPr>
              <w:spacing w:after="0"/>
              <w:rPr>
                <w:sz w:val="1"/>
                <w:szCs w:val="1"/>
                <w:color w:val="auto"/>
              </w:rPr>
            </w:pPr>
          </w:p>
        </w:tc>
      </w:tr>
      <w:tr>
        <w:trPr>
          <w:trHeight w:val="355"/>
        </w:trPr>
        <w:tc>
          <w:tcPr>
            <w:tcW w:w="1240" w:type="dxa"/>
            <w:vAlign w:val="bottom"/>
          </w:tcPr>
          <w:p>
            <w:pPr>
              <w:ind w:left="400"/>
              <w:spacing w:after="0"/>
              <w:rPr>
                <w:sz w:val="20"/>
                <w:szCs w:val="20"/>
                <w:color w:val="auto"/>
              </w:rPr>
            </w:pPr>
            <w:r>
              <w:rPr>
                <w:rFonts w:ascii="Arial" w:cs="Arial" w:eastAsia="Arial" w:hAnsi="Arial"/>
                <w:sz w:val="14"/>
                <w:szCs w:val="14"/>
                <w:b w:val="1"/>
                <w:bCs w:val="1"/>
                <w:color w:val="auto"/>
              </w:rPr>
              <w:t>Exhibit</w:t>
            </w: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960" w:type="dxa"/>
            <w:vAlign w:val="bottom"/>
            <w:gridSpan w:val="35"/>
            <w:vMerge w:val="restart"/>
          </w:tcPr>
          <w:p>
            <w:pPr>
              <w:ind w:left="58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1240" w:type="dxa"/>
            <w:vAlign w:val="bottom"/>
            <w:tcBorders>
              <w:bottom w:val="single" w:sz="8" w:color="auto"/>
            </w:tcBorders>
          </w:tcPr>
          <w:p>
            <w:pPr>
              <w:ind w:left="380"/>
              <w:spacing w:after="0"/>
              <w:rPr>
                <w:sz w:val="20"/>
                <w:szCs w:val="20"/>
                <w:color w:val="auto"/>
              </w:rPr>
            </w:pPr>
            <w:r>
              <w:rPr>
                <w:rFonts w:ascii="Arial" w:cs="Arial" w:eastAsia="Arial" w:hAnsi="Arial"/>
                <w:sz w:val="14"/>
                <w:szCs w:val="14"/>
                <w:b w:val="1"/>
                <w:bCs w:val="1"/>
                <w:color w:val="auto"/>
              </w:rPr>
              <w:t>Number</w:t>
            </w:r>
          </w:p>
        </w:tc>
        <w:tc>
          <w:tcPr>
            <w:tcW w:w="14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5960" w:type="dxa"/>
            <w:vAlign w:val="bottom"/>
            <w:tcBorders>
              <w:bottom w:val="single" w:sz="8" w:color="auto"/>
            </w:tcBorders>
            <w:gridSpan w:val="3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44"/>
        </w:trPr>
        <w:tc>
          <w:tcPr>
            <w:tcW w:w="1240" w:type="dxa"/>
            <w:vAlign w:val="bottom"/>
          </w:tcPr>
          <w:p>
            <w:pPr>
              <w:ind w:left="20"/>
              <w:spacing w:after="0"/>
              <w:rPr>
                <w:sz w:val="20"/>
                <w:szCs w:val="20"/>
                <w:color w:val="auto"/>
              </w:rPr>
            </w:pPr>
            <w:r>
              <w:rPr>
                <w:rFonts w:ascii="Arial" w:cs="Arial" w:eastAsia="Arial" w:hAnsi="Arial"/>
                <w:sz w:val="18"/>
                <w:szCs w:val="18"/>
                <w:color w:val="auto"/>
              </w:rPr>
              <w:t>3.1</w:t>
            </w:r>
          </w:p>
        </w:tc>
        <w:tc>
          <w:tcPr>
            <w:tcW w:w="140" w:type="dxa"/>
            <w:vAlign w:val="bottom"/>
          </w:tcPr>
          <w:p>
            <w:pPr>
              <w:spacing w:after="0"/>
              <w:rPr>
                <w:sz w:val="24"/>
                <w:szCs w:val="24"/>
                <w:color w:val="auto"/>
              </w:rPr>
            </w:pPr>
          </w:p>
        </w:tc>
        <w:tc>
          <w:tcPr>
            <w:tcW w:w="9940" w:type="dxa"/>
            <w:vAlign w:val="bottom"/>
            <w:gridSpan w:val="43"/>
          </w:tcPr>
          <w:p>
            <w:pPr>
              <w:spacing w:after="0"/>
              <w:rPr>
                <w:rFonts w:ascii="Arial" w:cs="Arial" w:eastAsia="Arial" w:hAnsi="Arial"/>
                <w:sz w:val="18"/>
                <w:szCs w:val="18"/>
                <w:color w:val="0000FF"/>
                <w:w w:val="93"/>
              </w:rPr>
            </w:pPr>
            <w:hyperlink r:id="rId380">
              <w:r>
                <w:rPr>
                  <w:rFonts w:ascii="Arial" w:cs="Arial" w:eastAsia="Arial" w:hAnsi="Arial"/>
                  <w:sz w:val="18"/>
                  <w:szCs w:val="18"/>
                  <w:color w:val="0000FF"/>
                  <w:w w:val="93"/>
                </w:rPr>
                <w:t>Amended and Restated Certificate of Incorporation of Xometry, Inc., (incorporated herein by reference to Exhibit 3.1 to the Company’s</w:t>
              </w:r>
            </w:hyperlink>
          </w:p>
        </w:tc>
        <w:tc>
          <w:tcPr>
            <w:tcW w:w="0" w:type="dxa"/>
            <w:vAlign w:val="bottom"/>
          </w:tcPr>
          <w:p>
            <w:pPr>
              <w:spacing w:after="0"/>
              <w:rPr>
                <w:sz w:val="1"/>
                <w:szCs w:val="1"/>
                <w:color w:val="auto"/>
              </w:rPr>
            </w:pPr>
          </w:p>
        </w:tc>
      </w:tr>
      <w:tr>
        <w:trPr>
          <w:trHeight w:val="156"/>
        </w:trPr>
        <w:tc>
          <w:tcPr>
            <w:tcW w:w="1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40" w:type="dxa"/>
            <w:vAlign w:val="bottom"/>
            <w:tcBorders>
              <w:top w:val="single" w:sz="8" w:color="0000FF"/>
            </w:tcBorders>
            <w:gridSpan w:val="38"/>
          </w:tcPr>
          <w:p>
            <w:pPr>
              <w:spacing w:after="0" w:line="156" w:lineRule="exact"/>
              <w:rPr>
                <w:rFonts w:ascii="Arial" w:cs="Arial" w:eastAsia="Arial" w:hAnsi="Arial"/>
                <w:sz w:val="18"/>
                <w:szCs w:val="18"/>
                <w:color w:val="0000FF"/>
              </w:rPr>
            </w:pPr>
            <w:hyperlink r:id="rId380">
              <w:r>
                <w:rPr>
                  <w:rFonts w:ascii="Arial" w:cs="Arial" w:eastAsia="Arial" w:hAnsi="Arial"/>
                  <w:sz w:val="18"/>
                  <w:szCs w:val="18"/>
                  <w:color w:val="0000FF"/>
                </w:rPr>
                <w:t>Current Report on Form 8-K (File No. 001-40546), filed with the SEC on July 2, 2021).</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240" w:type="dxa"/>
            <w:vAlign w:val="bottom"/>
          </w:tcPr>
          <w:p>
            <w:pPr>
              <w:ind w:left="20"/>
              <w:spacing w:after="0" w:line="169" w:lineRule="exact"/>
              <w:rPr>
                <w:sz w:val="20"/>
                <w:szCs w:val="20"/>
                <w:color w:val="auto"/>
              </w:rPr>
            </w:pPr>
            <w:r>
              <w:rPr>
                <w:rFonts w:ascii="Arial" w:cs="Arial" w:eastAsia="Arial" w:hAnsi="Arial"/>
                <w:sz w:val="18"/>
                <w:szCs w:val="18"/>
                <w:color w:val="auto"/>
              </w:rPr>
              <w:t>3.2</w:t>
            </w:r>
          </w:p>
        </w:tc>
        <w:tc>
          <w:tcPr>
            <w:tcW w:w="140" w:type="dxa"/>
            <w:vAlign w:val="bottom"/>
          </w:tcPr>
          <w:p>
            <w:pPr>
              <w:spacing w:after="0"/>
              <w:rPr>
                <w:sz w:val="14"/>
                <w:szCs w:val="14"/>
                <w:color w:val="auto"/>
              </w:rPr>
            </w:pPr>
          </w:p>
        </w:tc>
        <w:tc>
          <w:tcPr>
            <w:tcW w:w="6320" w:type="dxa"/>
            <w:vAlign w:val="bottom"/>
            <w:tcBorders>
              <w:top w:val="single" w:sz="8" w:color="0000FF"/>
            </w:tcBorders>
            <w:gridSpan w:val="16"/>
          </w:tcPr>
          <w:p>
            <w:pPr>
              <w:spacing w:after="0" w:line="169" w:lineRule="exact"/>
              <w:rPr>
                <w:rFonts w:ascii="Arial" w:cs="Arial" w:eastAsia="Arial" w:hAnsi="Arial"/>
                <w:sz w:val="18"/>
                <w:szCs w:val="18"/>
                <w:color w:val="0000FF"/>
                <w:w w:val="92"/>
              </w:rPr>
            </w:pPr>
            <w:hyperlink r:id="rId381">
              <w:r>
                <w:rPr>
                  <w:rFonts w:ascii="Arial" w:cs="Arial" w:eastAsia="Arial" w:hAnsi="Arial"/>
                  <w:sz w:val="18"/>
                  <w:szCs w:val="18"/>
                  <w:color w:val="0000FF"/>
                  <w:w w:val="92"/>
                </w:rPr>
                <w:t>Amended and Restated Bylaws of Xometry, Inc., (incorporated herein by reference to</w:t>
              </w:r>
            </w:hyperlink>
          </w:p>
        </w:tc>
        <w:tc>
          <w:tcPr>
            <w:tcW w:w="3620" w:type="dxa"/>
            <w:vAlign w:val="bottom"/>
            <w:gridSpan w:val="27"/>
          </w:tcPr>
          <w:p>
            <w:pPr>
              <w:spacing w:after="0" w:line="169" w:lineRule="exact"/>
              <w:rPr>
                <w:rFonts w:ascii="Arial" w:cs="Arial" w:eastAsia="Arial" w:hAnsi="Arial"/>
                <w:sz w:val="18"/>
                <w:szCs w:val="18"/>
                <w:color w:val="0000FF"/>
                <w:w w:val="95"/>
              </w:rPr>
            </w:pPr>
            <w:hyperlink r:id="rId381">
              <w:r>
                <w:rPr>
                  <w:rFonts w:ascii="Arial" w:cs="Arial" w:eastAsia="Arial" w:hAnsi="Arial"/>
                  <w:sz w:val="18"/>
                  <w:szCs w:val="18"/>
                  <w:color w:val="0000FF"/>
                  <w:w w:val="95"/>
                </w:rPr>
                <w:t>Exhibit 3.2 to the Company’s Current Report on</w:t>
              </w:r>
            </w:hyperlink>
          </w:p>
        </w:tc>
        <w:tc>
          <w:tcPr>
            <w:tcW w:w="0" w:type="dxa"/>
            <w:vAlign w:val="bottom"/>
          </w:tcPr>
          <w:p>
            <w:pPr>
              <w:spacing w:after="0"/>
              <w:rPr>
                <w:sz w:val="1"/>
                <w:szCs w:val="1"/>
                <w:color w:val="auto"/>
              </w:rPr>
            </w:pPr>
          </w:p>
        </w:tc>
      </w:tr>
      <w:tr>
        <w:trPr>
          <w:trHeight w:val="156"/>
        </w:trPr>
        <w:tc>
          <w:tcPr>
            <w:tcW w:w="1240" w:type="dxa"/>
            <w:vAlign w:val="bottom"/>
            <w:vMerge w:val="restart"/>
          </w:tcPr>
          <w:p>
            <w:pPr>
              <w:ind w:left="20"/>
              <w:spacing w:after="0"/>
              <w:rPr>
                <w:sz w:val="20"/>
                <w:szCs w:val="20"/>
                <w:color w:val="auto"/>
              </w:rPr>
            </w:pPr>
            <w:r>
              <w:rPr>
                <w:rFonts w:ascii="Arial" w:cs="Arial" w:eastAsia="Arial" w:hAnsi="Arial"/>
                <w:sz w:val="18"/>
                <w:szCs w:val="18"/>
                <w:color w:val="auto"/>
              </w:rPr>
              <w:t>4.1</w:t>
            </w:r>
          </w:p>
        </w:tc>
        <w:tc>
          <w:tcPr>
            <w:tcW w:w="140" w:type="dxa"/>
            <w:vAlign w:val="bottom"/>
          </w:tcPr>
          <w:p>
            <w:pPr>
              <w:spacing w:after="0"/>
              <w:rPr>
                <w:sz w:val="13"/>
                <w:szCs w:val="13"/>
                <w:color w:val="auto"/>
              </w:rPr>
            </w:pPr>
          </w:p>
        </w:tc>
        <w:tc>
          <w:tcPr>
            <w:tcW w:w="9720" w:type="dxa"/>
            <w:vAlign w:val="bottom"/>
            <w:tcBorders>
              <w:top w:val="single" w:sz="8" w:color="0000FF"/>
            </w:tcBorders>
            <w:gridSpan w:val="32"/>
          </w:tcPr>
          <w:p>
            <w:pPr>
              <w:spacing w:after="0" w:line="156" w:lineRule="exact"/>
              <w:rPr>
                <w:rFonts w:ascii="Arial" w:cs="Arial" w:eastAsia="Arial" w:hAnsi="Arial"/>
                <w:sz w:val="18"/>
                <w:szCs w:val="18"/>
                <w:color w:val="0000FF"/>
              </w:rPr>
            </w:pPr>
            <w:hyperlink r:id="rId381">
              <w:r>
                <w:rPr>
                  <w:rFonts w:ascii="Arial" w:cs="Arial" w:eastAsia="Arial" w:hAnsi="Arial"/>
                  <w:sz w:val="18"/>
                  <w:szCs w:val="18"/>
                  <w:color w:val="0000FF"/>
                </w:rPr>
                <w:t>Form 8-K (File No. 001-40546), filed with the SEC on July 2, 2021).</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40" w:type="dxa"/>
            <w:vAlign w:val="bottom"/>
            <w:vMerge w:val="continue"/>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2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9940" w:type="dxa"/>
            <w:vAlign w:val="bottom"/>
            <w:gridSpan w:val="43"/>
          </w:tcPr>
          <w:p>
            <w:pPr>
              <w:spacing w:after="0" w:line="169" w:lineRule="exact"/>
              <w:rPr>
                <w:rFonts w:ascii="Arial" w:cs="Arial" w:eastAsia="Arial" w:hAnsi="Arial"/>
                <w:sz w:val="18"/>
                <w:szCs w:val="18"/>
                <w:color w:val="0000FF"/>
                <w:w w:val="92"/>
              </w:rPr>
            </w:pPr>
            <w:hyperlink r:id="rId382">
              <w:r>
                <w:rPr>
                  <w:rFonts w:ascii="Arial" w:cs="Arial" w:eastAsia="Arial" w:hAnsi="Arial"/>
                  <w:sz w:val="18"/>
                  <w:szCs w:val="18"/>
                  <w:color w:val="0000FF"/>
                  <w:w w:val="92"/>
                </w:rPr>
                <w:t>Indenture, dated as of February 4, 2022, by and between Xometry, Inc. and U.S. Bank Trust Company, National Association as Trustee</w:t>
              </w:r>
            </w:hyperlink>
          </w:p>
        </w:tc>
        <w:tc>
          <w:tcPr>
            <w:tcW w:w="0" w:type="dxa"/>
            <w:vAlign w:val="bottom"/>
          </w:tcPr>
          <w:p>
            <w:pPr>
              <w:spacing w:after="0"/>
              <w:rPr>
                <w:sz w:val="1"/>
                <w:szCs w:val="1"/>
                <w:color w:val="auto"/>
              </w:rPr>
            </w:pPr>
          </w:p>
        </w:tc>
      </w:tr>
      <w:tr>
        <w:trPr>
          <w:trHeight w:val="155"/>
        </w:trPr>
        <w:tc>
          <w:tcPr>
            <w:tcW w:w="1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780" w:type="dxa"/>
            <w:vAlign w:val="bottom"/>
            <w:tcBorders>
              <w:top w:val="single" w:sz="8" w:color="0000FF"/>
            </w:tcBorders>
            <w:gridSpan w:val="35"/>
          </w:tcPr>
          <w:p>
            <w:pPr>
              <w:spacing w:after="0" w:line="156" w:lineRule="exact"/>
              <w:rPr>
                <w:rFonts w:ascii="Arial" w:cs="Arial" w:eastAsia="Arial" w:hAnsi="Arial"/>
                <w:sz w:val="18"/>
                <w:szCs w:val="18"/>
                <w:color w:val="0000FF"/>
                <w:w w:val="94"/>
              </w:rPr>
            </w:pPr>
            <w:hyperlink r:id="rId382">
              <w:r>
                <w:rPr>
                  <w:rFonts w:ascii="Arial" w:cs="Arial" w:eastAsia="Arial" w:hAnsi="Arial"/>
                  <w:sz w:val="18"/>
                  <w:szCs w:val="18"/>
                  <w:color w:val="0000FF"/>
                  <w:w w:val="94"/>
                </w:rPr>
                <w:t>(incorporated herein by reference to Exhibit 4.1 to the Company’s Current Report on Form 8-K (File No. 001-40546), filed with the</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240" w:type="dxa"/>
            <w:vAlign w:val="bottom"/>
            <w:vMerge w:val="restart"/>
          </w:tcPr>
          <w:p>
            <w:pPr>
              <w:ind w:left="20"/>
              <w:spacing w:after="0"/>
              <w:rPr>
                <w:sz w:val="20"/>
                <w:szCs w:val="20"/>
                <w:color w:val="auto"/>
              </w:rPr>
            </w:pPr>
            <w:r>
              <w:rPr>
                <w:rFonts w:ascii="Arial" w:cs="Arial" w:eastAsia="Arial" w:hAnsi="Arial"/>
                <w:sz w:val="18"/>
                <w:szCs w:val="18"/>
                <w:color w:val="auto"/>
              </w:rPr>
              <w:t>4.2</w:t>
            </w:r>
          </w:p>
        </w:tc>
        <w:tc>
          <w:tcPr>
            <w:tcW w:w="140" w:type="dxa"/>
            <w:vAlign w:val="bottom"/>
          </w:tcPr>
          <w:p>
            <w:pPr>
              <w:spacing w:after="0"/>
              <w:rPr>
                <w:sz w:val="13"/>
                <w:szCs w:val="13"/>
                <w:color w:val="auto"/>
              </w:rPr>
            </w:pPr>
          </w:p>
        </w:tc>
        <w:tc>
          <w:tcPr>
            <w:tcW w:w="1940" w:type="dxa"/>
            <w:vAlign w:val="bottom"/>
            <w:tcBorders>
              <w:top w:val="single" w:sz="8" w:color="0000FF"/>
              <w:bottom w:val="single" w:sz="8" w:color="0000FF"/>
            </w:tcBorders>
            <w:gridSpan w:val="3"/>
          </w:tcPr>
          <w:p>
            <w:pPr>
              <w:spacing w:after="0" w:line="156" w:lineRule="exact"/>
              <w:rPr>
                <w:rFonts w:ascii="Arial" w:cs="Arial" w:eastAsia="Arial" w:hAnsi="Arial"/>
                <w:sz w:val="18"/>
                <w:szCs w:val="18"/>
                <w:color w:val="0000FF"/>
                <w:w w:val="89"/>
              </w:rPr>
            </w:pPr>
            <w:hyperlink r:id="rId382">
              <w:r>
                <w:rPr>
                  <w:rFonts w:ascii="Arial" w:cs="Arial" w:eastAsia="Arial" w:hAnsi="Arial"/>
                  <w:sz w:val="18"/>
                  <w:szCs w:val="18"/>
                  <w:color w:val="0000FF"/>
                  <w:w w:val="89"/>
                </w:rPr>
                <w:t>SEC on February 4, 2022).</w:t>
              </w:r>
            </w:hyperlink>
          </w:p>
        </w:tc>
        <w:tc>
          <w:tcPr>
            <w:tcW w:w="20" w:type="dxa"/>
            <w:vAlign w:val="bottom"/>
            <w:tcBorders>
              <w:top w:val="single" w:sz="8" w:color="0000FF"/>
              <w:bottom w:val="single" w:sz="8" w:color="0000EE"/>
            </w:tcBorders>
          </w:tcPr>
          <w:p>
            <w:pPr>
              <w:spacing w:after="0"/>
              <w:rPr>
                <w:sz w:val="13"/>
                <w:szCs w:val="13"/>
                <w:color w:val="auto"/>
              </w:rPr>
            </w:pPr>
          </w:p>
        </w:tc>
        <w:tc>
          <w:tcPr>
            <w:tcW w:w="7560" w:type="dxa"/>
            <w:vAlign w:val="bottom"/>
            <w:tcBorders>
              <w:top w:val="single" w:sz="8" w:color="0000FF"/>
            </w:tcBorders>
            <w:gridSpan w:val="20"/>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2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9940" w:type="dxa"/>
            <w:vAlign w:val="bottom"/>
            <w:gridSpan w:val="43"/>
          </w:tcPr>
          <w:p>
            <w:pPr>
              <w:spacing w:after="0" w:line="169" w:lineRule="exact"/>
              <w:rPr>
                <w:rFonts w:ascii="Arial" w:cs="Arial" w:eastAsia="Arial" w:hAnsi="Arial"/>
                <w:sz w:val="18"/>
                <w:szCs w:val="18"/>
                <w:color w:val="0000FF"/>
                <w:w w:val="95"/>
              </w:rPr>
            </w:pPr>
            <w:hyperlink r:id="rId383">
              <w:r>
                <w:rPr>
                  <w:rFonts w:ascii="Arial" w:cs="Arial" w:eastAsia="Arial" w:hAnsi="Arial"/>
                  <w:sz w:val="18"/>
                  <w:szCs w:val="18"/>
                  <w:color w:val="0000FF"/>
                  <w:w w:val="95"/>
                </w:rPr>
                <w:t>Form of Global Note representing Xometry, Inc.’s 1.00% Convertible Senior Notes due 2027 (included as Exhibit A to the Indenture</w:t>
              </w:r>
            </w:hyperlink>
          </w:p>
        </w:tc>
        <w:tc>
          <w:tcPr>
            <w:tcW w:w="0" w:type="dxa"/>
            <w:vAlign w:val="bottom"/>
          </w:tcPr>
          <w:p>
            <w:pPr>
              <w:spacing w:after="0"/>
              <w:rPr>
                <w:sz w:val="1"/>
                <w:szCs w:val="1"/>
                <w:color w:val="auto"/>
              </w:rPr>
            </w:pPr>
          </w:p>
        </w:tc>
      </w:tr>
      <w:tr>
        <w:trPr>
          <w:trHeight w:val="155"/>
        </w:trPr>
        <w:tc>
          <w:tcPr>
            <w:tcW w:w="1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20" w:type="dxa"/>
            <w:vAlign w:val="bottom"/>
            <w:tcBorders>
              <w:top w:val="single" w:sz="8" w:color="0000FF"/>
            </w:tcBorders>
            <w:gridSpan w:val="27"/>
          </w:tcPr>
          <w:p>
            <w:pPr>
              <w:spacing w:after="0" w:line="156" w:lineRule="exact"/>
              <w:rPr>
                <w:rFonts w:ascii="Arial" w:cs="Arial" w:eastAsia="Arial" w:hAnsi="Arial"/>
                <w:sz w:val="18"/>
                <w:szCs w:val="18"/>
                <w:color w:val="0000FF"/>
                <w:w w:val="94"/>
              </w:rPr>
            </w:pPr>
            <w:hyperlink r:id="rId383">
              <w:r>
                <w:rPr>
                  <w:rFonts w:ascii="Arial" w:cs="Arial" w:eastAsia="Arial" w:hAnsi="Arial"/>
                  <w:sz w:val="18"/>
                  <w:szCs w:val="18"/>
                  <w:color w:val="0000FF"/>
                  <w:w w:val="94"/>
                </w:rPr>
                <w:t>filed as Exhibit 4.1) (incorporated herein by reference to Exhibit 4.2 to the Company’s Current Report on Form 8-K (File No. 001-</w:t>
              </w:r>
            </w:hyperlink>
          </w:p>
        </w:tc>
        <w:tc>
          <w:tcPr>
            <w:tcW w:w="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240" w:type="dxa"/>
            <w:vAlign w:val="bottom"/>
            <w:vMerge w:val="restart"/>
          </w:tcPr>
          <w:p>
            <w:pPr>
              <w:ind w:left="20"/>
              <w:spacing w:after="0"/>
              <w:rPr>
                <w:sz w:val="20"/>
                <w:szCs w:val="20"/>
                <w:color w:val="auto"/>
              </w:rPr>
            </w:pPr>
            <w:r>
              <w:rPr>
                <w:rFonts w:ascii="Arial" w:cs="Arial" w:eastAsia="Arial" w:hAnsi="Arial"/>
                <w:sz w:val="18"/>
                <w:szCs w:val="18"/>
                <w:color w:val="auto"/>
              </w:rPr>
              <w:t>4.3*</w:t>
            </w:r>
          </w:p>
        </w:tc>
        <w:tc>
          <w:tcPr>
            <w:tcW w:w="140" w:type="dxa"/>
            <w:vAlign w:val="bottom"/>
          </w:tcPr>
          <w:p>
            <w:pPr>
              <w:spacing w:after="0"/>
              <w:rPr>
                <w:sz w:val="13"/>
                <w:szCs w:val="13"/>
                <w:color w:val="auto"/>
              </w:rPr>
            </w:pPr>
          </w:p>
        </w:tc>
        <w:tc>
          <w:tcPr>
            <w:tcW w:w="9400" w:type="dxa"/>
            <w:vAlign w:val="bottom"/>
            <w:tcBorders>
              <w:top w:val="single" w:sz="8" w:color="0000FF"/>
            </w:tcBorders>
            <w:gridSpan w:val="21"/>
          </w:tcPr>
          <w:p>
            <w:pPr>
              <w:spacing w:after="0" w:line="156" w:lineRule="exact"/>
              <w:rPr>
                <w:rFonts w:ascii="Arial" w:cs="Arial" w:eastAsia="Arial" w:hAnsi="Arial"/>
                <w:sz w:val="18"/>
                <w:szCs w:val="18"/>
                <w:color w:val="0000FF"/>
              </w:rPr>
            </w:pPr>
            <w:hyperlink r:id="rId383">
              <w:r>
                <w:rPr>
                  <w:rFonts w:ascii="Arial" w:cs="Arial" w:eastAsia="Arial" w:hAnsi="Arial"/>
                  <w:sz w:val="18"/>
                  <w:szCs w:val="18"/>
                  <w:color w:val="0000FF"/>
                </w:rPr>
                <w:t>40546)</w:t>
              </w:r>
              <w:r>
                <w:rPr>
                  <w:rFonts w:ascii="Arial" w:cs="Arial" w:eastAsia="Arial" w:hAnsi="Arial"/>
                  <w:sz w:val="18"/>
                  <w:szCs w:val="18"/>
                  <w:u w:val="single" w:color="auto"/>
                  <w:color w:val="0000FF"/>
                </w:rPr>
                <w:t>,</w:t>
              </w:r>
              <w:r>
                <w:rPr>
                  <w:rFonts w:ascii="Arial" w:cs="Arial" w:eastAsia="Arial" w:hAnsi="Arial"/>
                  <w:sz w:val="18"/>
                  <w:szCs w:val="18"/>
                  <w:color w:val="0000FF"/>
                </w:rPr>
                <w:t xml:space="preserve"> filed with the SEC on February 4, 2022).</w:t>
              </w:r>
            </w:hyperlink>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2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2680" w:type="dxa"/>
            <w:vAlign w:val="bottom"/>
            <w:tcBorders>
              <w:top w:val="single" w:sz="8" w:color="0000FF"/>
              <w:bottom w:val="single" w:sz="8" w:color="0000EE"/>
            </w:tcBorders>
            <w:gridSpan w:val="5"/>
          </w:tcPr>
          <w:p>
            <w:pPr>
              <w:spacing w:after="0" w:line="169" w:lineRule="exact"/>
              <w:rPr>
                <w:rFonts w:ascii="Arial" w:cs="Arial" w:eastAsia="Arial" w:hAnsi="Arial"/>
                <w:sz w:val="18"/>
                <w:szCs w:val="18"/>
                <w:color w:val="0000FF"/>
                <w:w w:val="91"/>
              </w:rPr>
            </w:pPr>
            <w:hyperlink w:anchor="page97">
              <w:r>
                <w:rPr>
                  <w:rFonts w:ascii="Arial" w:cs="Arial" w:eastAsia="Arial" w:hAnsi="Arial"/>
                  <w:sz w:val="18"/>
                  <w:szCs w:val="18"/>
                  <w:color w:val="0000FF"/>
                  <w:w w:val="91"/>
                </w:rPr>
                <w:t>Description of Registered Securities.</w:t>
              </w:r>
            </w:hyperlink>
          </w:p>
        </w:tc>
        <w:tc>
          <w:tcPr>
            <w:tcW w:w="860" w:type="dxa"/>
            <w:vAlign w:val="bottom"/>
            <w:tcBorders>
              <w:top w:val="single" w:sz="8" w:color="0000FF"/>
            </w:tcBorders>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8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60" w:type="dxa"/>
            <w:vAlign w:val="bottom"/>
            <w:gridSpan w:val="2"/>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60" w:type="dxa"/>
            <w:vAlign w:val="bottom"/>
            <w:gridSpan w:val="2"/>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240" w:type="dxa"/>
            <w:vAlign w:val="bottom"/>
          </w:tcPr>
          <w:p>
            <w:pPr>
              <w:ind w:left="20"/>
              <w:spacing w:after="0" w:line="169" w:lineRule="exact"/>
              <w:rPr>
                <w:sz w:val="20"/>
                <w:szCs w:val="20"/>
                <w:color w:val="auto"/>
              </w:rPr>
            </w:pPr>
            <w:r>
              <w:rPr>
                <w:rFonts w:ascii="Arial" w:cs="Arial" w:eastAsia="Arial" w:hAnsi="Arial"/>
                <w:sz w:val="18"/>
                <w:szCs w:val="18"/>
                <w:color w:val="auto"/>
              </w:rPr>
              <w:t>4.4</w:t>
            </w:r>
          </w:p>
        </w:tc>
        <w:tc>
          <w:tcPr>
            <w:tcW w:w="140" w:type="dxa"/>
            <w:vAlign w:val="bottom"/>
          </w:tcPr>
          <w:p>
            <w:pPr>
              <w:spacing w:after="0"/>
              <w:rPr>
                <w:sz w:val="14"/>
                <w:szCs w:val="14"/>
                <w:color w:val="auto"/>
              </w:rPr>
            </w:pPr>
          </w:p>
        </w:tc>
        <w:tc>
          <w:tcPr>
            <w:tcW w:w="9940" w:type="dxa"/>
            <w:vAlign w:val="bottom"/>
            <w:gridSpan w:val="43"/>
          </w:tcPr>
          <w:p>
            <w:pPr>
              <w:spacing w:after="0" w:line="169" w:lineRule="exact"/>
              <w:rPr>
                <w:rFonts w:ascii="Arial" w:cs="Arial" w:eastAsia="Arial" w:hAnsi="Arial"/>
                <w:sz w:val="18"/>
                <w:szCs w:val="18"/>
                <w:color w:val="0000FF"/>
                <w:w w:val="93"/>
              </w:rPr>
            </w:pPr>
            <w:hyperlink r:id="rId384">
              <w:r>
                <w:rPr>
                  <w:rFonts w:ascii="Arial" w:cs="Arial" w:eastAsia="Arial" w:hAnsi="Arial"/>
                  <w:sz w:val="18"/>
                  <w:szCs w:val="18"/>
                  <w:color w:val="0000FF"/>
                  <w:w w:val="93"/>
                </w:rPr>
                <w:t>Form of Class A Common Stock Certificate (incorporated herein by reference to Exhibit 4.1 to the Company’s Registration Statement</w:t>
              </w:r>
            </w:hyperlink>
          </w:p>
        </w:tc>
        <w:tc>
          <w:tcPr>
            <w:tcW w:w="0" w:type="dxa"/>
            <w:vAlign w:val="bottom"/>
          </w:tcPr>
          <w:p>
            <w:pPr>
              <w:spacing w:after="0"/>
              <w:rPr>
                <w:sz w:val="1"/>
                <w:szCs w:val="1"/>
                <w:color w:val="auto"/>
              </w:rPr>
            </w:pPr>
          </w:p>
        </w:tc>
      </w:tr>
      <w:tr>
        <w:trPr>
          <w:trHeight w:val="156"/>
        </w:trPr>
        <w:tc>
          <w:tcPr>
            <w:tcW w:w="1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80" w:type="dxa"/>
            <w:vAlign w:val="bottom"/>
            <w:tcBorders>
              <w:top w:val="single" w:sz="8" w:color="0000FF"/>
            </w:tcBorders>
            <w:gridSpan w:val="31"/>
          </w:tcPr>
          <w:p>
            <w:pPr>
              <w:spacing w:after="0" w:line="156" w:lineRule="exact"/>
              <w:rPr>
                <w:rFonts w:ascii="Arial" w:cs="Arial" w:eastAsia="Arial" w:hAnsi="Arial"/>
                <w:sz w:val="18"/>
                <w:szCs w:val="18"/>
                <w:color w:val="0000FF"/>
              </w:rPr>
            </w:pPr>
            <w:hyperlink r:id="rId384">
              <w:r>
                <w:rPr>
                  <w:rFonts w:ascii="Arial" w:cs="Arial" w:eastAsia="Arial" w:hAnsi="Arial"/>
                  <w:sz w:val="18"/>
                  <w:szCs w:val="18"/>
                  <w:color w:val="0000FF"/>
                </w:rPr>
                <w:t>on Form S-1/A (File No. 333-256769), filed with the SEC on June 25, 2021)</w:t>
              </w:r>
            </w:hyperlink>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240" w:type="dxa"/>
            <w:vAlign w:val="bottom"/>
          </w:tcPr>
          <w:p>
            <w:pPr>
              <w:ind w:left="20"/>
              <w:spacing w:after="0" w:line="169" w:lineRule="exact"/>
              <w:rPr>
                <w:sz w:val="20"/>
                <w:szCs w:val="20"/>
                <w:color w:val="auto"/>
              </w:rPr>
            </w:pPr>
            <w:r>
              <w:rPr>
                <w:rFonts w:ascii="Arial" w:cs="Arial" w:eastAsia="Arial" w:hAnsi="Arial"/>
                <w:sz w:val="18"/>
                <w:szCs w:val="18"/>
                <w:color w:val="auto"/>
              </w:rPr>
              <w:t>10.1+</w:t>
            </w:r>
          </w:p>
        </w:tc>
        <w:tc>
          <w:tcPr>
            <w:tcW w:w="140" w:type="dxa"/>
            <w:vAlign w:val="bottom"/>
          </w:tcPr>
          <w:p>
            <w:pPr>
              <w:spacing w:after="0"/>
              <w:rPr>
                <w:sz w:val="14"/>
                <w:szCs w:val="14"/>
                <w:color w:val="auto"/>
              </w:rPr>
            </w:pPr>
          </w:p>
        </w:tc>
        <w:tc>
          <w:tcPr>
            <w:tcW w:w="5500" w:type="dxa"/>
            <w:vAlign w:val="bottom"/>
            <w:tcBorders>
              <w:top w:val="single" w:sz="8" w:color="0000FF"/>
            </w:tcBorders>
            <w:gridSpan w:val="14"/>
          </w:tcPr>
          <w:p>
            <w:pPr>
              <w:spacing w:after="0" w:line="169" w:lineRule="exact"/>
              <w:rPr>
                <w:rFonts w:ascii="Arial" w:cs="Arial" w:eastAsia="Arial" w:hAnsi="Arial"/>
                <w:sz w:val="18"/>
                <w:szCs w:val="18"/>
                <w:color w:val="0000FF"/>
                <w:w w:val="92"/>
              </w:rPr>
            </w:pPr>
            <w:hyperlink r:id="rId385">
              <w:r>
                <w:rPr>
                  <w:rFonts w:ascii="Arial" w:cs="Arial" w:eastAsia="Arial" w:hAnsi="Arial"/>
                  <w:sz w:val="18"/>
                  <w:szCs w:val="18"/>
                  <w:color w:val="0000FF"/>
                  <w:w w:val="92"/>
                </w:rPr>
                <w:t>Xometry, Inc. 2021 Equity Incentive Plan (incorporated herein by reference</w:t>
              </w:r>
            </w:hyperlink>
          </w:p>
        </w:tc>
        <w:tc>
          <w:tcPr>
            <w:tcW w:w="20" w:type="dxa"/>
            <w:vAlign w:val="bottom"/>
            <w:tcBorders>
              <w:top w:val="single" w:sz="8" w:color="0000EE"/>
            </w:tcBorders>
          </w:tcPr>
          <w:p>
            <w:pPr>
              <w:spacing w:after="0"/>
              <w:rPr>
                <w:sz w:val="14"/>
                <w:szCs w:val="14"/>
                <w:color w:val="auto"/>
              </w:rPr>
            </w:pPr>
          </w:p>
        </w:tc>
        <w:tc>
          <w:tcPr>
            <w:tcW w:w="4420" w:type="dxa"/>
            <w:vAlign w:val="bottom"/>
            <w:gridSpan w:val="28"/>
          </w:tcPr>
          <w:p>
            <w:pPr>
              <w:jc w:val="right"/>
              <w:ind w:right="160"/>
              <w:spacing w:after="0" w:line="169" w:lineRule="exact"/>
              <w:rPr>
                <w:rFonts w:ascii="Arial" w:cs="Arial" w:eastAsia="Arial" w:hAnsi="Arial"/>
                <w:sz w:val="18"/>
                <w:szCs w:val="18"/>
                <w:color w:val="0000FF"/>
                <w:w w:val="89"/>
              </w:rPr>
            </w:pPr>
            <w:hyperlink r:id="rId385">
              <w:r>
                <w:rPr>
                  <w:rFonts w:ascii="Arial" w:cs="Arial" w:eastAsia="Arial" w:hAnsi="Arial"/>
                  <w:sz w:val="18"/>
                  <w:szCs w:val="18"/>
                  <w:color w:val="0000FF"/>
                  <w:w w:val="89"/>
                </w:rPr>
                <w:t>to Exhibit 10.9 to the Company’s Registration Statement on</w:t>
              </w:r>
            </w:hyperlink>
          </w:p>
        </w:tc>
        <w:tc>
          <w:tcPr>
            <w:tcW w:w="0" w:type="dxa"/>
            <w:vAlign w:val="bottom"/>
          </w:tcPr>
          <w:p>
            <w:pPr>
              <w:spacing w:after="0"/>
              <w:rPr>
                <w:sz w:val="1"/>
                <w:szCs w:val="1"/>
                <w:color w:val="auto"/>
              </w:rPr>
            </w:pPr>
          </w:p>
        </w:tc>
      </w:tr>
      <w:tr>
        <w:trPr>
          <w:trHeight w:val="155"/>
        </w:trPr>
        <w:tc>
          <w:tcPr>
            <w:tcW w:w="1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60" w:type="dxa"/>
            <w:vAlign w:val="bottom"/>
            <w:tcBorders>
              <w:top w:val="single" w:sz="8" w:color="0000FF"/>
            </w:tcBorders>
            <w:gridSpan w:val="39"/>
          </w:tcPr>
          <w:p>
            <w:pPr>
              <w:spacing w:after="0" w:line="156" w:lineRule="exact"/>
              <w:rPr>
                <w:rFonts w:ascii="Arial" w:cs="Arial" w:eastAsia="Arial" w:hAnsi="Arial"/>
                <w:sz w:val="18"/>
                <w:szCs w:val="18"/>
                <w:color w:val="0000FF"/>
              </w:rPr>
            </w:pPr>
            <w:hyperlink r:id="rId385">
              <w:r>
                <w:rPr>
                  <w:rFonts w:ascii="Arial" w:cs="Arial" w:eastAsia="Arial" w:hAnsi="Arial"/>
                  <w:sz w:val="18"/>
                  <w:szCs w:val="18"/>
                  <w:color w:val="0000FF"/>
                </w:rPr>
                <w:t>Form S-1/A (File No. 333-256769), filed with the SEC on June 21, 2021).</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240" w:type="dxa"/>
            <w:vAlign w:val="bottom"/>
          </w:tcPr>
          <w:p>
            <w:pPr>
              <w:ind w:left="20"/>
              <w:spacing w:after="0" w:line="169" w:lineRule="exact"/>
              <w:rPr>
                <w:sz w:val="20"/>
                <w:szCs w:val="20"/>
                <w:color w:val="auto"/>
              </w:rPr>
            </w:pPr>
            <w:r>
              <w:rPr>
                <w:rFonts w:ascii="Arial" w:cs="Arial" w:eastAsia="Arial" w:hAnsi="Arial"/>
                <w:sz w:val="18"/>
                <w:szCs w:val="18"/>
                <w:color w:val="auto"/>
              </w:rPr>
              <w:t>10.2+</w:t>
            </w:r>
          </w:p>
        </w:tc>
        <w:tc>
          <w:tcPr>
            <w:tcW w:w="140" w:type="dxa"/>
            <w:vAlign w:val="bottom"/>
          </w:tcPr>
          <w:p>
            <w:pPr>
              <w:spacing w:after="0"/>
              <w:rPr>
                <w:sz w:val="14"/>
                <w:szCs w:val="14"/>
                <w:color w:val="auto"/>
              </w:rPr>
            </w:pPr>
          </w:p>
        </w:tc>
        <w:tc>
          <w:tcPr>
            <w:tcW w:w="5320" w:type="dxa"/>
            <w:vAlign w:val="bottom"/>
            <w:tcBorders>
              <w:top w:val="single" w:sz="8" w:color="0000FF"/>
            </w:tcBorders>
            <w:gridSpan w:val="12"/>
          </w:tcPr>
          <w:p>
            <w:pPr>
              <w:spacing w:after="0" w:line="169" w:lineRule="exact"/>
              <w:rPr>
                <w:rFonts w:ascii="Arial" w:cs="Arial" w:eastAsia="Arial" w:hAnsi="Arial"/>
                <w:sz w:val="18"/>
                <w:szCs w:val="18"/>
                <w:color w:val="0000FF"/>
                <w:w w:val="88"/>
              </w:rPr>
            </w:pPr>
            <w:hyperlink r:id="rId386">
              <w:r>
                <w:rPr>
                  <w:rFonts w:ascii="Arial" w:cs="Arial" w:eastAsia="Arial" w:hAnsi="Arial"/>
                  <w:sz w:val="18"/>
                  <w:szCs w:val="18"/>
                  <w:color w:val="0000FF"/>
                  <w:w w:val="88"/>
                </w:rPr>
                <w:t>Forms of grant notice, stock option agreement and notice of exercise under</w:t>
              </w:r>
            </w:hyperlink>
          </w:p>
        </w:tc>
        <w:tc>
          <w:tcPr>
            <w:tcW w:w="20" w:type="dxa"/>
            <w:vAlign w:val="bottom"/>
            <w:tcBorders>
              <w:top w:val="single" w:sz="8" w:color="0000EE"/>
            </w:tcBorders>
          </w:tcPr>
          <w:p>
            <w:pPr>
              <w:spacing w:after="0"/>
              <w:rPr>
                <w:sz w:val="14"/>
                <w:szCs w:val="14"/>
                <w:color w:val="auto"/>
              </w:rPr>
            </w:pPr>
          </w:p>
        </w:tc>
        <w:tc>
          <w:tcPr>
            <w:tcW w:w="4600" w:type="dxa"/>
            <w:vAlign w:val="bottom"/>
            <w:gridSpan w:val="30"/>
          </w:tcPr>
          <w:p>
            <w:pPr>
              <w:ind w:left="100"/>
              <w:spacing w:after="0" w:line="169" w:lineRule="exact"/>
              <w:rPr>
                <w:rFonts w:ascii="Arial" w:cs="Arial" w:eastAsia="Arial" w:hAnsi="Arial"/>
                <w:sz w:val="18"/>
                <w:szCs w:val="18"/>
                <w:color w:val="0000FF"/>
                <w:w w:val="96"/>
              </w:rPr>
            </w:pPr>
            <w:hyperlink r:id="rId386">
              <w:r>
                <w:rPr>
                  <w:rFonts w:ascii="Arial" w:cs="Arial" w:eastAsia="Arial" w:hAnsi="Arial"/>
                  <w:sz w:val="18"/>
                  <w:szCs w:val="18"/>
                  <w:color w:val="0000FF"/>
                  <w:w w:val="96"/>
                </w:rPr>
                <w:t>the Xometry, Inc. 2021 Equity Incentive Plan (incorporated</w:t>
              </w:r>
            </w:hyperlink>
          </w:p>
        </w:tc>
        <w:tc>
          <w:tcPr>
            <w:tcW w:w="0" w:type="dxa"/>
            <w:vAlign w:val="bottom"/>
          </w:tcPr>
          <w:p>
            <w:pPr>
              <w:spacing w:after="0"/>
              <w:rPr>
                <w:sz w:val="1"/>
                <w:szCs w:val="1"/>
                <w:color w:val="auto"/>
              </w:rPr>
            </w:pPr>
          </w:p>
        </w:tc>
      </w:tr>
      <w:tr>
        <w:trPr>
          <w:trHeight w:val="156"/>
        </w:trPr>
        <w:tc>
          <w:tcPr>
            <w:tcW w:w="1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0" w:type="dxa"/>
            <w:vAlign w:val="bottom"/>
            <w:tcBorders>
              <w:top w:val="single" w:sz="8" w:color="0000FF"/>
              <w:bottom w:val="single" w:sz="8" w:color="0000FF"/>
            </w:tcBorders>
            <w:gridSpan w:val="36"/>
          </w:tcPr>
          <w:p>
            <w:pPr>
              <w:spacing w:after="0" w:line="156" w:lineRule="exact"/>
              <w:rPr>
                <w:rFonts w:ascii="Arial" w:cs="Arial" w:eastAsia="Arial" w:hAnsi="Arial"/>
                <w:sz w:val="18"/>
                <w:szCs w:val="18"/>
                <w:color w:val="0000FF"/>
                <w:w w:val="91"/>
              </w:rPr>
            </w:pPr>
            <w:hyperlink r:id="rId386">
              <w:r>
                <w:rPr>
                  <w:rFonts w:ascii="Arial" w:cs="Arial" w:eastAsia="Arial" w:hAnsi="Arial"/>
                  <w:sz w:val="18"/>
                  <w:szCs w:val="18"/>
                  <w:color w:val="0000FF"/>
                  <w:w w:val="91"/>
                </w:rPr>
                <w:t>herein by reference to Exhibit 10.10 to the Company’s Registration Statement on Form S-1/A (File No. 333-256769), filed with the SEC</w:t>
              </w:r>
            </w:hyperlink>
          </w:p>
        </w:tc>
        <w:tc>
          <w:tcPr>
            <w:tcW w:w="20" w:type="dxa"/>
            <w:vAlign w:val="bottom"/>
            <w:tcBorders>
              <w:bottom w:val="single" w:sz="8" w:color="0000FF"/>
            </w:tcBorders>
          </w:tcPr>
          <w:p>
            <w:pPr>
              <w:spacing w:after="0"/>
              <w:rPr>
                <w:sz w:val="13"/>
                <w:szCs w:val="13"/>
                <w:color w:val="auto"/>
              </w:rPr>
            </w:pPr>
          </w:p>
        </w:tc>
        <w:tc>
          <w:tcPr>
            <w:tcW w:w="60" w:type="dxa"/>
            <w:vAlign w:val="bottom"/>
            <w:tcBorders>
              <w:bottom w:val="single" w:sz="8" w:color="0000FF"/>
            </w:tcBorders>
            <w:gridSpan w:val="3"/>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920" w:type="dxa"/>
            <w:vAlign w:val="bottom"/>
            <w:gridSpan w:val="42"/>
          </w:tcPr>
          <w:p>
            <w:pPr>
              <w:spacing w:after="0" w:line="156" w:lineRule="exact"/>
              <w:rPr>
                <w:rFonts w:ascii="Arial" w:cs="Arial" w:eastAsia="Arial" w:hAnsi="Arial"/>
                <w:sz w:val="18"/>
                <w:szCs w:val="18"/>
                <w:color w:val="0000FF"/>
              </w:rPr>
            </w:pPr>
            <w:hyperlink r:id="rId386">
              <w:r>
                <w:rPr>
                  <w:rFonts w:ascii="Arial" w:cs="Arial" w:eastAsia="Arial" w:hAnsi="Arial"/>
                  <w:sz w:val="18"/>
                  <w:szCs w:val="18"/>
                  <w:color w:val="0000FF"/>
                </w:rPr>
                <w:t>on June 25, 2021).</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240" w:type="dxa"/>
            <w:vAlign w:val="bottom"/>
          </w:tcPr>
          <w:p>
            <w:pPr>
              <w:ind w:left="20"/>
              <w:spacing w:after="0" w:line="169" w:lineRule="exact"/>
              <w:rPr>
                <w:sz w:val="20"/>
                <w:szCs w:val="20"/>
                <w:color w:val="auto"/>
              </w:rPr>
            </w:pPr>
            <w:r>
              <w:rPr>
                <w:rFonts w:ascii="Arial" w:cs="Arial" w:eastAsia="Arial" w:hAnsi="Arial"/>
                <w:sz w:val="18"/>
                <w:szCs w:val="18"/>
                <w:color w:val="auto"/>
              </w:rPr>
              <w:t>10.3+</w:t>
            </w:r>
          </w:p>
        </w:tc>
        <w:tc>
          <w:tcPr>
            <w:tcW w:w="140" w:type="dxa"/>
            <w:vAlign w:val="bottom"/>
          </w:tcPr>
          <w:p>
            <w:pPr>
              <w:spacing w:after="0"/>
              <w:rPr>
                <w:sz w:val="14"/>
                <w:szCs w:val="14"/>
                <w:color w:val="auto"/>
              </w:rPr>
            </w:pPr>
          </w:p>
        </w:tc>
        <w:tc>
          <w:tcPr>
            <w:tcW w:w="1340" w:type="dxa"/>
            <w:vAlign w:val="bottom"/>
            <w:tcBorders>
              <w:top w:val="single" w:sz="8" w:color="0000FF"/>
            </w:tcBorders>
            <w:gridSpan w:val="2"/>
          </w:tcPr>
          <w:p>
            <w:pPr>
              <w:spacing w:after="0" w:line="169" w:lineRule="exact"/>
              <w:rPr>
                <w:rFonts w:ascii="Arial" w:cs="Arial" w:eastAsia="Arial" w:hAnsi="Arial"/>
                <w:sz w:val="18"/>
                <w:szCs w:val="18"/>
                <w:color w:val="0000FF"/>
                <w:w w:val="86"/>
              </w:rPr>
            </w:pPr>
            <w:hyperlink r:id="rId387">
              <w:r>
                <w:rPr>
                  <w:rFonts w:ascii="Arial" w:cs="Arial" w:eastAsia="Arial" w:hAnsi="Arial"/>
                  <w:sz w:val="18"/>
                  <w:szCs w:val="18"/>
                  <w:color w:val="0000FF"/>
                  <w:w w:val="86"/>
                </w:rPr>
                <w:t>Forms of restricted</w:t>
              </w:r>
            </w:hyperlink>
          </w:p>
        </w:tc>
        <w:tc>
          <w:tcPr>
            <w:tcW w:w="8600" w:type="dxa"/>
            <w:vAlign w:val="bottom"/>
            <w:gridSpan w:val="41"/>
          </w:tcPr>
          <w:p>
            <w:pPr>
              <w:ind w:left="60"/>
              <w:spacing w:after="0" w:line="169" w:lineRule="exact"/>
              <w:rPr>
                <w:rFonts w:ascii="Arial" w:cs="Arial" w:eastAsia="Arial" w:hAnsi="Arial"/>
                <w:sz w:val="18"/>
                <w:szCs w:val="18"/>
                <w:color w:val="0000FF"/>
                <w:w w:val="97"/>
              </w:rPr>
            </w:pPr>
            <w:hyperlink r:id="rId387">
              <w:r>
                <w:rPr>
                  <w:rFonts w:ascii="Arial" w:cs="Arial" w:eastAsia="Arial" w:hAnsi="Arial"/>
                  <w:sz w:val="18"/>
                  <w:szCs w:val="18"/>
                  <w:color w:val="0000FF"/>
                  <w:w w:val="97"/>
                </w:rPr>
                <w:t>stock unit grant notice and award agreement under the Xometry, Inc. 2021 Equity Incentive Plan (incorporated</w:t>
              </w:r>
            </w:hyperlink>
          </w:p>
        </w:tc>
        <w:tc>
          <w:tcPr>
            <w:tcW w:w="0" w:type="dxa"/>
            <w:vAlign w:val="bottom"/>
          </w:tcPr>
          <w:p>
            <w:pPr>
              <w:spacing w:after="0"/>
              <w:rPr>
                <w:sz w:val="1"/>
                <w:szCs w:val="1"/>
                <w:color w:val="auto"/>
              </w:rPr>
            </w:pPr>
          </w:p>
        </w:tc>
      </w:tr>
      <w:tr>
        <w:trPr>
          <w:trHeight w:val="156"/>
        </w:trPr>
        <w:tc>
          <w:tcPr>
            <w:tcW w:w="1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20" w:type="dxa"/>
            <w:vAlign w:val="bottom"/>
            <w:tcBorders>
              <w:top w:val="single" w:sz="8" w:color="0000FF"/>
            </w:tcBorders>
            <w:gridSpan w:val="22"/>
          </w:tcPr>
          <w:p>
            <w:pPr>
              <w:spacing w:after="0" w:line="156" w:lineRule="exact"/>
              <w:rPr>
                <w:rFonts w:ascii="Arial" w:cs="Arial" w:eastAsia="Arial" w:hAnsi="Arial"/>
                <w:sz w:val="18"/>
                <w:szCs w:val="18"/>
                <w:color w:val="0000FF"/>
                <w:w w:val="91"/>
              </w:rPr>
            </w:pPr>
            <w:hyperlink r:id="rId387">
              <w:r>
                <w:rPr>
                  <w:rFonts w:ascii="Arial" w:cs="Arial" w:eastAsia="Arial" w:hAnsi="Arial"/>
                  <w:sz w:val="18"/>
                  <w:szCs w:val="18"/>
                  <w:color w:val="0000FF"/>
                  <w:w w:val="91"/>
                </w:rPr>
                <w:t>herein by reference to Exhibit 10.11 to the Company’s Registration Statement on Form S-1/A (File No. 333-256769), filed with the</w:t>
              </w:r>
            </w:hyperlink>
          </w:p>
        </w:tc>
        <w:tc>
          <w:tcPr>
            <w:tcW w:w="60" w:type="dxa"/>
            <w:vAlign w:val="bottom"/>
          </w:tcPr>
          <w:p>
            <w:pPr>
              <w:spacing w:after="0"/>
              <w:rPr>
                <w:sz w:val="13"/>
                <w:szCs w:val="13"/>
                <w:color w:val="auto"/>
              </w:rPr>
            </w:pPr>
          </w:p>
        </w:tc>
        <w:tc>
          <w:tcPr>
            <w:tcW w:w="460" w:type="dxa"/>
            <w:vAlign w:val="bottom"/>
            <w:gridSpan w:val="20"/>
          </w:tcPr>
          <w:p>
            <w:pPr>
              <w:spacing w:after="0" w:line="156" w:lineRule="exact"/>
              <w:rPr>
                <w:rFonts w:ascii="Arial" w:cs="Arial" w:eastAsia="Arial" w:hAnsi="Arial"/>
                <w:sz w:val="18"/>
                <w:szCs w:val="18"/>
                <w:color w:val="0000FF"/>
              </w:rPr>
            </w:pPr>
            <w:hyperlink r:id="rId387">
              <w:r>
                <w:rPr>
                  <w:rFonts w:ascii="Arial" w:cs="Arial" w:eastAsia="Arial" w:hAnsi="Arial"/>
                  <w:sz w:val="18"/>
                  <w:szCs w:val="18"/>
                  <w:color w:val="0000FF"/>
                </w:rPr>
                <w:t>SEC</w:t>
              </w:r>
            </w:hyperlink>
          </w:p>
        </w:tc>
        <w:tc>
          <w:tcPr>
            <w:tcW w:w="0" w:type="dxa"/>
            <w:vAlign w:val="bottom"/>
          </w:tcPr>
          <w:p>
            <w:pPr>
              <w:spacing w:after="0"/>
              <w:rPr>
                <w:sz w:val="1"/>
                <w:szCs w:val="1"/>
                <w:color w:val="auto"/>
              </w:rPr>
            </w:pPr>
          </w:p>
        </w:tc>
      </w:tr>
      <w:tr>
        <w:trPr>
          <w:trHeight w:val="155"/>
        </w:trPr>
        <w:tc>
          <w:tcPr>
            <w:tcW w:w="1240" w:type="dxa"/>
            <w:vAlign w:val="bottom"/>
            <w:vMerge w:val="restart"/>
          </w:tcPr>
          <w:p>
            <w:pPr>
              <w:ind w:left="20"/>
              <w:spacing w:after="0"/>
              <w:rPr>
                <w:sz w:val="20"/>
                <w:szCs w:val="20"/>
                <w:color w:val="auto"/>
              </w:rPr>
            </w:pPr>
            <w:r>
              <w:rPr>
                <w:rFonts w:ascii="Arial" w:cs="Arial" w:eastAsia="Arial" w:hAnsi="Arial"/>
                <w:sz w:val="18"/>
                <w:szCs w:val="18"/>
                <w:color w:val="auto"/>
              </w:rPr>
              <w:t>10.4+</w:t>
            </w:r>
          </w:p>
        </w:tc>
        <w:tc>
          <w:tcPr>
            <w:tcW w:w="140" w:type="dxa"/>
            <w:vAlign w:val="bottom"/>
          </w:tcPr>
          <w:p>
            <w:pPr>
              <w:spacing w:after="0"/>
              <w:rPr>
                <w:sz w:val="13"/>
                <w:szCs w:val="13"/>
                <w:color w:val="auto"/>
              </w:rPr>
            </w:pPr>
          </w:p>
        </w:tc>
        <w:tc>
          <w:tcPr>
            <w:tcW w:w="9920" w:type="dxa"/>
            <w:vAlign w:val="bottom"/>
            <w:tcBorders>
              <w:top w:val="single" w:sz="8" w:color="0000FF"/>
            </w:tcBorders>
            <w:gridSpan w:val="42"/>
          </w:tcPr>
          <w:p>
            <w:pPr>
              <w:spacing w:after="0" w:line="156" w:lineRule="exact"/>
              <w:rPr>
                <w:rFonts w:ascii="Arial" w:cs="Arial" w:eastAsia="Arial" w:hAnsi="Arial"/>
                <w:sz w:val="18"/>
                <w:szCs w:val="18"/>
                <w:color w:val="0000FF"/>
              </w:rPr>
            </w:pPr>
            <w:hyperlink r:id="rId387">
              <w:r>
                <w:rPr>
                  <w:rFonts w:ascii="Arial" w:cs="Arial" w:eastAsia="Arial" w:hAnsi="Arial"/>
                  <w:sz w:val="18"/>
                  <w:szCs w:val="18"/>
                  <w:color w:val="0000FF"/>
                </w:rPr>
                <w:t>on June 25, 2021).</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40" w:type="dxa"/>
            <w:vAlign w:val="bottom"/>
            <w:vMerge w:val="continue"/>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620" w:type="dxa"/>
            <w:vAlign w:val="bottom"/>
            <w:tcBorders>
              <w:right w:val="single" w:sz="8" w:color="0000EE"/>
            </w:tcBorders>
            <w:shd w:val="clear" w:color="auto" w:fill="0000FF"/>
          </w:tcPr>
          <w:p>
            <w:pPr>
              <w:spacing w:after="0" w:line="20" w:lineRule="exact"/>
              <w:rPr>
                <w:sz w:val="1"/>
                <w:szCs w:val="1"/>
                <w:color w:val="auto"/>
              </w:rPr>
            </w:pPr>
          </w:p>
        </w:tc>
        <w:tc>
          <w:tcPr>
            <w:tcW w:w="26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00" w:type="dxa"/>
            <w:vAlign w:val="bottom"/>
            <w:gridSpan w:val="6"/>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2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9940" w:type="dxa"/>
            <w:vAlign w:val="bottom"/>
            <w:gridSpan w:val="43"/>
          </w:tcPr>
          <w:p>
            <w:pPr>
              <w:spacing w:after="0" w:line="169" w:lineRule="exact"/>
              <w:rPr>
                <w:rFonts w:ascii="Arial" w:cs="Arial" w:eastAsia="Arial" w:hAnsi="Arial"/>
                <w:sz w:val="18"/>
                <w:szCs w:val="18"/>
                <w:color w:val="0000FF"/>
                <w:w w:val="96"/>
              </w:rPr>
            </w:pPr>
            <w:hyperlink r:id="rId388">
              <w:r>
                <w:rPr>
                  <w:rFonts w:ascii="Arial" w:cs="Arial" w:eastAsia="Arial" w:hAnsi="Arial"/>
                  <w:sz w:val="18"/>
                  <w:szCs w:val="18"/>
                  <w:color w:val="0000FF"/>
                  <w:w w:val="96"/>
                </w:rPr>
                <w:t>Amended and Restated Employment Agreement by and between Xometry, Inc. and Randolph Altschuler, (incorporated herein by</w:t>
              </w:r>
            </w:hyperlink>
          </w:p>
        </w:tc>
        <w:tc>
          <w:tcPr>
            <w:tcW w:w="0" w:type="dxa"/>
            <w:vAlign w:val="bottom"/>
          </w:tcPr>
          <w:p>
            <w:pPr>
              <w:spacing w:after="0"/>
              <w:rPr>
                <w:sz w:val="1"/>
                <w:szCs w:val="1"/>
                <w:color w:val="auto"/>
              </w:rPr>
            </w:pPr>
          </w:p>
        </w:tc>
      </w:tr>
      <w:tr>
        <w:trPr>
          <w:trHeight w:val="156"/>
        </w:trPr>
        <w:tc>
          <w:tcPr>
            <w:tcW w:w="1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360" w:type="dxa"/>
            <w:vAlign w:val="bottom"/>
            <w:tcBorders>
              <w:top w:val="single" w:sz="8" w:color="0000FF"/>
            </w:tcBorders>
            <w:gridSpan w:val="20"/>
          </w:tcPr>
          <w:p>
            <w:pPr>
              <w:spacing w:after="0" w:line="156" w:lineRule="exact"/>
              <w:rPr>
                <w:rFonts w:ascii="Arial" w:cs="Arial" w:eastAsia="Arial" w:hAnsi="Arial"/>
                <w:sz w:val="18"/>
                <w:szCs w:val="18"/>
                <w:color w:val="0000FF"/>
                <w:w w:val="91"/>
              </w:rPr>
            </w:pPr>
            <w:hyperlink r:id="rId388">
              <w:r>
                <w:rPr>
                  <w:rFonts w:ascii="Arial" w:cs="Arial" w:eastAsia="Arial" w:hAnsi="Arial"/>
                  <w:sz w:val="18"/>
                  <w:szCs w:val="18"/>
                  <w:color w:val="0000FF"/>
                  <w:w w:val="91"/>
                </w:rPr>
                <w:t>reference to Exhibit 10.12 to the Company’s Registration Statement on Form S-1/A (File No. 333-256769), filed with the SEC on</w:t>
              </w:r>
            </w:hyperlink>
          </w:p>
        </w:tc>
        <w:tc>
          <w:tcPr>
            <w:tcW w:w="580" w:type="dxa"/>
            <w:vAlign w:val="bottom"/>
            <w:gridSpan w:val="23"/>
          </w:tcPr>
          <w:p>
            <w:pPr>
              <w:jc w:val="right"/>
              <w:ind w:right="240"/>
              <w:spacing w:after="0" w:line="156" w:lineRule="exact"/>
              <w:rPr>
                <w:rFonts w:ascii="Arial" w:cs="Arial" w:eastAsia="Arial" w:hAnsi="Arial"/>
                <w:sz w:val="18"/>
                <w:szCs w:val="18"/>
                <w:color w:val="0000FF"/>
                <w:w w:val="81"/>
              </w:rPr>
            </w:pPr>
            <w:hyperlink r:id="rId388">
              <w:r>
                <w:rPr>
                  <w:rFonts w:ascii="Arial" w:cs="Arial" w:eastAsia="Arial" w:hAnsi="Arial"/>
                  <w:sz w:val="18"/>
                  <w:szCs w:val="18"/>
                  <w:color w:val="0000FF"/>
                  <w:w w:val="81"/>
                </w:rPr>
                <w:t>June</w:t>
              </w:r>
            </w:hyperlink>
          </w:p>
        </w:tc>
        <w:tc>
          <w:tcPr>
            <w:tcW w:w="0" w:type="dxa"/>
            <w:vAlign w:val="bottom"/>
          </w:tcPr>
          <w:p>
            <w:pPr>
              <w:spacing w:after="0"/>
              <w:rPr>
                <w:sz w:val="1"/>
                <w:szCs w:val="1"/>
                <w:color w:val="auto"/>
              </w:rPr>
            </w:pPr>
          </w:p>
        </w:tc>
      </w:tr>
      <w:tr>
        <w:trPr>
          <w:trHeight w:val="155"/>
        </w:trPr>
        <w:tc>
          <w:tcPr>
            <w:tcW w:w="1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40" w:type="dxa"/>
            <w:vAlign w:val="bottom"/>
            <w:tcBorders>
              <w:top w:val="single" w:sz="8" w:color="0000FF"/>
            </w:tcBorders>
            <w:gridSpan w:val="2"/>
          </w:tcPr>
          <w:p>
            <w:pPr>
              <w:spacing w:after="0" w:line="156" w:lineRule="exact"/>
              <w:rPr>
                <w:rFonts w:ascii="Arial" w:cs="Arial" w:eastAsia="Arial" w:hAnsi="Arial"/>
                <w:sz w:val="18"/>
                <w:szCs w:val="18"/>
                <w:color w:val="0000FF"/>
              </w:rPr>
            </w:pPr>
            <w:hyperlink r:id="rId388">
              <w:r>
                <w:rPr>
                  <w:rFonts w:ascii="Arial" w:cs="Arial" w:eastAsia="Arial" w:hAnsi="Arial"/>
                  <w:sz w:val="18"/>
                  <w:szCs w:val="18"/>
                  <w:color w:val="0000FF"/>
                </w:rPr>
                <w:t>25, 2021).</w:t>
              </w:r>
            </w:hyperlink>
          </w:p>
        </w:tc>
        <w:tc>
          <w:tcPr>
            <w:tcW w:w="60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720" w:type="dxa"/>
            <w:vAlign w:val="bottom"/>
            <w:tcBorders>
              <w:top w:val="single" w:sz="8" w:color="0000FF"/>
            </w:tcBorders>
          </w:tcPr>
          <w:p>
            <w:pPr>
              <w:spacing w:after="0"/>
              <w:rPr>
                <w:sz w:val="13"/>
                <w:szCs w:val="13"/>
                <w:color w:val="auto"/>
              </w:rPr>
            </w:pPr>
          </w:p>
        </w:tc>
        <w:tc>
          <w:tcPr>
            <w:tcW w:w="860" w:type="dxa"/>
            <w:vAlign w:val="bottom"/>
            <w:tcBorders>
              <w:top w:val="single" w:sz="8" w:color="0000FF"/>
            </w:tcBorders>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98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800" w:type="dxa"/>
            <w:vAlign w:val="bottom"/>
            <w:tcBorders>
              <w:top w:val="single" w:sz="8" w:color="0000FF"/>
            </w:tcBorders>
          </w:tcPr>
          <w:p>
            <w:pPr>
              <w:spacing w:after="0"/>
              <w:rPr>
                <w:sz w:val="13"/>
                <w:szCs w:val="13"/>
                <w:color w:val="auto"/>
              </w:rPr>
            </w:pPr>
          </w:p>
        </w:tc>
        <w:tc>
          <w:tcPr>
            <w:tcW w:w="660" w:type="dxa"/>
            <w:vAlign w:val="bottom"/>
            <w:tcBorders>
              <w:top w:val="single" w:sz="8" w:color="0000FF"/>
            </w:tcBorders>
          </w:tcPr>
          <w:p>
            <w:pPr>
              <w:spacing w:after="0"/>
              <w:rPr>
                <w:sz w:val="13"/>
                <w:szCs w:val="13"/>
                <w:color w:val="auto"/>
              </w:rPr>
            </w:pPr>
          </w:p>
        </w:tc>
        <w:tc>
          <w:tcPr>
            <w:tcW w:w="8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50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240" w:type="dxa"/>
            <w:vAlign w:val="bottom"/>
          </w:tcPr>
          <w:p>
            <w:pPr>
              <w:ind w:left="20"/>
              <w:spacing w:after="0" w:line="169" w:lineRule="exact"/>
              <w:rPr>
                <w:sz w:val="20"/>
                <w:szCs w:val="20"/>
                <w:color w:val="auto"/>
              </w:rPr>
            </w:pPr>
            <w:r>
              <w:rPr>
                <w:rFonts w:ascii="Arial" w:cs="Arial" w:eastAsia="Arial" w:hAnsi="Arial"/>
                <w:sz w:val="18"/>
                <w:szCs w:val="18"/>
                <w:color w:val="auto"/>
              </w:rPr>
              <w:t>10.5+</w:t>
            </w:r>
          </w:p>
        </w:tc>
        <w:tc>
          <w:tcPr>
            <w:tcW w:w="140" w:type="dxa"/>
            <w:vAlign w:val="bottom"/>
          </w:tcPr>
          <w:p>
            <w:pPr>
              <w:spacing w:after="0"/>
              <w:rPr>
                <w:sz w:val="14"/>
                <w:szCs w:val="14"/>
                <w:color w:val="auto"/>
              </w:rPr>
            </w:pPr>
          </w:p>
        </w:tc>
        <w:tc>
          <w:tcPr>
            <w:tcW w:w="720" w:type="dxa"/>
            <w:vAlign w:val="bottom"/>
            <w:tcBorders>
              <w:top w:val="single" w:sz="8" w:color="0000FF"/>
            </w:tcBorders>
          </w:tcPr>
          <w:p>
            <w:pPr>
              <w:spacing w:after="0" w:line="169" w:lineRule="exact"/>
              <w:rPr>
                <w:rFonts w:ascii="Arial" w:cs="Arial" w:eastAsia="Arial" w:hAnsi="Arial"/>
                <w:sz w:val="18"/>
                <w:szCs w:val="18"/>
                <w:color w:val="0000FF"/>
                <w:w w:val="90"/>
              </w:rPr>
            </w:pPr>
            <w:hyperlink r:id="rId389">
              <w:r>
                <w:rPr>
                  <w:rFonts w:ascii="Arial" w:cs="Arial" w:eastAsia="Arial" w:hAnsi="Arial"/>
                  <w:sz w:val="18"/>
                  <w:szCs w:val="18"/>
                  <w:color w:val="0000FF"/>
                  <w:w w:val="90"/>
                </w:rPr>
                <w:t>Amended</w:t>
              </w:r>
            </w:hyperlink>
          </w:p>
        </w:tc>
        <w:tc>
          <w:tcPr>
            <w:tcW w:w="9220" w:type="dxa"/>
            <w:vAlign w:val="bottom"/>
            <w:gridSpan w:val="42"/>
          </w:tcPr>
          <w:p>
            <w:pPr>
              <w:ind w:left="20"/>
              <w:spacing w:after="0" w:line="169" w:lineRule="exact"/>
              <w:rPr>
                <w:rFonts w:ascii="Arial" w:cs="Arial" w:eastAsia="Arial" w:hAnsi="Arial"/>
                <w:sz w:val="18"/>
                <w:szCs w:val="18"/>
                <w:color w:val="0000FF"/>
                <w:w w:val="93"/>
              </w:rPr>
            </w:pPr>
            <w:hyperlink r:id="rId389">
              <w:r>
                <w:rPr>
                  <w:rFonts w:ascii="Arial" w:cs="Arial" w:eastAsia="Arial" w:hAnsi="Arial"/>
                  <w:sz w:val="18"/>
                  <w:szCs w:val="18"/>
                  <w:color w:val="0000FF"/>
                  <w:w w:val="93"/>
                </w:rPr>
                <w:t>and Restated Employment Agreement by and between Xometry, Inc. and James Rallo, (incorporated herein by reference to</w:t>
              </w:r>
            </w:hyperlink>
          </w:p>
        </w:tc>
        <w:tc>
          <w:tcPr>
            <w:tcW w:w="0" w:type="dxa"/>
            <w:vAlign w:val="bottom"/>
          </w:tcPr>
          <w:p>
            <w:pPr>
              <w:spacing w:after="0"/>
              <w:rPr>
                <w:sz w:val="1"/>
                <w:szCs w:val="1"/>
                <w:color w:val="auto"/>
              </w:rPr>
            </w:pPr>
          </w:p>
        </w:tc>
      </w:tr>
      <w:tr>
        <w:trPr>
          <w:trHeight w:val="156"/>
        </w:trPr>
        <w:tc>
          <w:tcPr>
            <w:tcW w:w="1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40" w:type="dxa"/>
            <w:vAlign w:val="bottom"/>
            <w:tcBorders>
              <w:top w:val="single" w:sz="8" w:color="0000FF"/>
            </w:tcBorders>
            <w:gridSpan w:val="29"/>
          </w:tcPr>
          <w:p>
            <w:pPr>
              <w:spacing w:after="0" w:line="156" w:lineRule="exact"/>
              <w:rPr>
                <w:rFonts w:ascii="Arial" w:cs="Arial" w:eastAsia="Arial" w:hAnsi="Arial"/>
                <w:sz w:val="18"/>
                <w:szCs w:val="18"/>
                <w:color w:val="0000FF"/>
                <w:w w:val="91"/>
              </w:rPr>
            </w:pPr>
            <w:hyperlink r:id="rId389">
              <w:r>
                <w:rPr>
                  <w:rFonts w:ascii="Arial" w:cs="Arial" w:eastAsia="Arial" w:hAnsi="Arial"/>
                  <w:sz w:val="18"/>
                  <w:szCs w:val="18"/>
                  <w:color w:val="0000FF"/>
                  <w:w w:val="91"/>
                </w:rPr>
                <w:t>Exhibit 10.13 to the Company’s Registration Statement on Form S-1/A (File No. 333-256769), filed with the SEC on June 25, 2021).</w:t>
              </w:r>
            </w:hyperlink>
          </w:p>
        </w:tc>
        <w:tc>
          <w:tcPr>
            <w:tcW w:w="20" w:type="dxa"/>
            <w:vAlign w:val="bottom"/>
          </w:tcPr>
          <w:p>
            <w:pPr>
              <w:spacing w:after="0"/>
              <w:rPr>
                <w:sz w:val="13"/>
                <w:szCs w:val="13"/>
                <w:color w:val="auto"/>
              </w:rPr>
            </w:pPr>
          </w:p>
        </w:tc>
        <w:tc>
          <w:tcPr>
            <w:tcW w:w="8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240" w:type="dxa"/>
            <w:vAlign w:val="bottom"/>
          </w:tcPr>
          <w:p>
            <w:pPr>
              <w:ind w:left="20"/>
              <w:spacing w:after="0" w:line="169" w:lineRule="exact"/>
              <w:rPr>
                <w:sz w:val="20"/>
                <w:szCs w:val="20"/>
                <w:color w:val="auto"/>
              </w:rPr>
            </w:pPr>
            <w:r>
              <w:rPr>
                <w:rFonts w:ascii="Arial" w:cs="Arial" w:eastAsia="Arial" w:hAnsi="Arial"/>
                <w:sz w:val="18"/>
                <w:szCs w:val="18"/>
                <w:color w:val="auto"/>
              </w:rPr>
              <w:t>10.6+</w:t>
            </w:r>
          </w:p>
        </w:tc>
        <w:tc>
          <w:tcPr>
            <w:tcW w:w="140" w:type="dxa"/>
            <w:vAlign w:val="bottom"/>
          </w:tcPr>
          <w:p>
            <w:pPr>
              <w:spacing w:after="0"/>
              <w:rPr>
                <w:sz w:val="14"/>
                <w:szCs w:val="14"/>
                <w:color w:val="auto"/>
              </w:rPr>
            </w:pPr>
          </w:p>
        </w:tc>
        <w:tc>
          <w:tcPr>
            <w:tcW w:w="9580" w:type="dxa"/>
            <w:vAlign w:val="bottom"/>
            <w:tcBorders>
              <w:top w:val="single" w:sz="8" w:color="0000FF"/>
            </w:tcBorders>
            <w:gridSpan w:val="25"/>
          </w:tcPr>
          <w:p>
            <w:pPr>
              <w:spacing w:after="0" w:line="169" w:lineRule="exact"/>
              <w:rPr>
                <w:rFonts w:ascii="Arial" w:cs="Arial" w:eastAsia="Arial" w:hAnsi="Arial"/>
                <w:sz w:val="18"/>
                <w:szCs w:val="18"/>
                <w:color w:val="0000FF"/>
                <w:w w:val="90"/>
              </w:rPr>
            </w:pPr>
            <w:hyperlink r:id="rId390">
              <w:r>
                <w:rPr>
                  <w:rFonts w:ascii="Arial" w:cs="Arial" w:eastAsia="Arial" w:hAnsi="Arial"/>
                  <w:sz w:val="18"/>
                  <w:szCs w:val="18"/>
                  <w:color w:val="0000FF"/>
                  <w:w w:val="90"/>
                </w:rPr>
                <w:t>Amended and Restated Employment Agreement by and between Xometry, Inc. and Peter Goguen, (incorporated herein by reference</w:t>
              </w:r>
            </w:hyperlink>
          </w:p>
        </w:tc>
        <w:tc>
          <w:tcPr>
            <w:tcW w:w="20" w:type="dxa"/>
            <w:vAlign w:val="bottom"/>
            <w:tcBorders>
              <w:top w:val="single" w:sz="8" w:color="0000EE"/>
            </w:tcBorders>
          </w:tcPr>
          <w:p>
            <w:pPr>
              <w:spacing w:after="0"/>
              <w:rPr>
                <w:sz w:val="14"/>
                <w:szCs w:val="14"/>
                <w:color w:val="auto"/>
              </w:rPr>
            </w:pPr>
          </w:p>
        </w:tc>
        <w:tc>
          <w:tcPr>
            <w:tcW w:w="340" w:type="dxa"/>
            <w:vAlign w:val="bottom"/>
            <w:gridSpan w:val="17"/>
          </w:tcPr>
          <w:p>
            <w:pPr>
              <w:jc w:val="right"/>
              <w:ind w:right="240"/>
              <w:spacing w:after="0"/>
              <w:rPr>
                <w:rFonts w:ascii="Arial" w:cs="Arial" w:eastAsia="Arial" w:hAnsi="Arial"/>
                <w:sz w:val="13"/>
                <w:szCs w:val="13"/>
                <w:color w:val="0000FF"/>
                <w:w w:val="73"/>
              </w:rPr>
            </w:pPr>
            <w:hyperlink r:id="rId390">
              <w:r>
                <w:rPr>
                  <w:rFonts w:ascii="Arial" w:cs="Arial" w:eastAsia="Arial" w:hAnsi="Arial"/>
                  <w:sz w:val="13"/>
                  <w:szCs w:val="13"/>
                  <w:color w:val="0000FF"/>
                  <w:w w:val="73"/>
                </w:rPr>
                <w:t>to</w:t>
              </w:r>
            </w:hyperlink>
          </w:p>
        </w:tc>
        <w:tc>
          <w:tcPr>
            <w:tcW w:w="0" w:type="dxa"/>
            <w:vAlign w:val="bottom"/>
          </w:tcPr>
          <w:p>
            <w:pPr>
              <w:spacing w:after="0"/>
              <w:rPr>
                <w:sz w:val="1"/>
                <w:szCs w:val="1"/>
                <w:color w:val="auto"/>
              </w:rPr>
            </w:pPr>
          </w:p>
        </w:tc>
      </w:tr>
      <w:tr>
        <w:trPr>
          <w:trHeight w:val="156"/>
        </w:trPr>
        <w:tc>
          <w:tcPr>
            <w:tcW w:w="1240" w:type="dxa"/>
            <w:vAlign w:val="bottom"/>
            <w:vMerge w:val="restart"/>
          </w:tcPr>
          <w:p>
            <w:pPr>
              <w:ind w:left="20"/>
              <w:spacing w:after="0"/>
              <w:rPr>
                <w:sz w:val="20"/>
                <w:szCs w:val="20"/>
                <w:color w:val="auto"/>
              </w:rPr>
            </w:pPr>
            <w:r>
              <w:rPr>
                <w:rFonts w:ascii="Arial" w:cs="Arial" w:eastAsia="Arial" w:hAnsi="Arial"/>
                <w:sz w:val="18"/>
                <w:szCs w:val="18"/>
                <w:color w:val="auto"/>
              </w:rPr>
              <w:t>10.7+</w:t>
            </w:r>
          </w:p>
        </w:tc>
        <w:tc>
          <w:tcPr>
            <w:tcW w:w="140" w:type="dxa"/>
            <w:vAlign w:val="bottom"/>
          </w:tcPr>
          <w:p>
            <w:pPr>
              <w:spacing w:after="0"/>
              <w:rPr>
                <w:sz w:val="13"/>
                <w:szCs w:val="13"/>
                <w:color w:val="auto"/>
              </w:rPr>
            </w:pPr>
          </w:p>
        </w:tc>
        <w:tc>
          <w:tcPr>
            <w:tcW w:w="9760" w:type="dxa"/>
            <w:vAlign w:val="bottom"/>
            <w:tcBorders>
              <w:top w:val="single" w:sz="8" w:color="0000FF"/>
            </w:tcBorders>
            <w:gridSpan w:val="34"/>
          </w:tcPr>
          <w:p>
            <w:pPr>
              <w:spacing w:after="0" w:line="156" w:lineRule="exact"/>
              <w:rPr>
                <w:rFonts w:ascii="Arial" w:cs="Arial" w:eastAsia="Arial" w:hAnsi="Arial"/>
                <w:sz w:val="18"/>
                <w:szCs w:val="18"/>
                <w:color w:val="0000FF"/>
                <w:w w:val="93"/>
              </w:rPr>
            </w:pPr>
            <w:hyperlink r:id="rId390">
              <w:r>
                <w:rPr>
                  <w:rFonts w:ascii="Arial" w:cs="Arial" w:eastAsia="Arial" w:hAnsi="Arial"/>
                  <w:sz w:val="18"/>
                  <w:szCs w:val="18"/>
                  <w:color w:val="0000FF"/>
                  <w:w w:val="93"/>
                </w:rPr>
                <w:t>Exhibit 10.14 to the Company’s Registration Statement on Form S-1/A (File No. 333-256769), filed with the SEC on June 25, 2021).</w:t>
              </w:r>
            </w:hyperlink>
          </w:p>
        </w:tc>
        <w:tc>
          <w:tcPr>
            <w:tcW w:w="60" w:type="dxa"/>
            <w:vAlign w:val="bottom"/>
            <w:gridSpan w:val="3"/>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2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9580" w:type="dxa"/>
            <w:vAlign w:val="bottom"/>
            <w:tcBorders>
              <w:top w:val="single" w:sz="8" w:color="0000FF"/>
              <w:bottom w:val="single" w:sz="8" w:color="0000FF"/>
            </w:tcBorders>
            <w:gridSpan w:val="25"/>
          </w:tcPr>
          <w:p>
            <w:pPr>
              <w:spacing w:after="0" w:line="169" w:lineRule="exact"/>
              <w:rPr>
                <w:rFonts w:ascii="Arial" w:cs="Arial" w:eastAsia="Arial" w:hAnsi="Arial"/>
                <w:sz w:val="18"/>
                <w:szCs w:val="18"/>
                <w:color w:val="0000FF"/>
                <w:w w:val="91"/>
              </w:rPr>
            </w:pPr>
            <w:hyperlink r:id="rId391">
              <w:r>
                <w:rPr>
                  <w:rFonts w:ascii="Arial" w:cs="Arial" w:eastAsia="Arial" w:hAnsi="Arial"/>
                  <w:sz w:val="18"/>
                  <w:szCs w:val="18"/>
                  <w:color w:val="0000FF"/>
                  <w:w w:val="91"/>
                </w:rPr>
                <w:t>Form of Indemnification Agreement entered into by and between Xometry, Inc. and each director and executive officer (incorporated</w:t>
              </w:r>
            </w:hyperlink>
          </w:p>
        </w:tc>
        <w:tc>
          <w:tcPr>
            <w:tcW w:w="20" w:type="dxa"/>
            <w:vAlign w:val="bottom"/>
            <w:tcBorders>
              <w:top w:val="single" w:sz="8" w:color="0000EE"/>
              <w:bottom w:val="single" w:sz="8" w:color="0000FF"/>
            </w:tcBorders>
          </w:tcPr>
          <w:p>
            <w:pPr>
              <w:spacing w:after="0"/>
              <w:rPr>
                <w:sz w:val="14"/>
                <w:szCs w:val="14"/>
                <w:color w:val="auto"/>
              </w:rPr>
            </w:pPr>
          </w:p>
        </w:tc>
        <w:tc>
          <w:tcPr>
            <w:tcW w:w="20" w:type="dxa"/>
            <w:vAlign w:val="bottom"/>
            <w:tcBorders>
              <w:bottom w:val="single" w:sz="8" w:color="0000FF"/>
            </w:tcBorders>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80" w:type="dxa"/>
            <w:vAlign w:val="bottom"/>
            <w:gridSpan w:val="3"/>
          </w:tcPr>
          <w:p>
            <w:pPr>
              <w:spacing w:after="0"/>
              <w:rPr>
                <w:sz w:val="14"/>
                <w:szCs w:val="14"/>
                <w:color w:val="auto"/>
              </w:rPr>
            </w:pPr>
          </w:p>
        </w:tc>
        <w:tc>
          <w:tcPr>
            <w:tcW w:w="80" w:type="dxa"/>
            <w:vAlign w:val="bottom"/>
            <w:gridSpan w:val="4"/>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940" w:type="dxa"/>
            <w:vAlign w:val="bottom"/>
            <w:gridSpan w:val="43"/>
          </w:tcPr>
          <w:p>
            <w:pPr>
              <w:spacing w:after="0" w:line="156" w:lineRule="exact"/>
              <w:rPr>
                <w:rFonts w:ascii="Arial" w:cs="Arial" w:eastAsia="Arial" w:hAnsi="Arial"/>
                <w:sz w:val="18"/>
                <w:szCs w:val="18"/>
                <w:color w:val="0000FF"/>
                <w:w w:val="92"/>
              </w:rPr>
            </w:pPr>
            <w:hyperlink r:id="rId391">
              <w:r>
                <w:rPr>
                  <w:rFonts w:ascii="Arial" w:cs="Arial" w:eastAsia="Arial" w:hAnsi="Arial"/>
                  <w:sz w:val="18"/>
                  <w:szCs w:val="18"/>
                  <w:color w:val="0000FF"/>
                  <w:w w:val="92"/>
                </w:rPr>
                <w:t>herein by reference to Exhibit 10.15 to the Company’s Registration Statement on Form S-1/A (File No. 333-256769), filed with the SEC</w:t>
              </w:r>
            </w:hyperlink>
          </w:p>
        </w:tc>
        <w:tc>
          <w:tcPr>
            <w:tcW w:w="0" w:type="dxa"/>
            <w:vAlign w:val="bottom"/>
          </w:tcPr>
          <w:p>
            <w:pPr>
              <w:spacing w:after="0"/>
              <w:rPr>
                <w:sz w:val="1"/>
                <w:szCs w:val="1"/>
                <w:color w:val="auto"/>
              </w:rPr>
            </w:pPr>
          </w:p>
        </w:tc>
      </w:tr>
      <w:tr>
        <w:trPr>
          <w:trHeight w:val="155"/>
        </w:trPr>
        <w:tc>
          <w:tcPr>
            <w:tcW w:w="1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920" w:type="dxa"/>
            <w:vAlign w:val="bottom"/>
            <w:tcBorders>
              <w:top w:val="single" w:sz="8" w:color="0000FF"/>
            </w:tcBorders>
            <w:gridSpan w:val="42"/>
          </w:tcPr>
          <w:p>
            <w:pPr>
              <w:spacing w:after="0" w:line="156" w:lineRule="exact"/>
              <w:rPr>
                <w:rFonts w:ascii="Arial" w:cs="Arial" w:eastAsia="Arial" w:hAnsi="Arial"/>
                <w:sz w:val="18"/>
                <w:szCs w:val="18"/>
                <w:color w:val="0000FF"/>
              </w:rPr>
            </w:pPr>
            <w:hyperlink r:id="rId391">
              <w:r>
                <w:rPr>
                  <w:rFonts w:ascii="Arial" w:cs="Arial" w:eastAsia="Arial" w:hAnsi="Arial"/>
                  <w:sz w:val="18"/>
                  <w:szCs w:val="18"/>
                  <w:color w:val="0000FF"/>
                </w:rPr>
                <w:t>on June 21, 2021).</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240" w:type="dxa"/>
            <w:vAlign w:val="bottom"/>
          </w:tcPr>
          <w:p>
            <w:pPr>
              <w:ind w:left="20"/>
              <w:spacing w:after="0" w:line="169" w:lineRule="exact"/>
              <w:rPr>
                <w:sz w:val="20"/>
                <w:szCs w:val="20"/>
                <w:color w:val="auto"/>
              </w:rPr>
            </w:pPr>
            <w:r>
              <w:rPr>
                <w:rFonts w:ascii="Arial" w:cs="Arial" w:eastAsia="Arial" w:hAnsi="Arial"/>
                <w:sz w:val="18"/>
                <w:szCs w:val="18"/>
                <w:color w:val="auto"/>
              </w:rPr>
              <w:t>10.8</w:t>
            </w:r>
          </w:p>
        </w:tc>
        <w:tc>
          <w:tcPr>
            <w:tcW w:w="140" w:type="dxa"/>
            <w:vAlign w:val="bottom"/>
          </w:tcPr>
          <w:p>
            <w:pPr>
              <w:spacing w:after="0"/>
              <w:rPr>
                <w:sz w:val="14"/>
                <w:szCs w:val="14"/>
                <w:color w:val="auto"/>
              </w:rPr>
            </w:pPr>
          </w:p>
        </w:tc>
        <w:tc>
          <w:tcPr>
            <w:tcW w:w="1340" w:type="dxa"/>
            <w:vAlign w:val="bottom"/>
            <w:tcBorders>
              <w:top w:val="single" w:sz="8" w:color="0000FF"/>
            </w:tcBorders>
            <w:gridSpan w:val="2"/>
          </w:tcPr>
          <w:p>
            <w:pPr>
              <w:spacing w:after="0" w:line="169" w:lineRule="exact"/>
              <w:rPr>
                <w:rFonts w:ascii="Arial" w:cs="Arial" w:eastAsia="Arial" w:hAnsi="Arial"/>
                <w:sz w:val="18"/>
                <w:szCs w:val="18"/>
                <w:color w:val="0000FF"/>
                <w:w w:val="88"/>
              </w:rPr>
            </w:pPr>
            <w:hyperlink r:id="rId392">
              <w:r>
                <w:rPr>
                  <w:rFonts w:ascii="Arial" w:cs="Arial" w:eastAsia="Arial" w:hAnsi="Arial"/>
                  <w:sz w:val="18"/>
                  <w:szCs w:val="18"/>
                  <w:color w:val="0000FF"/>
                  <w:w w:val="88"/>
                </w:rPr>
                <w:t>Form of Exchange</w:t>
              </w:r>
            </w:hyperlink>
          </w:p>
        </w:tc>
        <w:tc>
          <w:tcPr>
            <w:tcW w:w="8600" w:type="dxa"/>
            <w:vAlign w:val="bottom"/>
            <w:gridSpan w:val="41"/>
          </w:tcPr>
          <w:p>
            <w:pPr>
              <w:ind w:left="40"/>
              <w:spacing w:after="0" w:line="169" w:lineRule="exact"/>
              <w:rPr>
                <w:rFonts w:ascii="Arial" w:cs="Arial" w:eastAsia="Arial" w:hAnsi="Arial"/>
                <w:sz w:val="18"/>
                <w:szCs w:val="18"/>
                <w:color w:val="0000FF"/>
                <w:w w:val="92"/>
              </w:rPr>
            </w:pPr>
            <w:hyperlink r:id="rId392">
              <w:r>
                <w:rPr>
                  <w:rFonts w:ascii="Arial" w:cs="Arial" w:eastAsia="Arial" w:hAnsi="Arial"/>
                  <w:sz w:val="18"/>
                  <w:szCs w:val="18"/>
                  <w:color w:val="0000FF"/>
                  <w:w w:val="92"/>
                </w:rPr>
                <w:t>Agreement by and among Xometry, Inc., Randolph Altschuler and Laurence Zuriff (incorporated herein by reference</w:t>
              </w:r>
            </w:hyperlink>
          </w:p>
        </w:tc>
        <w:tc>
          <w:tcPr>
            <w:tcW w:w="0" w:type="dxa"/>
            <w:vAlign w:val="bottom"/>
          </w:tcPr>
          <w:p>
            <w:pPr>
              <w:spacing w:after="0"/>
              <w:rPr>
                <w:sz w:val="1"/>
                <w:szCs w:val="1"/>
                <w:color w:val="auto"/>
              </w:rPr>
            </w:pPr>
          </w:p>
        </w:tc>
      </w:tr>
      <w:tr>
        <w:trPr>
          <w:trHeight w:val="156"/>
        </w:trPr>
        <w:tc>
          <w:tcPr>
            <w:tcW w:w="1240" w:type="dxa"/>
            <w:vAlign w:val="bottom"/>
            <w:vMerge w:val="restart"/>
          </w:tcPr>
          <w:p>
            <w:pPr>
              <w:ind w:left="20"/>
              <w:spacing w:after="0"/>
              <w:rPr>
                <w:sz w:val="20"/>
                <w:szCs w:val="20"/>
                <w:color w:val="auto"/>
              </w:rPr>
            </w:pPr>
            <w:r>
              <w:rPr>
                <w:rFonts w:ascii="Arial" w:cs="Arial" w:eastAsia="Arial" w:hAnsi="Arial"/>
                <w:sz w:val="18"/>
                <w:szCs w:val="18"/>
                <w:color w:val="auto"/>
              </w:rPr>
              <w:t>10.9†</w:t>
            </w:r>
          </w:p>
        </w:tc>
        <w:tc>
          <w:tcPr>
            <w:tcW w:w="140" w:type="dxa"/>
            <w:vAlign w:val="bottom"/>
          </w:tcPr>
          <w:p>
            <w:pPr>
              <w:spacing w:after="0"/>
              <w:rPr>
                <w:sz w:val="13"/>
                <w:szCs w:val="13"/>
                <w:color w:val="auto"/>
              </w:rPr>
            </w:pPr>
          </w:p>
        </w:tc>
        <w:tc>
          <w:tcPr>
            <w:tcW w:w="9900" w:type="dxa"/>
            <w:vAlign w:val="bottom"/>
            <w:tcBorders>
              <w:top w:val="single" w:sz="8" w:color="0000FF"/>
            </w:tcBorders>
            <w:gridSpan w:val="41"/>
          </w:tcPr>
          <w:p>
            <w:pPr>
              <w:spacing w:after="0" w:line="156" w:lineRule="exact"/>
              <w:rPr>
                <w:rFonts w:ascii="Arial" w:cs="Arial" w:eastAsia="Arial" w:hAnsi="Arial"/>
                <w:sz w:val="18"/>
                <w:szCs w:val="18"/>
                <w:color w:val="0000FF"/>
                <w:w w:val="92"/>
              </w:rPr>
            </w:pPr>
            <w:hyperlink r:id="rId392">
              <w:r>
                <w:rPr>
                  <w:rFonts w:ascii="Arial" w:cs="Arial" w:eastAsia="Arial" w:hAnsi="Arial"/>
                  <w:sz w:val="18"/>
                  <w:szCs w:val="18"/>
                  <w:color w:val="0000FF"/>
                  <w:w w:val="92"/>
                </w:rPr>
                <w:t>to Exhibit 10.18 to the Company’s Registration Statement on Form S-1/A (File No. 333-256769), filed with the SEC on June 21, 2021).</w:t>
              </w:r>
            </w:hyperlink>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2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9620" w:type="dxa"/>
            <w:vAlign w:val="bottom"/>
            <w:tcBorders>
              <w:top w:val="single" w:sz="8" w:color="0000FF"/>
              <w:bottom w:val="single" w:sz="8" w:color="0000FF"/>
            </w:tcBorders>
            <w:gridSpan w:val="28"/>
          </w:tcPr>
          <w:p>
            <w:pPr>
              <w:spacing w:after="0" w:line="169" w:lineRule="exact"/>
              <w:rPr>
                <w:rFonts w:ascii="Arial" w:cs="Arial" w:eastAsia="Arial" w:hAnsi="Arial"/>
                <w:sz w:val="18"/>
                <w:szCs w:val="18"/>
                <w:color w:val="0000FF"/>
                <w:w w:val="91"/>
              </w:rPr>
            </w:pPr>
            <w:hyperlink r:id="rId393">
              <w:r>
                <w:rPr>
                  <w:rFonts w:ascii="Arial" w:cs="Arial" w:eastAsia="Arial" w:hAnsi="Arial"/>
                  <w:sz w:val="18"/>
                  <w:szCs w:val="18"/>
                  <w:color w:val="0000FF"/>
                  <w:w w:val="91"/>
                </w:rPr>
                <w:t>Agreement and Plan of Merger, dated December 7, 2021, by and among the Xometry, Inc., Thomas Publishing Company, NAASOM</w:t>
              </w:r>
            </w:hyperlink>
          </w:p>
        </w:tc>
        <w:tc>
          <w:tcPr>
            <w:tcW w:w="200" w:type="dxa"/>
            <w:vAlign w:val="bottom"/>
            <w:tcBorders>
              <w:top w:val="single" w:sz="8" w:color="0000FF"/>
            </w:tcBorders>
            <w:gridSpan w:val="9"/>
          </w:tcPr>
          <w:p>
            <w:pPr>
              <w:spacing w:after="0"/>
              <w:rPr>
                <w:sz w:val="14"/>
                <w:szCs w:val="14"/>
                <w:color w:val="auto"/>
              </w:rPr>
            </w:pPr>
          </w:p>
        </w:tc>
        <w:tc>
          <w:tcPr>
            <w:tcW w:w="60" w:type="dxa"/>
            <w:vAlign w:val="bottom"/>
            <w:gridSpan w:val="3"/>
          </w:tcPr>
          <w:p>
            <w:pPr>
              <w:spacing w:after="0"/>
              <w:rPr>
                <w:sz w:val="14"/>
                <w:szCs w:val="14"/>
                <w:color w:val="auto"/>
              </w:rPr>
            </w:pPr>
          </w:p>
        </w:tc>
        <w:tc>
          <w:tcPr>
            <w:tcW w:w="6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940" w:type="dxa"/>
            <w:vAlign w:val="bottom"/>
            <w:gridSpan w:val="43"/>
          </w:tcPr>
          <w:p>
            <w:pPr>
              <w:spacing w:after="0" w:line="156" w:lineRule="exact"/>
              <w:rPr>
                <w:rFonts w:ascii="Arial" w:cs="Arial" w:eastAsia="Arial" w:hAnsi="Arial"/>
                <w:sz w:val="18"/>
                <w:szCs w:val="18"/>
                <w:color w:val="0000FF"/>
                <w:w w:val="93"/>
              </w:rPr>
            </w:pPr>
            <w:hyperlink r:id="rId393">
              <w:r>
                <w:rPr>
                  <w:rFonts w:ascii="Arial" w:cs="Arial" w:eastAsia="Arial" w:hAnsi="Arial"/>
                  <w:sz w:val="18"/>
                  <w:szCs w:val="18"/>
                  <w:color w:val="0000FF"/>
                  <w:w w:val="93"/>
                </w:rPr>
                <w:t>Merger Sub Inc., and wholly owned subsidiary of the Company (“Merger Sub”), and Shareholder Representative Services LLC, as the</w:t>
              </w:r>
            </w:hyperlink>
          </w:p>
        </w:tc>
        <w:tc>
          <w:tcPr>
            <w:tcW w:w="0" w:type="dxa"/>
            <w:vAlign w:val="bottom"/>
          </w:tcPr>
          <w:p>
            <w:pPr>
              <w:spacing w:after="0"/>
              <w:rPr>
                <w:sz w:val="1"/>
                <w:szCs w:val="1"/>
                <w:color w:val="auto"/>
              </w:rPr>
            </w:pPr>
          </w:p>
        </w:tc>
      </w:tr>
      <w:tr>
        <w:trPr>
          <w:trHeight w:val="155"/>
        </w:trPr>
        <w:tc>
          <w:tcPr>
            <w:tcW w:w="1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740" w:type="dxa"/>
            <w:vAlign w:val="bottom"/>
            <w:tcBorders>
              <w:top w:val="single" w:sz="8" w:color="0000FF"/>
            </w:tcBorders>
            <w:gridSpan w:val="33"/>
          </w:tcPr>
          <w:p>
            <w:pPr>
              <w:spacing w:after="0" w:line="156" w:lineRule="exact"/>
              <w:rPr>
                <w:rFonts w:ascii="Arial" w:cs="Arial" w:eastAsia="Arial" w:hAnsi="Arial"/>
                <w:sz w:val="18"/>
                <w:szCs w:val="18"/>
                <w:color w:val="0000FF"/>
                <w:w w:val="92"/>
              </w:rPr>
            </w:pPr>
            <w:hyperlink r:id="rId393">
              <w:r>
                <w:rPr>
                  <w:rFonts w:ascii="Arial" w:cs="Arial" w:eastAsia="Arial" w:hAnsi="Arial"/>
                  <w:sz w:val="18"/>
                  <w:szCs w:val="18"/>
                  <w:color w:val="0000FF"/>
                  <w:w w:val="92"/>
                </w:rPr>
                <w:t>shareholders’ representative (incorporated herein by reference to Exhibit 2.1 to the Company’s Current Report on Form 8-K (File No.</w:t>
              </w:r>
            </w:hyperlink>
          </w:p>
        </w:tc>
        <w:tc>
          <w:tcPr>
            <w:tcW w:w="140" w:type="dxa"/>
            <w:vAlign w:val="bottom"/>
            <w:gridSpan w:val="7"/>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240" w:type="dxa"/>
            <w:vAlign w:val="bottom"/>
            <w:vMerge w:val="restart"/>
          </w:tcPr>
          <w:p>
            <w:pPr>
              <w:ind w:left="20"/>
              <w:spacing w:after="0"/>
              <w:rPr>
                <w:sz w:val="20"/>
                <w:szCs w:val="20"/>
                <w:color w:val="auto"/>
              </w:rPr>
            </w:pPr>
            <w:r>
              <w:rPr>
                <w:rFonts w:ascii="Arial" w:cs="Arial" w:eastAsia="Arial" w:hAnsi="Arial"/>
                <w:sz w:val="18"/>
                <w:szCs w:val="18"/>
                <w:color w:val="auto"/>
              </w:rPr>
              <w:t>10.10</w:t>
            </w:r>
          </w:p>
        </w:tc>
        <w:tc>
          <w:tcPr>
            <w:tcW w:w="140" w:type="dxa"/>
            <w:vAlign w:val="bottom"/>
          </w:tcPr>
          <w:p>
            <w:pPr>
              <w:spacing w:after="0"/>
              <w:rPr>
                <w:sz w:val="13"/>
                <w:szCs w:val="13"/>
                <w:color w:val="auto"/>
              </w:rPr>
            </w:pPr>
          </w:p>
        </w:tc>
        <w:tc>
          <w:tcPr>
            <w:tcW w:w="3960" w:type="dxa"/>
            <w:vAlign w:val="bottom"/>
            <w:tcBorders>
              <w:top w:val="single" w:sz="8" w:color="0000FF"/>
              <w:bottom w:val="single" w:sz="8" w:color="0000FF"/>
            </w:tcBorders>
            <w:gridSpan w:val="7"/>
          </w:tcPr>
          <w:p>
            <w:pPr>
              <w:spacing w:after="0" w:line="156" w:lineRule="exact"/>
              <w:rPr>
                <w:rFonts w:ascii="Arial" w:cs="Arial" w:eastAsia="Arial" w:hAnsi="Arial"/>
                <w:sz w:val="18"/>
                <w:szCs w:val="18"/>
                <w:color w:val="0000FF"/>
                <w:w w:val="90"/>
              </w:rPr>
            </w:pPr>
            <w:hyperlink r:id="rId393">
              <w:r>
                <w:rPr>
                  <w:rFonts w:ascii="Arial" w:cs="Arial" w:eastAsia="Arial" w:hAnsi="Arial"/>
                  <w:sz w:val="18"/>
                  <w:szCs w:val="18"/>
                  <w:color w:val="0000FF"/>
                  <w:w w:val="90"/>
                </w:rPr>
                <w:t>001-40546), filed with the SEC on December 8, 2021).</w:t>
              </w:r>
            </w:hyperlink>
          </w:p>
        </w:tc>
        <w:tc>
          <w:tcPr>
            <w:tcW w:w="20" w:type="dxa"/>
            <w:vAlign w:val="bottom"/>
            <w:tcBorders>
              <w:top w:val="single" w:sz="8" w:color="0000FF"/>
              <w:bottom w:val="single" w:sz="8" w:color="0000EE"/>
            </w:tcBorders>
          </w:tcPr>
          <w:p>
            <w:pPr>
              <w:spacing w:after="0"/>
              <w:rPr>
                <w:sz w:val="13"/>
                <w:szCs w:val="13"/>
                <w:color w:val="auto"/>
              </w:rPr>
            </w:pPr>
          </w:p>
        </w:tc>
        <w:tc>
          <w:tcPr>
            <w:tcW w:w="5680" w:type="dxa"/>
            <w:vAlign w:val="bottom"/>
            <w:tcBorders>
              <w:top w:val="single" w:sz="8" w:color="0000FF"/>
            </w:tcBorders>
            <w:gridSpan w:val="22"/>
          </w:tcPr>
          <w:p>
            <w:pPr>
              <w:spacing w:after="0"/>
              <w:rPr>
                <w:sz w:val="13"/>
                <w:szCs w:val="13"/>
                <w:color w:val="auto"/>
              </w:rPr>
            </w:pPr>
          </w:p>
        </w:tc>
        <w:tc>
          <w:tcPr>
            <w:tcW w:w="220" w:type="dxa"/>
            <w:vAlign w:val="bottom"/>
            <w:gridSpan w:val="10"/>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2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9940" w:type="dxa"/>
            <w:vAlign w:val="bottom"/>
            <w:gridSpan w:val="43"/>
          </w:tcPr>
          <w:p>
            <w:pPr>
              <w:spacing w:after="0" w:line="169" w:lineRule="exact"/>
              <w:rPr>
                <w:rFonts w:ascii="Arial" w:cs="Arial" w:eastAsia="Arial" w:hAnsi="Arial"/>
                <w:sz w:val="18"/>
                <w:szCs w:val="18"/>
                <w:color w:val="0000FF"/>
                <w:w w:val="91"/>
              </w:rPr>
            </w:pPr>
            <w:hyperlink r:id="rId394">
              <w:r>
                <w:rPr>
                  <w:rFonts w:ascii="Arial" w:cs="Arial" w:eastAsia="Arial" w:hAnsi="Arial"/>
                  <w:sz w:val="18"/>
                  <w:szCs w:val="18"/>
                  <w:color w:val="0000FF"/>
                  <w:w w:val="91"/>
                </w:rPr>
                <w:t>Seventh Amended and Restated Investor Rights Agreement, dated July 17, 2020 (incorporated herein by reference to Exhibit 10.1 to the</w:t>
              </w:r>
            </w:hyperlink>
          </w:p>
        </w:tc>
        <w:tc>
          <w:tcPr>
            <w:tcW w:w="0" w:type="dxa"/>
            <w:vAlign w:val="bottom"/>
          </w:tcPr>
          <w:p>
            <w:pPr>
              <w:spacing w:after="0"/>
              <w:rPr>
                <w:sz w:val="1"/>
                <w:szCs w:val="1"/>
                <w:color w:val="auto"/>
              </w:rPr>
            </w:pPr>
          </w:p>
        </w:tc>
      </w:tr>
      <w:tr>
        <w:trPr>
          <w:trHeight w:val="155"/>
        </w:trPr>
        <w:tc>
          <w:tcPr>
            <w:tcW w:w="1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40" w:type="dxa"/>
            <w:vAlign w:val="bottom"/>
            <w:tcBorders>
              <w:top w:val="single" w:sz="8" w:color="0000FF"/>
              <w:bottom w:val="single" w:sz="8" w:color="0000FF"/>
            </w:tcBorders>
            <w:gridSpan w:val="18"/>
          </w:tcPr>
          <w:p>
            <w:pPr>
              <w:spacing w:after="0" w:line="156" w:lineRule="exact"/>
              <w:rPr>
                <w:rFonts w:ascii="Arial" w:cs="Arial" w:eastAsia="Arial" w:hAnsi="Arial"/>
                <w:sz w:val="18"/>
                <w:szCs w:val="18"/>
                <w:color w:val="0000FF"/>
                <w:w w:val="90"/>
              </w:rPr>
            </w:pPr>
            <w:hyperlink r:id="rId394">
              <w:r>
                <w:rPr>
                  <w:rFonts w:ascii="Arial" w:cs="Arial" w:eastAsia="Arial" w:hAnsi="Arial"/>
                  <w:sz w:val="18"/>
                  <w:szCs w:val="18"/>
                  <w:color w:val="0000FF"/>
                  <w:w w:val="90"/>
                </w:rPr>
                <w:t>Company’s Registration Statement on Form S-1 (File No. 333-256769), filed with the SEC on June 4, 2021).</w:t>
              </w:r>
            </w:hyperlink>
          </w:p>
        </w:tc>
        <w:tc>
          <w:tcPr>
            <w:tcW w:w="20" w:type="dxa"/>
            <w:vAlign w:val="bottom"/>
            <w:tcBorders>
              <w:top w:val="single" w:sz="8" w:color="0000FF"/>
              <w:bottom w:val="single" w:sz="8" w:color="0000EE"/>
            </w:tcBorders>
          </w:tcPr>
          <w:p>
            <w:pPr>
              <w:spacing w:after="0"/>
              <w:rPr>
                <w:sz w:val="13"/>
                <w:szCs w:val="13"/>
                <w:color w:val="auto"/>
              </w:rPr>
            </w:pPr>
          </w:p>
        </w:tc>
        <w:tc>
          <w:tcPr>
            <w:tcW w:w="2020" w:type="dxa"/>
            <w:vAlign w:val="bottom"/>
            <w:tcBorders>
              <w:top w:val="single" w:sz="8" w:color="0000FF"/>
            </w:tcBorders>
            <w:gridSpan w:val="21"/>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240" w:type="dxa"/>
            <w:vAlign w:val="bottom"/>
          </w:tcPr>
          <w:p>
            <w:pPr>
              <w:ind w:left="20"/>
              <w:spacing w:after="0" w:line="169" w:lineRule="exact"/>
              <w:rPr>
                <w:sz w:val="20"/>
                <w:szCs w:val="20"/>
                <w:color w:val="auto"/>
              </w:rPr>
            </w:pPr>
            <w:r>
              <w:rPr>
                <w:rFonts w:ascii="Arial" w:cs="Arial" w:eastAsia="Arial" w:hAnsi="Arial"/>
                <w:sz w:val="18"/>
                <w:szCs w:val="18"/>
                <w:color w:val="auto"/>
              </w:rPr>
              <w:t>10.11+</w:t>
            </w:r>
          </w:p>
        </w:tc>
        <w:tc>
          <w:tcPr>
            <w:tcW w:w="140" w:type="dxa"/>
            <w:vAlign w:val="bottom"/>
          </w:tcPr>
          <w:p>
            <w:pPr>
              <w:spacing w:after="0"/>
              <w:rPr>
                <w:sz w:val="14"/>
                <w:szCs w:val="14"/>
                <w:color w:val="auto"/>
              </w:rPr>
            </w:pPr>
          </w:p>
        </w:tc>
        <w:tc>
          <w:tcPr>
            <w:tcW w:w="7860" w:type="dxa"/>
            <w:vAlign w:val="bottom"/>
            <w:gridSpan w:val="19"/>
          </w:tcPr>
          <w:p>
            <w:pPr>
              <w:spacing w:after="0" w:line="169" w:lineRule="exact"/>
              <w:rPr>
                <w:rFonts w:ascii="Arial" w:cs="Arial" w:eastAsia="Arial" w:hAnsi="Arial"/>
                <w:sz w:val="18"/>
                <w:szCs w:val="18"/>
                <w:color w:val="0000FF"/>
                <w:w w:val="91"/>
              </w:rPr>
            </w:pPr>
            <w:hyperlink r:id="rId395">
              <w:r>
                <w:rPr>
                  <w:rFonts w:ascii="Arial" w:cs="Arial" w:eastAsia="Arial" w:hAnsi="Arial"/>
                  <w:sz w:val="18"/>
                  <w:szCs w:val="18"/>
                  <w:color w:val="0000FF"/>
                  <w:w w:val="91"/>
                </w:rPr>
                <w:t>Xometry, Inc. 2016 Equity Incentive Plan (incorporated herein by reference to Exhibit 10.2 to the Company’s</w:t>
              </w:r>
            </w:hyperlink>
          </w:p>
        </w:tc>
        <w:tc>
          <w:tcPr>
            <w:tcW w:w="2080" w:type="dxa"/>
            <w:vAlign w:val="bottom"/>
            <w:gridSpan w:val="24"/>
          </w:tcPr>
          <w:p>
            <w:pPr>
              <w:jc w:val="right"/>
              <w:ind w:right="160"/>
              <w:spacing w:after="0" w:line="169" w:lineRule="exact"/>
              <w:rPr>
                <w:rFonts w:ascii="Arial" w:cs="Arial" w:eastAsia="Arial" w:hAnsi="Arial"/>
                <w:sz w:val="18"/>
                <w:szCs w:val="18"/>
                <w:color w:val="0000FF"/>
                <w:w w:val="91"/>
              </w:rPr>
            </w:pPr>
            <w:hyperlink r:id="rId395">
              <w:r>
                <w:rPr>
                  <w:rFonts w:ascii="Arial" w:cs="Arial" w:eastAsia="Arial" w:hAnsi="Arial"/>
                  <w:sz w:val="18"/>
                  <w:szCs w:val="18"/>
                  <w:color w:val="0000FF"/>
                  <w:w w:val="91"/>
                </w:rPr>
                <w:t>Registration Statement on</w:t>
              </w:r>
            </w:hyperlink>
          </w:p>
        </w:tc>
        <w:tc>
          <w:tcPr>
            <w:tcW w:w="0" w:type="dxa"/>
            <w:vAlign w:val="bottom"/>
          </w:tcPr>
          <w:p>
            <w:pPr>
              <w:spacing w:after="0"/>
              <w:rPr>
                <w:sz w:val="1"/>
                <w:szCs w:val="1"/>
                <w:color w:val="auto"/>
              </w:rPr>
            </w:pPr>
          </w:p>
        </w:tc>
      </w:tr>
      <w:tr>
        <w:trPr>
          <w:trHeight w:val="155"/>
        </w:trPr>
        <w:tc>
          <w:tcPr>
            <w:tcW w:w="1240" w:type="dxa"/>
            <w:vAlign w:val="bottom"/>
            <w:vMerge w:val="restart"/>
          </w:tcPr>
          <w:p>
            <w:pPr>
              <w:ind w:left="20"/>
              <w:spacing w:after="0"/>
              <w:rPr>
                <w:sz w:val="20"/>
                <w:szCs w:val="20"/>
                <w:color w:val="auto"/>
              </w:rPr>
            </w:pPr>
            <w:r>
              <w:rPr>
                <w:rFonts w:ascii="Arial" w:cs="Arial" w:eastAsia="Arial" w:hAnsi="Arial"/>
                <w:sz w:val="18"/>
                <w:szCs w:val="18"/>
                <w:color w:val="auto"/>
              </w:rPr>
              <w:t>10.12+</w:t>
            </w:r>
          </w:p>
        </w:tc>
        <w:tc>
          <w:tcPr>
            <w:tcW w:w="140" w:type="dxa"/>
            <w:vAlign w:val="bottom"/>
          </w:tcPr>
          <w:p>
            <w:pPr>
              <w:spacing w:after="0"/>
              <w:rPr>
                <w:sz w:val="13"/>
                <w:szCs w:val="13"/>
                <w:color w:val="auto"/>
              </w:rPr>
            </w:pPr>
          </w:p>
        </w:tc>
        <w:tc>
          <w:tcPr>
            <w:tcW w:w="5060" w:type="dxa"/>
            <w:vAlign w:val="bottom"/>
            <w:tcBorders>
              <w:top w:val="single" w:sz="8" w:color="0000FF"/>
              <w:bottom w:val="single" w:sz="8" w:color="0000FF"/>
            </w:tcBorders>
            <w:gridSpan w:val="10"/>
          </w:tcPr>
          <w:p>
            <w:pPr>
              <w:spacing w:after="0" w:line="156" w:lineRule="exact"/>
              <w:rPr>
                <w:rFonts w:ascii="Arial" w:cs="Arial" w:eastAsia="Arial" w:hAnsi="Arial"/>
                <w:sz w:val="18"/>
                <w:szCs w:val="18"/>
                <w:color w:val="0000FF"/>
                <w:w w:val="91"/>
              </w:rPr>
            </w:pPr>
            <w:hyperlink r:id="rId395">
              <w:r>
                <w:rPr>
                  <w:rFonts w:ascii="Arial" w:cs="Arial" w:eastAsia="Arial" w:hAnsi="Arial"/>
                  <w:sz w:val="18"/>
                  <w:szCs w:val="18"/>
                  <w:color w:val="0000FF"/>
                  <w:w w:val="91"/>
                </w:rPr>
                <w:t>Form S-1 (File No. 333-256769), filed with the SEC on June 4, 2021).</w:t>
              </w:r>
            </w:hyperlink>
          </w:p>
        </w:tc>
        <w:tc>
          <w:tcPr>
            <w:tcW w:w="20" w:type="dxa"/>
            <w:vAlign w:val="bottom"/>
            <w:tcBorders>
              <w:top w:val="single" w:sz="8" w:color="0000FF"/>
              <w:bottom w:val="single" w:sz="8" w:color="0000EE"/>
            </w:tcBorders>
          </w:tcPr>
          <w:p>
            <w:pPr>
              <w:spacing w:after="0"/>
              <w:rPr>
                <w:sz w:val="13"/>
                <w:szCs w:val="13"/>
                <w:color w:val="auto"/>
              </w:rPr>
            </w:pPr>
          </w:p>
        </w:tc>
        <w:tc>
          <w:tcPr>
            <w:tcW w:w="4780" w:type="dxa"/>
            <w:vAlign w:val="bottom"/>
            <w:tcBorders>
              <w:top w:val="single" w:sz="8" w:color="0000FF"/>
            </w:tcBorders>
            <w:gridSpan w:val="28"/>
          </w:tcPr>
          <w:p>
            <w:pPr>
              <w:spacing w:after="0"/>
              <w:rPr>
                <w:sz w:val="13"/>
                <w:szCs w:val="13"/>
                <w:color w:val="auto"/>
              </w:rPr>
            </w:pPr>
          </w:p>
        </w:tc>
        <w:tc>
          <w:tcPr>
            <w:tcW w:w="8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2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9940" w:type="dxa"/>
            <w:vAlign w:val="bottom"/>
            <w:gridSpan w:val="43"/>
          </w:tcPr>
          <w:p>
            <w:pPr>
              <w:spacing w:after="0" w:line="169" w:lineRule="exact"/>
              <w:rPr>
                <w:rFonts w:ascii="Arial" w:cs="Arial" w:eastAsia="Arial" w:hAnsi="Arial"/>
                <w:sz w:val="18"/>
                <w:szCs w:val="18"/>
                <w:color w:val="0000FF"/>
                <w:w w:val="96"/>
              </w:rPr>
            </w:pPr>
            <w:hyperlink r:id="rId396">
              <w:r>
                <w:rPr>
                  <w:rFonts w:ascii="Arial" w:cs="Arial" w:eastAsia="Arial" w:hAnsi="Arial"/>
                  <w:sz w:val="18"/>
                  <w:szCs w:val="18"/>
                  <w:color w:val="0000FF"/>
                  <w:w w:val="96"/>
                </w:rPr>
                <w:t>Xometry, Inc. Amendment No. 1 to 2016 Equity Incentive Plan (incorporated herein by reference to Exhibit 10.3 to the Company’s</w:t>
              </w:r>
            </w:hyperlink>
          </w:p>
        </w:tc>
        <w:tc>
          <w:tcPr>
            <w:tcW w:w="0" w:type="dxa"/>
            <w:vAlign w:val="bottom"/>
          </w:tcPr>
          <w:p>
            <w:pPr>
              <w:spacing w:after="0"/>
              <w:rPr>
                <w:sz w:val="1"/>
                <w:szCs w:val="1"/>
                <w:color w:val="auto"/>
              </w:rPr>
            </w:pPr>
          </w:p>
        </w:tc>
      </w:tr>
      <w:tr>
        <w:trPr>
          <w:trHeight w:val="155"/>
        </w:trPr>
        <w:tc>
          <w:tcPr>
            <w:tcW w:w="1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980" w:type="dxa"/>
            <w:vAlign w:val="bottom"/>
            <w:tcBorders>
              <w:top w:val="single" w:sz="8" w:color="0000FF"/>
              <w:bottom w:val="single" w:sz="8" w:color="0000FF"/>
            </w:tcBorders>
            <w:gridSpan w:val="17"/>
          </w:tcPr>
          <w:p>
            <w:pPr>
              <w:spacing w:after="0" w:line="156" w:lineRule="exact"/>
              <w:rPr>
                <w:rFonts w:ascii="Arial" w:cs="Arial" w:eastAsia="Arial" w:hAnsi="Arial"/>
                <w:sz w:val="18"/>
                <w:szCs w:val="18"/>
                <w:color w:val="0000FF"/>
                <w:w w:val="90"/>
              </w:rPr>
            </w:pPr>
            <w:hyperlink r:id="rId396">
              <w:r>
                <w:rPr>
                  <w:rFonts w:ascii="Arial" w:cs="Arial" w:eastAsia="Arial" w:hAnsi="Arial"/>
                  <w:sz w:val="18"/>
                  <w:szCs w:val="18"/>
                  <w:color w:val="0000FF"/>
                  <w:w w:val="90"/>
                </w:rPr>
                <w:t>Registration Statement on Form S-1 (File No. 333-256769), filed with the SEC on June 4, 2021).</w:t>
              </w:r>
            </w:hyperlink>
          </w:p>
        </w:tc>
        <w:tc>
          <w:tcPr>
            <w:tcW w:w="2500" w:type="dxa"/>
            <w:vAlign w:val="bottom"/>
            <w:tcBorders>
              <w:top w:val="single" w:sz="8" w:color="0000FF"/>
            </w:tcBorders>
            <w:gridSpan w:val="6"/>
          </w:tcPr>
          <w:p>
            <w:pPr>
              <w:spacing w:after="0"/>
              <w:rPr>
                <w:sz w:val="13"/>
                <w:szCs w:val="13"/>
                <w:color w:val="auto"/>
              </w:rPr>
            </w:pPr>
          </w:p>
        </w:tc>
        <w:tc>
          <w:tcPr>
            <w:tcW w:w="460" w:type="dxa"/>
            <w:vAlign w:val="bottom"/>
            <w:gridSpan w:val="20"/>
          </w:tcPr>
          <w:p>
            <w:pPr>
              <w:spacing w:after="0"/>
              <w:rPr>
                <w:sz w:val="13"/>
                <w:szCs w:val="13"/>
                <w:color w:val="auto"/>
              </w:rPr>
            </w:pPr>
          </w:p>
        </w:tc>
        <w:tc>
          <w:tcPr>
            <w:tcW w:w="0" w:type="dxa"/>
            <w:vAlign w:val="bottom"/>
          </w:tcPr>
          <w:p>
            <w:pPr>
              <w:spacing w:after="0"/>
              <w:rPr>
                <w:sz w:val="1"/>
                <w:szCs w:val="1"/>
                <w:color w:val="auto"/>
              </w:rPr>
            </w:pPr>
          </w:p>
        </w:tc>
      </w:tr>
      <w:tr>
        <w:trPr>
          <w:trHeight w:val="425"/>
        </w:trPr>
        <w:tc>
          <w:tcPr>
            <w:tcW w:w="1240" w:type="dxa"/>
            <w:vAlign w:val="bottom"/>
          </w:tcPr>
          <w:p>
            <w:pPr>
              <w:spacing w:after="0"/>
              <w:rPr>
                <w:sz w:val="24"/>
                <w:szCs w:val="24"/>
                <w:color w:val="auto"/>
              </w:rPr>
            </w:pPr>
          </w:p>
        </w:tc>
        <w:tc>
          <w:tcPr>
            <w:tcW w:w="5100" w:type="dxa"/>
            <w:vAlign w:val="bottom"/>
            <w:gridSpan w:val="10"/>
          </w:tcPr>
          <w:p>
            <w:pPr>
              <w:jc w:val="right"/>
              <w:ind w:right="548"/>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124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720" w:type="dxa"/>
            <w:vAlign w:val="bottom"/>
            <w:tcBorders>
              <w:bottom w:val="single" w:sz="8" w:color="9A9A9A"/>
            </w:tcBorders>
          </w:tcPr>
          <w:p>
            <w:pPr>
              <w:spacing w:after="0"/>
              <w:rPr>
                <w:sz w:val="8"/>
                <w:szCs w:val="8"/>
                <w:color w:val="auto"/>
              </w:rPr>
            </w:pPr>
          </w:p>
        </w:tc>
        <w:tc>
          <w:tcPr>
            <w:tcW w:w="620" w:type="dxa"/>
            <w:vAlign w:val="bottom"/>
            <w:tcBorders>
              <w:bottom w:val="single" w:sz="8" w:color="9A9A9A"/>
            </w:tcBorders>
          </w:tcPr>
          <w:p>
            <w:pPr>
              <w:spacing w:after="0"/>
              <w:rPr>
                <w:sz w:val="8"/>
                <w:szCs w:val="8"/>
                <w:color w:val="auto"/>
              </w:rPr>
            </w:pPr>
          </w:p>
        </w:tc>
        <w:tc>
          <w:tcPr>
            <w:tcW w:w="60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720" w:type="dxa"/>
            <w:vAlign w:val="bottom"/>
            <w:tcBorders>
              <w:bottom w:val="single" w:sz="8" w:color="9A9A9A"/>
            </w:tcBorders>
          </w:tcPr>
          <w:p>
            <w:pPr>
              <w:spacing w:after="0"/>
              <w:rPr>
                <w:sz w:val="8"/>
                <w:szCs w:val="8"/>
                <w:color w:val="auto"/>
              </w:rPr>
            </w:pPr>
          </w:p>
        </w:tc>
        <w:tc>
          <w:tcPr>
            <w:tcW w:w="860" w:type="dxa"/>
            <w:vAlign w:val="bottom"/>
            <w:tcBorders>
              <w:bottom w:val="single" w:sz="8" w:color="9A9A9A"/>
            </w:tcBorders>
          </w:tcPr>
          <w:p>
            <w:pPr>
              <w:spacing w:after="0"/>
              <w:rPr>
                <w:sz w:val="8"/>
                <w:szCs w:val="8"/>
                <w:color w:val="auto"/>
              </w:rPr>
            </w:pPr>
          </w:p>
        </w:tc>
        <w:tc>
          <w:tcPr>
            <w:tcW w:w="4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9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800" w:type="dxa"/>
            <w:vAlign w:val="bottom"/>
            <w:tcBorders>
              <w:bottom w:val="single" w:sz="8" w:color="9A9A9A"/>
            </w:tcBorders>
          </w:tcPr>
          <w:p>
            <w:pPr>
              <w:spacing w:after="0"/>
              <w:rPr>
                <w:sz w:val="8"/>
                <w:szCs w:val="8"/>
                <w:color w:val="auto"/>
              </w:rPr>
            </w:pPr>
          </w:p>
        </w:tc>
        <w:tc>
          <w:tcPr>
            <w:tcW w:w="660" w:type="dxa"/>
            <w:vAlign w:val="bottom"/>
            <w:tcBorders>
              <w:bottom w:val="single" w:sz="8" w:color="9A9A9A"/>
            </w:tcBorders>
          </w:tcPr>
          <w:p>
            <w:pPr>
              <w:spacing w:after="0"/>
              <w:rPr>
                <w:sz w:val="8"/>
                <w:szCs w:val="8"/>
                <w:color w:val="auto"/>
              </w:rPr>
            </w:pPr>
          </w:p>
        </w:tc>
        <w:tc>
          <w:tcPr>
            <w:tcW w:w="86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150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9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9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48" w:right="339" w:bottom="1440" w:gutter="0" w:footer="0" w:header="0"/>
        </w:sectPr>
      </w:pPr>
    </w:p>
    <w:bookmarkStart w:id="94" w:name="page95"/>
    <w:bookmarkEnd w:id="94"/>
    <w:tbl>
      <w:tblPr>
        <w:tblLayout w:type="fixed"/>
        <w:tblInd w:w="20" w:type="dxa"/>
        <w:tblCellMar>
          <w:top w:w="0" w:type="dxa"/>
          <w:left w:w="0" w:type="dxa"/>
          <w:bottom w:w="0" w:type="dxa"/>
          <w:right w:w="0" w:type="dxa"/>
        </w:tblCellMar>
      </w:tblPr>
      <w:tr>
        <w:trPr>
          <w:trHeight w:val="207"/>
        </w:trPr>
        <w:tc>
          <w:tcPr>
            <w:tcW w:w="1360" w:type="dxa"/>
            <w:vAlign w:val="bottom"/>
          </w:tcPr>
          <w:p>
            <w:pPr>
              <w:spacing w:after="0"/>
              <w:rPr>
                <w:sz w:val="20"/>
                <w:szCs w:val="20"/>
                <w:color w:val="auto"/>
              </w:rPr>
            </w:pPr>
            <w:r>
              <w:rPr>
                <w:rFonts w:ascii="Arial" w:cs="Arial" w:eastAsia="Arial" w:hAnsi="Arial"/>
                <w:sz w:val="18"/>
                <w:szCs w:val="18"/>
                <w:color w:val="auto"/>
              </w:rPr>
              <w:t>10.13+</w:t>
            </w:r>
          </w:p>
        </w:tc>
        <w:tc>
          <w:tcPr>
            <w:tcW w:w="9860" w:type="dxa"/>
            <w:vAlign w:val="bottom"/>
            <w:gridSpan w:val="20"/>
          </w:tcPr>
          <w:p>
            <w:pPr>
              <w:spacing w:after="0"/>
              <w:rPr>
                <w:rFonts w:ascii="Arial" w:cs="Arial" w:eastAsia="Arial" w:hAnsi="Arial"/>
                <w:sz w:val="18"/>
                <w:szCs w:val="18"/>
                <w:color w:val="0000FF"/>
                <w:w w:val="95"/>
              </w:rPr>
            </w:pPr>
            <w:hyperlink r:id="rId399">
              <w:r>
                <w:rPr>
                  <w:rFonts w:ascii="Arial" w:cs="Arial" w:eastAsia="Arial" w:hAnsi="Arial"/>
                  <w:sz w:val="18"/>
                  <w:szCs w:val="18"/>
                  <w:color w:val="0000FF"/>
                  <w:w w:val="95"/>
                </w:rPr>
                <w:t>Xometry, Inc. Amendment No. 2 to 2016 Equity Incentive Plan (incorporated herein by reference to Exhibit 10.4 to the Company’s</w:t>
              </w:r>
            </w:hyperlink>
          </w:p>
        </w:tc>
        <w:tc>
          <w:tcPr>
            <w:tcW w:w="0" w:type="dxa"/>
            <w:vAlign w:val="bottom"/>
          </w:tcPr>
          <w:p>
            <w:pPr>
              <w:spacing w:after="0"/>
              <w:rPr>
                <w:sz w:val="1"/>
                <w:szCs w:val="1"/>
                <w:color w:val="auto"/>
              </w:rPr>
            </w:pPr>
          </w:p>
        </w:tc>
      </w:tr>
      <w:tr>
        <w:trPr>
          <w:trHeight w:val="156"/>
        </w:trPr>
        <w:tc>
          <w:tcPr>
            <w:tcW w:w="1360" w:type="dxa"/>
            <w:vAlign w:val="bottom"/>
          </w:tcPr>
          <w:p>
            <w:pPr>
              <w:spacing w:after="0"/>
              <w:rPr>
                <w:sz w:val="13"/>
                <w:szCs w:val="13"/>
                <w:color w:val="auto"/>
              </w:rPr>
            </w:pPr>
          </w:p>
        </w:tc>
        <w:tc>
          <w:tcPr>
            <w:tcW w:w="6980" w:type="dxa"/>
            <w:vAlign w:val="bottom"/>
            <w:tcBorders>
              <w:top w:val="single" w:sz="8" w:color="0000FF"/>
              <w:bottom w:val="single" w:sz="8" w:color="0000FF"/>
            </w:tcBorders>
            <w:gridSpan w:val="9"/>
          </w:tcPr>
          <w:p>
            <w:pPr>
              <w:spacing w:after="0" w:line="156" w:lineRule="exact"/>
              <w:rPr>
                <w:rFonts w:ascii="Arial" w:cs="Arial" w:eastAsia="Arial" w:hAnsi="Arial"/>
                <w:sz w:val="18"/>
                <w:szCs w:val="18"/>
                <w:color w:val="0000FF"/>
                <w:w w:val="90"/>
              </w:rPr>
            </w:pPr>
            <w:hyperlink r:id="rId399">
              <w:r>
                <w:rPr>
                  <w:rFonts w:ascii="Arial" w:cs="Arial" w:eastAsia="Arial" w:hAnsi="Arial"/>
                  <w:sz w:val="18"/>
                  <w:szCs w:val="18"/>
                  <w:color w:val="0000FF"/>
                  <w:w w:val="90"/>
                </w:rPr>
                <w:t>Registration Statement on Form S-1 (File No. 333-256769), filed with the SEC on June 4, 2021).</w:t>
              </w:r>
            </w:hyperlink>
          </w:p>
        </w:tc>
        <w:tc>
          <w:tcPr>
            <w:tcW w:w="20" w:type="dxa"/>
            <w:vAlign w:val="bottom"/>
            <w:tcBorders>
              <w:top w:val="single" w:sz="8" w:color="0000FF"/>
              <w:bottom w:val="single" w:sz="8" w:color="0000EE"/>
            </w:tcBorders>
          </w:tcPr>
          <w:p>
            <w:pPr>
              <w:spacing w:after="0"/>
              <w:rPr>
                <w:sz w:val="13"/>
                <w:szCs w:val="13"/>
                <w:color w:val="auto"/>
              </w:rPr>
            </w:pPr>
          </w:p>
        </w:tc>
        <w:tc>
          <w:tcPr>
            <w:tcW w:w="2480" w:type="dxa"/>
            <w:vAlign w:val="bottom"/>
            <w:tcBorders>
              <w:top w:val="single" w:sz="8" w:color="0000FF"/>
            </w:tcBorders>
            <w:gridSpan w:val="2"/>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360" w:type="dxa"/>
            <w:vAlign w:val="bottom"/>
          </w:tcPr>
          <w:p>
            <w:pPr>
              <w:spacing w:after="0" w:line="169" w:lineRule="exact"/>
              <w:rPr>
                <w:sz w:val="20"/>
                <w:szCs w:val="20"/>
                <w:color w:val="auto"/>
              </w:rPr>
            </w:pPr>
            <w:r>
              <w:rPr>
                <w:rFonts w:ascii="Arial" w:cs="Arial" w:eastAsia="Arial" w:hAnsi="Arial"/>
                <w:sz w:val="18"/>
                <w:szCs w:val="18"/>
                <w:color w:val="auto"/>
              </w:rPr>
              <w:t>10.14+</w:t>
            </w:r>
          </w:p>
        </w:tc>
        <w:tc>
          <w:tcPr>
            <w:tcW w:w="7000" w:type="dxa"/>
            <w:vAlign w:val="bottom"/>
            <w:gridSpan w:val="10"/>
          </w:tcPr>
          <w:p>
            <w:pPr>
              <w:spacing w:after="0" w:line="169" w:lineRule="exact"/>
              <w:rPr>
                <w:rFonts w:ascii="Arial" w:cs="Arial" w:eastAsia="Arial" w:hAnsi="Arial"/>
                <w:sz w:val="18"/>
                <w:szCs w:val="18"/>
                <w:color w:val="0000FF"/>
                <w:w w:val="91"/>
              </w:rPr>
            </w:pPr>
            <w:hyperlink r:id="rId400">
              <w:r>
                <w:rPr>
                  <w:rFonts w:ascii="Arial" w:cs="Arial" w:eastAsia="Arial" w:hAnsi="Arial"/>
                  <w:sz w:val="18"/>
                  <w:szCs w:val="18"/>
                  <w:color w:val="0000FF"/>
                  <w:w w:val="91"/>
                </w:rPr>
                <w:t>Xometry, Inc. Amendment No. 3 to 2016 Equity Incentive Plan (incorporated herein by reference</w:t>
              </w:r>
            </w:hyperlink>
          </w:p>
        </w:tc>
        <w:tc>
          <w:tcPr>
            <w:tcW w:w="2860" w:type="dxa"/>
            <w:vAlign w:val="bottom"/>
            <w:gridSpan w:val="10"/>
          </w:tcPr>
          <w:p>
            <w:pPr>
              <w:ind w:left="40"/>
              <w:spacing w:after="0" w:line="169" w:lineRule="exact"/>
              <w:rPr>
                <w:rFonts w:ascii="Arial" w:cs="Arial" w:eastAsia="Arial" w:hAnsi="Arial"/>
                <w:sz w:val="18"/>
                <w:szCs w:val="18"/>
                <w:color w:val="0000FF"/>
              </w:rPr>
            </w:pPr>
            <w:hyperlink r:id="rId400">
              <w:r>
                <w:rPr>
                  <w:rFonts w:ascii="Arial" w:cs="Arial" w:eastAsia="Arial" w:hAnsi="Arial"/>
                  <w:sz w:val="18"/>
                  <w:szCs w:val="18"/>
                  <w:color w:val="0000FF"/>
                </w:rPr>
                <w:t>to Exhibit 10.5 to the Company’s</w:t>
              </w:r>
            </w:hyperlink>
          </w:p>
        </w:tc>
        <w:tc>
          <w:tcPr>
            <w:tcW w:w="0" w:type="dxa"/>
            <w:vAlign w:val="bottom"/>
          </w:tcPr>
          <w:p>
            <w:pPr>
              <w:spacing w:after="0"/>
              <w:rPr>
                <w:sz w:val="1"/>
                <w:szCs w:val="1"/>
                <w:color w:val="auto"/>
              </w:rPr>
            </w:pPr>
          </w:p>
        </w:tc>
      </w:tr>
      <w:tr>
        <w:trPr>
          <w:trHeight w:val="155"/>
        </w:trPr>
        <w:tc>
          <w:tcPr>
            <w:tcW w:w="1360" w:type="dxa"/>
            <w:vAlign w:val="bottom"/>
          </w:tcPr>
          <w:p>
            <w:pPr>
              <w:spacing w:after="0"/>
              <w:rPr>
                <w:sz w:val="13"/>
                <w:szCs w:val="13"/>
                <w:color w:val="auto"/>
              </w:rPr>
            </w:pPr>
          </w:p>
        </w:tc>
        <w:tc>
          <w:tcPr>
            <w:tcW w:w="6980" w:type="dxa"/>
            <w:vAlign w:val="bottom"/>
            <w:tcBorders>
              <w:top w:val="single" w:sz="8" w:color="0000FF"/>
              <w:bottom w:val="single" w:sz="8" w:color="0000FF"/>
            </w:tcBorders>
            <w:gridSpan w:val="9"/>
          </w:tcPr>
          <w:p>
            <w:pPr>
              <w:spacing w:after="0" w:line="156" w:lineRule="exact"/>
              <w:rPr>
                <w:rFonts w:ascii="Arial" w:cs="Arial" w:eastAsia="Arial" w:hAnsi="Arial"/>
                <w:sz w:val="18"/>
                <w:szCs w:val="18"/>
                <w:color w:val="0000FF"/>
                <w:w w:val="90"/>
              </w:rPr>
            </w:pPr>
            <w:hyperlink r:id="rId400">
              <w:r>
                <w:rPr>
                  <w:rFonts w:ascii="Arial" w:cs="Arial" w:eastAsia="Arial" w:hAnsi="Arial"/>
                  <w:sz w:val="18"/>
                  <w:szCs w:val="18"/>
                  <w:color w:val="0000FF"/>
                  <w:w w:val="90"/>
                </w:rPr>
                <w:t>Registration Statement on Form S-1 (File No. 333-256769), filed with the SEC on June 4, 2021).</w:t>
              </w:r>
            </w:hyperlink>
          </w:p>
        </w:tc>
        <w:tc>
          <w:tcPr>
            <w:tcW w:w="20" w:type="dxa"/>
            <w:vAlign w:val="bottom"/>
            <w:tcBorders>
              <w:top w:val="single" w:sz="8" w:color="0000FF"/>
              <w:bottom w:val="single" w:sz="8" w:color="0000EE"/>
            </w:tcBorders>
          </w:tcPr>
          <w:p>
            <w:pPr>
              <w:spacing w:after="0"/>
              <w:rPr>
                <w:sz w:val="13"/>
                <w:szCs w:val="13"/>
                <w:color w:val="auto"/>
              </w:rPr>
            </w:pPr>
          </w:p>
        </w:tc>
        <w:tc>
          <w:tcPr>
            <w:tcW w:w="2480" w:type="dxa"/>
            <w:vAlign w:val="bottom"/>
            <w:tcBorders>
              <w:top w:val="single" w:sz="8" w:color="0000FF"/>
            </w:tcBorders>
            <w:gridSpan w:val="2"/>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360" w:type="dxa"/>
            <w:vAlign w:val="bottom"/>
          </w:tcPr>
          <w:p>
            <w:pPr>
              <w:spacing w:after="0" w:line="169" w:lineRule="exact"/>
              <w:rPr>
                <w:sz w:val="20"/>
                <w:szCs w:val="20"/>
                <w:color w:val="auto"/>
              </w:rPr>
            </w:pPr>
            <w:r>
              <w:rPr>
                <w:rFonts w:ascii="Arial" w:cs="Arial" w:eastAsia="Arial" w:hAnsi="Arial"/>
                <w:sz w:val="18"/>
                <w:szCs w:val="18"/>
                <w:color w:val="auto"/>
              </w:rPr>
              <w:t>10.15+</w:t>
            </w:r>
          </w:p>
        </w:tc>
        <w:tc>
          <w:tcPr>
            <w:tcW w:w="7000" w:type="dxa"/>
            <w:vAlign w:val="bottom"/>
            <w:gridSpan w:val="10"/>
          </w:tcPr>
          <w:p>
            <w:pPr>
              <w:spacing w:after="0" w:line="169" w:lineRule="exact"/>
              <w:rPr>
                <w:rFonts w:ascii="Arial" w:cs="Arial" w:eastAsia="Arial" w:hAnsi="Arial"/>
                <w:sz w:val="18"/>
                <w:szCs w:val="18"/>
                <w:color w:val="0000FF"/>
                <w:w w:val="91"/>
              </w:rPr>
            </w:pPr>
            <w:hyperlink r:id="rId401">
              <w:r>
                <w:rPr>
                  <w:rFonts w:ascii="Arial" w:cs="Arial" w:eastAsia="Arial" w:hAnsi="Arial"/>
                  <w:sz w:val="18"/>
                  <w:szCs w:val="18"/>
                  <w:color w:val="0000FF"/>
                  <w:w w:val="91"/>
                </w:rPr>
                <w:t>Xometry, Inc. Amendment No. 4 to 2016 Equity Incentive Plan (incorporated herein by reference</w:t>
              </w:r>
            </w:hyperlink>
          </w:p>
        </w:tc>
        <w:tc>
          <w:tcPr>
            <w:tcW w:w="2860" w:type="dxa"/>
            <w:vAlign w:val="bottom"/>
            <w:gridSpan w:val="10"/>
          </w:tcPr>
          <w:p>
            <w:pPr>
              <w:ind w:left="40"/>
              <w:spacing w:after="0" w:line="169" w:lineRule="exact"/>
              <w:rPr>
                <w:rFonts w:ascii="Arial" w:cs="Arial" w:eastAsia="Arial" w:hAnsi="Arial"/>
                <w:sz w:val="18"/>
                <w:szCs w:val="18"/>
                <w:color w:val="0000FF"/>
              </w:rPr>
            </w:pPr>
            <w:hyperlink r:id="rId401">
              <w:r>
                <w:rPr>
                  <w:rFonts w:ascii="Arial" w:cs="Arial" w:eastAsia="Arial" w:hAnsi="Arial"/>
                  <w:sz w:val="18"/>
                  <w:szCs w:val="18"/>
                  <w:color w:val="0000FF"/>
                </w:rPr>
                <w:t>to Exhibit 10.6 to the Company’s</w:t>
              </w:r>
            </w:hyperlink>
          </w:p>
        </w:tc>
        <w:tc>
          <w:tcPr>
            <w:tcW w:w="0" w:type="dxa"/>
            <w:vAlign w:val="bottom"/>
          </w:tcPr>
          <w:p>
            <w:pPr>
              <w:spacing w:after="0"/>
              <w:rPr>
                <w:sz w:val="1"/>
                <w:szCs w:val="1"/>
                <w:color w:val="auto"/>
              </w:rPr>
            </w:pPr>
          </w:p>
        </w:tc>
      </w:tr>
      <w:tr>
        <w:trPr>
          <w:trHeight w:val="156"/>
        </w:trPr>
        <w:tc>
          <w:tcPr>
            <w:tcW w:w="1360" w:type="dxa"/>
            <w:vAlign w:val="bottom"/>
          </w:tcPr>
          <w:p>
            <w:pPr>
              <w:spacing w:after="0"/>
              <w:rPr>
                <w:sz w:val="13"/>
                <w:szCs w:val="13"/>
                <w:color w:val="auto"/>
              </w:rPr>
            </w:pPr>
          </w:p>
        </w:tc>
        <w:tc>
          <w:tcPr>
            <w:tcW w:w="6980" w:type="dxa"/>
            <w:vAlign w:val="bottom"/>
            <w:tcBorders>
              <w:top w:val="single" w:sz="8" w:color="0000FF"/>
              <w:bottom w:val="single" w:sz="8" w:color="0000FF"/>
            </w:tcBorders>
            <w:gridSpan w:val="9"/>
          </w:tcPr>
          <w:p>
            <w:pPr>
              <w:spacing w:after="0" w:line="156" w:lineRule="exact"/>
              <w:rPr>
                <w:rFonts w:ascii="Arial" w:cs="Arial" w:eastAsia="Arial" w:hAnsi="Arial"/>
                <w:sz w:val="18"/>
                <w:szCs w:val="18"/>
                <w:color w:val="0000FF"/>
                <w:w w:val="90"/>
              </w:rPr>
            </w:pPr>
            <w:hyperlink r:id="rId401">
              <w:r>
                <w:rPr>
                  <w:rFonts w:ascii="Arial" w:cs="Arial" w:eastAsia="Arial" w:hAnsi="Arial"/>
                  <w:sz w:val="18"/>
                  <w:szCs w:val="18"/>
                  <w:color w:val="0000FF"/>
                  <w:w w:val="90"/>
                </w:rPr>
                <w:t>Registration Statement on Form S-1 (File No. 333-256769), filed with the SEC on June 4, 2021).</w:t>
              </w:r>
            </w:hyperlink>
          </w:p>
        </w:tc>
        <w:tc>
          <w:tcPr>
            <w:tcW w:w="20" w:type="dxa"/>
            <w:vAlign w:val="bottom"/>
            <w:tcBorders>
              <w:top w:val="single" w:sz="8" w:color="0000FF"/>
              <w:bottom w:val="single" w:sz="8" w:color="0000EE"/>
            </w:tcBorders>
          </w:tcPr>
          <w:p>
            <w:pPr>
              <w:spacing w:after="0"/>
              <w:rPr>
                <w:sz w:val="13"/>
                <w:szCs w:val="13"/>
                <w:color w:val="auto"/>
              </w:rPr>
            </w:pPr>
          </w:p>
        </w:tc>
        <w:tc>
          <w:tcPr>
            <w:tcW w:w="2480" w:type="dxa"/>
            <w:vAlign w:val="bottom"/>
            <w:tcBorders>
              <w:top w:val="single" w:sz="8" w:color="0000FF"/>
            </w:tcBorders>
            <w:gridSpan w:val="2"/>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360" w:type="dxa"/>
            <w:vAlign w:val="bottom"/>
          </w:tcPr>
          <w:p>
            <w:pPr>
              <w:spacing w:after="0" w:line="169" w:lineRule="exact"/>
              <w:rPr>
                <w:sz w:val="20"/>
                <w:szCs w:val="20"/>
                <w:color w:val="auto"/>
              </w:rPr>
            </w:pPr>
            <w:r>
              <w:rPr>
                <w:rFonts w:ascii="Arial" w:cs="Arial" w:eastAsia="Arial" w:hAnsi="Arial"/>
                <w:sz w:val="18"/>
                <w:szCs w:val="18"/>
                <w:color w:val="auto"/>
              </w:rPr>
              <w:t>10.16+</w:t>
            </w:r>
          </w:p>
        </w:tc>
        <w:tc>
          <w:tcPr>
            <w:tcW w:w="7000" w:type="dxa"/>
            <w:vAlign w:val="bottom"/>
            <w:gridSpan w:val="10"/>
          </w:tcPr>
          <w:p>
            <w:pPr>
              <w:spacing w:after="0" w:line="169" w:lineRule="exact"/>
              <w:rPr>
                <w:rFonts w:ascii="Arial" w:cs="Arial" w:eastAsia="Arial" w:hAnsi="Arial"/>
                <w:sz w:val="18"/>
                <w:szCs w:val="18"/>
                <w:color w:val="0000FF"/>
                <w:w w:val="91"/>
              </w:rPr>
            </w:pPr>
            <w:hyperlink r:id="rId402">
              <w:r>
                <w:rPr>
                  <w:rFonts w:ascii="Arial" w:cs="Arial" w:eastAsia="Arial" w:hAnsi="Arial"/>
                  <w:sz w:val="18"/>
                  <w:szCs w:val="18"/>
                  <w:color w:val="0000FF"/>
                  <w:w w:val="91"/>
                </w:rPr>
                <w:t>Xometry, Inc. Amendment No. 5 to 2016 Equity Incentive Plan (incorporated herein by reference</w:t>
              </w:r>
            </w:hyperlink>
          </w:p>
        </w:tc>
        <w:tc>
          <w:tcPr>
            <w:tcW w:w="2860" w:type="dxa"/>
            <w:vAlign w:val="bottom"/>
            <w:gridSpan w:val="10"/>
          </w:tcPr>
          <w:p>
            <w:pPr>
              <w:ind w:left="40"/>
              <w:spacing w:after="0" w:line="169" w:lineRule="exact"/>
              <w:rPr>
                <w:rFonts w:ascii="Arial" w:cs="Arial" w:eastAsia="Arial" w:hAnsi="Arial"/>
                <w:sz w:val="18"/>
                <w:szCs w:val="18"/>
                <w:color w:val="0000FF"/>
              </w:rPr>
            </w:pPr>
            <w:hyperlink r:id="rId402">
              <w:r>
                <w:rPr>
                  <w:rFonts w:ascii="Arial" w:cs="Arial" w:eastAsia="Arial" w:hAnsi="Arial"/>
                  <w:sz w:val="18"/>
                  <w:szCs w:val="18"/>
                  <w:color w:val="0000FF"/>
                </w:rPr>
                <w:t>to Exhibit 10.7 to the Company’s</w:t>
              </w:r>
            </w:hyperlink>
          </w:p>
        </w:tc>
        <w:tc>
          <w:tcPr>
            <w:tcW w:w="0" w:type="dxa"/>
            <w:vAlign w:val="bottom"/>
          </w:tcPr>
          <w:p>
            <w:pPr>
              <w:spacing w:after="0"/>
              <w:rPr>
                <w:sz w:val="1"/>
                <w:szCs w:val="1"/>
                <w:color w:val="auto"/>
              </w:rPr>
            </w:pPr>
          </w:p>
        </w:tc>
      </w:tr>
      <w:tr>
        <w:trPr>
          <w:trHeight w:val="156"/>
        </w:trPr>
        <w:tc>
          <w:tcPr>
            <w:tcW w:w="1360" w:type="dxa"/>
            <w:vAlign w:val="bottom"/>
            <w:vMerge w:val="restart"/>
          </w:tcPr>
          <w:p>
            <w:pPr>
              <w:spacing w:after="0"/>
              <w:rPr>
                <w:sz w:val="20"/>
                <w:szCs w:val="20"/>
                <w:color w:val="auto"/>
              </w:rPr>
            </w:pPr>
            <w:r>
              <w:rPr>
                <w:rFonts w:ascii="Arial" w:cs="Arial" w:eastAsia="Arial" w:hAnsi="Arial"/>
                <w:sz w:val="18"/>
                <w:szCs w:val="18"/>
                <w:color w:val="auto"/>
              </w:rPr>
              <w:t>10.17+</w:t>
            </w:r>
          </w:p>
        </w:tc>
        <w:tc>
          <w:tcPr>
            <w:tcW w:w="6980" w:type="dxa"/>
            <w:vAlign w:val="bottom"/>
            <w:tcBorders>
              <w:top w:val="single" w:sz="8" w:color="0000FF"/>
              <w:bottom w:val="single" w:sz="8" w:color="0000FF"/>
            </w:tcBorders>
            <w:gridSpan w:val="9"/>
          </w:tcPr>
          <w:p>
            <w:pPr>
              <w:spacing w:after="0" w:line="156" w:lineRule="exact"/>
              <w:rPr>
                <w:rFonts w:ascii="Arial" w:cs="Arial" w:eastAsia="Arial" w:hAnsi="Arial"/>
                <w:sz w:val="18"/>
                <w:szCs w:val="18"/>
                <w:color w:val="0000FF"/>
                <w:w w:val="90"/>
              </w:rPr>
            </w:pPr>
            <w:hyperlink r:id="rId402">
              <w:r>
                <w:rPr>
                  <w:rFonts w:ascii="Arial" w:cs="Arial" w:eastAsia="Arial" w:hAnsi="Arial"/>
                  <w:sz w:val="18"/>
                  <w:szCs w:val="18"/>
                  <w:color w:val="0000FF"/>
                  <w:w w:val="90"/>
                </w:rPr>
                <w:t>Registration Statement on Form S-1 (File No. 333-256769), filed with the SEC on June 4, 2021).</w:t>
              </w:r>
            </w:hyperlink>
          </w:p>
        </w:tc>
        <w:tc>
          <w:tcPr>
            <w:tcW w:w="20" w:type="dxa"/>
            <w:vAlign w:val="bottom"/>
            <w:tcBorders>
              <w:top w:val="single" w:sz="8" w:color="0000FF"/>
              <w:bottom w:val="single" w:sz="8" w:color="0000EE"/>
            </w:tcBorders>
          </w:tcPr>
          <w:p>
            <w:pPr>
              <w:spacing w:after="0"/>
              <w:rPr>
                <w:sz w:val="13"/>
                <w:szCs w:val="13"/>
                <w:color w:val="auto"/>
              </w:rPr>
            </w:pPr>
          </w:p>
        </w:tc>
        <w:tc>
          <w:tcPr>
            <w:tcW w:w="2480" w:type="dxa"/>
            <w:vAlign w:val="bottom"/>
            <w:tcBorders>
              <w:top w:val="single" w:sz="8" w:color="0000FF"/>
            </w:tcBorders>
            <w:gridSpan w:val="2"/>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360" w:type="dxa"/>
            <w:vAlign w:val="bottom"/>
            <w:vMerge w:val="continue"/>
          </w:tcPr>
          <w:p>
            <w:pPr>
              <w:spacing w:after="0"/>
              <w:rPr>
                <w:sz w:val="14"/>
                <w:szCs w:val="14"/>
                <w:color w:val="auto"/>
              </w:rPr>
            </w:pPr>
          </w:p>
        </w:tc>
        <w:tc>
          <w:tcPr>
            <w:tcW w:w="9860" w:type="dxa"/>
            <w:vAlign w:val="bottom"/>
            <w:gridSpan w:val="20"/>
          </w:tcPr>
          <w:p>
            <w:pPr>
              <w:spacing w:after="0" w:line="169" w:lineRule="exact"/>
              <w:rPr>
                <w:rFonts w:ascii="Arial" w:cs="Arial" w:eastAsia="Arial" w:hAnsi="Arial"/>
                <w:sz w:val="18"/>
                <w:szCs w:val="18"/>
                <w:color w:val="0000FF"/>
                <w:w w:val="91"/>
              </w:rPr>
            </w:pPr>
            <w:hyperlink r:id="rId403">
              <w:r>
                <w:rPr>
                  <w:rFonts w:ascii="Arial" w:cs="Arial" w:eastAsia="Arial" w:hAnsi="Arial"/>
                  <w:sz w:val="18"/>
                  <w:szCs w:val="18"/>
                  <w:color w:val="0000FF"/>
                  <w:w w:val="91"/>
                </w:rPr>
                <w:t>Forms of grant notice, stock option agreement, and notice of exercise under the Xometry, Inc. 2016 Equity Incentive Plan (incorporated</w:t>
              </w:r>
            </w:hyperlink>
          </w:p>
        </w:tc>
        <w:tc>
          <w:tcPr>
            <w:tcW w:w="0" w:type="dxa"/>
            <w:vAlign w:val="bottom"/>
          </w:tcPr>
          <w:p>
            <w:pPr>
              <w:spacing w:after="0"/>
              <w:rPr>
                <w:sz w:val="1"/>
                <w:szCs w:val="1"/>
                <w:color w:val="auto"/>
              </w:rPr>
            </w:pPr>
          </w:p>
        </w:tc>
      </w:tr>
      <w:tr>
        <w:trPr>
          <w:trHeight w:val="155"/>
        </w:trPr>
        <w:tc>
          <w:tcPr>
            <w:tcW w:w="1360" w:type="dxa"/>
            <w:vAlign w:val="bottom"/>
          </w:tcPr>
          <w:p>
            <w:pPr>
              <w:spacing w:after="0"/>
              <w:rPr>
                <w:sz w:val="13"/>
                <w:szCs w:val="13"/>
                <w:color w:val="auto"/>
              </w:rPr>
            </w:pPr>
          </w:p>
        </w:tc>
        <w:tc>
          <w:tcPr>
            <w:tcW w:w="9800" w:type="dxa"/>
            <w:vAlign w:val="bottom"/>
            <w:tcBorders>
              <w:top w:val="single" w:sz="8" w:color="0000FF"/>
              <w:bottom w:val="single" w:sz="8" w:color="0000FF"/>
            </w:tcBorders>
            <w:gridSpan w:val="17"/>
          </w:tcPr>
          <w:p>
            <w:pPr>
              <w:spacing w:after="0" w:line="156" w:lineRule="exact"/>
              <w:rPr>
                <w:rFonts w:ascii="Arial" w:cs="Arial" w:eastAsia="Arial" w:hAnsi="Arial"/>
                <w:sz w:val="18"/>
                <w:szCs w:val="18"/>
                <w:color w:val="0000FF"/>
                <w:w w:val="91"/>
              </w:rPr>
            </w:pPr>
            <w:hyperlink r:id="rId403">
              <w:r>
                <w:rPr>
                  <w:rFonts w:ascii="Arial" w:cs="Arial" w:eastAsia="Arial" w:hAnsi="Arial"/>
                  <w:sz w:val="18"/>
                  <w:szCs w:val="18"/>
                  <w:color w:val="0000FF"/>
                  <w:w w:val="91"/>
                </w:rPr>
                <w:t>herein by reference to Exhibit 10.8 to the Company’s Registration Statement on Form S-1 (File No. 333-256769), filed with the SEC on</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360" w:type="dxa"/>
            <w:vAlign w:val="bottom"/>
            <w:vMerge w:val="restart"/>
          </w:tcPr>
          <w:p>
            <w:pPr>
              <w:spacing w:after="0"/>
              <w:rPr>
                <w:sz w:val="20"/>
                <w:szCs w:val="20"/>
                <w:color w:val="auto"/>
              </w:rPr>
            </w:pPr>
            <w:r>
              <w:rPr>
                <w:rFonts w:ascii="Arial" w:cs="Arial" w:eastAsia="Arial" w:hAnsi="Arial"/>
                <w:sz w:val="18"/>
                <w:szCs w:val="18"/>
                <w:color w:val="auto"/>
              </w:rPr>
              <w:t>10.18+</w:t>
            </w:r>
          </w:p>
        </w:tc>
        <w:tc>
          <w:tcPr>
            <w:tcW w:w="1020" w:type="dxa"/>
            <w:vAlign w:val="bottom"/>
            <w:tcBorders>
              <w:bottom w:val="single" w:sz="8" w:color="0000FF"/>
            </w:tcBorders>
          </w:tcPr>
          <w:p>
            <w:pPr>
              <w:spacing w:after="0" w:line="156" w:lineRule="exact"/>
              <w:rPr>
                <w:rFonts w:ascii="Arial" w:cs="Arial" w:eastAsia="Arial" w:hAnsi="Arial"/>
                <w:sz w:val="18"/>
                <w:szCs w:val="18"/>
                <w:color w:val="0000FF"/>
                <w:w w:val="86"/>
              </w:rPr>
            </w:pPr>
            <w:hyperlink r:id="rId403">
              <w:r>
                <w:rPr>
                  <w:rFonts w:ascii="Arial" w:cs="Arial" w:eastAsia="Arial" w:hAnsi="Arial"/>
                  <w:sz w:val="18"/>
                  <w:szCs w:val="18"/>
                  <w:color w:val="0000FF"/>
                  <w:w w:val="86"/>
                </w:rPr>
                <w:t>June 4, 2021).</w:t>
              </w:r>
            </w:hyperlink>
          </w:p>
        </w:tc>
        <w:tc>
          <w:tcPr>
            <w:tcW w:w="20" w:type="dxa"/>
            <w:vAlign w:val="bottom"/>
            <w:tcBorders>
              <w:bottom w:val="single" w:sz="8" w:color="0000EE"/>
            </w:tcBorders>
          </w:tcPr>
          <w:p>
            <w:pPr>
              <w:spacing w:after="0"/>
              <w:rPr>
                <w:sz w:val="13"/>
                <w:szCs w:val="13"/>
                <w:color w:val="auto"/>
              </w:rPr>
            </w:pPr>
          </w:p>
        </w:tc>
        <w:tc>
          <w:tcPr>
            <w:tcW w:w="8800" w:type="dxa"/>
            <w:vAlign w:val="bottom"/>
            <w:gridSpan w:val="17"/>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360" w:type="dxa"/>
            <w:vAlign w:val="bottom"/>
            <w:vMerge w:val="continue"/>
          </w:tcPr>
          <w:p>
            <w:pPr>
              <w:spacing w:after="0"/>
              <w:rPr>
                <w:sz w:val="14"/>
                <w:szCs w:val="14"/>
                <w:color w:val="auto"/>
              </w:rPr>
            </w:pPr>
          </w:p>
        </w:tc>
        <w:tc>
          <w:tcPr>
            <w:tcW w:w="9860" w:type="dxa"/>
            <w:vAlign w:val="bottom"/>
            <w:gridSpan w:val="20"/>
          </w:tcPr>
          <w:p>
            <w:pPr>
              <w:spacing w:after="0" w:line="169" w:lineRule="exact"/>
              <w:rPr>
                <w:rFonts w:ascii="Arial" w:cs="Arial" w:eastAsia="Arial" w:hAnsi="Arial"/>
                <w:sz w:val="18"/>
                <w:szCs w:val="18"/>
                <w:color w:val="0000FF"/>
                <w:w w:val="91"/>
              </w:rPr>
            </w:pPr>
            <w:hyperlink r:id="rId404">
              <w:r>
                <w:rPr>
                  <w:rFonts w:ascii="Arial" w:cs="Arial" w:eastAsia="Arial" w:hAnsi="Arial"/>
                  <w:sz w:val="18"/>
                  <w:szCs w:val="18"/>
                  <w:color w:val="0000FF"/>
                  <w:w w:val="91"/>
                </w:rPr>
                <w:t>Nextline Manufacturing Corp. 2014 Stock Option Plan (incorporated herein by reference to Exhibit 10.16 to the Company’s Registration</w:t>
              </w:r>
            </w:hyperlink>
          </w:p>
        </w:tc>
        <w:tc>
          <w:tcPr>
            <w:tcW w:w="0" w:type="dxa"/>
            <w:vAlign w:val="bottom"/>
          </w:tcPr>
          <w:p>
            <w:pPr>
              <w:spacing w:after="0"/>
              <w:rPr>
                <w:sz w:val="1"/>
                <w:szCs w:val="1"/>
                <w:color w:val="auto"/>
              </w:rPr>
            </w:pPr>
          </w:p>
        </w:tc>
      </w:tr>
      <w:tr>
        <w:trPr>
          <w:trHeight w:val="155"/>
        </w:trPr>
        <w:tc>
          <w:tcPr>
            <w:tcW w:w="1360" w:type="dxa"/>
            <w:vAlign w:val="bottom"/>
            <w:vMerge w:val="restart"/>
          </w:tcPr>
          <w:p>
            <w:pPr>
              <w:spacing w:after="0"/>
              <w:rPr>
                <w:sz w:val="20"/>
                <w:szCs w:val="20"/>
                <w:color w:val="auto"/>
              </w:rPr>
            </w:pPr>
            <w:r>
              <w:rPr>
                <w:rFonts w:ascii="Arial" w:cs="Arial" w:eastAsia="Arial" w:hAnsi="Arial"/>
                <w:sz w:val="18"/>
                <w:szCs w:val="18"/>
                <w:color w:val="auto"/>
              </w:rPr>
              <w:t>10.19+</w:t>
            </w:r>
          </w:p>
        </w:tc>
        <w:tc>
          <w:tcPr>
            <w:tcW w:w="6320" w:type="dxa"/>
            <w:vAlign w:val="bottom"/>
            <w:tcBorders>
              <w:top w:val="single" w:sz="8" w:color="0000FF"/>
              <w:bottom w:val="single" w:sz="8" w:color="0000FF"/>
            </w:tcBorders>
            <w:gridSpan w:val="7"/>
          </w:tcPr>
          <w:p>
            <w:pPr>
              <w:spacing w:after="0" w:line="156" w:lineRule="exact"/>
              <w:rPr>
                <w:rFonts w:ascii="Arial" w:cs="Arial" w:eastAsia="Arial" w:hAnsi="Arial"/>
                <w:sz w:val="18"/>
                <w:szCs w:val="18"/>
                <w:color w:val="0000FF"/>
                <w:w w:val="91"/>
              </w:rPr>
            </w:pPr>
            <w:hyperlink r:id="rId404">
              <w:r>
                <w:rPr>
                  <w:rFonts w:ascii="Arial" w:cs="Arial" w:eastAsia="Arial" w:hAnsi="Arial"/>
                  <w:sz w:val="18"/>
                  <w:szCs w:val="18"/>
                  <w:color w:val="0000FF"/>
                  <w:w w:val="91"/>
                </w:rPr>
                <w:t>Statement on Form S-1/A (File No. 333-256769), filed with the SEC on June 21, 2021).</w:t>
              </w:r>
            </w:hyperlink>
          </w:p>
        </w:tc>
        <w:tc>
          <w:tcPr>
            <w:tcW w:w="20" w:type="dxa"/>
            <w:vAlign w:val="bottom"/>
            <w:tcBorders>
              <w:top w:val="single" w:sz="8" w:color="0000FF"/>
              <w:bottom w:val="single" w:sz="8" w:color="0000EE"/>
            </w:tcBorders>
          </w:tcPr>
          <w:p>
            <w:pPr>
              <w:spacing w:after="0"/>
              <w:rPr>
                <w:sz w:val="13"/>
                <w:szCs w:val="13"/>
                <w:color w:val="auto"/>
              </w:rPr>
            </w:pPr>
          </w:p>
        </w:tc>
        <w:tc>
          <w:tcPr>
            <w:tcW w:w="3520" w:type="dxa"/>
            <w:vAlign w:val="bottom"/>
            <w:tcBorders>
              <w:top w:val="single" w:sz="8" w:color="0000FF"/>
            </w:tcBorders>
            <w:gridSpan w:val="12"/>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360" w:type="dxa"/>
            <w:vAlign w:val="bottom"/>
            <w:vMerge w:val="continue"/>
          </w:tcPr>
          <w:p>
            <w:pPr>
              <w:spacing w:after="0"/>
              <w:rPr>
                <w:sz w:val="14"/>
                <w:szCs w:val="14"/>
                <w:color w:val="auto"/>
              </w:rPr>
            </w:pPr>
          </w:p>
        </w:tc>
        <w:tc>
          <w:tcPr>
            <w:tcW w:w="9860" w:type="dxa"/>
            <w:vAlign w:val="bottom"/>
            <w:gridSpan w:val="20"/>
          </w:tcPr>
          <w:p>
            <w:pPr>
              <w:spacing w:after="0" w:line="169" w:lineRule="exact"/>
              <w:rPr>
                <w:rFonts w:ascii="Arial" w:cs="Arial" w:eastAsia="Arial" w:hAnsi="Arial"/>
                <w:sz w:val="18"/>
                <w:szCs w:val="18"/>
                <w:color w:val="0000FF"/>
                <w:w w:val="92"/>
              </w:rPr>
            </w:pPr>
            <w:hyperlink r:id="rId405">
              <w:r>
                <w:rPr>
                  <w:rFonts w:ascii="Arial" w:cs="Arial" w:eastAsia="Arial" w:hAnsi="Arial"/>
                  <w:sz w:val="18"/>
                  <w:szCs w:val="18"/>
                  <w:color w:val="0000FF"/>
                  <w:w w:val="92"/>
                </w:rPr>
                <w:t>Form of Stock Option Agreement to Nextline Manufacturing Corp 2014 Stock Option Plan (incorporated herein by reference to Exhibit</w:t>
              </w:r>
            </w:hyperlink>
          </w:p>
        </w:tc>
        <w:tc>
          <w:tcPr>
            <w:tcW w:w="0" w:type="dxa"/>
            <w:vAlign w:val="bottom"/>
          </w:tcPr>
          <w:p>
            <w:pPr>
              <w:spacing w:after="0"/>
              <w:rPr>
                <w:sz w:val="1"/>
                <w:szCs w:val="1"/>
                <w:color w:val="auto"/>
              </w:rPr>
            </w:pPr>
          </w:p>
        </w:tc>
      </w:tr>
      <w:tr>
        <w:trPr>
          <w:trHeight w:val="156"/>
        </w:trPr>
        <w:tc>
          <w:tcPr>
            <w:tcW w:w="1360" w:type="dxa"/>
            <w:vAlign w:val="bottom"/>
            <w:vMerge w:val="restart"/>
          </w:tcPr>
          <w:p>
            <w:pPr>
              <w:spacing w:after="0"/>
              <w:rPr>
                <w:sz w:val="20"/>
                <w:szCs w:val="20"/>
                <w:color w:val="auto"/>
              </w:rPr>
            </w:pPr>
            <w:r>
              <w:rPr>
                <w:rFonts w:ascii="Arial" w:cs="Arial" w:eastAsia="Arial" w:hAnsi="Arial"/>
                <w:sz w:val="18"/>
                <w:szCs w:val="18"/>
                <w:color w:val="auto"/>
              </w:rPr>
              <w:t>21.1*</w:t>
            </w:r>
          </w:p>
        </w:tc>
        <w:tc>
          <w:tcPr>
            <w:tcW w:w="9820" w:type="dxa"/>
            <w:vAlign w:val="bottom"/>
            <w:tcBorders>
              <w:top w:val="single" w:sz="8" w:color="0000FF"/>
            </w:tcBorders>
            <w:gridSpan w:val="18"/>
          </w:tcPr>
          <w:p>
            <w:pPr>
              <w:spacing w:after="0" w:line="156" w:lineRule="exact"/>
              <w:rPr>
                <w:rFonts w:ascii="Arial" w:cs="Arial" w:eastAsia="Arial" w:hAnsi="Arial"/>
                <w:sz w:val="18"/>
                <w:szCs w:val="18"/>
                <w:color w:val="0000FF"/>
                <w:w w:val="99"/>
              </w:rPr>
            </w:pPr>
            <w:hyperlink r:id="rId405">
              <w:r>
                <w:rPr>
                  <w:rFonts w:ascii="Arial" w:cs="Arial" w:eastAsia="Arial" w:hAnsi="Arial"/>
                  <w:sz w:val="18"/>
                  <w:szCs w:val="18"/>
                  <w:color w:val="0000FF"/>
                  <w:w w:val="99"/>
                </w:rPr>
                <w:t>10.</w:t>
              </w:r>
              <w:r>
                <w:rPr>
                  <w:rFonts w:ascii="Arial" w:cs="Arial" w:eastAsia="Arial" w:hAnsi="Arial"/>
                  <w:sz w:val="18"/>
                  <w:szCs w:val="18"/>
                  <w:u w:val="single" w:color="auto"/>
                  <w:color w:val="0000FF"/>
                  <w:w w:val="99"/>
                </w:rPr>
                <w:t>17</w:t>
              </w:r>
              <w:r>
                <w:rPr>
                  <w:rFonts w:ascii="Arial" w:cs="Arial" w:eastAsia="Arial" w:hAnsi="Arial"/>
                  <w:sz w:val="18"/>
                  <w:szCs w:val="18"/>
                  <w:color w:val="0000FF"/>
                  <w:w w:val="99"/>
                </w:rPr>
                <w:t xml:space="preserve"> to the Company’s Registration Statement on Form S-1/A (File No. 333-256769), filed with the SEC on June 21, 2021).</w:t>
              </w:r>
            </w:hyperlink>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60" w:type="dxa"/>
            <w:vAlign w:val="bottom"/>
            <w:vMerge w:val="continue"/>
          </w:tcPr>
          <w:p>
            <w:pPr>
              <w:spacing w:after="0" w:line="20" w:lineRule="exact"/>
              <w:rPr>
                <w:sz w:val="1"/>
                <w:szCs w:val="1"/>
                <w:color w:val="auto"/>
              </w:rPr>
            </w:pPr>
          </w:p>
        </w:tc>
        <w:tc>
          <w:tcPr>
            <w:tcW w:w="1400" w:type="dxa"/>
            <w:vAlign w:val="bottom"/>
            <w:tcBorders>
              <w:left w:val="single" w:sz="8" w:color="0000EE"/>
              <w:right w:val="single" w:sz="8" w:color="0000FF"/>
            </w:tcBorders>
            <w:gridSpan w:val="3"/>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23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860" w:type="dxa"/>
            <w:vAlign w:val="bottom"/>
            <w:gridSpan w:val="5"/>
            <w:shd w:val="clear" w:color="auto" w:fill="0000FF"/>
          </w:tcPr>
          <w:p>
            <w:pPr>
              <w:spacing w:after="0" w:line="20" w:lineRule="exact"/>
              <w:rPr>
                <w:sz w:val="1"/>
                <w:szCs w:val="1"/>
                <w:color w:val="auto"/>
              </w:rPr>
            </w:pPr>
          </w:p>
        </w:tc>
        <w:tc>
          <w:tcPr>
            <w:tcW w:w="540" w:type="dxa"/>
            <w:vAlign w:val="bottom"/>
            <w:gridSpan w:val="2"/>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200" w:type="dxa"/>
            <w:vAlign w:val="bottom"/>
            <w:gridSpan w:val="4"/>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360" w:type="dxa"/>
            <w:vAlign w:val="bottom"/>
            <w:vMerge w:val="continue"/>
          </w:tcPr>
          <w:p>
            <w:pPr>
              <w:spacing w:after="0"/>
              <w:rPr>
                <w:sz w:val="14"/>
                <w:szCs w:val="14"/>
                <w:color w:val="auto"/>
              </w:rPr>
            </w:pPr>
          </w:p>
        </w:tc>
        <w:tc>
          <w:tcPr>
            <w:tcW w:w="9000" w:type="dxa"/>
            <w:vAlign w:val="bottom"/>
            <w:gridSpan w:val="11"/>
          </w:tcPr>
          <w:p>
            <w:pPr>
              <w:spacing w:after="0" w:line="169" w:lineRule="exact"/>
              <w:rPr>
                <w:rFonts w:ascii="Arial" w:cs="Arial" w:eastAsia="Arial" w:hAnsi="Arial"/>
                <w:sz w:val="18"/>
                <w:szCs w:val="18"/>
                <w:color w:val="0000FF"/>
              </w:rPr>
            </w:pPr>
            <w:hyperlink w:anchor="page101">
              <w:r>
                <w:rPr>
                  <w:rFonts w:ascii="Arial" w:cs="Arial" w:eastAsia="Arial" w:hAnsi="Arial"/>
                  <w:sz w:val="18"/>
                  <w:szCs w:val="18"/>
                  <w:color w:val="0000FF"/>
                </w:rPr>
                <w:t>List of Subsidiaries of Xometry, Inc.</w:t>
              </w:r>
            </w:hyperlink>
          </w:p>
        </w:tc>
        <w:tc>
          <w:tcPr>
            <w:tcW w:w="540" w:type="dxa"/>
            <w:vAlign w:val="bottom"/>
            <w:gridSpan w:val="2"/>
            <w:vMerge w:val="continue"/>
          </w:tcPr>
          <w:p>
            <w:pPr>
              <w:spacing w:after="0"/>
              <w:rPr>
                <w:sz w:val="14"/>
                <w:szCs w:val="14"/>
                <w:color w:val="auto"/>
              </w:rPr>
            </w:pPr>
          </w:p>
        </w:tc>
        <w:tc>
          <w:tcPr>
            <w:tcW w:w="6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40" w:type="dxa"/>
            <w:vAlign w:val="bottom"/>
            <w:vMerge w:val="continue"/>
          </w:tcPr>
          <w:p>
            <w:pPr>
              <w:spacing w:after="0"/>
              <w:rPr>
                <w:sz w:val="14"/>
                <w:szCs w:val="14"/>
                <w:color w:val="auto"/>
              </w:rPr>
            </w:pPr>
          </w:p>
        </w:tc>
        <w:tc>
          <w:tcPr>
            <w:tcW w:w="20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360" w:type="dxa"/>
            <w:vAlign w:val="bottom"/>
            <w:vMerge w:val="restart"/>
          </w:tcPr>
          <w:p>
            <w:pPr>
              <w:spacing w:after="0" w:line="189" w:lineRule="exact"/>
              <w:rPr>
                <w:sz w:val="20"/>
                <w:szCs w:val="20"/>
                <w:color w:val="auto"/>
              </w:rPr>
            </w:pPr>
            <w:r>
              <w:rPr>
                <w:rFonts w:ascii="Arial" w:cs="Arial" w:eastAsia="Arial" w:hAnsi="Arial"/>
                <w:sz w:val="18"/>
                <w:szCs w:val="18"/>
                <w:color w:val="auto"/>
              </w:rPr>
              <w:t>23.1*</w:t>
            </w:r>
          </w:p>
        </w:tc>
        <w:tc>
          <w:tcPr>
            <w:tcW w:w="1400" w:type="dxa"/>
            <w:vAlign w:val="bottom"/>
            <w:tcBorders>
              <w:left w:val="single" w:sz="8" w:color="0000FF"/>
              <w:right w:val="single" w:sz="8" w:color="0000EE"/>
            </w:tcBorders>
            <w:gridSpan w:val="3"/>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7200" w:type="dxa"/>
            <w:vAlign w:val="bottom"/>
            <w:gridSpan w:val="16"/>
            <w:vMerge w:val="restart"/>
          </w:tcPr>
          <w:p>
            <w:pPr>
              <w:ind w:left="40"/>
              <w:spacing w:after="0" w:line="189" w:lineRule="exact"/>
              <w:rPr>
                <w:rFonts w:ascii="Arial" w:cs="Arial" w:eastAsia="Arial" w:hAnsi="Arial"/>
                <w:sz w:val="18"/>
                <w:szCs w:val="18"/>
                <w:color w:val="0000FF"/>
              </w:rPr>
            </w:pPr>
            <w:hyperlink w:anchor="page102">
              <w:r>
                <w:rPr>
                  <w:rFonts w:ascii="Arial" w:cs="Arial" w:eastAsia="Arial" w:hAnsi="Arial"/>
                  <w:sz w:val="18"/>
                  <w:szCs w:val="18"/>
                  <w:color w:val="0000FF"/>
                </w:rPr>
                <w:t>registered public accounting firm.</w:t>
              </w:r>
            </w:hyperlink>
          </w:p>
        </w:tc>
        <w:tc>
          <w:tcPr>
            <w:tcW w:w="0" w:type="dxa"/>
            <w:vAlign w:val="bottom"/>
          </w:tcPr>
          <w:p>
            <w:pPr>
              <w:spacing w:after="0" w:line="20" w:lineRule="exact"/>
              <w:rPr>
                <w:sz w:val="1"/>
                <w:szCs w:val="1"/>
                <w:color w:val="auto"/>
              </w:rPr>
            </w:pPr>
          </w:p>
        </w:tc>
      </w:tr>
      <w:tr>
        <w:trPr>
          <w:trHeight w:val="169"/>
        </w:trPr>
        <w:tc>
          <w:tcPr>
            <w:tcW w:w="1360" w:type="dxa"/>
            <w:vAlign w:val="bottom"/>
            <w:vMerge w:val="continue"/>
          </w:tcPr>
          <w:p>
            <w:pPr>
              <w:spacing w:after="0"/>
              <w:rPr>
                <w:sz w:val="14"/>
                <w:szCs w:val="14"/>
                <w:color w:val="auto"/>
              </w:rPr>
            </w:pPr>
          </w:p>
        </w:tc>
        <w:tc>
          <w:tcPr>
            <w:tcW w:w="2660" w:type="dxa"/>
            <w:vAlign w:val="bottom"/>
            <w:gridSpan w:val="4"/>
          </w:tcPr>
          <w:p>
            <w:pPr>
              <w:spacing w:after="0" w:line="169" w:lineRule="exact"/>
              <w:rPr>
                <w:rFonts w:ascii="Arial" w:cs="Arial" w:eastAsia="Arial" w:hAnsi="Arial"/>
                <w:sz w:val="18"/>
                <w:szCs w:val="18"/>
                <w:color w:val="0000FF"/>
                <w:w w:val="90"/>
              </w:rPr>
            </w:pPr>
            <w:hyperlink w:anchor="page102">
              <w:r>
                <w:rPr>
                  <w:rFonts w:ascii="Arial" w:cs="Arial" w:eastAsia="Arial" w:hAnsi="Arial"/>
                  <w:sz w:val="18"/>
                  <w:szCs w:val="18"/>
                  <w:color w:val="0000FF"/>
                  <w:w w:val="90"/>
                </w:rPr>
                <w:t>Consent of KPMG LLP, independent</w:t>
              </w:r>
            </w:hyperlink>
          </w:p>
        </w:tc>
        <w:tc>
          <w:tcPr>
            <w:tcW w:w="7200" w:type="dxa"/>
            <w:vAlign w:val="bottom"/>
            <w:gridSpan w:val="16"/>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360" w:type="dxa"/>
            <w:vAlign w:val="bottom"/>
            <w:vMerge w:val="restart"/>
          </w:tcPr>
          <w:p>
            <w:pPr>
              <w:spacing w:after="0" w:line="189" w:lineRule="exact"/>
              <w:rPr>
                <w:sz w:val="20"/>
                <w:szCs w:val="20"/>
                <w:color w:val="auto"/>
              </w:rPr>
            </w:pPr>
            <w:r>
              <w:rPr>
                <w:rFonts w:ascii="Arial" w:cs="Arial" w:eastAsia="Arial" w:hAnsi="Arial"/>
                <w:sz w:val="18"/>
                <w:szCs w:val="18"/>
                <w:color w:val="auto"/>
              </w:rPr>
              <w:t>31.1*</w:t>
            </w:r>
          </w:p>
        </w:tc>
        <w:tc>
          <w:tcPr>
            <w:tcW w:w="1400" w:type="dxa"/>
            <w:vAlign w:val="bottom"/>
            <w:tcBorders>
              <w:left w:val="single" w:sz="8" w:color="0000EE"/>
              <w:right w:val="single" w:sz="8" w:color="0000FF"/>
            </w:tcBorders>
            <w:gridSpan w:val="3"/>
            <w:shd w:val="clear" w:color="auto" w:fill="0000FF"/>
          </w:tcPr>
          <w:p>
            <w:pPr>
              <w:spacing w:after="0" w:line="20" w:lineRule="exact"/>
              <w:rPr>
                <w:sz w:val="1"/>
                <w:szCs w:val="1"/>
                <w:color w:val="auto"/>
              </w:rPr>
            </w:pPr>
          </w:p>
        </w:tc>
        <w:tc>
          <w:tcPr>
            <w:tcW w:w="358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720" w:type="dxa"/>
            <w:vAlign w:val="bottom"/>
            <w:gridSpan w:val="14"/>
            <w:vMerge w:val="restart"/>
          </w:tcPr>
          <w:p>
            <w:pPr>
              <w:ind w:left="80"/>
              <w:spacing w:after="0" w:line="189" w:lineRule="exact"/>
              <w:rPr>
                <w:rFonts w:ascii="Arial" w:cs="Arial" w:eastAsia="Arial" w:hAnsi="Arial"/>
                <w:sz w:val="18"/>
                <w:szCs w:val="18"/>
                <w:color w:val="0000FF"/>
                <w:w w:val="94"/>
              </w:rPr>
            </w:pPr>
            <w:hyperlink w:anchor="page103">
              <w:r>
                <w:rPr>
                  <w:rFonts w:ascii="Arial" w:cs="Arial" w:eastAsia="Arial" w:hAnsi="Arial"/>
                  <w:sz w:val="18"/>
                  <w:szCs w:val="18"/>
                  <w:color w:val="0000FF"/>
                  <w:w w:val="94"/>
                </w:rPr>
                <w:t>and 15d-14(a) under the Securities Exchange Act of 1934, as</w:t>
              </w:r>
            </w:hyperlink>
          </w:p>
        </w:tc>
        <w:tc>
          <w:tcPr>
            <w:tcW w:w="0" w:type="dxa"/>
            <w:vAlign w:val="bottom"/>
          </w:tcPr>
          <w:p>
            <w:pPr>
              <w:spacing w:after="0" w:line="20" w:lineRule="exact"/>
              <w:rPr>
                <w:sz w:val="1"/>
                <w:szCs w:val="1"/>
                <w:color w:val="auto"/>
              </w:rPr>
            </w:pPr>
          </w:p>
        </w:tc>
      </w:tr>
      <w:tr>
        <w:trPr>
          <w:trHeight w:val="169"/>
        </w:trPr>
        <w:tc>
          <w:tcPr>
            <w:tcW w:w="1360" w:type="dxa"/>
            <w:vAlign w:val="bottom"/>
            <w:vMerge w:val="continue"/>
          </w:tcPr>
          <w:p>
            <w:pPr>
              <w:spacing w:after="0"/>
              <w:rPr>
                <w:sz w:val="14"/>
                <w:szCs w:val="14"/>
                <w:color w:val="auto"/>
              </w:rPr>
            </w:pPr>
          </w:p>
        </w:tc>
        <w:tc>
          <w:tcPr>
            <w:tcW w:w="5140" w:type="dxa"/>
            <w:vAlign w:val="bottom"/>
            <w:gridSpan w:val="6"/>
          </w:tcPr>
          <w:p>
            <w:pPr>
              <w:spacing w:after="0" w:line="169" w:lineRule="exact"/>
              <w:rPr>
                <w:rFonts w:ascii="Arial" w:cs="Arial" w:eastAsia="Arial" w:hAnsi="Arial"/>
                <w:sz w:val="18"/>
                <w:szCs w:val="18"/>
                <w:color w:val="0000FF"/>
                <w:w w:val="91"/>
              </w:rPr>
            </w:pPr>
            <w:hyperlink w:anchor="page103">
              <w:r>
                <w:rPr>
                  <w:rFonts w:ascii="Arial" w:cs="Arial" w:eastAsia="Arial" w:hAnsi="Arial"/>
                  <w:sz w:val="18"/>
                  <w:szCs w:val="18"/>
                  <w:color w:val="0000FF"/>
                  <w:w w:val="91"/>
                </w:rPr>
                <w:t>Certification of Principal Executive Officer Pursuant to Rules 13a-14(a)</w:t>
              </w:r>
            </w:hyperlink>
          </w:p>
        </w:tc>
        <w:tc>
          <w:tcPr>
            <w:tcW w:w="4720" w:type="dxa"/>
            <w:vAlign w:val="bottom"/>
            <w:gridSpan w:val="1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360" w:type="dxa"/>
            <w:vAlign w:val="bottom"/>
            <w:vMerge w:val="restart"/>
          </w:tcPr>
          <w:p>
            <w:pPr>
              <w:spacing w:after="0"/>
              <w:rPr>
                <w:sz w:val="20"/>
                <w:szCs w:val="20"/>
                <w:color w:val="auto"/>
              </w:rPr>
            </w:pPr>
            <w:r>
              <w:rPr>
                <w:rFonts w:ascii="Arial" w:cs="Arial" w:eastAsia="Arial" w:hAnsi="Arial"/>
                <w:sz w:val="18"/>
                <w:szCs w:val="18"/>
                <w:color w:val="auto"/>
              </w:rPr>
              <w:t>31.2*</w:t>
            </w:r>
          </w:p>
        </w:tc>
        <w:tc>
          <w:tcPr>
            <w:tcW w:w="4980" w:type="dxa"/>
            <w:vAlign w:val="bottom"/>
            <w:tcBorders>
              <w:top w:val="single" w:sz="8" w:color="0000FF"/>
              <w:bottom w:val="single" w:sz="8" w:color="0000FF"/>
            </w:tcBorders>
            <w:gridSpan w:val="5"/>
          </w:tcPr>
          <w:p>
            <w:pPr>
              <w:spacing w:after="0" w:line="156" w:lineRule="exact"/>
              <w:rPr>
                <w:rFonts w:ascii="Arial" w:cs="Arial" w:eastAsia="Arial" w:hAnsi="Arial"/>
                <w:sz w:val="18"/>
                <w:szCs w:val="18"/>
                <w:color w:val="0000FF"/>
                <w:w w:val="90"/>
              </w:rPr>
            </w:pPr>
            <w:hyperlink w:anchor="page103">
              <w:r>
                <w:rPr>
                  <w:rFonts w:ascii="Arial" w:cs="Arial" w:eastAsia="Arial" w:hAnsi="Arial"/>
                  <w:sz w:val="18"/>
                  <w:szCs w:val="18"/>
                  <w:color w:val="0000FF"/>
                  <w:w w:val="90"/>
                </w:rPr>
                <w:t>Adopted Pursuant to Section 302 of the Sarbanes-Oxley Act of 2002.</w:t>
              </w:r>
            </w:hyperlink>
          </w:p>
        </w:tc>
        <w:tc>
          <w:tcPr>
            <w:tcW w:w="4680" w:type="dxa"/>
            <w:vAlign w:val="bottom"/>
            <w:tcBorders>
              <w:top w:val="single" w:sz="8" w:color="0000FF"/>
            </w:tcBorders>
            <w:gridSpan w:val="11"/>
          </w:tcPr>
          <w:p>
            <w:pPr>
              <w:spacing w:after="0"/>
              <w:rPr>
                <w:sz w:val="13"/>
                <w:szCs w:val="13"/>
                <w:color w:val="auto"/>
              </w:rPr>
            </w:pPr>
          </w:p>
        </w:tc>
        <w:tc>
          <w:tcPr>
            <w:tcW w:w="20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360" w:type="dxa"/>
            <w:vAlign w:val="bottom"/>
            <w:vMerge w:val="continue"/>
          </w:tcPr>
          <w:p>
            <w:pPr>
              <w:spacing w:after="0"/>
              <w:rPr>
                <w:sz w:val="14"/>
                <w:szCs w:val="14"/>
                <w:color w:val="auto"/>
              </w:rPr>
            </w:pPr>
          </w:p>
        </w:tc>
        <w:tc>
          <w:tcPr>
            <w:tcW w:w="9860" w:type="dxa"/>
            <w:vAlign w:val="bottom"/>
            <w:gridSpan w:val="20"/>
          </w:tcPr>
          <w:p>
            <w:pPr>
              <w:spacing w:after="0" w:line="169" w:lineRule="exact"/>
              <w:rPr>
                <w:rFonts w:ascii="Arial" w:cs="Arial" w:eastAsia="Arial" w:hAnsi="Arial"/>
                <w:sz w:val="18"/>
                <w:szCs w:val="18"/>
                <w:color w:val="0000FF"/>
                <w:w w:val="93"/>
              </w:rPr>
            </w:pPr>
            <w:hyperlink w:anchor="page104">
              <w:r>
                <w:rPr>
                  <w:rFonts w:ascii="Arial" w:cs="Arial" w:eastAsia="Arial" w:hAnsi="Arial"/>
                  <w:sz w:val="18"/>
                  <w:szCs w:val="18"/>
                  <w:color w:val="0000FF"/>
                  <w:w w:val="93"/>
                </w:rPr>
                <w:t>Certification of Principal Financial Officer Pursuant to Rules 13a-14(a) and 15d-14(a) under the Securities Exchange Act of 1934, as</w:t>
              </w:r>
            </w:hyperlink>
          </w:p>
        </w:tc>
        <w:tc>
          <w:tcPr>
            <w:tcW w:w="0" w:type="dxa"/>
            <w:vAlign w:val="bottom"/>
          </w:tcPr>
          <w:p>
            <w:pPr>
              <w:spacing w:after="0"/>
              <w:rPr>
                <w:sz w:val="1"/>
                <w:szCs w:val="1"/>
                <w:color w:val="auto"/>
              </w:rPr>
            </w:pPr>
          </w:p>
        </w:tc>
      </w:tr>
      <w:tr>
        <w:trPr>
          <w:trHeight w:val="156"/>
        </w:trPr>
        <w:tc>
          <w:tcPr>
            <w:tcW w:w="1360" w:type="dxa"/>
            <w:vAlign w:val="bottom"/>
            <w:vMerge w:val="restart"/>
          </w:tcPr>
          <w:p>
            <w:pPr>
              <w:spacing w:after="0"/>
              <w:rPr>
                <w:sz w:val="20"/>
                <w:szCs w:val="20"/>
                <w:color w:val="auto"/>
              </w:rPr>
            </w:pPr>
            <w:r>
              <w:rPr>
                <w:rFonts w:ascii="Arial" w:cs="Arial" w:eastAsia="Arial" w:hAnsi="Arial"/>
                <w:sz w:val="18"/>
                <w:szCs w:val="18"/>
                <w:color w:val="auto"/>
              </w:rPr>
              <w:t>32.1**</w:t>
            </w:r>
          </w:p>
        </w:tc>
        <w:tc>
          <w:tcPr>
            <w:tcW w:w="4980" w:type="dxa"/>
            <w:vAlign w:val="bottom"/>
            <w:tcBorders>
              <w:top w:val="single" w:sz="8" w:color="0000FF"/>
              <w:bottom w:val="single" w:sz="8" w:color="0000FF"/>
            </w:tcBorders>
            <w:gridSpan w:val="5"/>
          </w:tcPr>
          <w:p>
            <w:pPr>
              <w:spacing w:after="0" w:line="156" w:lineRule="exact"/>
              <w:rPr>
                <w:rFonts w:ascii="Arial" w:cs="Arial" w:eastAsia="Arial" w:hAnsi="Arial"/>
                <w:sz w:val="18"/>
                <w:szCs w:val="18"/>
                <w:color w:val="0000FF"/>
                <w:w w:val="90"/>
              </w:rPr>
            </w:pPr>
            <w:hyperlink w:anchor="page104">
              <w:r>
                <w:rPr>
                  <w:rFonts w:ascii="Arial" w:cs="Arial" w:eastAsia="Arial" w:hAnsi="Arial"/>
                  <w:sz w:val="18"/>
                  <w:szCs w:val="18"/>
                  <w:color w:val="0000FF"/>
                  <w:w w:val="90"/>
                </w:rPr>
                <w:t>Adopted Pursuant to Section 302 of the Sarbanes-Oxley Act of 2002.</w:t>
              </w:r>
            </w:hyperlink>
          </w:p>
        </w:tc>
        <w:tc>
          <w:tcPr>
            <w:tcW w:w="4640" w:type="dxa"/>
            <w:vAlign w:val="bottom"/>
            <w:tcBorders>
              <w:top w:val="single" w:sz="8" w:color="0000FF"/>
            </w:tcBorders>
            <w:gridSpan w:val="10"/>
          </w:tcPr>
          <w:p>
            <w:pPr>
              <w:spacing w:after="0"/>
              <w:rPr>
                <w:sz w:val="13"/>
                <w:szCs w:val="13"/>
                <w:color w:val="auto"/>
              </w:rPr>
            </w:pPr>
          </w:p>
        </w:tc>
        <w:tc>
          <w:tcPr>
            <w:tcW w:w="240" w:type="dxa"/>
            <w:vAlign w:val="bottom"/>
            <w:gridSpan w:val="5"/>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360" w:type="dxa"/>
            <w:vAlign w:val="bottom"/>
            <w:vMerge w:val="continue"/>
          </w:tcPr>
          <w:p>
            <w:pPr>
              <w:spacing w:after="0"/>
              <w:rPr>
                <w:sz w:val="14"/>
                <w:szCs w:val="14"/>
                <w:color w:val="auto"/>
              </w:rPr>
            </w:pPr>
          </w:p>
        </w:tc>
        <w:tc>
          <w:tcPr>
            <w:tcW w:w="9860" w:type="dxa"/>
            <w:vAlign w:val="bottom"/>
            <w:gridSpan w:val="20"/>
          </w:tcPr>
          <w:p>
            <w:pPr>
              <w:spacing w:after="0" w:line="169" w:lineRule="exact"/>
              <w:rPr>
                <w:rFonts w:ascii="Arial" w:cs="Arial" w:eastAsia="Arial" w:hAnsi="Arial"/>
                <w:sz w:val="18"/>
                <w:szCs w:val="18"/>
                <w:color w:val="0000FF"/>
                <w:w w:val="93"/>
              </w:rPr>
            </w:pPr>
            <w:hyperlink w:anchor="page105">
              <w:r>
                <w:rPr>
                  <w:rFonts w:ascii="Arial" w:cs="Arial" w:eastAsia="Arial" w:hAnsi="Arial"/>
                  <w:sz w:val="18"/>
                  <w:szCs w:val="18"/>
                  <w:color w:val="0000FF"/>
                  <w:w w:val="93"/>
                </w:rPr>
                <w:t>Certification of Principal Executive Officer Pursuant to 18 U.S.C. Section 1350, as Adopted Pursuant to Section 906 of the Sarbanes-</w:t>
              </w:r>
            </w:hyperlink>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1400" w:type="dxa"/>
            <w:vAlign w:val="bottom"/>
            <w:tcBorders>
              <w:left w:val="single" w:sz="8" w:color="0000EE"/>
              <w:right w:val="single" w:sz="8" w:color="0000FF"/>
            </w:tcBorders>
            <w:gridSpan w:val="3"/>
            <w:shd w:val="clear" w:color="auto" w:fill="0000FF"/>
          </w:tcPr>
          <w:p>
            <w:pPr>
              <w:spacing w:after="0" w:line="20" w:lineRule="exact"/>
              <w:rPr>
                <w:sz w:val="1"/>
                <w:szCs w:val="1"/>
                <w:color w:val="auto"/>
              </w:rPr>
            </w:pPr>
          </w:p>
        </w:tc>
        <w:tc>
          <w:tcPr>
            <w:tcW w:w="8140" w:type="dxa"/>
            <w:vAlign w:val="bottom"/>
            <w:gridSpan w:val="10"/>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60" w:type="dxa"/>
            <w:vAlign w:val="bottom"/>
            <w:gridSpan w:val="6"/>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1360" w:type="dxa"/>
            <w:vAlign w:val="bottom"/>
            <w:vMerge w:val="restart"/>
          </w:tcPr>
          <w:p>
            <w:pPr>
              <w:spacing w:after="0"/>
              <w:rPr>
                <w:sz w:val="20"/>
                <w:szCs w:val="20"/>
                <w:color w:val="auto"/>
              </w:rPr>
            </w:pPr>
            <w:r>
              <w:rPr>
                <w:rFonts w:ascii="Arial" w:cs="Arial" w:eastAsia="Arial" w:hAnsi="Arial"/>
                <w:sz w:val="18"/>
                <w:szCs w:val="18"/>
                <w:color w:val="auto"/>
              </w:rPr>
              <w:t>32.2**</w:t>
            </w:r>
          </w:p>
        </w:tc>
        <w:tc>
          <w:tcPr>
            <w:tcW w:w="9600" w:type="dxa"/>
            <w:vAlign w:val="bottom"/>
            <w:gridSpan w:val="14"/>
          </w:tcPr>
          <w:p>
            <w:pPr>
              <w:spacing w:after="0" w:line="156" w:lineRule="exact"/>
              <w:rPr>
                <w:rFonts w:ascii="Arial" w:cs="Arial" w:eastAsia="Arial" w:hAnsi="Arial"/>
                <w:sz w:val="18"/>
                <w:szCs w:val="18"/>
                <w:color w:val="0000FF"/>
              </w:rPr>
            </w:pPr>
            <w:hyperlink w:anchor="page105">
              <w:r>
                <w:rPr>
                  <w:rFonts w:ascii="Arial" w:cs="Arial" w:eastAsia="Arial" w:hAnsi="Arial"/>
                  <w:sz w:val="18"/>
                  <w:szCs w:val="18"/>
                  <w:color w:val="0000FF"/>
                </w:rPr>
                <w:t>Oxley Act of 2002.</w:t>
              </w:r>
            </w:hyperlink>
          </w:p>
        </w:tc>
        <w:tc>
          <w:tcPr>
            <w:tcW w:w="260" w:type="dxa"/>
            <w:vAlign w:val="bottom"/>
            <w:gridSpan w:val="6"/>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60" w:type="dxa"/>
            <w:vAlign w:val="bottom"/>
            <w:vMerge w:val="continue"/>
          </w:tcPr>
          <w:p>
            <w:pPr>
              <w:spacing w:after="0" w:line="20" w:lineRule="exact"/>
              <w:rPr>
                <w:sz w:val="1"/>
                <w:szCs w:val="1"/>
                <w:color w:val="auto"/>
              </w:rPr>
            </w:pPr>
          </w:p>
        </w:tc>
        <w:tc>
          <w:tcPr>
            <w:tcW w:w="1400" w:type="dxa"/>
            <w:vAlign w:val="bottom"/>
            <w:tcBorders>
              <w:left w:val="single" w:sz="8" w:color="0000EE"/>
              <w:right w:val="single" w:sz="8" w:color="0000EE"/>
            </w:tcBorders>
            <w:gridSpan w:val="3"/>
            <w:shd w:val="clear" w:color="auto" w:fill="0000FF"/>
          </w:tcPr>
          <w:p>
            <w:pPr>
              <w:spacing w:after="0" w:line="20" w:lineRule="exact"/>
              <w:rPr>
                <w:sz w:val="1"/>
                <w:szCs w:val="1"/>
                <w:color w:val="auto"/>
              </w:rPr>
            </w:pPr>
          </w:p>
        </w:tc>
        <w:tc>
          <w:tcPr>
            <w:tcW w:w="8140" w:type="dxa"/>
            <w:vAlign w:val="bottom"/>
            <w:gridSpan w:val="10"/>
          </w:tcPr>
          <w:p>
            <w:pPr>
              <w:spacing w:after="0" w:line="20" w:lineRule="exact"/>
              <w:rPr>
                <w:sz w:val="1"/>
                <w:szCs w:val="1"/>
                <w:color w:val="auto"/>
              </w:rPr>
            </w:pPr>
          </w:p>
        </w:tc>
        <w:tc>
          <w:tcPr>
            <w:tcW w:w="32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360" w:type="dxa"/>
            <w:vAlign w:val="bottom"/>
            <w:vMerge w:val="continue"/>
          </w:tcPr>
          <w:p>
            <w:pPr>
              <w:spacing w:after="0"/>
              <w:rPr>
                <w:sz w:val="14"/>
                <w:szCs w:val="14"/>
                <w:color w:val="auto"/>
              </w:rPr>
            </w:pPr>
          </w:p>
        </w:tc>
        <w:tc>
          <w:tcPr>
            <w:tcW w:w="9860" w:type="dxa"/>
            <w:vAlign w:val="bottom"/>
            <w:gridSpan w:val="20"/>
          </w:tcPr>
          <w:p>
            <w:pPr>
              <w:spacing w:after="0" w:line="169" w:lineRule="exact"/>
              <w:rPr>
                <w:rFonts w:ascii="Arial" w:cs="Arial" w:eastAsia="Arial" w:hAnsi="Arial"/>
                <w:sz w:val="18"/>
                <w:szCs w:val="18"/>
                <w:color w:val="0000FF"/>
                <w:w w:val="93"/>
              </w:rPr>
            </w:pPr>
            <w:hyperlink w:anchor="page106">
              <w:r>
                <w:rPr>
                  <w:rFonts w:ascii="Arial" w:cs="Arial" w:eastAsia="Arial" w:hAnsi="Arial"/>
                  <w:sz w:val="18"/>
                  <w:szCs w:val="18"/>
                  <w:color w:val="0000FF"/>
                  <w:w w:val="93"/>
                </w:rPr>
                <w:t>Certification of Principal Financial Officer Pursuant to 18 U.S.C. Section 1350, as Adopted Pursuant to Section 906 of the Sarbanes-</w:t>
              </w:r>
            </w:hyperlink>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9540" w:type="dxa"/>
            <w:vAlign w:val="bottom"/>
            <w:tcBorders>
              <w:left w:val="single" w:sz="8" w:color="0000EE"/>
            </w:tcBorders>
            <w:gridSpan w:val="13"/>
            <w:shd w:val="clear" w:color="auto" w:fill="0000FF"/>
          </w:tcPr>
          <w:p>
            <w:pPr>
              <w:spacing w:after="0" w:line="20" w:lineRule="exact"/>
              <w:rPr>
                <w:sz w:val="1"/>
                <w:szCs w:val="1"/>
                <w:color w:val="auto"/>
              </w:rPr>
            </w:pPr>
          </w:p>
        </w:tc>
        <w:tc>
          <w:tcPr>
            <w:tcW w:w="320" w:type="dxa"/>
            <w:vAlign w:val="bottom"/>
            <w:gridSpan w:val="7"/>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360" w:type="dxa"/>
            <w:vAlign w:val="bottom"/>
            <w:vMerge w:val="restart"/>
          </w:tcPr>
          <w:p>
            <w:pPr>
              <w:spacing w:after="0"/>
              <w:rPr>
                <w:sz w:val="20"/>
                <w:szCs w:val="20"/>
                <w:color w:val="auto"/>
              </w:rPr>
            </w:pPr>
            <w:r>
              <w:rPr>
                <w:rFonts w:ascii="Arial" w:cs="Arial" w:eastAsia="Arial" w:hAnsi="Arial"/>
                <w:sz w:val="18"/>
                <w:szCs w:val="18"/>
                <w:color w:val="auto"/>
              </w:rPr>
              <w:t>101.INS</w:t>
            </w:r>
          </w:p>
        </w:tc>
        <w:tc>
          <w:tcPr>
            <w:tcW w:w="9540" w:type="dxa"/>
            <w:vAlign w:val="bottom"/>
            <w:gridSpan w:val="13"/>
          </w:tcPr>
          <w:p>
            <w:pPr>
              <w:spacing w:after="0" w:line="156" w:lineRule="exact"/>
              <w:rPr>
                <w:rFonts w:ascii="Arial" w:cs="Arial" w:eastAsia="Arial" w:hAnsi="Arial"/>
                <w:sz w:val="18"/>
                <w:szCs w:val="18"/>
                <w:color w:val="0000FF"/>
              </w:rPr>
            </w:pPr>
            <w:hyperlink w:anchor="page106">
              <w:r>
                <w:rPr>
                  <w:rFonts w:ascii="Arial" w:cs="Arial" w:eastAsia="Arial" w:hAnsi="Arial"/>
                  <w:sz w:val="18"/>
                  <w:szCs w:val="18"/>
                  <w:color w:val="0000FF"/>
                </w:rPr>
                <w:t>Oxley Act of 2002.</w:t>
              </w:r>
            </w:hyperlink>
          </w:p>
        </w:tc>
        <w:tc>
          <w:tcPr>
            <w:tcW w:w="320" w:type="dxa"/>
            <w:vAlign w:val="bottom"/>
            <w:gridSpan w:val="7"/>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60" w:type="dxa"/>
            <w:vAlign w:val="bottom"/>
            <w:vMerge w:val="continue"/>
          </w:tcPr>
          <w:p>
            <w:pPr>
              <w:spacing w:after="0" w:line="20" w:lineRule="exact"/>
              <w:rPr>
                <w:sz w:val="1"/>
                <w:szCs w:val="1"/>
                <w:color w:val="auto"/>
              </w:rPr>
            </w:pPr>
          </w:p>
        </w:tc>
        <w:tc>
          <w:tcPr>
            <w:tcW w:w="1400" w:type="dxa"/>
            <w:vAlign w:val="bottom"/>
            <w:tcBorders>
              <w:left w:val="single" w:sz="8" w:color="0000EE"/>
              <w:right w:val="single" w:sz="8" w:color="0000EE"/>
            </w:tcBorders>
            <w:gridSpan w:val="3"/>
            <w:shd w:val="clear" w:color="auto" w:fill="0000FF"/>
          </w:tcPr>
          <w:p>
            <w:pPr>
              <w:spacing w:after="0" w:line="20" w:lineRule="exact"/>
              <w:rPr>
                <w:sz w:val="1"/>
                <w:szCs w:val="1"/>
                <w:color w:val="auto"/>
              </w:rPr>
            </w:pPr>
          </w:p>
        </w:tc>
        <w:tc>
          <w:tcPr>
            <w:tcW w:w="8460" w:type="dxa"/>
            <w:vAlign w:val="bottom"/>
            <w:gridSpan w:val="1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1360" w:type="dxa"/>
            <w:vAlign w:val="bottom"/>
            <w:vMerge w:val="continue"/>
          </w:tcPr>
          <w:p>
            <w:pPr>
              <w:spacing w:after="0"/>
              <w:rPr>
                <w:sz w:val="13"/>
                <w:szCs w:val="13"/>
                <w:color w:val="auto"/>
              </w:rPr>
            </w:pPr>
          </w:p>
        </w:tc>
        <w:tc>
          <w:tcPr>
            <w:tcW w:w="9860" w:type="dxa"/>
            <w:vAlign w:val="bottom"/>
            <w:gridSpan w:val="20"/>
          </w:tcPr>
          <w:p>
            <w:pPr>
              <w:spacing w:after="0" w:line="156" w:lineRule="exact"/>
              <w:rPr>
                <w:sz w:val="20"/>
                <w:szCs w:val="20"/>
                <w:color w:val="auto"/>
              </w:rPr>
            </w:pPr>
            <w:r>
              <w:rPr>
                <w:rFonts w:ascii="Arial" w:cs="Arial" w:eastAsia="Arial" w:hAnsi="Arial"/>
                <w:sz w:val="18"/>
                <w:szCs w:val="18"/>
                <w:color w:val="auto"/>
                <w:w w:val="90"/>
              </w:rPr>
              <w:t>Inline XBRL Instance Document – the instance document does not appear in the Interactive Data File because XBRL tags are embedded</w:t>
            </w:r>
          </w:p>
        </w:tc>
        <w:tc>
          <w:tcPr>
            <w:tcW w:w="0" w:type="dxa"/>
            <w:vAlign w:val="bottom"/>
          </w:tcPr>
          <w:p>
            <w:pPr>
              <w:spacing w:after="0"/>
              <w:rPr>
                <w:sz w:val="1"/>
                <w:szCs w:val="1"/>
                <w:color w:val="auto"/>
              </w:rPr>
            </w:pPr>
          </w:p>
        </w:tc>
      </w:tr>
      <w:tr>
        <w:trPr>
          <w:trHeight w:val="188"/>
        </w:trPr>
        <w:tc>
          <w:tcPr>
            <w:tcW w:w="1360" w:type="dxa"/>
            <w:vAlign w:val="bottom"/>
          </w:tcPr>
          <w:p>
            <w:pPr>
              <w:spacing w:after="0"/>
              <w:rPr>
                <w:sz w:val="16"/>
                <w:szCs w:val="16"/>
                <w:color w:val="auto"/>
              </w:rPr>
            </w:pPr>
          </w:p>
        </w:tc>
        <w:tc>
          <w:tcPr>
            <w:tcW w:w="9860" w:type="dxa"/>
            <w:vAlign w:val="bottom"/>
            <w:gridSpan w:val="20"/>
          </w:tcPr>
          <w:p>
            <w:pPr>
              <w:spacing w:after="0" w:line="189" w:lineRule="exact"/>
              <w:rPr>
                <w:sz w:val="20"/>
                <w:szCs w:val="20"/>
                <w:color w:val="auto"/>
              </w:rPr>
            </w:pPr>
            <w:r>
              <w:rPr>
                <w:rFonts w:ascii="Arial" w:cs="Arial" w:eastAsia="Arial" w:hAnsi="Arial"/>
                <w:sz w:val="18"/>
                <w:szCs w:val="18"/>
                <w:color w:val="auto"/>
              </w:rPr>
              <w:t>within the Inline XBRL document.</w:t>
            </w:r>
          </w:p>
        </w:tc>
        <w:tc>
          <w:tcPr>
            <w:tcW w:w="0" w:type="dxa"/>
            <w:vAlign w:val="bottom"/>
          </w:tcPr>
          <w:p>
            <w:pPr>
              <w:spacing w:after="0"/>
              <w:rPr>
                <w:sz w:val="1"/>
                <w:szCs w:val="1"/>
                <w:color w:val="auto"/>
              </w:rPr>
            </w:pPr>
          </w:p>
        </w:tc>
      </w:tr>
      <w:tr>
        <w:trPr>
          <w:trHeight w:val="189"/>
        </w:trPr>
        <w:tc>
          <w:tcPr>
            <w:tcW w:w="1360" w:type="dxa"/>
            <w:vAlign w:val="bottom"/>
          </w:tcPr>
          <w:p>
            <w:pPr>
              <w:spacing w:after="0" w:line="189" w:lineRule="exact"/>
              <w:rPr>
                <w:sz w:val="20"/>
                <w:szCs w:val="20"/>
                <w:color w:val="auto"/>
              </w:rPr>
            </w:pPr>
            <w:r>
              <w:rPr>
                <w:rFonts w:ascii="Arial" w:cs="Arial" w:eastAsia="Arial" w:hAnsi="Arial"/>
                <w:sz w:val="18"/>
                <w:szCs w:val="18"/>
                <w:color w:val="auto"/>
              </w:rPr>
              <w:t>101.SCH</w:t>
            </w:r>
          </w:p>
        </w:tc>
        <w:tc>
          <w:tcPr>
            <w:tcW w:w="9860" w:type="dxa"/>
            <w:vAlign w:val="bottom"/>
            <w:gridSpan w:val="20"/>
          </w:tcPr>
          <w:p>
            <w:pPr>
              <w:spacing w:after="0" w:line="189" w:lineRule="exact"/>
              <w:rPr>
                <w:sz w:val="20"/>
                <w:szCs w:val="20"/>
                <w:color w:val="auto"/>
              </w:rPr>
            </w:pPr>
            <w:r>
              <w:rPr>
                <w:rFonts w:ascii="Arial" w:cs="Arial" w:eastAsia="Arial" w:hAnsi="Arial"/>
                <w:sz w:val="18"/>
                <w:szCs w:val="18"/>
                <w:color w:val="auto"/>
              </w:rPr>
              <w:t>Inline XBRL Taxonomy Extension Schema Document</w:t>
            </w:r>
          </w:p>
        </w:tc>
        <w:tc>
          <w:tcPr>
            <w:tcW w:w="0" w:type="dxa"/>
            <w:vAlign w:val="bottom"/>
          </w:tcPr>
          <w:p>
            <w:pPr>
              <w:spacing w:after="0"/>
              <w:rPr>
                <w:sz w:val="1"/>
                <w:szCs w:val="1"/>
                <w:color w:val="auto"/>
              </w:rPr>
            </w:pPr>
          </w:p>
        </w:tc>
      </w:tr>
      <w:tr>
        <w:trPr>
          <w:trHeight w:val="189"/>
        </w:trPr>
        <w:tc>
          <w:tcPr>
            <w:tcW w:w="1360" w:type="dxa"/>
            <w:vAlign w:val="bottom"/>
          </w:tcPr>
          <w:p>
            <w:pPr>
              <w:spacing w:after="0" w:line="189" w:lineRule="exact"/>
              <w:rPr>
                <w:sz w:val="20"/>
                <w:szCs w:val="20"/>
                <w:color w:val="auto"/>
              </w:rPr>
            </w:pPr>
            <w:r>
              <w:rPr>
                <w:rFonts w:ascii="Arial" w:cs="Arial" w:eastAsia="Arial" w:hAnsi="Arial"/>
                <w:sz w:val="18"/>
                <w:szCs w:val="18"/>
                <w:color w:val="auto"/>
              </w:rPr>
              <w:t>101.CAL</w:t>
            </w:r>
          </w:p>
        </w:tc>
        <w:tc>
          <w:tcPr>
            <w:tcW w:w="9860" w:type="dxa"/>
            <w:vAlign w:val="bottom"/>
            <w:gridSpan w:val="20"/>
          </w:tcPr>
          <w:p>
            <w:pPr>
              <w:spacing w:after="0" w:line="189" w:lineRule="exact"/>
              <w:rPr>
                <w:sz w:val="20"/>
                <w:szCs w:val="20"/>
                <w:color w:val="auto"/>
              </w:rPr>
            </w:pPr>
            <w:r>
              <w:rPr>
                <w:rFonts w:ascii="Arial" w:cs="Arial" w:eastAsia="Arial" w:hAnsi="Arial"/>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189"/>
        </w:trPr>
        <w:tc>
          <w:tcPr>
            <w:tcW w:w="1360" w:type="dxa"/>
            <w:vAlign w:val="bottom"/>
          </w:tcPr>
          <w:p>
            <w:pPr>
              <w:spacing w:after="0" w:line="189" w:lineRule="exact"/>
              <w:rPr>
                <w:sz w:val="20"/>
                <w:szCs w:val="20"/>
                <w:color w:val="auto"/>
              </w:rPr>
            </w:pPr>
            <w:r>
              <w:rPr>
                <w:rFonts w:ascii="Arial" w:cs="Arial" w:eastAsia="Arial" w:hAnsi="Arial"/>
                <w:sz w:val="18"/>
                <w:szCs w:val="18"/>
                <w:color w:val="auto"/>
              </w:rPr>
              <w:t>101.DEF</w:t>
            </w:r>
          </w:p>
        </w:tc>
        <w:tc>
          <w:tcPr>
            <w:tcW w:w="9860" w:type="dxa"/>
            <w:vAlign w:val="bottom"/>
            <w:gridSpan w:val="20"/>
          </w:tcPr>
          <w:p>
            <w:pPr>
              <w:spacing w:after="0" w:line="189" w:lineRule="exact"/>
              <w:rPr>
                <w:sz w:val="20"/>
                <w:szCs w:val="20"/>
                <w:color w:val="auto"/>
              </w:rPr>
            </w:pPr>
            <w:r>
              <w:rPr>
                <w:rFonts w:ascii="Arial" w:cs="Arial" w:eastAsia="Arial" w:hAnsi="Arial"/>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189"/>
        </w:trPr>
        <w:tc>
          <w:tcPr>
            <w:tcW w:w="1360" w:type="dxa"/>
            <w:vAlign w:val="bottom"/>
          </w:tcPr>
          <w:p>
            <w:pPr>
              <w:spacing w:after="0" w:line="189" w:lineRule="exact"/>
              <w:rPr>
                <w:sz w:val="20"/>
                <w:szCs w:val="20"/>
                <w:color w:val="auto"/>
              </w:rPr>
            </w:pPr>
            <w:r>
              <w:rPr>
                <w:rFonts w:ascii="Arial" w:cs="Arial" w:eastAsia="Arial" w:hAnsi="Arial"/>
                <w:sz w:val="18"/>
                <w:szCs w:val="18"/>
                <w:color w:val="auto"/>
              </w:rPr>
              <w:t>101.LAB</w:t>
            </w:r>
          </w:p>
        </w:tc>
        <w:tc>
          <w:tcPr>
            <w:tcW w:w="9860" w:type="dxa"/>
            <w:vAlign w:val="bottom"/>
            <w:gridSpan w:val="20"/>
          </w:tcPr>
          <w:p>
            <w:pPr>
              <w:spacing w:after="0" w:line="189" w:lineRule="exact"/>
              <w:rPr>
                <w:sz w:val="20"/>
                <w:szCs w:val="20"/>
                <w:color w:val="auto"/>
              </w:rPr>
            </w:pPr>
            <w:r>
              <w:rPr>
                <w:rFonts w:ascii="Arial" w:cs="Arial" w:eastAsia="Arial" w:hAnsi="Arial"/>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205"/>
        </w:trPr>
        <w:tc>
          <w:tcPr>
            <w:tcW w:w="1360" w:type="dxa"/>
            <w:vAlign w:val="bottom"/>
          </w:tcPr>
          <w:p>
            <w:pPr>
              <w:spacing w:after="0" w:line="205" w:lineRule="exact"/>
              <w:rPr>
                <w:sz w:val="20"/>
                <w:szCs w:val="20"/>
                <w:color w:val="auto"/>
              </w:rPr>
            </w:pPr>
            <w:r>
              <w:rPr>
                <w:rFonts w:ascii="Arial" w:cs="Arial" w:eastAsia="Arial" w:hAnsi="Arial"/>
                <w:sz w:val="18"/>
                <w:szCs w:val="18"/>
                <w:color w:val="auto"/>
              </w:rPr>
              <w:t>101.PRE</w:t>
            </w:r>
          </w:p>
        </w:tc>
        <w:tc>
          <w:tcPr>
            <w:tcW w:w="9860" w:type="dxa"/>
            <w:vAlign w:val="bottom"/>
            <w:gridSpan w:val="20"/>
          </w:tcPr>
          <w:p>
            <w:pPr>
              <w:spacing w:after="0" w:line="205" w:lineRule="exact"/>
              <w:rPr>
                <w:sz w:val="20"/>
                <w:szCs w:val="20"/>
                <w:color w:val="auto"/>
              </w:rPr>
            </w:pPr>
            <w:r>
              <w:rPr>
                <w:rFonts w:ascii="Arial" w:cs="Arial" w:eastAsia="Arial" w:hAnsi="Arial"/>
                <w:sz w:val="18"/>
                <w:szCs w:val="18"/>
                <w:color w:val="auto"/>
              </w:rPr>
              <w:t>Inline XBRL Taxonomy Extension Presentation Linkbase Document</w:t>
            </w:r>
          </w:p>
        </w:tc>
        <w:tc>
          <w:tcPr>
            <w:tcW w:w="0" w:type="dxa"/>
            <w:vAlign w:val="bottom"/>
          </w:tcPr>
          <w:p>
            <w:pPr>
              <w:spacing w:after="0"/>
              <w:rPr>
                <w:sz w:val="1"/>
                <w:szCs w:val="1"/>
                <w:color w:val="auto"/>
              </w:rPr>
            </w:pPr>
          </w:p>
        </w:tc>
      </w:tr>
    </w:tbl>
    <w:p>
      <w:pPr>
        <w:ind w:left="1380" w:hanging="1359"/>
        <w:spacing w:after="0"/>
        <w:tabs>
          <w:tab w:leader="none" w:pos="1380" w:val="left"/>
        </w:tabs>
        <w:numPr>
          <w:ilvl w:val="1"/>
          <w:numId w:val="79"/>
        </w:numPr>
        <w:rPr>
          <w:rFonts w:ascii="Arial" w:cs="Arial" w:eastAsia="Arial" w:hAnsi="Arial"/>
          <w:sz w:val="18"/>
          <w:szCs w:val="18"/>
          <w:color w:val="auto"/>
        </w:rPr>
      </w:pPr>
      <w:r>
        <w:rPr>
          <w:rFonts w:ascii="Arial" w:cs="Arial" w:eastAsia="Arial" w:hAnsi="Arial"/>
          <w:sz w:val="18"/>
          <w:szCs w:val="18"/>
          <w:color w:val="auto"/>
        </w:rPr>
        <w:t>Cover Page Interactive Data File (embedded within the Inline XBRL document)</w:t>
      </w:r>
    </w:p>
    <w:p>
      <w:pPr>
        <w:spacing w:after="0" w:line="12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 Filed herewith.</w:t>
      </w:r>
    </w:p>
    <w:p>
      <w:pPr>
        <w:spacing w:after="0" w:line="11" w:lineRule="exact"/>
        <w:rPr>
          <w:rFonts w:ascii="Arial" w:cs="Arial" w:eastAsia="Arial" w:hAnsi="Arial"/>
          <w:sz w:val="18"/>
          <w:szCs w:val="18"/>
          <w:color w:val="auto"/>
        </w:rPr>
      </w:pPr>
    </w:p>
    <w:p>
      <w:pPr>
        <w:ind w:left="240" w:hanging="232"/>
        <w:spacing w:after="0" w:line="234" w:lineRule="auto"/>
        <w:tabs>
          <w:tab w:leader="none" w:pos="240" w:val="left"/>
        </w:tabs>
        <w:numPr>
          <w:ilvl w:val="0"/>
          <w:numId w:val="80"/>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-265430</wp:posOffset>
            </wp:positionV>
            <wp:extent cx="1423035"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406">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35" w:lineRule="auto"/>
        <w:rPr>
          <w:sz w:val="20"/>
          <w:szCs w:val="20"/>
          <w:color w:val="auto"/>
        </w:rPr>
      </w:pPr>
      <w:r>
        <w:rPr>
          <w:rFonts w:ascii="Arial" w:cs="Arial" w:eastAsia="Arial" w:hAnsi="Arial"/>
          <w:sz w:val="18"/>
          <w:szCs w:val="18"/>
          <w:color w:val="auto"/>
        </w:rPr>
        <w:t>+ Management contract or compensatory plan, contract or arrangement.</w:t>
      </w:r>
    </w:p>
    <w:p>
      <w:pPr>
        <w:spacing w:after="0" w:line="1" w:lineRule="exact"/>
        <w:rPr>
          <w:sz w:val="20"/>
          <w:szCs w:val="20"/>
          <w:color w:val="auto"/>
        </w:rPr>
      </w:pPr>
    </w:p>
    <w:p>
      <w:pPr>
        <w:ind w:right="140" w:firstLine="8"/>
        <w:spacing w:after="0" w:line="243" w:lineRule="auto"/>
        <w:tabs>
          <w:tab w:leader="none" w:pos="135" w:val="left"/>
        </w:tabs>
        <w:numPr>
          <w:ilvl w:val="0"/>
          <w:numId w:val="81"/>
        </w:numPr>
        <w:rPr>
          <w:rFonts w:ascii="Arial" w:cs="Arial" w:eastAsia="Arial" w:hAnsi="Arial"/>
          <w:sz w:val="18"/>
          <w:szCs w:val="18"/>
          <w:color w:val="auto"/>
        </w:rPr>
      </w:pPr>
      <w:r>
        <w:rPr>
          <w:rFonts w:ascii="Arial" w:cs="Arial" w:eastAsia="Arial" w:hAnsi="Arial"/>
          <w:sz w:val="18"/>
          <w:szCs w:val="18"/>
          <w:color w:val="auto"/>
        </w:rPr>
        <w:t>We have omitted the schedules to this Exhibit in accordance with Regulation S-K Item 601(b)(2). A copy of any omitted schedule and/or exhibit will be furnished to the Securities and Exchange Commission upon its request.</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10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4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97" w:right="359" w:bottom="1440" w:gutter="0" w:footer="0" w:header="0"/>
        </w:sectPr>
      </w:pPr>
    </w:p>
    <w:bookmarkStart w:id="95" w:name="page96"/>
    <w:bookmarkEnd w:id="95"/>
    <w:p>
      <w:pPr>
        <w:jc w:val="center"/>
        <w:spacing w:after="0"/>
        <w:rPr>
          <w:sz w:val="20"/>
          <w:szCs w:val="20"/>
          <w:color w:val="auto"/>
        </w:rPr>
      </w:pPr>
      <w:r>
        <w:rPr>
          <w:rFonts w:ascii="Arial" w:cs="Arial" w:eastAsia="Arial" w:hAnsi="Arial"/>
          <w:sz w:val="18"/>
          <w:szCs w:val="18"/>
          <w:b w:val="1"/>
          <w:bCs w:val="1"/>
          <w:color w:val="auto"/>
        </w:rPr>
        <w:t>SIGNATURES</w:t>
      </w:r>
    </w:p>
    <w:p>
      <w:pPr>
        <w:spacing w:after="0" w:line="216" w:lineRule="exact"/>
        <w:rPr>
          <w:sz w:val="20"/>
          <w:szCs w:val="20"/>
          <w:color w:val="auto"/>
        </w:rPr>
      </w:pPr>
    </w:p>
    <w:p>
      <w:pPr>
        <w:jc w:val="both"/>
        <w:ind w:right="180" w:firstLine="636"/>
        <w:spacing w:after="0" w:line="248" w:lineRule="auto"/>
        <w:rPr>
          <w:sz w:val="20"/>
          <w:szCs w:val="20"/>
          <w:color w:val="auto"/>
        </w:rPr>
      </w:pPr>
      <w:r>
        <w:rPr>
          <w:rFonts w:ascii="Arial" w:cs="Arial" w:eastAsia="Arial" w:hAnsi="Arial"/>
          <w:sz w:val="18"/>
          <w:szCs w:val="18"/>
          <w:color w:val="auto"/>
        </w:rPr>
        <w:t>Pursuant to the requirements of Section 13 or 15(d) the Securities Exchange Act of 1934, as amended, the registrant has duly caused this Annual Report on Form 10-K to be signed on its behalf by the undersigned, thereunto duly authorized, in the City of Gaithersburg, State of Maryland, on March 18, 2022.</w:t>
      </w:r>
    </w:p>
    <w:p>
      <w:pPr>
        <w:spacing w:after="0" w:line="191"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2900" w:type="dxa"/>
            <w:vAlign w:val="bottom"/>
          </w:tcPr>
          <w:p>
            <w:pPr>
              <w:spacing w:after="0"/>
              <w:rPr>
                <w:sz w:val="20"/>
                <w:szCs w:val="20"/>
                <w:color w:val="auto"/>
              </w:rPr>
            </w:pPr>
          </w:p>
        </w:tc>
        <w:tc>
          <w:tcPr>
            <w:tcW w:w="3860" w:type="dxa"/>
            <w:vAlign w:val="bottom"/>
            <w:gridSpan w:val="2"/>
          </w:tcPr>
          <w:p>
            <w:pPr>
              <w:ind w:left="2520"/>
              <w:spacing w:after="0"/>
              <w:rPr>
                <w:sz w:val="20"/>
                <w:szCs w:val="20"/>
                <w:color w:val="auto"/>
              </w:rPr>
            </w:pPr>
            <w:r>
              <w:rPr>
                <w:rFonts w:ascii="Arial" w:cs="Arial" w:eastAsia="Arial" w:hAnsi="Arial"/>
                <w:sz w:val="18"/>
                <w:szCs w:val="18"/>
                <w:b w:val="1"/>
                <w:bCs w:val="1"/>
                <w:color w:val="auto"/>
              </w:rPr>
              <w:t>Xometry, Inc.</w:t>
            </w:r>
          </w:p>
        </w:tc>
        <w:tc>
          <w:tcPr>
            <w:tcW w:w="4460" w:type="dxa"/>
            <w:vAlign w:val="bottom"/>
          </w:tcPr>
          <w:p>
            <w:pPr>
              <w:spacing w:after="0"/>
              <w:rPr>
                <w:sz w:val="20"/>
                <w:szCs w:val="20"/>
                <w:color w:val="auto"/>
              </w:rPr>
            </w:pPr>
          </w:p>
        </w:tc>
      </w:tr>
      <w:tr>
        <w:trPr>
          <w:trHeight w:val="351"/>
        </w:trPr>
        <w:tc>
          <w:tcPr>
            <w:tcW w:w="2900" w:type="dxa"/>
            <w:vAlign w:val="bottom"/>
          </w:tcPr>
          <w:p>
            <w:pPr>
              <w:spacing w:after="0"/>
              <w:rPr>
                <w:sz w:val="20"/>
                <w:szCs w:val="20"/>
                <w:color w:val="auto"/>
              </w:rPr>
            </w:pPr>
            <w:r>
              <w:rPr>
                <w:rFonts w:ascii="Arial" w:cs="Arial" w:eastAsia="Arial" w:hAnsi="Arial"/>
                <w:sz w:val="18"/>
                <w:szCs w:val="18"/>
                <w:color w:val="auto"/>
              </w:rPr>
              <w:t>Date:</w:t>
            </w:r>
          </w:p>
        </w:tc>
        <w:tc>
          <w:tcPr>
            <w:tcW w:w="3860" w:type="dxa"/>
            <w:vAlign w:val="bottom"/>
            <w:gridSpan w:val="2"/>
          </w:tcPr>
          <w:p>
            <w:pPr>
              <w:ind w:left="2520"/>
              <w:spacing w:after="0"/>
              <w:rPr>
                <w:sz w:val="20"/>
                <w:szCs w:val="20"/>
                <w:color w:val="auto"/>
              </w:rPr>
            </w:pPr>
            <w:r>
              <w:rPr>
                <w:rFonts w:ascii="Arial" w:cs="Arial" w:eastAsia="Arial" w:hAnsi="Arial"/>
                <w:sz w:val="18"/>
                <w:szCs w:val="18"/>
                <w:color w:val="auto"/>
              </w:rPr>
              <w:t>By:</w:t>
            </w:r>
          </w:p>
        </w:tc>
        <w:tc>
          <w:tcPr>
            <w:tcW w:w="4460" w:type="dxa"/>
            <w:vAlign w:val="bottom"/>
          </w:tcPr>
          <w:p>
            <w:pPr>
              <w:jc w:val="center"/>
              <w:ind w:right="632"/>
              <w:spacing w:after="0"/>
              <w:rPr>
                <w:sz w:val="20"/>
                <w:szCs w:val="20"/>
                <w:color w:val="auto"/>
              </w:rPr>
            </w:pPr>
            <w:r>
              <w:rPr>
                <w:rFonts w:ascii="Arial" w:cs="Arial" w:eastAsia="Arial" w:hAnsi="Arial"/>
                <w:sz w:val="18"/>
                <w:szCs w:val="18"/>
                <w:color w:val="auto"/>
                <w:w w:val="91"/>
              </w:rPr>
              <w:t>/s/ Randolph Altschuler</w:t>
            </w:r>
          </w:p>
        </w:tc>
      </w:tr>
      <w:tr>
        <w:trPr>
          <w:trHeight w:val="151"/>
        </w:trPr>
        <w:tc>
          <w:tcPr>
            <w:tcW w:w="2900" w:type="dxa"/>
            <w:vAlign w:val="bottom"/>
          </w:tcPr>
          <w:p>
            <w:pPr>
              <w:spacing w:after="0"/>
              <w:rPr>
                <w:sz w:val="13"/>
                <w:szCs w:val="13"/>
                <w:color w:val="auto"/>
              </w:rPr>
            </w:pPr>
          </w:p>
        </w:tc>
        <w:tc>
          <w:tcPr>
            <w:tcW w:w="3140" w:type="dxa"/>
            <w:vAlign w:val="bottom"/>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4460" w:type="dxa"/>
            <w:vAlign w:val="bottom"/>
            <w:tcBorders>
              <w:top w:val="single" w:sz="8" w:color="auto"/>
            </w:tcBorders>
          </w:tcPr>
          <w:p>
            <w:pPr>
              <w:jc w:val="center"/>
              <w:ind w:right="632"/>
              <w:spacing w:after="0" w:line="150" w:lineRule="exact"/>
              <w:rPr>
                <w:sz w:val="20"/>
                <w:szCs w:val="20"/>
                <w:color w:val="auto"/>
              </w:rPr>
            </w:pPr>
            <w:r>
              <w:rPr>
                <w:rFonts w:ascii="Arial" w:cs="Arial" w:eastAsia="Arial" w:hAnsi="Arial"/>
                <w:sz w:val="17"/>
                <w:szCs w:val="17"/>
                <w:b w:val="1"/>
                <w:bCs w:val="1"/>
                <w:color w:val="auto"/>
                <w:w w:val="98"/>
              </w:rPr>
              <w:t xml:space="preserve">Name: </w:t>
            </w:r>
            <w:r>
              <w:rPr>
                <w:rFonts w:ascii="Arial" w:cs="Arial" w:eastAsia="Arial" w:hAnsi="Arial"/>
                <w:sz w:val="17"/>
                <w:szCs w:val="17"/>
                <w:color w:val="auto"/>
                <w:w w:val="98"/>
              </w:rPr>
              <w:t>Randolph Altschuler</w:t>
            </w:r>
          </w:p>
        </w:tc>
      </w:tr>
      <w:tr>
        <w:trPr>
          <w:trHeight w:val="234"/>
        </w:trPr>
        <w:tc>
          <w:tcPr>
            <w:tcW w:w="290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460" w:type="dxa"/>
            <w:vAlign w:val="bottom"/>
          </w:tcPr>
          <w:p>
            <w:pPr>
              <w:jc w:val="center"/>
              <w:ind w:right="632"/>
              <w:spacing w:after="0"/>
              <w:rPr>
                <w:sz w:val="20"/>
                <w:szCs w:val="20"/>
                <w:color w:val="auto"/>
              </w:rPr>
            </w:pPr>
            <w:r>
              <w:rPr>
                <w:rFonts w:ascii="Arial" w:cs="Arial" w:eastAsia="Arial" w:hAnsi="Arial"/>
                <w:sz w:val="18"/>
                <w:szCs w:val="18"/>
                <w:b w:val="1"/>
                <w:bCs w:val="1"/>
                <w:color w:val="auto"/>
                <w:w w:val="93"/>
              </w:rPr>
              <w:t xml:space="preserve">Title: </w:t>
            </w:r>
            <w:r>
              <w:rPr>
                <w:rFonts w:ascii="Arial" w:cs="Arial" w:eastAsia="Arial" w:hAnsi="Arial"/>
                <w:sz w:val="18"/>
                <w:szCs w:val="18"/>
                <w:color w:val="auto"/>
                <w:w w:val="93"/>
              </w:rPr>
              <w:t>Chief Executive Officer and Director</w:t>
            </w:r>
          </w:p>
        </w:tc>
      </w:tr>
    </w:tbl>
    <w:p>
      <w:pPr>
        <w:spacing w:after="0" w:line="80" w:lineRule="exact"/>
        <w:rPr>
          <w:sz w:val="20"/>
          <w:szCs w:val="20"/>
          <w:color w:val="auto"/>
        </w:rPr>
      </w:pPr>
    </w:p>
    <w:p>
      <w:pPr>
        <w:ind w:right="240" w:firstLine="509"/>
        <w:spacing w:after="0" w:line="261" w:lineRule="auto"/>
        <w:rPr>
          <w:sz w:val="20"/>
          <w:szCs w:val="20"/>
          <w:color w:val="auto"/>
        </w:rPr>
      </w:pPr>
      <w:r>
        <w:rPr>
          <w:rFonts w:ascii="Arial" w:cs="Arial" w:eastAsia="Arial" w:hAnsi="Arial"/>
          <w:sz w:val="18"/>
          <w:szCs w:val="18"/>
          <w:color w:val="auto"/>
        </w:rPr>
        <w:t>Pursuant to the requirements of the Securities Exchange Act of 1934, as amended, this Report has been signed below by the following persons on behalf of the Registrant in the capacities and on the dates indicated.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Name</w:t>
            </w:r>
          </w:p>
        </w:tc>
        <w:tc>
          <w:tcPr>
            <w:tcW w:w="120" w:type="dxa"/>
            <w:vAlign w:val="bottom"/>
          </w:tcPr>
          <w:p>
            <w:pPr>
              <w:spacing w:after="0"/>
              <w:rPr>
                <w:sz w:val="14"/>
                <w:szCs w:val="14"/>
                <w:color w:val="auto"/>
              </w:rPr>
            </w:pPr>
          </w:p>
        </w:tc>
        <w:tc>
          <w:tcPr>
            <w:tcW w:w="4860" w:type="dxa"/>
            <w:vAlign w:val="bottom"/>
            <w:tcBorders>
              <w:bottom w:val="single" w:sz="8" w:color="auto"/>
            </w:tcBorders>
          </w:tcPr>
          <w:p>
            <w:pPr>
              <w:ind w:left="2280"/>
              <w:spacing w:after="0"/>
              <w:rPr>
                <w:sz w:val="20"/>
                <w:szCs w:val="20"/>
                <w:color w:val="auto"/>
              </w:rPr>
            </w:pPr>
            <w:r>
              <w:rPr>
                <w:rFonts w:ascii="Arial" w:cs="Arial" w:eastAsia="Arial" w:hAnsi="Arial"/>
                <w:sz w:val="14"/>
                <w:szCs w:val="14"/>
                <w:b w:val="1"/>
                <w:bCs w:val="1"/>
                <w:color w:val="auto"/>
              </w:rPr>
              <w:t>Title</w:t>
            </w:r>
          </w:p>
        </w:tc>
        <w:tc>
          <w:tcPr>
            <w:tcW w:w="100" w:type="dxa"/>
            <w:vAlign w:val="bottom"/>
          </w:tcPr>
          <w:p>
            <w:pPr>
              <w:spacing w:after="0"/>
              <w:rPr>
                <w:sz w:val="14"/>
                <w:szCs w:val="14"/>
                <w:color w:val="auto"/>
              </w:rPr>
            </w:pPr>
          </w:p>
        </w:tc>
        <w:tc>
          <w:tcPr>
            <w:tcW w:w="2440" w:type="dxa"/>
            <w:vAlign w:val="bottom"/>
            <w:tcBorders>
              <w:bottom w:val="single" w:sz="8" w:color="auto"/>
            </w:tcBorders>
          </w:tcPr>
          <w:p>
            <w:pPr>
              <w:ind w:left="1080"/>
              <w:spacing w:after="0"/>
              <w:rPr>
                <w:sz w:val="20"/>
                <w:szCs w:val="20"/>
                <w:color w:val="auto"/>
              </w:rPr>
            </w:pPr>
            <w:r>
              <w:rPr>
                <w:rFonts w:ascii="Arial" w:cs="Arial" w:eastAsia="Arial" w:hAnsi="Arial"/>
                <w:sz w:val="14"/>
                <w:szCs w:val="14"/>
                <w:b w:val="1"/>
                <w:bCs w:val="1"/>
                <w:color w:val="auto"/>
              </w:rPr>
              <w:t>Date</w:t>
            </w:r>
          </w:p>
        </w:tc>
        <w:tc>
          <w:tcPr>
            <w:tcW w:w="0" w:type="dxa"/>
            <w:vAlign w:val="bottom"/>
          </w:tcPr>
          <w:p>
            <w:pPr>
              <w:spacing w:after="0"/>
              <w:rPr>
                <w:sz w:val="1"/>
                <w:szCs w:val="1"/>
                <w:color w:val="auto"/>
              </w:rPr>
            </w:pPr>
          </w:p>
        </w:tc>
      </w:tr>
      <w:tr>
        <w:trPr>
          <w:trHeight w:val="223"/>
        </w:trPr>
        <w:tc>
          <w:tcPr>
            <w:tcW w:w="3720" w:type="dxa"/>
            <w:vAlign w:val="bottom"/>
            <w:vMerge w:val="restart"/>
          </w:tcPr>
          <w:p>
            <w:pPr>
              <w:jc w:val="center"/>
              <w:spacing w:after="0"/>
              <w:rPr>
                <w:sz w:val="20"/>
                <w:szCs w:val="20"/>
                <w:color w:val="auto"/>
              </w:rPr>
            </w:pPr>
            <w:r>
              <w:rPr>
                <w:rFonts w:ascii="Arial" w:cs="Arial" w:eastAsia="Arial" w:hAnsi="Arial"/>
                <w:sz w:val="18"/>
                <w:szCs w:val="18"/>
                <w:color w:val="auto"/>
                <w:w w:val="91"/>
              </w:rPr>
              <w:t>/s/ Randolph Altschuler</w:t>
            </w:r>
          </w:p>
        </w:tc>
        <w:tc>
          <w:tcPr>
            <w:tcW w:w="120" w:type="dxa"/>
            <w:vAlign w:val="bottom"/>
          </w:tcPr>
          <w:p>
            <w:pPr>
              <w:spacing w:after="0"/>
              <w:rPr>
                <w:sz w:val="19"/>
                <w:szCs w:val="19"/>
                <w:color w:val="auto"/>
              </w:rPr>
            </w:pPr>
          </w:p>
        </w:tc>
        <w:tc>
          <w:tcPr>
            <w:tcW w:w="4860" w:type="dxa"/>
            <w:vAlign w:val="bottom"/>
          </w:tcPr>
          <w:p>
            <w:pPr>
              <w:ind w:left="20"/>
              <w:spacing w:after="0"/>
              <w:rPr>
                <w:sz w:val="20"/>
                <w:szCs w:val="20"/>
                <w:color w:val="auto"/>
              </w:rPr>
            </w:pPr>
            <w:r>
              <w:rPr>
                <w:rFonts w:ascii="Arial" w:cs="Arial" w:eastAsia="Arial" w:hAnsi="Arial"/>
                <w:sz w:val="18"/>
                <w:szCs w:val="18"/>
                <w:color w:val="auto"/>
              </w:rPr>
              <w:t>Chief Executive Officer and Director</w:t>
            </w:r>
          </w:p>
        </w:tc>
        <w:tc>
          <w:tcPr>
            <w:tcW w:w="100" w:type="dxa"/>
            <w:vAlign w:val="bottom"/>
          </w:tcPr>
          <w:p>
            <w:pPr>
              <w:spacing w:after="0"/>
              <w:rPr>
                <w:sz w:val="19"/>
                <w:szCs w:val="19"/>
                <w:color w:val="auto"/>
              </w:rPr>
            </w:pPr>
          </w:p>
        </w:tc>
        <w:tc>
          <w:tcPr>
            <w:tcW w:w="2440" w:type="dxa"/>
            <w:vAlign w:val="bottom"/>
            <w:vMerge w:val="restart"/>
          </w:tcPr>
          <w:p>
            <w:pPr>
              <w:ind w:left="20"/>
              <w:spacing w:after="0"/>
              <w:rPr>
                <w:sz w:val="20"/>
                <w:szCs w:val="20"/>
                <w:color w:val="auto"/>
              </w:rPr>
            </w:pPr>
            <w:r>
              <w:rPr>
                <w:rFonts w:ascii="Arial" w:cs="Arial" w:eastAsia="Arial" w:hAnsi="Arial"/>
                <w:sz w:val="18"/>
                <w:szCs w:val="18"/>
                <w:color w:val="auto"/>
              </w:rPr>
              <w:t>March 18, 2022</w:t>
            </w:r>
          </w:p>
        </w:tc>
        <w:tc>
          <w:tcPr>
            <w:tcW w:w="0" w:type="dxa"/>
            <w:vAlign w:val="bottom"/>
          </w:tcPr>
          <w:p>
            <w:pPr>
              <w:spacing w:after="0"/>
              <w:rPr>
                <w:sz w:val="1"/>
                <w:szCs w:val="1"/>
                <w:color w:val="auto"/>
              </w:rPr>
            </w:pPr>
          </w:p>
        </w:tc>
      </w:tr>
      <w:tr>
        <w:trPr>
          <w:trHeight w:val="208"/>
        </w:trPr>
        <w:tc>
          <w:tcPr>
            <w:tcW w:w="372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4860" w:type="dxa"/>
            <w:vAlign w:val="bottom"/>
          </w:tcPr>
          <w:p>
            <w:pPr>
              <w:ind w:left="20"/>
              <w:spacing w:after="0" w:line="202" w:lineRule="exact"/>
              <w:rPr>
                <w:sz w:val="20"/>
                <w:szCs w:val="20"/>
                <w:color w:val="auto"/>
              </w:rPr>
            </w:pPr>
            <w:r>
              <w:rPr>
                <w:rFonts w:ascii="Arial" w:cs="Arial" w:eastAsia="Arial" w:hAnsi="Arial"/>
                <w:sz w:val="18"/>
                <w:szCs w:val="18"/>
                <w:color w:val="auto"/>
              </w:rPr>
              <w:t>(Principal Executive Officer)</w:t>
            </w:r>
          </w:p>
        </w:tc>
        <w:tc>
          <w:tcPr>
            <w:tcW w:w="100" w:type="dxa"/>
            <w:vAlign w:val="bottom"/>
          </w:tcPr>
          <w:p>
            <w:pPr>
              <w:spacing w:after="0"/>
              <w:rPr>
                <w:sz w:val="17"/>
                <w:szCs w:val="17"/>
                <w:color w:val="auto"/>
              </w:rPr>
            </w:pPr>
          </w:p>
        </w:tc>
        <w:tc>
          <w:tcPr>
            <w:tcW w:w="24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3720" w:type="dxa"/>
            <w:vAlign w:val="bottom"/>
          </w:tcPr>
          <w:p>
            <w:pPr>
              <w:jc w:val="center"/>
              <w:spacing w:after="0"/>
              <w:rPr>
                <w:sz w:val="20"/>
                <w:szCs w:val="20"/>
                <w:color w:val="auto"/>
              </w:rPr>
            </w:pPr>
            <w:r>
              <w:rPr>
                <w:rFonts w:ascii="Arial" w:cs="Arial" w:eastAsia="Arial" w:hAnsi="Arial"/>
                <w:sz w:val="18"/>
                <w:szCs w:val="18"/>
                <w:color w:val="auto"/>
                <w:w w:val="93"/>
              </w:rPr>
              <w:t>Randolph Altschuler</w:t>
            </w:r>
          </w:p>
        </w:tc>
        <w:tc>
          <w:tcPr>
            <w:tcW w:w="120" w:type="dxa"/>
            <w:vAlign w:val="bottom"/>
          </w:tcPr>
          <w:p>
            <w:pPr>
              <w:spacing w:after="0"/>
              <w:rPr>
                <w:sz w:val="19"/>
                <w:szCs w:val="19"/>
                <w:color w:val="auto"/>
              </w:rPr>
            </w:pPr>
          </w:p>
        </w:tc>
        <w:tc>
          <w:tcPr>
            <w:tcW w:w="4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3720" w:type="dxa"/>
            <w:vAlign w:val="bottom"/>
            <w:vMerge w:val="restart"/>
          </w:tcPr>
          <w:p>
            <w:pPr>
              <w:jc w:val="center"/>
              <w:spacing w:after="0"/>
              <w:rPr>
                <w:sz w:val="20"/>
                <w:szCs w:val="20"/>
                <w:color w:val="auto"/>
              </w:rPr>
            </w:pPr>
            <w:r>
              <w:rPr>
                <w:rFonts w:ascii="Arial" w:cs="Arial" w:eastAsia="Arial" w:hAnsi="Arial"/>
                <w:sz w:val="18"/>
                <w:szCs w:val="18"/>
                <w:color w:val="auto"/>
                <w:w w:val="87"/>
              </w:rPr>
              <w:t>/s/ James Rallo</w:t>
            </w:r>
          </w:p>
        </w:tc>
        <w:tc>
          <w:tcPr>
            <w:tcW w:w="120" w:type="dxa"/>
            <w:vAlign w:val="bottom"/>
          </w:tcPr>
          <w:p>
            <w:pPr>
              <w:spacing w:after="0"/>
              <w:rPr>
                <w:sz w:val="16"/>
                <w:szCs w:val="16"/>
                <w:color w:val="auto"/>
              </w:rPr>
            </w:pPr>
          </w:p>
        </w:tc>
        <w:tc>
          <w:tcPr>
            <w:tcW w:w="4860" w:type="dxa"/>
            <w:vAlign w:val="bottom"/>
          </w:tcPr>
          <w:p>
            <w:pPr>
              <w:ind w:left="20"/>
              <w:spacing w:after="0" w:line="189" w:lineRule="exact"/>
              <w:rPr>
                <w:sz w:val="20"/>
                <w:szCs w:val="20"/>
                <w:color w:val="auto"/>
              </w:rPr>
            </w:pPr>
            <w:r>
              <w:rPr>
                <w:rFonts w:ascii="Arial" w:cs="Arial" w:eastAsia="Arial" w:hAnsi="Arial"/>
                <w:sz w:val="18"/>
                <w:szCs w:val="18"/>
                <w:color w:val="auto"/>
              </w:rPr>
              <w:t>Chief Financial Officer</w:t>
            </w:r>
          </w:p>
        </w:tc>
        <w:tc>
          <w:tcPr>
            <w:tcW w:w="100" w:type="dxa"/>
            <w:vAlign w:val="bottom"/>
          </w:tcPr>
          <w:p>
            <w:pPr>
              <w:spacing w:after="0"/>
              <w:rPr>
                <w:sz w:val="16"/>
                <w:szCs w:val="16"/>
                <w:color w:val="auto"/>
              </w:rPr>
            </w:pPr>
          </w:p>
        </w:tc>
        <w:tc>
          <w:tcPr>
            <w:tcW w:w="2440" w:type="dxa"/>
            <w:vAlign w:val="bottom"/>
            <w:vMerge w:val="restart"/>
          </w:tcPr>
          <w:p>
            <w:pPr>
              <w:ind w:left="20"/>
              <w:spacing w:after="0"/>
              <w:rPr>
                <w:sz w:val="20"/>
                <w:szCs w:val="20"/>
                <w:color w:val="auto"/>
              </w:rPr>
            </w:pPr>
            <w:r>
              <w:rPr>
                <w:rFonts w:ascii="Arial" w:cs="Arial" w:eastAsia="Arial" w:hAnsi="Arial"/>
                <w:sz w:val="18"/>
                <w:szCs w:val="18"/>
                <w:color w:val="auto"/>
              </w:rPr>
              <w:t>March 18, 2022</w:t>
            </w:r>
          </w:p>
        </w:tc>
        <w:tc>
          <w:tcPr>
            <w:tcW w:w="0" w:type="dxa"/>
            <w:vAlign w:val="bottom"/>
          </w:tcPr>
          <w:p>
            <w:pPr>
              <w:spacing w:after="0"/>
              <w:rPr>
                <w:sz w:val="1"/>
                <w:szCs w:val="1"/>
                <w:color w:val="auto"/>
              </w:rPr>
            </w:pPr>
          </w:p>
        </w:tc>
      </w:tr>
      <w:tr>
        <w:trPr>
          <w:trHeight w:val="208"/>
        </w:trPr>
        <w:tc>
          <w:tcPr>
            <w:tcW w:w="372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4860" w:type="dxa"/>
            <w:vAlign w:val="bottom"/>
          </w:tcPr>
          <w:p>
            <w:pPr>
              <w:ind w:left="20"/>
              <w:spacing w:after="0" w:line="202" w:lineRule="exact"/>
              <w:rPr>
                <w:sz w:val="20"/>
                <w:szCs w:val="20"/>
                <w:color w:val="auto"/>
              </w:rPr>
            </w:pPr>
            <w:r>
              <w:rPr>
                <w:rFonts w:ascii="Arial" w:cs="Arial" w:eastAsia="Arial" w:hAnsi="Arial"/>
                <w:sz w:val="18"/>
                <w:szCs w:val="18"/>
                <w:color w:val="auto"/>
              </w:rPr>
              <w:t>(Principal Accounting Officer)</w:t>
            </w:r>
          </w:p>
        </w:tc>
        <w:tc>
          <w:tcPr>
            <w:tcW w:w="100" w:type="dxa"/>
            <w:vAlign w:val="bottom"/>
          </w:tcPr>
          <w:p>
            <w:pPr>
              <w:spacing w:after="0"/>
              <w:rPr>
                <w:sz w:val="17"/>
                <w:szCs w:val="17"/>
                <w:color w:val="auto"/>
              </w:rPr>
            </w:pPr>
          </w:p>
        </w:tc>
        <w:tc>
          <w:tcPr>
            <w:tcW w:w="24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3720" w:type="dxa"/>
            <w:vAlign w:val="bottom"/>
          </w:tcPr>
          <w:p>
            <w:pPr>
              <w:jc w:val="center"/>
              <w:spacing w:after="0"/>
              <w:rPr>
                <w:sz w:val="20"/>
                <w:szCs w:val="20"/>
                <w:color w:val="auto"/>
              </w:rPr>
            </w:pPr>
            <w:r>
              <w:rPr>
                <w:rFonts w:ascii="Arial" w:cs="Arial" w:eastAsia="Arial" w:hAnsi="Arial"/>
                <w:sz w:val="18"/>
                <w:szCs w:val="18"/>
                <w:color w:val="auto"/>
                <w:w w:val="88"/>
              </w:rPr>
              <w:t>James Rallo</w:t>
            </w:r>
          </w:p>
        </w:tc>
        <w:tc>
          <w:tcPr>
            <w:tcW w:w="120" w:type="dxa"/>
            <w:vAlign w:val="bottom"/>
          </w:tcPr>
          <w:p>
            <w:pPr>
              <w:spacing w:after="0"/>
              <w:rPr>
                <w:sz w:val="19"/>
                <w:szCs w:val="19"/>
                <w:color w:val="auto"/>
              </w:rPr>
            </w:pPr>
          </w:p>
        </w:tc>
        <w:tc>
          <w:tcPr>
            <w:tcW w:w="4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1"/>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/s/ Laurence Zuriff</w:t>
            </w:r>
          </w:p>
        </w:tc>
        <w:tc>
          <w:tcPr>
            <w:tcW w:w="120" w:type="dxa"/>
            <w:vAlign w:val="bottom"/>
          </w:tcPr>
          <w:p>
            <w:pPr>
              <w:spacing w:after="0"/>
              <w:rPr>
                <w:sz w:val="24"/>
                <w:szCs w:val="24"/>
                <w:color w:val="auto"/>
              </w:rPr>
            </w:pPr>
          </w:p>
        </w:tc>
        <w:tc>
          <w:tcPr>
            <w:tcW w:w="4860" w:type="dxa"/>
            <w:vAlign w:val="bottom"/>
          </w:tcPr>
          <w:p>
            <w:pPr>
              <w:ind w:left="60"/>
              <w:spacing w:after="0"/>
              <w:rPr>
                <w:sz w:val="20"/>
                <w:szCs w:val="20"/>
                <w:color w:val="auto"/>
              </w:rPr>
            </w:pPr>
            <w:r>
              <w:rPr>
                <w:rFonts w:ascii="Arial" w:cs="Arial" w:eastAsia="Arial" w:hAnsi="Arial"/>
                <w:sz w:val="18"/>
                <w:szCs w:val="18"/>
                <w:color w:val="auto"/>
              </w:rPr>
              <w:t>Chief Strategy Officer, Co-Founder and Director</w:t>
            </w:r>
          </w:p>
        </w:tc>
        <w:tc>
          <w:tcPr>
            <w:tcW w:w="100" w:type="dxa"/>
            <w:vAlign w:val="bottom"/>
          </w:tcPr>
          <w:p>
            <w:pPr>
              <w:spacing w:after="0"/>
              <w:rPr>
                <w:sz w:val="24"/>
                <w:szCs w:val="24"/>
                <w:color w:val="auto"/>
              </w:rPr>
            </w:pPr>
          </w:p>
        </w:tc>
        <w:tc>
          <w:tcPr>
            <w:tcW w:w="2440" w:type="dxa"/>
            <w:vAlign w:val="bottom"/>
          </w:tcPr>
          <w:p>
            <w:pPr>
              <w:ind w:left="20"/>
              <w:spacing w:after="0"/>
              <w:rPr>
                <w:sz w:val="20"/>
                <w:szCs w:val="20"/>
                <w:color w:val="auto"/>
              </w:rPr>
            </w:pPr>
            <w:r>
              <w:rPr>
                <w:rFonts w:ascii="Arial" w:cs="Arial" w:eastAsia="Arial" w:hAnsi="Arial"/>
                <w:sz w:val="18"/>
                <w:szCs w:val="18"/>
                <w:color w:val="auto"/>
              </w:rPr>
              <w:t>March 18, 2022</w:t>
            </w:r>
          </w:p>
        </w:tc>
        <w:tc>
          <w:tcPr>
            <w:tcW w:w="0" w:type="dxa"/>
            <w:vAlign w:val="bottom"/>
          </w:tcPr>
          <w:p>
            <w:pPr>
              <w:spacing w:after="0"/>
              <w:rPr>
                <w:sz w:val="1"/>
                <w:szCs w:val="1"/>
                <w:color w:val="auto"/>
              </w:rPr>
            </w:pPr>
          </w:p>
        </w:tc>
      </w:tr>
      <w:tr>
        <w:trPr>
          <w:trHeight w:val="224"/>
        </w:trPr>
        <w:tc>
          <w:tcPr>
            <w:tcW w:w="3720" w:type="dxa"/>
            <w:vAlign w:val="bottom"/>
          </w:tcPr>
          <w:p>
            <w:pPr>
              <w:jc w:val="center"/>
              <w:spacing w:after="0"/>
              <w:rPr>
                <w:sz w:val="20"/>
                <w:szCs w:val="20"/>
                <w:color w:val="auto"/>
              </w:rPr>
            </w:pPr>
            <w:r>
              <w:rPr>
                <w:rFonts w:ascii="Arial" w:cs="Arial" w:eastAsia="Arial" w:hAnsi="Arial"/>
                <w:sz w:val="18"/>
                <w:szCs w:val="18"/>
                <w:color w:val="auto"/>
                <w:w w:val="94"/>
              </w:rPr>
              <w:t>Laurence Zuriff</w:t>
            </w:r>
          </w:p>
        </w:tc>
        <w:tc>
          <w:tcPr>
            <w:tcW w:w="120" w:type="dxa"/>
            <w:vAlign w:val="bottom"/>
          </w:tcPr>
          <w:p>
            <w:pPr>
              <w:spacing w:after="0"/>
              <w:rPr>
                <w:sz w:val="19"/>
                <w:szCs w:val="19"/>
                <w:color w:val="auto"/>
              </w:rPr>
            </w:pPr>
          </w:p>
        </w:tc>
        <w:tc>
          <w:tcPr>
            <w:tcW w:w="4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1"/>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George Hornig</w:t>
            </w:r>
          </w:p>
        </w:tc>
        <w:tc>
          <w:tcPr>
            <w:tcW w:w="120" w:type="dxa"/>
            <w:vAlign w:val="bottom"/>
          </w:tcPr>
          <w:p>
            <w:pPr>
              <w:spacing w:after="0"/>
              <w:rPr>
                <w:sz w:val="24"/>
                <w:szCs w:val="24"/>
                <w:color w:val="auto"/>
              </w:rPr>
            </w:pPr>
          </w:p>
        </w:tc>
        <w:tc>
          <w:tcPr>
            <w:tcW w:w="4860" w:type="dxa"/>
            <w:vAlign w:val="bottom"/>
          </w:tcPr>
          <w:p>
            <w:pPr>
              <w:ind w:left="60"/>
              <w:spacing w:after="0"/>
              <w:rPr>
                <w:sz w:val="20"/>
                <w:szCs w:val="20"/>
                <w:color w:val="auto"/>
              </w:rPr>
            </w:pPr>
            <w:r>
              <w:rPr>
                <w:rFonts w:ascii="Arial" w:cs="Arial" w:eastAsia="Arial" w:hAnsi="Arial"/>
                <w:sz w:val="18"/>
                <w:szCs w:val="18"/>
                <w:color w:val="auto"/>
              </w:rPr>
              <w:t>Chairman of the Board and Director</w:t>
            </w:r>
          </w:p>
        </w:tc>
        <w:tc>
          <w:tcPr>
            <w:tcW w:w="100" w:type="dxa"/>
            <w:vAlign w:val="bottom"/>
          </w:tcPr>
          <w:p>
            <w:pPr>
              <w:spacing w:after="0"/>
              <w:rPr>
                <w:sz w:val="24"/>
                <w:szCs w:val="24"/>
                <w:color w:val="auto"/>
              </w:rPr>
            </w:pPr>
          </w:p>
        </w:tc>
        <w:tc>
          <w:tcPr>
            <w:tcW w:w="2440" w:type="dxa"/>
            <w:vAlign w:val="bottom"/>
          </w:tcPr>
          <w:p>
            <w:pPr>
              <w:ind w:left="20"/>
              <w:spacing w:after="0"/>
              <w:rPr>
                <w:sz w:val="20"/>
                <w:szCs w:val="20"/>
                <w:color w:val="auto"/>
              </w:rPr>
            </w:pPr>
            <w:r>
              <w:rPr>
                <w:rFonts w:ascii="Arial" w:cs="Arial" w:eastAsia="Arial" w:hAnsi="Arial"/>
                <w:sz w:val="18"/>
                <w:szCs w:val="18"/>
                <w:color w:val="auto"/>
              </w:rPr>
              <w:t>March 18, 2022</w:t>
            </w:r>
          </w:p>
        </w:tc>
        <w:tc>
          <w:tcPr>
            <w:tcW w:w="0" w:type="dxa"/>
            <w:vAlign w:val="bottom"/>
          </w:tcPr>
          <w:p>
            <w:pPr>
              <w:spacing w:after="0"/>
              <w:rPr>
                <w:sz w:val="1"/>
                <w:szCs w:val="1"/>
                <w:color w:val="auto"/>
              </w:rPr>
            </w:pPr>
          </w:p>
        </w:tc>
      </w:tr>
      <w:tr>
        <w:trPr>
          <w:trHeight w:val="224"/>
        </w:trPr>
        <w:tc>
          <w:tcPr>
            <w:tcW w:w="3720" w:type="dxa"/>
            <w:vAlign w:val="bottom"/>
          </w:tcPr>
          <w:p>
            <w:pPr>
              <w:jc w:val="center"/>
              <w:spacing w:after="0"/>
              <w:rPr>
                <w:sz w:val="20"/>
                <w:szCs w:val="20"/>
                <w:color w:val="auto"/>
              </w:rPr>
            </w:pPr>
            <w:r>
              <w:rPr>
                <w:rFonts w:ascii="Arial" w:cs="Arial" w:eastAsia="Arial" w:hAnsi="Arial"/>
                <w:sz w:val="18"/>
                <w:szCs w:val="18"/>
                <w:color w:val="auto"/>
                <w:w w:val="91"/>
              </w:rPr>
              <w:t>George Hornig</w:t>
            </w:r>
          </w:p>
        </w:tc>
        <w:tc>
          <w:tcPr>
            <w:tcW w:w="120" w:type="dxa"/>
            <w:vAlign w:val="bottom"/>
          </w:tcPr>
          <w:p>
            <w:pPr>
              <w:spacing w:after="0"/>
              <w:rPr>
                <w:sz w:val="19"/>
                <w:szCs w:val="19"/>
                <w:color w:val="auto"/>
              </w:rPr>
            </w:pPr>
          </w:p>
        </w:tc>
        <w:tc>
          <w:tcPr>
            <w:tcW w:w="4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1"/>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6"/>
              </w:rPr>
              <w:t>/s/ Emily Rollins</w:t>
            </w:r>
          </w:p>
        </w:tc>
        <w:tc>
          <w:tcPr>
            <w:tcW w:w="120" w:type="dxa"/>
            <w:vAlign w:val="bottom"/>
          </w:tcPr>
          <w:p>
            <w:pPr>
              <w:spacing w:after="0"/>
              <w:rPr>
                <w:sz w:val="24"/>
                <w:szCs w:val="24"/>
                <w:color w:val="auto"/>
              </w:rPr>
            </w:pPr>
          </w:p>
        </w:tc>
        <w:tc>
          <w:tcPr>
            <w:tcW w:w="4860" w:type="dxa"/>
            <w:vAlign w:val="bottom"/>
          </w:tcPr>
          <w:p>
            <w:pPr>
              <w:ind w:left="60"/>
              <w:spacing w:after="0"/>
              <w:rPr>
                <w:sz w:val="20"/>
                <w:szCs w:val="20"/>
                <w:color w:val="auto"/>
              </w:rPr>
            </w:pPr>
            <w:r>
              <w:rPr>
                <w:rFonts w:ascii="Arial" w:cs="Arial" w:eastAsia="Arial" w:hAnsi="Arial"/>
                <w:sz w:val="18"/>
                <w:szCs w:val="18"/>
                <w:color w:val="auto"/>
              </w:rPr>
              <w:t>Director</w:t>
            </w:r>
          </w:p>
        </w:tc>
        <w:tc>
          <w:tcPr>
            <w:tcW w:w="100" w:type="dxa"/>
            <w:vAlign w:val="bottom"/>
          </w:tcPr>
          <w:p>
            <w:pPr>
              <w:spacing w:after="0"/>
              <w:rPr>
                <w:sz w:val="24"/>
                <w:szCs w:val="24"/>
                <w:color w:val="auto"/>
              </w:rPr>
            </w:pPr>
          </w:p>
        </w:tc>
        <w:tc>
          <w:tcPr>
            <w:tcW w:w="2440" w:type="dxa"/>
            <w:vAlign w:val="bottom"/>
          </w:tcPr>
          <w:p>
            <w:pPr>
              <w:ind w:left="20"/>
              <w:spacing w:after="0"/>
              <w:rPr>
                <w:sz w:val="20"/>
                <w:szCs w:val="20"/>
                <w:color w:val="auto"/>
              </w:rPr>
            </w:pPr>
            <w:r>
              <w:rPr>
                <w:rFonts w:ascii="Arial" w:cs="Arial" w:eastAsia="Arial" w:hAnsi="Arial"/>
                <w:sz w:val="18"/>
                <w:szCs w:val="18"/>
                <w:color w:val="auto"/>
              </w:rPr>
              <w:t>March 18, 2022</w:t>
            </w:r>
          </w:p>
        </w:tc>
        <w:tc>
          <w:tcPr>
            <w:tcW w:w="0" w:type="dxa"/>
            <w:vAlign w:val="bottom"/>
          </w:tcPr>
          <w:p>
            <w:pPr>
              <w:spacing w:after="0"/>
              <w:rPr>
                <w:sz w:val="1"/>
                <w:szCs w:val="1"/>
                <w:color w:val="auto"/>
              </w:rPr>
            </w:pPr>
          </w:p>
        </w:tc>
      </w:tr>
      <w:tr>
        <w:trPr>
          <w:trHeight w:val="224"/>
        </w:trPr>
        <w:tc>
          <w:tcPr>
            <w:tcW w:w="3720" w:type="dxa"/>
            <w:vAlign w:val="bottom"/>
          </w:tcPr>
          <w:p>
            <w:pPr>
              <w:jc w:val="center"/>
              <w:spacing w:after="0"/>
              <w:rPr>
                <w:sz w:val="20"/>
                <w:szCs w:val="20"/>
                <w:color w:val="auto"/>
              </w:rPr>
            </w:pPr>
            <w:r>
              <w:rPr>
                <w:rFonts w:ascii="Arial" w:cs="Arial" w:eastAsia="Arial" w:hAnsi="Arial"/>
                <w:sz w:val="18"/>
                <w:szCs w:val="18"/>
                <w:color w:val="auto"/>
                <w:w w:val="97"/>
              </w:rPr>
              <w:t>Emily Rollins</w:t>
            </w:r>
          </w:p>
        </w:tc>
        <w:tc>
          <w:tcPr>
            <w:tcW w:w="120" w:type="dxa"/>
            <w:vAlign w:val="bottom"/>
          </w:tcPr>
          <w:p>
            <w:pPr>
              <w:spacing w:after="0"/>
              <w:rPr>
                <w:sz w:val="19"/>
                <w:szCs w:val="19"/>
                <w:color w:val="auto"/>
              </w:rPr>
            </w:pPr>
          </w:p>
        </w:tc>
        <w:tc>
          <w:tcPr>
            <w:tcW w:w="4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1"/>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Deborah Bial</w:t>
            </w:r>
          </w:p>
        </w:tc>
        <w:tc>
          <w:tcPr>
            <w:tcW w:w="120" w:type="dxa"/>
            <w:vAlign w:val="bottom"/>
          </w:tcPr>
          <w:p>
            <w:pPr>
              <w:spacing w:after="0"/>
              <w:rPr>
                <w:sz w:val="24"/>
                <w:szCs w:val="24"/>
                <w:color w:val="auto"/>
              </w:rPr>
            </w:pPr>
          </w:p>
        </w:tc>
        <w:tc>
          <w:tcPr>
            <w:tcW w:w="4860" w:type="dxa"/>
            <w:vAlign w:val="bottom"/>
          </w:tcPr>
          <w:p>
            <w:pPr>
              <w:ind w:left="60"/>
              <w:spacing w:after="0"/>
              <w:rPr>
                <w:sz w:val="20"/>
                <w:szCs w:val="20"/>
                <w:color w:val="auto"/>
              </w:rPr>
            </w:pPr>
            <w:r>
              <w:rPr>
                <w:rFonts w:ascii="Arial" w:cs="Arial" w:eastAsia="Arial" w:hAnsi="Arial"/>
                <w:sz w:val="18"/>
                <w:szCs w:val="18"/>
                <w:color w:val="auto"/>
              </w:rPr>
              <w:t>Director</w:t>
            </w:r>
          </w:p>
        </w:tc>
        <w:tc>
          <w:tcPr>
            <w:tcW w:w="100" w:type="dxa"/>
            <w:vAlign w:val="bottom"/>
          </w:tcPr>
          <w:p>
            <w:pPr>
              <w:spacing w:after="0"/>
              <w:rPr>
                <w:sz w:val="24"/>
                <w:szCs w:val="24"/>
                <w:color w:val="auto"/>
              </w:rPr>
            </w:pPr>
          </w:p>
        </w:tc>
        <w:tc>
          <w:tcPr>
            <w:tcW w:w="2440" w:type="dxa"/>
            <w:vAlign w:val="bottom"/>
          </w:tcPr>
          <w:p>
            <w:pPr>
              <w:ind w:left="20"/>
              <w:spacing w:after="0"/>
              <w:rPr>
                <w:sz w:val="20"/>
                <w:szCs w:val="20"/>
                <w:color w:val="auto"/>
              </w:rPr>
            </w:pPr>
            <w:r>
              <w:rPr>
                <w:rFonts w:ascii="Arial" w:cs="Arial" w:eastAsia="Arial" w:hAnsi="Arial"/>
                <w:sz w:val="18"/>
                <w:szCs w:val="18"/>
                <w:color w:val="auto"/>
              </w:rPr>
              <w:t>March 18, 2022</w:t>
            </w:r>
          </w:p>
        </w:tc>
        <w:tc>
          <w:tcPr>
            <w:tcW w:w="0" w:type="dxa"/>
            <w:vAlign w:val="bottom"/>
          </w:tcPr>
          <w:p>
            <w:pPr>
              <w:spacing w:after="0"/>
              <w:rPr>
                <w:sz w:val="1"/>
                <w:szCs w:val="1"/>
                <w:color w:val="auto"/>
              </w:rPr>
            </w:pPr>
          </w:p>
        </w:tc>
      </w:tr>
      <w:tr>
        <w:trPr>
          <w:trHeight w:val="224"/>
        </w:trPr>
        <w:tc>
          <w:tcPr>
            <w:tcW w:w="3720" w:type="dxa"/>
            <w:vAlign w:val="bottom"/>
          </w:tcPr>
          <w:p>
            <w:pPr>
              <w:jc w:val="center"/>
              <w:spacing w:after="0"/>
              <w:rPr>
                <w:sz w:val="20"/>
                <w:szCs w:val="20"/>
                <w:color w:val="auto"/>
              </w:rPr>
            </w:pPr>
            <w:r>
              <w:rPr>
                <w:rFonts w:ascii="Arial" w:cs="Arial" w:eastAsia="Arial" w:hAnsi="Arial"/>
                <w:sz w:val="18"/>
                <w:szCs w:val="18"/>
                <w:color w:val="auto"/>
                <w:w w:val="92"/>
              </w:rPr>
              <w:t>Deborah Bial</w:t>
            </w:r>
          </w:p>
        </w:tc>
        <w:tc>
          <w:tcPr>
            <w:tcW w:w="120" w:type="dxa"/>
            <w:vAlign w:val="bottom"/>
          </w:tcPr>
          <w:p>
            <w:pPr>
              <w:spacing w:after="0"/>
              <w:rPr>
                <w:sz w:val="19"/>
                <w:szCs w:val="19"/>
                <w:color w:val="auto"/>
              </w:rPr>
            </w:pPr>
          </w:p>
        </w:tc>
        <w:tc>
          <w:tcPr>
            <w:tcW w:w="4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1"/>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/s/ Craig Driscoll</w:t>
            </w:r>
          </w:p>
        </w:tc>
        <w:tc>
          <w:tcPr>
            <w:tcW w:w="120" w:type="dxa"/>
            <w:vAlign w:val="bottom"/>
          </w:tcPr>
          <w:p>
            <w:pPr>
              <w:spacing w:after="0"/>
              <w:rPr>
                <w:sz w:val="24"/>
                <w:szCs w:val="24"/>
                <w:color w:val="auto"/>
              </w:rPr>
            </w:pPr>
          </w:p>
        </w:tc>
        <w:tc>
          <w:tcPr>
            <w:tcW w:w="4860" w:type="dxa"/>
            <w:vAlign w:val="bottom"/>
          </w:tcPr>
          <w:p>
            <w:pPr>
              <w:ind w:left="60"/>
              <w:spacing w:after="0"/>
              <w:rPr>
                <w:sz w:val="20"/>
                <w:szCs w:val="20"/>
                <w:color w:val="auto"/>
              </w:rPr>
            </w:pPr>
            <w:r>
              <w:rPr>
                <w:rFonts w:ascii="Arial" w:cs="Arial" w:eastAsia="Arial" w:hAnsi="Arial"/>
                <w:sz w:val="18"/>
                <w:szCs w:val="18"/>
                <w:color w:val="auto"/>
              </w:rPr>
              <w:t>Director</w:t>
            </w:r>
          </w:p>
        </w:tc>
        <w:tc>
          <w:tcPr>
            <w:tcW w:w="100" w:type="dxa"/>
            <w:vAlign w:val="bottom"/>
          </w:tcPr>
          <w:p>
            <w:pPr>
              <w:spacing w:after="0"/>
              <w:rPr>
                <w:sz w:val="24"/>
                <w:szCs w:val="24"/>
                <w:color w:val="auto"/>
              </w:rPr>
            </w:pPr>
          </w:p>
        </w:tc>
        <w:tc>
          <w:tcPr>
            <w:tcW w:w="2440" w:type="dxa"/>
            <w:vAlign w:val="bottom"/>
          </w:tcPr>
          <w:p>
            <w:pPr>
              <w:ind w:left="20"/>
              <w:spacing w:after="0"/>
              <w:rPr>
                <w:sz w:val="20"/>
                <w:szCs w:val="20"/>
                <w:color w:val="auto"/>
              </w:rPr>
            </w:pPr>
            <w:r>
              <w:rPr>
                <w:rFonts w:ascii="Arial" w:cs="Arial" w:eastAsia="Arial" w:hAnsi="Arial"/>
                <w:sz w:val="18"/>
                <w:szCs w:val="18"/>
                <w:color w:val="auto"/>
              </w:rPr>
              <w:t>March 18, 2022</w:t>
            </w:r>
          </w:p>
        </w:tc>
        <w:tc>
          <w:tcPr>
            <w:tcW w:w="0" w:type="dxa"/>
            <w:vAlign w:val="bottom"/>
          </w:tcPr>
          <w:p>
            <w:pPr>
              <w:spacing w:after="0"/>
              <w:rPr>
                <w:sz w:val="1"/>
                <w:szCs w:val="1"/>
                <w:color w:val="auto"/>
              </w:rPr>
            </w:pPr>
          </w:p>
        </w:tc>
      </w:tr>
      <w:tr>
        <w:trPr>
          <w:trHeight w:val="224"/>
        </w:trPr>
        <w:tc>
          <w:tcPr>
            <w:tcW w:w="3720" w:type="dxa"/>
            <w:vAlign w:val="bottom"/>
          </w:tcPr>
          <w:p>
            <w:pPr>
              <w:jc w:val="center"/>
              <w:spacing w:after="0"/>
              <w:rPr>
                <w:sz w:val="20"/>
                <w:szCs w:val="20"/>
                <w:color w:val="auto"/>
              </w:rPr>
            </w:pPr>
            <w:r>
              <w:rPr>
                <w:rFonts w:ascii="Arial" w:cs="Arial" w:eastAsia="Arial" w:hAnsi="Arial"/>
                <w:sz w:val="18"/>
                <w:szCs w:val="18"/>
                <w:color w:val="auto"/>
                <w:w w:val="95"/>
              </w:rPr>
              <w:t>Craig Driscoll</w:t>
            </w:r>
          </w:p>
        </w:tc>
        <w:tc>
          <w:tcPr>
            <w:tcW w:w="120" w:type="dxa"/>
            <w:vAlign w:val="bottom"/>
          </w:tcPr>
          <w:p>
            <w:pPr>
              <w:spacing w:after="0"/>
              <w:rPr>
                <w:sz w:val="19"/>
                <w:szCs w:val="19"/>
                <w:color w:val="auto"/>
              </w:rPr>
            </w:pPr>
          </w:p>
        </w:tc>
        <w:tc>
          <w:tcPr>
            <w:tcW w:w="4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1"/>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Fabio Rosati</w:t>
            </w:r>
          </w:p>
        </w:tc>
        <w:tc>
          <w:tcPr>
            <w:tcW w:w="120" w:type="dxa"/>
            <w:vAlign w:val="bottom"/>
          </w:tcPr>
          <w:p>
            <w:pPr>
              <w:spacing w:after="0"/>
              <w:rPr>
                <w:sz w:val="24"/>
                <w:szCs w:val="24"/>
                <w:color w:val="auto"/>
              </w:rPr>
            </w:pPr>
          </w:p>
        </w:tc>
        <w:tc>
          <w:tcPr>
            <w:tcW w:w="4860" w:type="dxa"/>
            <w:vAlign w:val="bottom"/>
          </w:tcPr>
          <w:p>
            <w:pPr>
              <w:ind w:left="60"/>
              <w:spacing w:after="0"/>
              <w:rPr>
                <w:sz w:val="20"/>
                <w:szCs w:val="20"/>
                <w:color w:val="auto"/>
              </w:rPr>
            </w:pPr>
            <w:r>
              <w:rPr>
                <w:rFonts w:ascii="Arial" w:cs="Arial" w:eastAsia="Arial" w:hAnsi="Arial"/>
                <w:sz w:val="18"/>
                <w:szCs w:val="18"/>
                <w:color w:val="auto"/>
              </w:rPr>
              <w:t>Director</w:t>
            </w:r>
          </w:p>
        </w:tc>
        <w:tc>
          <w:tcPr>
            <w:tcW w:w="100" w:type="dxa"/>
            <w:vAlign w:val="bottom"/>
          </w:tcPr>
          <w:p>
            <w:pPr>
              <w:spacing w:after="0"/>
              <w:rPr>
                <w:sz w:val="24"/>
                <w:szCs w:val="24"/>
                <w:color w:val="auto"/>
              </w:rPr>
            </w:pPr>
          </w:p>
        </w:tc>
        <w:tc>
          <w:tcPr>
            <w:tcW w:w="2440" w:type="dxa"/>
            <w:vAlign w:val="bottom"/>
          </w:tcPr>
          <w:p>
            <w:pPr>
              <w:ind w:left="20"/>
              <w:spacing w:after="0"/>
              <w:rPr>
                <w:sz w:val="20"/>
                <w:szCs w:val="20"/>
                <w:color w:val="auto"/>
              </w:rPr>
            </w:pPr>
            <w:r>
              <w:rPr>
                <w:rFonts w:ascii="Arial" w:cs="Arial" w:eastAsia="Arial" w:hAnsi="Arial"/>
                <w:sz w:val="18"/>
                <w:szCs w:val="18"/>
                <w:color w:val="auto"/>
              </w:rPr>
              <w:t>March 18, 2022</w:t>
            </w:r>
          </w:p>
        </w:tc>
        <w:tc>
          <w:tcPr>
            <w:tcW w:w="0" w:type="dxa"/>
            <w:vAlign w:val="bottom"/>
          </w:tcPr>
          <w:p>
            <w:pPr>
              <w:spacing w:after="0"/>
              <w:rPr>
                <w:sz w:val="1"/>
                <w:szCs w:val="1"/>
                <w:color w:val="auto"/>
              </w:rPr>
            </w:pPr>
          </w:p>
        </w:tc>
      </w:tr>
      <w:tr>
        <w:trPr>
          <w:trHeight w:val="224"/>
        </w:trPr>
        <w:tc>
          <w:tcPr>
            <w:tcW w:w="3720" w:type="dxa"/>
            <w:vAlign w:val="bottom"/>
          </w:tcPr>
          <w:p>
            <w:pPr>
              <w:jc w:val="center"/>
              <w:spacing w:after="0"/>
              <w:rPr>
                <w:sz w:val="20"/>
                <w:szCs w:val="20"/>
                <w:color w:val="auto"/>
              </w:rPr>
            </w:pPr>
            <w:r>
              <w:rPr>
                <w:rFonts w:ascii="Arial" w:cs="Arial" w:eastAsia="Arial" w:hAnsi="Arial"/>
                <w:sz w:val="18"/>
                <w:szCs w:val="18"/>
                <w:color w:val="auto"/>
                <w:w w:val="91"/>
              </w:rPr>
              <w:t>Fabio Rosati</w:t>
            </w:r>
          </w:p>
        </w:tc>
        <w:tc>
          <w:tcPr>
            <w:tcW w:w="120" w:type="dxa"/>
            <w:vAlign w:val="bottom"/>
          </w:tcPr>
          <w:p>
            <w:pPr>
              <w:spacing w:after="0"/>
              <w:rPr>
                <w:sz w:val="19"/>
                <w:szCs w:val="19"/>
                <w:color w:val="auto"/>
              </w:rPr>
            </w:pPr>
          </w:p>
        </w:tc>
        <w:tc>
          <w:tcPr>
            <w:tcW w:w="4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1"/>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Katharine Weymouth</w:t>
            </w:r>
          </w:p>
        </w:tc>
        <w:tc>
          <w:tcPr>
            <w:tcW w:w="120" w:type="dxa"/>
            <w:vAlign w:val="bottom"/>
          </w:tcPr>
          <w:p>
            <w:pPr>
              <w:spacing w:after="0"/>
              <w:rPr>
                <w:sz w:val="24"/>
                <w:szCs w:val="24"/>
                <w:color w:val="auto"/>
              </w:rPr>
            </w:pPr>
          </w:p>
        </w:tc>
        <w:tc>
          <w:tcPr>
            <w:tcW w:w="4860" w:type="dxa"/>
            <w:vAlign w:val="bottom"/>
          </w:tcPr>
          <w:p>
            <w:pPr>
              <w:ind w:left="60"/>
              <w:spacing w:after="0"/>
              <w:rPr>
                <w:sz w:val="20"/>
                <w:szCs w:val="20"/>
                <w:color w:val="auto"/>
              </w:rPr>
            </w:pPr>
            <w:r>
              <w:rPr>
                <w:rFonts w:ascii="Arial" w:cs="Arial" w:eastAsia="Arial" w:hAnsi="Arial"/>
                <w:sz w:val="18"/>
                <w:szCs w:val="18"/>
                <w:color w:val="auto"/>
              </w:rPr>
              <w:t>Director</w:t>
            </w:r>
          </w:p>
        </w:tc>
        <w:tc>
          <w:tcPr>
            <w:tcW w:w="100" w:type="dxa"/>
            <w:vAlign w:val="bottom"/>
          </w:tcPr>
          <w:p>
            <w:pPr>
              <w:spacing w:after="0"/>
              <w:rPr>
                <w:sz w:val="24"/>
                <w:szCs w:val="24"/>
                <w:color w:val="auto"/>
              </w:rPr>
            </w:pPr>
          </w:p>
        </w:tc>
        <w:tc>
          <w:tcPr>
            <w:tcW w:w="2440" w:type="dxa"/>
            <w:vAlign w:val="bottom"/>
          </w:tcPr>
          <w:p>
            <w:pPr>
              <w:ind w:left="20"/>
              <w:spacing w:after="0"/>
              <w:rPr>
                <w:sz w:val="20"/>
                <w:szCs w:val="20"/>
                <w:color w:val="auto"/>
              </w:rPr>
            </w:pPr>
            <w:r>
              <w:rPr>
                <w:rFonts w:ascii="Arial" w:cs="Arial" w:eastAsia="Arial" w:hAnsi="Arial"/>
                <w:sz w:val="18"/>
                <w:szCs w:val="18"/>
                <w:color w:val="auto"/>
              </w:rPr>
              <w:t>March 18, 2022</w:t>
            </w:r>
          </w:p>
        </w:tc>
        <w:tc>
          <w:tcPr>
            <w:tcW w:w="0" w:type="dxa"/>
            <w:vAlign w:val="bottom"/>
          </w:tcPr>
          <w:p>
            <w:pPr>
              <w:spacing w:after="0"/>
              <w:rPr>
                <w:sz w:val="1"/>
                <w:szCs w:val="1"/>
                <w:color w:val="auto"/>
              </w:rPr>
            </w:pPr>
          </w:p>
        </w:tc>
      </w:tr>
      <w:tr>
        <w:trPr>
          <w:trHeight w:val="224"/>
        </w:trPr>
        <w:tc>
          <w:tcPr>
            <w:tcW w:w="3720" w:type="dxa"/>
            <w:vAlign w:val="bottom"/>
          </w:tcPr>
          <w:p>
            <w:pPr>
              <w:jc w:val="center"/>
              <w:spacing w:after="0"/>
              <w:rPr>
                <w:sz w:val="20"/>
                <w:szCs w:val="20"/>
                <w:color w:val="auto"/>
              </w:rPr>
            </w:pPr>
            <w:r>
              <w:rPr>
                <w:rFonts w:ascii="Arial" w:cs="Arial" w:eastAsia="Arial" w:hAnsi="Arial"/>
                <w:sz w:val="18"/>
                <w:szCs w:val="18"/>
                <w:color w:val="auto"/>
                <w:w w:val="91"/>
              </w:rPr>
              <w:t>Katharine Weymouth</w:t>
            </w:r>
          </w:p>
        </w:tc>
        <w:tc>
          <w:tcPr>
            <w:tcW w:w="120" w:type="dxa"/>
            <w:vAlign w:val="bottom"/>
          </w:tcPr>
          <w:p>
            <w:pPr>
              <w:spacing w:after="0"/>
              <w:rPr>
                <w:sz w:val="19"/>
                <w:szCs w:val="19"/>
                <w:color w:val="auto"/>
              </w:rPr>
            </w:pPr>
          </w:p>
        </w:tc>
        <w:tc>
          <w:tcPr>
            <w:tcW w:w="4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9"/>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Ranjana Clark</w:t>
            </w:r>
          </w:p>
        </w:tc>
        <w:tc>
          <w:tcPr>
            <w:tcW w:w="120" w:type="dxa"/>
            <w:vAlign w:val="bottom"/>
          </w:tcPr>
          <w:p>
            <w:pPr>
              <w:spacing w:after="0"/>
              <w:rPr>
                <w:sz w:val="23"/>
                <w:szCs w:val="23"/>
                <w:color w:val="auto"/>
              </w:rPr>
            </w:pPr>
          </w:p>
        </w:tc>
        <w:tc>
          <w:tcPr>
            <w:tcW w:w="4860" w:type="dxa"/>
            <w:vAlign w:val="bottom"/>
          </w:tcPr>
          <w:p>
            <w:pPr>
              <w:ind w:left="60"/>
              <w:spacing w:after="0"/>
              <w:rPr>
                <w:sz w:val="20"/>
                <w:szCs w:val="20"/>
                <w:color w:val="auto"/>
              </w:rPr>
            </w:pPr>
            <w:r>
              <w:rPr>
                <w:rFonts w:ascii="Arial" w:cs="Arial" w:eastAsia="Arial" w:hAnsi="Arial"/>
                <w:sz w:val="18"/>
                <w:szCs w:val="18"/>
                <w:color w:val="auto"/>
              </w:rPr>
              <w:t>Director</w:t>
            </w:r>
          </w:p>
        </w:tc>
        <w:tc>
          <w:tcPr>
            <w:tcW w:w="100" w:type="dxa"/>
            <w:vAlign w:val="bottom"/>
          </w:tcPr>
          <w:p>
            <w:pPr>
              <w:spacing w:after="0"/>
              <w:rPr>
                <w:sz w:val="23"/>
                <w:szCs w:val="23"/>
                <w:color w:val="auto"/>
              </w:rPr>
            </w:pPr>
          </w:p>
        </w:tc>
        <w:tc>
          <w:tcPr>
            <w:tcW w:w="2440" w:type="dxa"/>
            <w:vAlign w:val="bottom"/>
          </w:tcPr>
          <w:p>
            <w:pPr>
              <w:ind w:left="20"/>
              <w:spacing w:after="0"/>
              <w:rPr>
                <w:sz w:val="20"/>
                <w:szCs w:val="20"/>
                <w:color w:val="auto"/>
              </w:rPr>
            </w:pPr>
            <w:r>
              <w:rPr>
                <w:rFonts w:ascii="Arial" w:cs="Arial" w:eastAsia="Arial" w:hAnsi="Arial"/>
                <w:sz w:val="18"/>
                <w:szCs w:val="18"/>
                <w:color w:val="auto"/>
              </w:rPr>
              <w:t>March 18, 2022</w:t>
            </w:r>
          </w:p>
        </w:tc>
        <w:tc>
          <w:tcPr>
            <w:tcW w:w="0" w:type="dxa"/>
            <w:vAlign w:val="bottom"/>
          </w:tcPr>
          <w:p>
            <w:pPr>
              <w:spacing w:after="0"/>
              <w:rPr>
                <w:sz w:val="1"/>
                <w:szCs w:val="1"/>
                <w:color w:val="auto"/>
              </w:rPr>
            </w:pPr>
          </w:p>
        </w:tc>
      </w:tr>
      <w:tr>
        <w:trPr>
          <w:trHeight w:val="224"/>
        </w:trPr>
        <w:tc>
          <w:tcPr>
            <w:tcW w:w="3720" w:type="dxa"/>
            <w:vAlign w:val="bottom"/>
          </w:tcPr>
          <w:p>
            <w:pPr>
              <w:jc w:val="center"/>
              <w:spacing w:after="0"/>
              <w:rPr>
                <w:sz w:val="20"/>
                <w:szCs w:val="20"/>
                <w:color w:val="auto"/>
              </w:rPr>
            </w:pPr>
            <w:r>
              <w:rPr>
                <w:rFonts w:ascii="Arial" w:cs="Arial" w:eastAsia="Arial" w:hAnsi="Arial"/>
                <w:sz w:val="18"/>
                <w:szCs w:val="18"/>
                <w:color w:val="auto"/>
                <w:w w:val="91"/>
              </w:rPr>
              <w:t>Ranjana Clark</w:t>
            </w:r>
          </w:p>
        </w:tc>
        <w:tc>
          <w:tcPr>
            <w:tcW w:w="120" w:type="dxa"/>
            <w:vAlign w:val="bottom"/>
          </w:tcPr>
          <w:p>
            <w:pPr>
              <w:spacing w:after="0"/>
              <w:rPr>
                <w:sz w:val="19"/>
                <w:szCs w:val="19"/>
                <w:color w:val="auto"/>
              </w:rPr>
            </w:pPr>
          </w:p>
        </w:tc>
        <w:tc>
          <w:tcPr>
            <w:tcW w:w="4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42"/>
        </w:trPr>
        <w:tc>
          <w:tcPr>
            <w:tcW w:w="3720" w:type="dxa"/>
            <w:vAlign w:val="bottom"/>
          </w:tcPr>
          <w:p>
            <w:pPr>
              <w:spacing w:after="0"/>
              <w:rPr>
                <w:sz w:val="24"/>
                <w:szCs w:val="24"/>
                <w:color w:val="auto"/>
              </w:rPr>
            </w:pPr>
          </w:p>
        </w:tc>
        <w:tc>
          <w:tcPr>
            <w:tcW w:w="4980" w:type="dxa"/>
            <w:vAlign w:val="bottom"/>
            <w:gridSpan w:val="2"/>
          </w:tcPr>
          <w:p>
            <w:pPr>
              <w:jc w:val="right"/>
              <w:ind w:right="2891"/>
              <w:spacing w:after="0"/>
              <w:rPr>
                <w:sz w:val="20"/>
                <w:szCs w:val="20"/>
                <w:color w:val="auto"/>
              </w:rPr>
            </w:pPr>
            <w:r>
              <w:rPr>
                <w:rFonts w:ascii="Arial" w:cs="Arial" w:eastAsia="Arial" w:hAnsi="Arial"/>
                <w:sz w:val="18"/>
                <w:szCs w:val="18"/>
                <w:color w:val="auto"/>
              </w:rPr>
              <w:t>93</w:t>
            </w:r>
          </w:p>
        </w:tc>
        <w:tc>
          <w:tcPr>
            <w:tcW w:w="10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372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48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44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40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40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96" w:name="page97"/>
    <w:bookmarkEnd w:id="96"/>
    <w:p>
      <w:pPr>
        <w:ind w:left="10000"/>
        <w:spacing w:after="0"/>
        <w:rPr>
          <w:sz w:val="20"/>
          <w:szCs w:val="20"/>
          <w:color w:val="auto"/>
        </w:rPr>
      </w:pPr>
      <w:r>
        <w:rPr>
          <w:rFonts w:ascii="Arial" w:cs="Arial" w:eastAsia="Arial" w:hAnsi="Arial"/>
          <w:sz w:val="20"/>
          <w:szCs w:val="20"/>
          <w:b w:val="1"/>
          <w:bCs w:val="1"/>
          <w:color w:val="auto"/>
        </w:rPr>
        <w:t>Exhibit 4.3</w:t>
      </w:r>
    </w:p>
    <w:p>
      <w:pPr>
        <w:spacing w:after="0" w:line="201" w:lineRule="exact"/>
        <w:rPr>
          <w:sz w:val="20"/>
          <w:szCs w:val="20"/>
          <w:color w:val="auto"/>
        </w:rPr>
      </w:pPr>
    </w:p>
    <w:p>
      <w:pPr>
        <w:ind w:left="100"/>
        <w:spacing w:after="0"/>
        <w:rPr>
          <w:sz w:val="20"/>
          <w:szCs w:val="20"/>
          <w:color w:val="auto"/>
        </w:rPr>
      </w:pPr>
      <w:r>
        <w:rPr>
          <w:rFonts w:ascii="Arial" w:cs="Arial" w:eastAsia="Arial" w:hAnsi="Arial"/>
          <w:sz w:val="20"/>
          <w:szCs w:val="20"/>
          <w:b w:val="1"/>
          <w:bCs w:val="1"/>
          <w:color w:val="auto"/>
        </w:rPr>
        <w:t>DESCRIPTION OF THE REGISTRANT’S SECURITIES REGISTERED PURSUANT TO SECTION 12 OF THE SECURITIES</w:t>
      </w:r>
    </w:p>
    <w:p>
      <w:pPr>
        <w:spacing w:after="0" w:line="8"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EXCHANGE ACT OF 1934</w:t>
      </w:r>
    </w:p>
    <w:p>
      <w:pPr>
        <w:spacing w:after="0" w:line="186" w:lineRule="exact"/>
        <w:rPr>
          <w:sz w:val="20"/>
          <w:szCs w:val="20"/>
          <w:color w:val="auto"/>
        </w:rPr>
      </w:pPr>
    </w:p>
    <w:p>
      <w:pPr>
        <w:ind w:right="80"/>
        <w:spacing w:after="0"/>
        <w:rPr>
          <w:sz w:val="20"/>
          <w:szCs w:val="20"/>
          <w:color w:val="auto"/>
        </w:rPr>
      </w:pPr>
      <w:r>
        <w:rPr>
          <w:rFonts w:ascii="Arial" w:cs="Arial" w:eastAsia="Arial" w:hAnsi="Arial"/>
          <w:sz w:val="19"/>
          <w:szCs w:val="19"/>
          <w:i w:val="1"/>
          <w:iCs w:val="1"/>
          <w:color w:val="auto"/>
        </w:rPr>
        <w:t>The following description summarizes selected information regarding our capital stock, as well as provisions of; (i) our amended and restated certificate of incorporation; (ii) our amended and restated bylaws; and (iii) the general Corporation Law of the State of Delaware, or the DGCL. The following summary is qualified in its entirety by, and should be read in conjunction with, the amended and restated certificate of incorporation and the amended and restated bylaws, copies of which have been filed as exhibits to our Annual Report on Form 10-K to which this exhibit is attached, and the applicable provisions of the DGCL.</w:t>
      </w:r>
    </w:p>
    <w:p>
      <w:pPr>
        <w:jc w:val="center"/>
        <w:spacing w:after="0" w:line="229" w:lineRule="auto"/>
        <w:rPr>
          <w:sz w:val="20"/>
          <w:szCs w:val="20"/>
          <w:color w:val="auto"/>
        </w:rPr>
      </w:pPr>
      <w:r>
        <w:rPr>
          <w:rFonts w:ascii="Arial" w:cs="Arial" w:eastAsia="Arial" w:hAnsi="Arial"/>
          <w:sz w:val="20"/>
          <w:szCs w:val="20"/>
          <w:b w:val="1"/>
          <w:bCs w:val="1"/>
          <w:color w:val="auto"/>
        </w:rPr>
        <w:t>General</w:t>
      </w:r>
    </w:p>
    <w:p>
      <w:pPr>
        <w:ind w:firstLine="644"/>
        <w:spacing w:after="0" w:line="245" w:lineRule="auto"/>
        <w:rPr>
          <w:sz w:val="20"/>
          <w:szCs w:val="20"/>
          <w:color w:val="auto"/>
        </w:rPr>
      </w:pPr>
      <w:r>
        <w:rPr>
          <w:rFonts w:ascii="Arial" w:cs="Arial" w:eastAsia="Arial" w:hAnsi="Arial"/>
          <w:sz w:val="19"/>
          <w:szCs w:val="19"/>
          <w:color w:val="auto"/>
        </w:rPr>
        <w:t>Our amended and restated certificate of incorporation provides for two classes of common stock: Class A common stock and Class B common stock. In addition, our amended and restated certificate of incorporation authorizes shares of undesignated preferred stock, the rights, preferences and privileges of which may be designated from time to time by our board of directors.</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Our authorized capital stock consists of 805,000,000 shares, all with a par value of $0.000001 per share, of which:</w:t>
      </w:r>
    </w:p>
    <w:p>
      <w:pPr>
        <w:spacing w:after="0" w:line="310" w:lineRule="exact"/>
        <w:rPr>
          <w:sz w:val="20"/>
          <w:szCs w:val="20"/>
          <w:color w:val="auto"/>
        </w:rPr>
      </w:pPr>
    </w:p>
    <w:p>
      <w:pPr>
        <w:ind w:left="1020" w:hanging="503"/>
        <w:spacing w:after="0"/>
        <w:tabs>
          <w:tab w:leader="none" w:pos="1020" w:val="left"/>
        </w:tabs>
        <w:numPr>
          <w:ilvl w:val="0"/>
          <w:numId w:val="82"/>
        </w:numPr>
        <w:rPr>
          <w:rFonts w:ascii="Arial" w:cs="Arial" w:eastAsia="Arial" w:hAnsi="Arial"/>
          <w:sz w:val="20"/>
          <w:szCs w:val="20"/>
          <w:color w:val="auto"/>
        </w:rPr>
      </w:pPr>
      <w:r>
        <w:rPr>
          <w:rFonts w:ascii="Arial" w:cs="Arial" w:eastAsia="Arial" w:hAnsi="Arial"/>
          <w:sz w:val="20"/>
          <w:szCs w:val="20"/>
          <w:color w:val="auto"/>
        </w:rPr>
        <w:t>750,000,000 shares are designated Class A common stock;</w:t>
      </w:r>
    </w:p>
    <w:p>
      <w:pPr>
        <w:spacing w:after="0" w:line="94" w:lineRule="exact"/>
        <w:rPr>
          <w:rFonts w:ascii="Arial" w:cs="Arial" w:eastAsia="Arial" w:hAnsi="Arial"/>
          <w:sz w:val="20"/>
          <w:szCs w:val="20"/>
          <w:color w:val="auto"/>
        </w:rPr>
      </w:pPr>
    </w:p>
    <w:p>
      <w:pPr>
        <w:ind w:left="1020" w:hanging="503"/>
        <w:spacing w:after="0"/>
        <w:tabs>
          <w:tab w:leader="none" w:pos="1020" w:val="left"/>
        </w:tabs>
        <w:numPr>
          <w:ilvl w:val="0"/>
          <w:numId w:val="82"/>
        </w:numPr>
        <w:rPr>
          <w:rFonts w:ascii="Arial" w:cs="Arial" w:eastAsia="Arial" w:hAnsi="Arial"/>
          <w:sz w:val="20"/>
          <w:szCs w:val="20"/>
          <w:color w:val="auto"/>
        </w:rPr>
      </w:pPr>
      <w:r>
        <w:rPr>
          <w:rFonts w:ascii="Arial" w:cs="Arial" w:eastAsia="Arial" w:hAnsi="Arial"/>
          <w:sz w:val="20"/>
          <w:szCs w:val="20"/>
          <w:color w:val="auto"/>
        </w:rPr>
        <w:t>5,000,000 shares are designated Class B common stock; and</w:t>
      </w:r>
    </w:p>
    <w:p>
      <w:pPr>
        <w:spacing w:after="0" w:line="94" w:lineRule="exact"/>
        <w:rPr>
          <w:rFonts w:ascii="Arial" w:cs="Arial" w:eastAsia="Arial" w:hAnsi="Arial"/>
          <w:sz w:val="20"/>
          <w:szCs w:val="20"/>
          <w:color w:val="auto"/>
        </w:rPr>
      </w:pPr>
    </w:p>
    <w:p>
      <w:pPr>
        <w:ind w:left="1020" w:hanging="503"/>
        <w:spacing w:after="0"/>
        <w:tabs>
          <w:tab w:leader="none" w:pos="1020" w:val="left"/>
        </w:tabs>
        <w:numPr>
          <w:ilvl w:val="0"/>
          <w:numId w:val="82"/>
        </w:numPr>
        <w:rPr>
          <w:rFonts w:ascii="Arial" w:cs="Arial" w:eastAsia="Arial" w:hAnsi="Arial"/>
          <w:sz w:val="20"/>
          <w:szCs w:val="20"/>
          <w:color w:val="auto"/>
        </w:rPr>
      </w:pPr>
      <w:r>
        <w:rPr>
          <w:rFonts w:ascii="Arial" w:cs="Arial" w:eastAsia="Arial" w:hAnsi="Arial"/>
          <w:sz w:val="20"/>
          <w:szCs w:val="20"/>
          <w:color w:val="auto"/>
        </w:rPr>
        <w:t>50,000,000 shares are designated preferred stock.</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Class A Common Stock and Class B Common Stock</w:t>
      </w:r>
    </w:p>
    <w:p>
      <w:pPr>
        <w:spacing w:after="0" w:line="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Voting Rights</w:t>
      </w:r>
    </w:p>
    <w:p>
      <w:pPr>
        <w:spacing w:after="0" w:line="186" w:lineRule="exact"/>
        <w:rPr>
          <w:sz w:val="20"/>
          <w:szCs w:val="20"/>
          <w:color w:val="auto"/>
        </w:rPr>
      </w:pPr>
    </w:p>
    <w:p>
      <w:pPr>
        <w:ind w:right="20" w:firstLine="644"/>
        <w:spacing w:after="0" w:line="229" w:lineRule="auto"/>
        <w:rPr>
          <w:sz w:val="20"/>
          <w:szCs w:val="20"/>
          <w:color w:val="auto"/>
        </w:rPr>
      </w:pPr>
      <w:r>
        <w:rPr>
          <w:rFonts w:ascii="Arial" w:cs="Arial" w:eastAsia="Arial" w:hAnsi="Arial"/>
          <w:sz w:val="20"/>
          <w:szCs w:val="20"/>
          <w:color w:val="auto"/>
        </w:rPr>
        <w:t>Holders of our Class A common stock are entitled to one vote per share on any matter that is submitted to a vote of our stockholders. Holders of our Class B common stock are entitled to 20 votes per share on any matter submitted to a vote of our stockholders. Holders of shares of Class A common stock and Class B common stock vote together as a single class on all matters (including the election of directors) submitted to a vote of stockholders. The affirmative vote of holders of at least 66 2/3% of the voting power of all of the then-outstanding shares of capital stock, voting as a single class, are required to amend certain provisions of our amended and restated certificate of incorporation, including provisions relating to amending our amended and restated bylaws, the classified board, the size of our board, removal of directors, director liability, vacancies on our board, special meetings, stockholder notices, actions by written consent and exclusive jurisdiction. Our amended and restated certificate of incorporation does not provide for cumulative voting for the election of directors.</w:t>
      </w:r>
    </w:p>
    <w:p>
      <w:pPr>
        <w:spacing w:after="0" w:line="18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Economic Rights</w:t>
      </w:r>
    </w:p>
    <w:p>
      <w:pPr>
        <w:spacing w:after="0" w:line="202" w:lineRule="exact"/>
        <w:rPr>
          <w:sz w:val="20"/>
          <w:szCs w:val="20"/>
          <w:color w:val="auto"/>
        </w:rPr>
      </w:pPr>
    </w:p>
    <w:p>
      <w:pPr>
        <w:ind w:right="320" w:firstLine="644"/>
        <w:spacing w:after="0" w:line="237" w:lineRule="auto"/>
        <w:rPr>
          <w:sz w:val="20"/>
          <w:szCs w:val="20"/>
          <w:color w:val="auto"/>
        </w:rPr>
      </w:pPr>
      <w:r>
        <w:rPr>
          <w:rFonts w:ascii="Arial" w:cs="Arial" w:eastAsia="Arial" w:hAnsi="Arial"/>
          <w:sz w:val="20"/>
          <w:szCs w:val="20"/>
          <w:color w:val="auto"/>
        </w:rPr>
        <w:t>Except as otherwise expressly provided in our amended and restated certificate of incorporation or required by applicable law, all shares of Class A common stock and Class B common stock have the same rights and privileges and rank equally, share ratably and be identical in all respects for all matters, including those described below.</w:t>
      </w:r>
    </w:p>
    <w:p>
      <w:pPr>
        <w:spacing w:after="0" w:line="18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Dividends and Distributions</w:t>
      </w:r>
    </w:p>
    <w:p>
      <w:pPr>
        <w:spacing w:after="0" w:line="202" w:lineRule="exact"/>
        <w:rPr>
          <w:sz w:val="20"/>
          <w:szCs w:val="20"/>
          <w:color w:val="auto"/>
        </w:rPr>
      </w:pPr>
    </w:p>
    <w:p>
      <w:pPr>
        <w:ind w:right="100" w:firstLine="644"/>
        <w:spacing w:after="0" w:line="267" w:lineRule="auto"/>
        <w:rPr>
          <w:sz w:val="20"/>
          <w:szCs w:val="20"/>
          <w:color w:val="auto"/>
        </w:rPr>
      </w:pPr>
      <w:r>
        <w:rPr>
          <w:rFonts w:ascii="Arial" w:cs="Arial" w:eastAsia="Arial" w:hAnsi="Arial"/>
          <w:sz w:val="18"/>
          <w:szCs w:val="18"/>
          <w:color w:val="auto"/>
        </w:rPr>
        <w:t>Subject to preferences that may apply to any shares of preferred stock outstanding at the time, the holders of Class A common stock and Class B common stock are entitled to share equally, identically and ratably, on a per share basis, with respect to any dividend or distribution of cash or property paid or distributed by the company, unless different treatment of the shares of the affected class is approved by the affirmative vote of the holders of a majority of the outstanding shares of such affected class, voting separately as a class.</w:t>
      </w:r>
    </w:p>
    <w:p>
      <w:pPr>
        <w:spacing w:after="0" w:line="15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Liquidation Rights</w:t>
      </w:r>
    </w:p>
    <w:p>
      <w:pPr>
        <w:spacing w:after="0" w:line="202" w:lineRule="exact"/>
        <w:rPr>
          <w:sz w:val="20"/>
          <w:szCs w:val="20"/>
          <w:color w:val="auto"/>
        </w:rPr>
      </w:pPr>
    </w:p>
    <w:p>
      <w:pPr>
        <w:ind w:right="60" w:firstLine="644"/>
        <w:spacing w:after="0" w:line="246" w:lineRule="auto"/>
        <w:rPr>
          <w:sz w:val="20"/>
          <w:szCs w:val="20"/>
          <w:color w:val="auto"/>
        </w:rPr>
      </w:pPr>
      <w:r>
        <w:rPr>
          <w:rFonts w:ascii="Arial" w:cs="Arial" w:eastAsia="Arial" w:hAnsi="Arial"/>
          <w:sz w:val="20"/>
          <w:szCs w:val="20"/>
          <w:color w:val="auto"/>
        </w:rPr>
        <w:t>On our liquidation, dissolution or winding-up, the holders of Class A common stock and Class B common stock are entitled to share equally, identically and ratably in all assets remaining after the payment of any liabilities, liquidation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41275</wp:posOffset>
            </wp:positionV>
            <wp:extent cx="7157720" cy="4254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4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97" w:name="page98"/>
    <w:bookmarkEnd w:id="97"/>
    <w:p>
      <w:pPr>
        <w:ind w:right="40"/>
        <w:spacing w:after="0" w:line="369" w:lineRule="auto"/>
        <w:rPr>
          <w:sz w:val="20"/>
          <w:szCs w:val="20"/>
          <w:color w:val="auto"/>
        </w:rPr>
      </w:pPr>
      <w:r>
        <w:rPr>
          <w:rFonts w:ascii="Arial" w:cs="Arial" w:eastAsia="Arial" w:hAnsi="Arial"/>
          <w:sz w:val="16"/>
          <w:szCs w:val="16"/>
          <w:color w:val="auto"/>
        </w:rPr>
        <w:t>preferences and accrued or declared but unpaid dividends, if any, with respect to any outstanding preferred stock, unless a different treatment is approved by the affirmative vote of the holders of a majority of the outstanding shares of such affected class, voting separately as a class.</w:t>
      </w:r>
    </w:p>
    <w:p>
      <w:pPr>
        <w:spacing w:after="0" w:line="8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Change of Control Transactions</w:t>
      </w:r>
    </w:p>
    <w:p>
      <w:pPr>
        <w:spacing w:after="0" w:line="202" w:lineRule="exact"/>
        <w:rPr>
          <w:sz w:val="20"/>
          <w:szCs w:val="20"/>
          <w:color w:val="auto"/>
        </w:rPr>
      </w:pPr>
    </w:p>
    <w:p>
      <w:pPr>
        <w:ind w:firstLine="644"/>
        <w:spacing w:after="0" w:line="255" w:lineRule="auto"/>
        <w:rPr>
          <w:sz w:val="20"/>
          <w:szCs w:val="20"/>
          <w:color w:val="auto"/>
        </w:rPr>
      </w:pPr>
      <w:r>
        <w:rPr>
          <w:rFonts w:ascii="Arial" w:cs="Arial" w:eastAsia="Arial" w:hAnsi="Arial"/>
          <w:sz w:val="18"/>
          <w:szCs w:val="18"/>
          <w:color w:val="auto"/>
        </w:rPr>
        <w:t>The holders of Class A common stock and Class B common stock are treated equally and identically with respect to shares of Class A common stock and Class B common stock owned by them, unless different treatment of the shares of each class is approved by the affirmative vote of the holders of a majority of the outstanding shares of the class treated differently, voting separately as a class, on (a) the closing of the sale, transfer or other disposition of all or substantially all of our assets, (b) the consummation of a merger, reorganization, consolidation or share transfer which results in our voting securities outstanding immediately before the transaction (or the voting securities issued with respect to our voting securities outstanding immediately before the transaction) representing less than a majority of the combined voting power of the voting securities of the company or the surviving or acquiring entity or (c) the closing of the transfer (whether by merger, consolidation or otherwise), in one transaction or a series of related transactions, to a person or group of affiliated persons of securities of the company if, after closing, the transferee person or group would hold 50% or more of the outstanding voting power of the company (or the surviving or acquiring entity). However, consideration to be paid or received by a holder of common stock in connection with any such assets sale, merger, reorganization, consolidation or share transfer under any employment, consulting, severance or other arrangement will be disregarded for the purposes of determining whether holders of common stock are treated equally and identically.</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Subdivisions and Combinations</w:t>
      </w:r>
    </w:p>
    <w:p>
      <w:pPr>
        <w:spacing w:after="0" w:line="202" w:lineRule="exact"/>
        <w:rPr>
          <w:sz w:val="20"/>
          <w:szCs w:val="20"/>
          <w:color w:val="auto"/>
        </w:rPr>
      </w:pPr>
    </w:p>
    <w:p>
      <w:pPr>
        <w:ind w:right="200" w:firstLine="644"/>
        <w:spacing w:after="0" w:line="246" w:lineRule="auto"/>
        <w:rPr>
          <w:sz w:val="20"/>
          <w:szCs w:val="20"/>
          <w:color w:val="auto"/>
        </w:rPr>
      </w:pPr>
      <w:r>
        <w:rPr>
          <w:rFonts w:ascii="Arial" w:cs="Arial" w:eastAsia="Arial" w:hAnsi="Arial"/>
          <w:sz w:val="20"/>
          <w:szCs w:val="20"/>
          <w:color w:val="auto"/>
        </w:rPr>
        <w:t>If we subdivide or combine in any manner outstanding shares of Class A common stock or Class B common stock, the outstanding shares of the other classes will be subdivided or combined in the same manner.</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 Preemptive or Similar Rights</w:t>
      </w:r>
    </w:p>
    <w:p>
      <w:pPr>
        <w:spacing w:after="0" w:line="202" w:lineRule="exact"/>
        <w:rPr>
          <w:sz w:val="20"/>
          <w:szCs w:val="20"/>
          <w:color w:val="auto"/>
        </w:rPr>
      </w:pPr>
    </w:p>
    <w:p>
      <w:pPr>
        <w:ind w:right="440" w:firstLine="644"/>
        <w:spacing w:after="0" w:line="300" w:lineRule="auto"/>
        <w:rPr>
          <w:sz w:val="20"/>
          <w:szCs w:val="20"/>
          <w:color w:val="auto"/>
        </w:rPr>
      </w:pPr>
      <w:r>
        <w:rPr>
          <w:rFonts w:ascii="Arial" w:cs="Arial" w:eastAsia="Arial" w:hAnsi="Arial"/>
          <w:sz w:val="18"/>
          <w:szCs w:val="18"/>
          <w:color w:val="auto"/>
        </w:rPr>
        <w:t>Our Class A common stock and Class B common stock are not entitled to preemptive rights, and are not subject to conversion, redemption or sinking fund provisions, except for the conversion provisions with respect to the Class B common stock described below.</w:t>
      </w:r>
    </w:p>
    <w:p>
      <w:pPr>
        <w:spacing w:after="0" w:line="13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Conversion</w:t>
      </w:r>
    </w:p>
    <w:p>
      <w:pPr>
        <w:spacing w:after="0" w:line="202" w:lineRule="exact"/>
        <w:rPr>
          <w:sz w:val="20"/>
          <w:szCs w:val="20"/>
          <w:color w:val="auto"/>
        </w:rPr>
      </w:pPr>
    </w:p>
    <w:p>
      <w:pPr>
        <w:ind w:right="60" w:firstLine="644"/>
        <w:spacing w:after="0" w:line="232" w:lineRule="auto"/>
        <w:rPr>
          <w:sz w:val="20"/>
          <w:szCs w:val="20"/>
          <w:color w:val="auto"/>
        </w:rPr>
      </w:pPr>
      <w:r>
        <w:rPr>
          <w:rFonts w:ascii="Arial" w:cs="Arial" w:eastAsia="Arial" w:hAnsi="Arial"/>
          <w:sz w:val="20"/>
          <w:szCs w:val="20"/>
          <w:color w:val="auto"/>
        </w:rPr>
        <w:t>Each share of Class B common stock is convertible at any time at the option of the holder into one share of Class A common stock. On any transfer of shares of Class B common stock, whether or not for value, each such transferred share will automatically convert into one share of Class A common stock, except for certain transfers described in our amended and restated certificate of incorporation, including transfers for tax and estate planning purposes, so long as the transferring holder continues to hold sole voting and dispositive power with respect to the shares transferred.</w:t>
      </w:r>
    </w:p>
    <w:p>
      <w:pPr>
        <w:spacing w:after="0" w:line="184" w:lineRule="exact"/>
        <w:rPr>
          <w:sz w:val="20"/>
          <w:szCs w:val="20"/>
          <w:color w:val="auto"/>
        </w:rPr>
      </w:pPr>
    </w:p>
    <w:p>
      <w:pPr>
        <w:ind w:right="20" w:firstLine="644"/>
        <w:spacing w:after="0" w:line="267" w:lineRule="auto"/>
        <w:rPr>
          <w:sz w:val="20"/>
          <w:szCs w:val="20"/>
          <w:color w:val="auto"/>
        </w:rPr>
      </w:pPr>
      <w:r>
        <w:rPr>
          <w:rFonts w:ascii="Arial" w:cs="Arial" w:eastAsia="Arial" w:hAnsi="Arial"/>
          <w:sz w:val="18"/>
          <w:szCs w:val="18"/>
          <w:color w:val="auto"/>
        </w:rPr>
        <w:t>Any holder’s shares of Class B common stock will convert automatically into Class A common stock, on a one-to-one basis, upon the following: (1) sale or transfer of such share of Class B common stock; (2) the death or incapacity of the Class B common stockholder; (3) such holder’s departure from our board of directors; and (4) on the final conversion date, defined as the earlier of (a) the seventh anniversary of our initial public offering; or (b) the date specified by vote of the holders of a majority of the outstanding shares of Class B common stock.</w:t>
      </w:r>
    </w:p>
    <w:p>
      <w:pPr>
        <w:spacing w:after="0" w:line="15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Once transferred and converted into Class A common stock, the Class B common stock may not be reissued.</w:t>
      </w:r>
    </w:p>
    <w:p>
      <w:pPr>
        <w:spacing w:after="0" w:line="196" w:lineRule="exact"/>
        <w:rPr>
          <w:sz w:val="20"/>
          <w:szCs w:val="20"/>
          <w:color w:val="auto"/>
        </w:rPr>
      </w:pPr>
    </w:p>
    <w:p>
      <w:pPr>
        <w:ind w:left="4940"/>
        <w:spacing w:after="0"/>
        <w:rPr>
          <w:sz w:val="20"/>
          <w:szCs w:val="20"/>
          <w:color w:val="auto"/>
        </w:rPr>
      </w:pPr>
      <w:r>
        <w:rPr>
          <w:rFonts w:ascii="Arial" w:cs="Arial" w:eastAsia="Arial" w:hAnsi="Arial"/>
          <w:sz w:val="20"/>
          <w:szCs w:val="20"/>
          <w:b w:val="1"/>
          <w:bCs w:val="1"/>
          <w:color w:val="auto"/>
        </w:rPr>
        <w:t>Preferred Stock</w:t>
      </w:r>
    </w:p>
    <w:p>
      <w:pPr>
        <w:spacing w:after="0" w:line="8" w:lineRule="exact"/>
        <w:rPr>
          <w:sz w:val="20"/>
          <w:szCs w:val="20"/>
          <w:color w:val="auto"/>
        </w:rPr>
      </w:pPr>
    </w:p>
    <w:p>
      <w:pPr>
        <w:ind w:right="140" w:firstLine="644"/>
        <w:spacing w:after="0" w:line="294" w:lineRule="auto"/>
        <w:rPr>
          <w:sz w:val="20"/>
          <w:szCs w:val="20"/>
          <w:color w:val="auto"/>
        </w:rPr>
      </w:pPr>
      <w:r>
        <w:rPr>
          <w:rFonts w:ascii="Arial" w:cs="Arial" w:eastAsia="Arial" w:hAnsi="Arial"/>
          <w:sz w:val="16"/>
          <w:szCs w:val="16"/>
          <w:color w:val="auto"/>
        </w:rPr>
        <w:t>Under our amended and restated certificate of incorporation, our board of directors may, without further action by our stockholders, fix the rights, preferences, privileges and restrictions of up to an aggregate of 50,000,000 shares of preferred stock in one or more series and authorize their issuance. These rights, preferences and privileges could include dividend rights, conversion rights, voting rights, terms of redemption, liquidation preferences and the number of shares constituting any series or the designation of such series, any or all of which may be greater than the rights of our Class A common stock or Class B common stock. Any issuance of our preferred stock could adversely affect the voting power of holders of our Class B common stock, and the likelihood that such holders would receive dividend payments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20955</wp:posOffset>
            </wp:positionV>
            <wp:extent cx="7157720" cy="4254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4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8" w:name="page99"/>
    <w:bookmarkEnd w:id="98"/>
    <w:p>
      <w:pPr>
        <w:ind w:right="280"/>
        <w:spacing w:after="0" w:line="247" w:lineRule="auto"/>
        <w:rPr>
          <w:sz w:val="20"/>
          <w:szCs w:val="20"/>
          <w:color w:val="auto"/>
        </w:rPr>
      </w:pPr>
      <w:r>
        <w:rPr>
          <w:rFonts w:ascii="Arial" w:cs="Arial" w:eastAsia="Arial" w:hAnsi="Arial"/>
          <w:sz w:val="20"/>
          <w:szCs w:val="20"/>
          <w:color w:val="auto"/>
        </w:rPr>
        <w:t>payments on liquidation. In addition, the issuance of preferred stock could have the effect of delaying, deferring or preventing a change of control or other corporate action.</w:t>
      </w:r>
    </w:p>
    <w:p>
      <w:pPr>
        <w:spacing w:after="0" w:line="170"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Registration Rights</w:t>
      </w:r>
    </w:p>
    <w:p>
      <w:pPr>
        <w:spacing w:after="0" w:line="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Stockholder Registration Rights</w:t>
      </w:r>
    </w:p>
    <w:p>
      <w:pPr>
        <w:spacing w:after="0" w:line="186" w:lineRule="exact"/>
        <w:rPr>
          <w:sz w:val="20"/>
          <w:szCs w:val="20"/>
          <w:color w:val="auto"/>
        </w:rPr>
      </w:pPr>
    </w:p>
    <w:p>
      <w:pPr>
        <w:ind w:right="20" w:firstLine="644"/>
        <w:spacing w:after="0" w:line="244" w:lineRule="auto"/>
        <w:rPr>
          <w:sz w:val="20"/>
          <w:szCs w:val="20"/>
          <w:color w:val="auto"/>
        </w:rPr>
      </w:pPr>
      <w:r>
        <w:rPr>
          <w:rFonts w:ascii="Arial" w:cs="Arial" w:eastAsia="Arial" w:hAnsi="Arial"/>
          <w:sz w:val="19"/>
          <w:szCs w:val="19"/>
          <w:color w:val="auto"/>
        </w:rPr>
        <w:t>We are party to an investor rights agreement that provides that certain holders of certain shares of our common stock and entities affiliated with certain of our directors, have certain registration rights, as set forth below. This investor rights agreement was entered into on July 17, 2020. The registration of shares of our common stock by the exercise of registration rights described below would enable the holders to sell these shares without restriction under the Securities Act of 1933, as amended (the “Securities Act”) when the applicable registration statement is declared effective. We will pay the registration expenses, other than underwriting discounts and commissions, of the shares registered by the demand, piggyback and Form S-3 registrations described below.</w:t>
      </w:r>
    </w:p>
    <w:p>
      <w:pPr>
        <w:spacing w:after="0" w:line="179" w:lineRule="exact"/>
        <w:rPr>
          <w:sz w:val="20"/>
          <w:szCs w:val="20"/>
          <w:color w:val="auto"/>
        </w:rPr>
      </w:pPr>
    </w:p>
    <w:p>
      <w:pPr>
        <w:ind w:firstLine="644"/>
        <w:spacing w:after="0" w:line="263" w:lineRule="auto"/>
        <w:rPr>
          <w:sz w:val="20"/>
          <w:szCs w:val="20"/>
          <w:color w:val="auto"/>
        </w:rPr>
      </w:pPr>
      <w:r>
        <w:rPr>
          <w:rFonts w:ascii="Arial" w:cs="Arial" w:eastAsia="Arial" w:hAnsi="Arial"/>
          <w:sz w:val="18"/>
          <w:szCs w:val="18"/>
          <w:color w:val="auto"/>
        </w:rPr>
        <w:t>Generally, in an underwritten offering, the managing underwriter, if any, has the right, subject to specified conditions, to limit the number of shares such holders may include. The demand, piggyback and Form S-3 registration rights described below will expire five years after the effective date of the registration statement or with respect to any particular stockholder, such time after the effective date of the registration statement that such stockholder (a) holds less than 1% of our outstanding common stock (including shares issuable on conversion of outstanding preferred stock) and (b) can sell all of its shares under Rule 144 of the Securities Act during any 90-day period.</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Demand Registration Rights</w:t>
      </w:r>
    </w:p>
    <w:p>
      <w:pPr>
        <w:spacing w:after="0" w:line="202" w:lineRule="exact"/>
        <w:rPr>
          <w:sz w:val="20"/>
          <w:szCs w:val="20"/>
          <w:color w:val="auto"/>
        </w:rPr>
      </w:pPr>
    </w:p>
    <w:p>
      <w:pPr>
        <w:ind w:right="60" w:firstLine="644"/>
        <w:spacing w:after="0" w:line="248" w:lineRule="auto"/>
        <w:rPr>
          <w:sz w:val="20"/>
          <w:szCs w:val="20"/>
          <w:color w:val="auto"/>
        </w:rPr>
      </w:pPr>
      <w:r>
        <w:rPr>
          <w:rFonts w:ascii="Arial" w:cs="Arial" w:eastAsia="Arial" w:hAnsi="Arial"/>
          <w:sz w:val="19"/>
          <w:szCs w:val="19"/>
          <w:color w:val="auto"/>
        </w:rPr>
        <w:t>Certain holders of certain shares of our common stock (the “registrable securities”) are entitled to certain demand registration rights. Such holders of at least 40% of the registrable securities as are then outstanding may, on not more than one occasion, request that we register all or a portion of their registerable securities. Such request for registration must cover shares of our common stock with an anticipated aggregate offering price, net of underwriting discounts and commissions, of at least $5 million.</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Piggyback Registration Rights</w:t>
      </w:r>
    </w:p>
    <w:p>
      <w:pPr>
        <w:spacing w:after="0" w:line="202" w:lineRule="exact"/>
        <w:rPr>
          <w:sz w:val="20"/>
          <w:szCs w:val="20"/>
          <w:color w:val="auto"/>
        </w:rPr>
      </w:pPr>
    </w:p>
    <w:p>
      <w:pPr>
        <w:ind w:firstLine="644"/>
        <w:spacing w:after="0" w:line="242" w:lineRule="auto"/>
        <w:rPr>
          <w:sz w:val="20"/>
          <w:szCs w:val="20"/>
          <w:color w:val="auto"/>
        </w:rPr>
      </w:pPr>
      <w:r>
        <w:rPr>
          <w:rFonts w:ascii="Arial" w:cs="Arial" w:eastAsia="Arial" w:hAnsi="Arial"/>
          <w:sz w:val="19"/>
          <w:szCs w:val="19"/>
          <w:color w:val="auto"/>
        </w:rPr>
        <w:t>Certain holders of registerable securities common stock are entitled to, and the necessary percentage of holders waived, their rights to notice of an offering and to include their shares of registrable securities in an offering. In the event that we propose to register any of our securities under the Securities Act, either for our own account or for the account of other security holders, the holders of these shares will be entitled to certain piggyback registration rights allowing the holder to include their shares in such registration, subject to certain marketing and other limitations. As a result, whenever we propose to file a registration statement under the Securities Act, other than with respect to a demand registration or a registration statement on Forms S-4 or S-8, the holders of these shares are entitled to notice of the registration and have the right to include their shares in the registration, subject to limitations that the underwriters may impose on the number of shares included in an offering.</w:t>
      </w:r>
    </w:p>
    <w:p>
      <w:pPr>
        <w:spacing w:after="0" w:line="18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Form S-3 Registration Rights</w:t>
      </w:r>
    </w:p>
    <w:p>
      <w:pPr>
        <w:spacing w:after="0" w:line="202" w:lineRule="exact"/>
        <w:rPr>
          <w:sz w:val="20"/>
          <w:szCs w:val="20"/>
          <w:color w:val="auto"/>
        </w:rPr>
      </w:pPr>
    </w:p>
    <w:p>
      <w:pPr>
        <w:ind w:right="40" w:firstLine="644"/>
        <w:spacing w:after="0" w:line="267" w:lineRule="auto"/>
        <w:rPr>
          <w:sz w:val="20"/>
          <w:szCs w:val="20"/>
          <w:color w:val="auto"/>
        </w:rPr>
      </w:pPr>
      <w:r>
        <w:rPr>
          <w:rFonts w:ascii="Arial" w:cs="Arial" w:eastAsia="Arial" w:hAnsi="Arial"/>
          <w:sz w:val="18"/>
          <w:szCs w:val="18"/>
          <w:color w:val="auto"/>
        </w:rPr>
        <w:t>Certain holders of shares of our Class A common stock and Class B common stock are entitled to certain Form S-3 registration rights. The holders of at least 30% of these shares can make a request that we register their shares on Form S-3 if we are qualified to file a registration statement on Form S-3 and if the reasonably anticipated aggregate gross proceeds of the shares offered would equal or exceed $3 million. We are not required to effect more than two registrations on Form S-3 within any 12-month period.</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Anti-Takeover Provisions</w:t>
      </w:r>
    </w:p>
    <w:p>
      <w:pPr>
        <w:spacing w:after="0" w:line="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Certificate of Incorporation and Bylaws</w:t>
      </w:r>
    </w:p>
    <w:p>
      <w:pPr>
        <w:spacing w:after="0" w:line="186" w:lineRule="exact"/>
        <w:rPr>
          <w:sz w:val="20"/>
          <w:szCs w:val="20"/>
          <w:color w:val="auto"/>
        </w:rPr>
      </w:pPr>
    </w:p>
    <w:p>
      <w:pPr>
        <w:jc w:val="both"/>
        <w:ind w:right="20" w:firstLine="644"/>
        <w:spacing w:after="0" w:line="234" w:lineRule="auto"/>
        <w:rPr>
          <w:sz w:val="20"/>
          <w:szCs w:val="20"/>
          <w:color w:val="auto"/>
        </w:rPr>
      </w:pPr>
      <w:r>
        <w:rPr>
          <w:rFonts w:ascii="Arial" w:cs="Arial" w:eastAsia="Arial" w:hAnsi="Arial"/>
          <w:sz w:val="20"/>
          <w:szCs w:val="20"/>
          <w:color w:val="auto"/>
        </w:rPr>
        <w:t>Because our stockholders do not have cumulative voting rights, stockholders holding a majority of the voting power of our shares of common stock may elect all of our directors. Our amended and restated certificate of incorporation and amended and restated bylaws provide for stockholder actions at a duly called meeting of stockholders or, before the date on which all shares of common stock convert into a single class, by written consent. A special meeting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45720</wp:posOffset>
            </wp:positionV>
            <wp:extent cx="7157720" cy="4254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4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9" w:name="page100"/>
    <w:bookmarkEnd w:id="99"/>
    <w:p>
      <w:pPr>
        <w:jc w:val="both"/>
        <w:ind w:right="40"/>
        <w:spacing w:after="0" w:line="276" w:lineRule="auto"/>
        <w:rPr>
          <w:sz w:val="20"/>
          <w:szCs w:val="20"/>
          <w:color w:val="auto"/>
        </w:rPr>
      </w:pPr>
      <w:r>
        <w:rPr>
          <w:rFonts w:ascii="Arial" w:cs="Arial" w:eastAsia="Arial" w:hAnsi="Arial"/>
          <w:sz w:val="18"/>
          <w:szCs w:val="18"/>
          <w:color w:val="auto"/>
        </w:rPr>
        <w:t>stockholders may be called by a majority of our board of directors, the chair of our board of directors, our chief executive officer or our lead independent director. Our amended and restated bylaws establish an advance notice procedure for stockholder proposals to be brought before an annual meeting of our stockholders, including proposed nominations of persons for election to our board of directors.</w:t>
      </w:r>
    </w:p>
    <w:p>
      <w:pPr>
        <w:spacing w:after="0" w:line="151" w:lineRule="exact"/>
        <w:rPr>
          <w:sz w:val="20"/>
          <w:szCs w:val="20"/>
          <w:color w:val="auto"/>
        </w:rPr>
      </w:pPr>
    </w:p>
    <w:p>
      <w:pPr>
        <w:ind w:right="40" w:firstLine="644"/>
        <w:spacing w:after="0" w:line="230" w:lineRule="auto"/>
        <w:rPr>
          <w:sz w:val="20"/>
          <w:szCs w:val="20"/>
          <w:color w:val="auto"/>
        </w:rPr>
      </w:pPr>
      <w:r>
        <w:rPr>
          <w:rFonts w:ascii="Arial" w:cs="Arial" w:eastAsia="Arial" w:hAnsi="Arial"/>
          <w:sz w:val="20"/>
          <w:szCs w:val="20"/>
          <w:color w:val="auto"/>
        </w:rPr>
        <w:t>Our amended and restated certificate of incorporation further provides for a dual-class common stock structure, which provides our Class B common stockholders with control over all matters requiring stockholder approval, including the election of directors and significant corporate transactions, such as a merger or other sale of our company or its assets.</w:t>
      </w:r>
    </w:p>
    <w:p>
      <w:pPr>
        <w:spacing w:after="0" w:line="3" w:lineRule="exact"/>
        <w:rPr>
          <w:sz w:val="20"/>
          <w:szCs w:val="20"/>
          <w:color w:val="auto"/>
        </w:rPr>
      </w:pPr>
    </w:p>
    <w:p>
      <w:pPr>
        <w:ind w:right="420" w:firstLine="644"/>
        <w:spacing w:after="0" w:line="234" w:lineRule="auto"/>
        <w:rPr>
          <w:sz w:val="20"/>
          <w:szCs w:val="20"/>
          <w:color w:val="auto"/>
        </w:rPr>
      </w:pPr>
      <w:r>
        <w:rPr>
          <w:rFonts w:ascii="Arial" w:cs="Arial" w:eastAsia="Arial" w:hAnsi="Arial"/>
          <w:sz w:val="20"/>
          <w:szCs w:val="20"/>
          <w:color w:val="auto"/>
        </w:rPr>
        <w:t>In accordance with our amended and restated certificate of incorporation our board of directors is divided into three classes with staggered three-year terms.</w:t>
      </w:r>
    </w:p>
    <w:p>
      <w:pPr>
        <w:spacing w:after="0" w:line="184" w:lineRule="exact"/>
        <w:rPr>
          <w:sz w:val="20"/>
          <w:szCs w:val="20"/>
          <w:color w:val="auto"/>
        </w:rPr>
      </w:pPr>
    </w:p>
    <w:p>
      <w:pPr>
        <w:ind w:right="280" w:firstLine="644"/>
        <w:spacing w:after="0" w:line="232" w:lineRule="auto"/>
        <w:rPr>
          <w:sz w:val="20"/>
          <w:szCs w:val="20"/>
          <w:color w:val="auto"/>
        </w:rPr>
      </w:pPr>
      <w:r>
        <w:rPr>
          <w:rFonts w:ascii="Arial" w:cs="Arial" w:eastAsia="Arial" w:hAnsi="Arial"/>
          <w:sz w:val="20"/>
          <w:szCs w:val="20"/>
          <w:color w:val="auto"/>
        </w:rPr>
        <w:t>The foregoing provisions make it more difficult for another party to obtain control of us by replacing our board of directors. Since our board of directors has the power to retain and discharge our officers, these provisions could also make it more difficult for existing stockholders or another party to effect a change in management. In addition, the authorization of undesignated preferred stock makes it possible for our board of directors to issue preferred stock with voting or other rights or preferences that could impede the success of any attempt to change our control.</w:t>
      </w:r>
    </w:p>
    <w:p>
      <w:pPr>
        <w:spacing w:after="0" w:line="184" w:lineRule="exact"/>
        <w:rPr>
          <w:sz w:val="20"/>
          <w:szCs w:val="20"/>
          <w:color w:val="auto"/>
        </w:rPr>
      </w:pPr>
    </w:p>
    <w:p>
      <w:pPr>
        <w:ind w:right="140" w:firstLine="644"/>
        <w:spacing w:after="0" w:line="257" w:lineRule="auto"/>
        <w:rPr>
          <w:sz w:val="20"/>
          <w:szCs w:val="20"/>
          <w:color w:val="auto"/>
        </w:rPr>
      </w:pPr>
      <w:r>
        <w:rPr>
          <w:rFonts w:ascii="Arial" w:cs="Arial" w:eastAsia="Arial" w:hAnsi="Arial"/>
          <w:sz w:val="18"/>
          <w:szCs w:val="18"/>
          <w:color w:val="auto"/>
        </w:rPr>
        <w:t>These provisions, including the dual-class structure of our common stock, are intended to preserve our existing control structure, facilitate our continued product innovation and the risk-taking that it requires, permit us to continue to prioritize our long-term goals rather than short-term results, enhance the likelihood of continued stability in the composition of our board of directors and its policies and to discourage certain types of transactions that may involve an actual or threatened acquisition of us. These provisions are also designed to reduce our vulnerability to an unsolicited acquisition proposal and to discourage certain tactics that may be used in proxy fights. However, such provisions could have the effect of discouraging others from making tender offers for our shares and may have the effect of deterring hostile takeovers or delaying changes in our control or management. As a consequence, these provisions may also inhibit fluctuations in the market price of our stock that could result from actual or rumored takeover attempts.</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Section 203 of the Delaware General Corporation Law</w:t>
      </w:r>
    </w:p>
    <w:p>
      <w:pPr>
        <w:spacing w:after="0" w:line="202" w:lineRule="exact"/>
        <w:rPr>
          <w:sz w:val="20"/>
          <w:szCs w:val="20"/>
          <w:color w:val="auto"/>
        </w:rPr>
      </w:pPr>
    </w:p>
    <w:p>
      <w:pPr>
        <w:ind w:firstLine="644"/>
        <w:spacing w:after="0" w:line="234" w:lineRule="auto"/>
        <w:rPr>
          <w:sz w:val="20"/>
          <w:szCs w:val="20"/>
          <w:color w:val="auto"/>
        </w:rPr>
      </w:pPr>
      <w:r>
        <w:rPr>
          <w:rFonts w:ascii="Arial" w:cs="Arial" w:eastAsia="Arial" w:hAnsi="Arial"/>
          <w:sz w:val="20"/>
          <w:szCs w:val="20"/>
          <w:color w:val="auto"/>
        </w:rPr>
        <w:t>At any time when we have a class of voting stock that is either listed on a national securities exchange or held of record by more than 2,000 stockholders, we will be subject to Section 203 of the Delaware General Corporation Law, which prohibits a Delaware corporation from engaging in any business combination with any interested stockholder for a period of three years after the date that such stockholder became an interested stockholder, subject to certain exceptions.</w:t>
      </w:r>
    </w:p>
    <w:p>
      <w:pPr>
        <w:spacing w:after="0" w:line="177"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Choice of Forum</w:t>
      </w:r>
    </w:p>
    <w:p>
      <w:pPr>
        <w:spacing w:after="0" w:line="208" w:lineRule="exact"/>
        <w:rPr>
          <w:sz w:val="20"/>
          <w:szCs w:val="20"/>
          <w:color w:val="auto"/>
        </w:rPr>
      </w:pPr>
    </w:p>
    <w:p>
      <w:pPr>
        <w:ind w:right="20" w:firstLine="644"/>
        <w:spacing w:after="0" w:line="241" w:lineRule="auto"/>
        <w:rPr>
          <w:sz w:val="20"/>
          <w:szCs w:val="20"/>
          <w:color w:val="auto"/>
        </w:rPr>
      </w:pPr>
      <w:r>
        <w:rPr>
          <w:rFonts w:ascii="Arial" w:cs="Arial" w:eastAsia="Arial" w:hAnsi="Arial"/>
          <w:sz w:val="19"/>
          <w:szCs w:val="19"/>
          <w:color w:val="auto"/>
        </w:rPr>
        <w:t>Our amended and restated certificate of incorporation provides that the Court of Chancery of the State of Delaware be the exclusive forum for actions or proceedings brought under Delaware statutory or common law: (1) any derivative action or proceeding brought on our behalf; (2) any action asserting a breach of fiduciary duty; (3) any action asserting a claim against us arising under the Delaware General Corporation Law; (4) any action regarding our amended and restated certificate of incorporation or our amended and restated bylaws; (5) any action as to which the Delaware General Corporate Law confers jurisdiction to the Court of Chancery of the State of Delaware; or (6) any action asserting a claim against us that is governed by the internal affairs doctrine. The provisions would not apply to suits brought to enforce a duty or liability created by the Exchange Act. Our amended and restated certificate of incorporation further provides that the federal district courts of the United States of America is the exclusive forum for resolving any complaint asserting a cause of action arising under the Securities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184150</wp:posOffset>
            </wp:positionV>
            <wp:extent cx="7157720" cy="4254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4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00" w:name="page101"/>
    <w:bookmarkEnd w:id="100"/>
    <w:tbl>
      <w:tblPr>
        <w:tblLayout w:type="fixed"/>
        <w:tblInd w:w="0" w:type="dxa"/>
        <w:tblCellMar>
          <w:top w:w="0" w:type="dxa"/>
          <w:left w:w="0" w:type="dxa"/>
          <w:bottom w:w="0" w:type="dxa"/>
          <w:right w:w="0" w:type="dxa"/>
        </w:tblCellMar>
      </w:tblPr>
      <w:tr>
        <w:trPr>
          <w:trHeight w:val="256"/>
        </w:trPr>
        <w:tc>
          <w:tcPr>
            <w:tcW w:w="5940" w:type="dxa"/>
            <w:vAlign w:val="bottom"/>
            <w:gridSpan w:val="3"/>
          </w:tcPr>
          <w:p>
            <w:pPr>
              <w:spacing w:after="0"/>
              <w:rPr>
                <w:sz w:val="20"/>
                <w:szCs w:val="20"/>
                <w:color w:val="auto"/>
              </w:rPr>
            </w:pPr>
            <w:r>
              <w:rPr>
                <w:rFonts w:ascii="Arial" w:cs="Arial" w:eastAsia="Arial" w:hAnsi="Arial"/>
                <w:sz w:val="20"/>
                <w:szCs w:val="20"/>
                <w:b w:val="1"/>
                <w:bCs w:val="1"/>
                <w:color w:val="auto"/>
              </w:rPr>
              <w:t>List of Subsidiaries</w:t>
            </w:r>
          </w:p>
        </w:tc>
        <w:tc>
          <w:tcPr>
            <w:tcW w:w="4740" w:type="dxa"/>
            <w:vAlign w:val="bottom"/>
            <w:gridSpan w:val="3"/>
          </w:tcPr>
          <w:p>
            <w:pPr>
              <w:ind w:left="1440"/>
              <w:spacing w:after="0"/>
              <w:rPr>
                <w:sz w:val="20"/>
                <w:szCs w:val="20"/>
                <w:color w:val="auto"/>
              </w:rPr>
            </w:pPr>
            <w:r>
              <w:rPr>
                <w:rFonts w:ascii="Arial" w:cs="Arial" w:eastAsia="Arial" w:hAnsi="Arial"/>
                <w:sz w:val="20"/>
                <w:szCs w:val="20"/>
                <w:b w:val="1"/>
                <w:bCs w:val="1"/>
                <w:color w:val="auto"/>
              </w:rPr>
              <w:t>Exhibit 21.1</w:t>
            </w:r>
          </w:p>
        </w:tc>
      </w:tr>
      <w:tr>
        <w:trPr>
          <w:trHeight w:val="333"/>
        </w:trPr>
        <w:tc>
          <w:tcPr>
            <w:tcW w:w="220" w:type="dxa"/>
            <w:vAlign w:val="bottom"/>
          </w:tcPr>
          <w:p>
            <w:pPr>
              <w:spacing w:after="0"/>
              <w:rPr>
                <w:sz w:val="24"/>
                <w:szCs w:val="24"/>
                <w:color w:val="auto"/>
              </w:rPr>
            </w:pPr>
          </w:p>
        </w:tc>
        <w:tc>
          <w:tcPr>
            <w:tcW w:w="5720" w:type="dxa"/>
            <w:vAlign w:val="bottom"/>
            <w:gridSpan w:val="2"/>
          </w:tcPr>
          <w:p>
            <w:pPr>
              <w:spacing w:after="0"/>
              <w:rPr>
                <w:sz w:val="20"/>
                <w:szCs w:val="20"/>
                <w:color w:val="auto"/>
              </w:rPr>
            </w:pPr>
            <w:r>
              <w:rPr>
                <w:rFonts w:ascii="Arial" w:cs="Arial" w:eastAsia="Arial" w:hAnsi="Arial"/>
                <w:sz w:val="20"/>
                <w:szCs w:val="20"/>
                <w:color w:val="auto"/>
              </w:rPr>
              <w:t>Name</w:t>
            </w:r>
          </w:p>
        </w:tc>
        <w:tc>
          <w:tcPr>
            <w:tcW w:w="4740" w:type="dxa"/>
            <w:vAlign w:val="bottom"/>
            <w:gridSpan w:val="3"/>
          </w:tcPr>
          <w:p>
            <w:pPr>
              <w:jc w:val="center"/>
              <w:ind w:left="3201"/>
              <w:spacing w:after="0"/>
              <w:rPr>
                <w:sz w:val="20"/>
                <w:szCs w:val="20"/>
                <w:color w:val="auto"/>
              </w:rPr>
            </w:pPr>
            <w:r>
              <w:rPr>
                <w:rFonts w:ascii="Arial" w:cs="Arial" w:eastAsia="Arial" w:hAnsi="Arial"/>
                <w:sz w:val="20"/>
                <w:szCs w:val="20"/>
                <w:color w:val="auto"/>
                <w:w w:val="91"/>
              </w:rPr>
              <w:t>Jurisdiction</w:t>
            </w:r>
          </w:p>
        </w:tc>
      </w:tr>
      <w:tr>
        <w:trPr>
          <w:trHeight w:val="20"/>
        </w:trPr>
        <w:tc>
          <w:tcPr>
            <w:tcW w:w="2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33"/>
        </w:trPr>
        <w:tc>
          <w:tcPr>
            <w:tcW w:w="220" w:type="dxa"/>
            <w:vAlign w:val="bottom"/>
          </w:tcPr>
          <w:p>
            <w:pPr>
              <w:spacing w:after="0"/>
              <w:rPr>
                <w:sz w:val="20"/>
                <w:szCs w:val="20"/>
                <w:color w:val="auto"/>
              </w:rPr>
            </w:pPr>
          </w:p>
        </w:tc>
        <w:tc>
          <w:tcPr>
            <w:tcW w:w="5720" w:type="dxa"/>
            <w:vAlign w:val="bottom"/>
            <w:gridSpan w:val="2"/>
          </w:tcPr>
          <w:p>
            <w:pPr>
              <w:spacing w:after="0"/>
              <w:rPr>
                <w:sz w:val="20"/>
                <w:szCs w:val="20"/>
                <w:color w:val="auto"/>
              </w:rPr>
            </w:pPr>
            <w:r>
              <w:rPr>
                <w:rFonts w:ascii="Arial" w:cs="Arial" w:eastAsia="Arial" w:hAnsi="Arial"/>
                <w:sz w:val="20"/>
                <w:szCs w:val="20"/>
                <w:color w:val="auto"/>
              </w:rPr>
              <w:t>Thomas Publishing Company</w:t>
            </w:r>
          </w:p>
        </w:tc>
        <w:tc>
          <w:tcPr>
            <w:tcW w:w="4740" w:type="dxa"/>
            <w:vAlign w:val="bottom"/>
            <w:gridSpan w:val="3"/>
          </w:tcPr>
          <w:p>
            <w:pPr>
              <w:jc w:val="center"/>
              <w:ind w:left="3221"/>
              <w:spacing w:after="0"/>
              <w:rPr>
                <w:sz w:val="20"/>
                <w:szCs w:val="20"/>
                <w:color w:val="auto"/>
              </w:rPr>
            </w:pPr>
            <w:r>
              <w:rPr>
                <w:rFonts w:ascii="Arial" w:cs="Arial" w:eastAsia="Arial" w:hAnsi="Arial"/>
                <w:sz w:val="20"/>
                <w:szCs w:val="20"/>
                <w:color w:val="auto"/>
                <w:w w:val="89"/>
              </w:rPr>
              <w:t>NY, United States</w:t>
            </w:r>
          </w:p>
        </w:tc>
      </w:tr>
      <w:tr>
        <w:trPr>
          <w:trHeight w:val="230"/>
        </w:trPr>
        <w:tc>
          <w:tcPr>
            <w:tcW w:w="220" w:type="dxa"/>
            <w:vAlign w:val="bottom"/>
          </w:tcPr>
          <w:p>
            <w:pPr>
              <w:spacing w:after="0"/>
              <w:rPr>
                <w:sz w:val="19"/>
                <w:szCs w:val="19"/>
                <w:color w:val="auto"/>
              </w:rPr>
            </w:pPr>
          </w:p>
        </w:tc>
        <w:tc>
          <w:tcPr>
            <w:tcW w:w="5720" w:type="dxa"/>
            <w:vAlign w:val="bottom"/>
            <w:gridSpan w:val="2"/>
          </w:tcPr>
          <w:p>
            <w:pPr>
              <w:spacing w:after="0"/>
              <w:rPr>
                <w:sz w:val="20"/>
                <w:szCs w:val="20"/>
                <w:color w:val="auto"/>
              </w:rPr>
            </w:pPr>
            <w:r>
              <w:rPr>
                <w:rFonts w:ascii="Arial" w:cs="Arial" w:eastAsia="Arial" w:hAnsi="Arial"/>
                <w:sz w:val="20"/>
                <w:szCs w:val="20"/>
                <w:color w:val="auto"/>
              </w:rPr>
              <w:t>Xometry UK Ltd.</w:t>
            </w:r>
          </w:p>
        </w:tc>
        <w:tc>
          <w:tcPr>
            <w:tcW w:w="4740" w:type="dxa"/>
            <w:vAlign w:val="bottom"/>
            <w:gridSpan w:val="3"/>
          </w:tcPr>
          <w:p>
            <w:pPr>
              <w:jc w:val="center"/>
              <w:ind w:left="3221"/>
              <w:spacing w:after="0"/>
              <w:rPr>
                <w:sz w:val="20"/>
                <w:szCs w:val="20"/>
                <w:color w:val="auto"/>
              </w:rPr>
            </w:pPr>
            <w:r>
              <w:rPr>
                <w:rFonts w:ascii="Arial" w:cs="Arial" w:eastAsia="Arial" w:hAnsi="Arial"/>
                <w:sz w:val="20"/>
                <w:szCs w:val="20"/>
                <w:color w:val="auto"/>
                <w:w w:val="94"/>
              </w:rPr>
              <w:t>United Kingdom</w:t>
            </w:r>
          </w:p>
        </w:tc>
      </w:tr>
      <w:tr>
        <w:trPr>
          <w:trHeight w:val="229"/>
        </w:trPr>
        <w:tc>
          <w:tcPr>
            <w:tcW w:w="220" w:type="dxa"/>
            <w:vAlign w:val="bottom"/>
          </w:tcPr>
          <w:p>
            <w:pPr>
              <w:spacing w:after="0"/>
              <w:rPr>
                <w:sz w:val="19"/>
                <w:szCs w:val="19"/>
                <w:color w:val="auto"/>
              </w:rPr>
            </w:pPr>
          </w:p>
        </w:tc>
        <w:tc>
          <w:tcPr>
            <w:tcW w:w="5720" w:type="dxa"/>
            <w:vAlign w:val="bottom"/>
            <w:gridSpan w:val="2"/>
          </w:tcPr>
          <w:p>
            <w:pPr>
              <w:spacing w:after="0"/>
              <w:rPr>
                <w:sz w:val="20"/>
                <w:szCs w:val="20"/>
                <w:color w:val="auto"/>
              </w:rPr>
            </w:pPr>
            <w:r>
              <w:rPr>
                <w:rFonts w:ascii="Arial" w:cs="Arial" w:eastAsia="Arial" w:hAnsi="Arial"/>
                <w:sz w:val="20"/>
                <w:szCs w:val="20"/>
                <w:color w:val="auto"/>
              </w:rPr>
              <w:t>Xometry Europe GmbH</w:t>
            </w:r>
          </w:p>
        </w:tc>
        <w:tc>
          <w:tcPr>
            <w:tcW w:w="3560" w:type="dxa"/>
            <w:vAlign w:val="bottom"/>
          </w:tcPr>
          <w:p>
            <w:pPr>
              <w:spacing w:after="0"/>
              <w:rPr>
                <w:sz w:val="19"/>
                <w:szCs w:val="19"/>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20"/>
                <w:szCs w:val="20"/>
                <w:color w:val="auto"/>
                <w:w w:val="89"/>
              </w:rPr>
              <w:t>Germany</w:t>
            </w:r>
          </w:p>
        </w:tc>
      </w:tr>
      <w:tr>
        <w:trPr>
          <w:trHeight w:val="230"/>
        </w:trPr>
        <w:tc>
          <w:tcPr>
            <w:tcW w:w="220" w:type="dxa"/>
            <w:vAlign w:val="bottom"/>
          </w:tcPr>
          <w:p>
            <w:pPr>
              <w:spacing w:after="0"/>
              <w:rPr>
                <w:sz w:val="19"/>
                <w:szCs w:val="19"/>
                <w:color w:val="auto"/>
              </w:rPr>
            </w:pPr>
          </w:p>
        </w:tc>
        <w:tc>
          <w:tcPr>
            <w:tcW w:w="5720" w:type="dxa"/>
            <w:vAlign w:val="bottom"/>
            <w:gridSpan w:val="2"/>
          </w:tcPr>
          <w:p>
            <w:pPr>
              <w:spacing w:after="0"/>
              <w:rPr>
                <w:sz w:val="20"/>
                <w:szCs w:val="20"/>
                <w:color w:val="auto"/>
              </w:rPr>
            </w:pPr>
            <w:r>
              <w:rPr>
                <w:rFonts w:ascii="Arial" w:cs="Arial" w:eastAsia="Arial" w:hAnsi="Arial"/>
                <w:sz w:val="20"/>
                <w:szCs w:val="20"/>
                <w:color w:val="auto"/>
              </w:rPr>
              <w:t>Xometry (Shanghai) Technology Co., Ltd.</w:t>
            </w:r>
          </w:p>
        </w:tc>
        <w:tc>
          <w:tcPr>
            <w:tcW w:w="3560" w:type="dxa"/>
            <w:vAlign w:val="bottom"/>
          </w:tcPr>
          <w:p>
            <w:pPr>
              <w:spacing w:after="0"/>
              <w:rPr>
                <w:sz w:val="19"/>
                <w:szCs w:val="19"/>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20"/>
                <w:szCs w:val="20"/>
                <w:color w:val="auto"/>
                <w:w w:val="87"/>
              </w:rPr>
              <w:t>China</w:t>
            </w:r>
          </w:p>
        </w:tc>
      </w:tr>
      <w:tr>
        <w:trPr>
          <w:trHeight w:val="229"/>
        </w:trPr>
        <w:tc>
          <w:tcPr>
            <w:tcW w:w="220" w:type="dxa"/>
            <w:vAlign w:val="bottom"/>
          </w:tcPr>
          <w:p>
            <w:pPr>
              <w:spacing w:after="0"/>
              <w:rPr>
                <w:sz w:val="19"/>
                <w:szCs w:val="19"/>
                <w:color w:val="auto"/>
              </w:rPr>
            </w:pPr>
          </w:p>
        </w:tc>
        <w:tc>
          <w:tcPr>
            <w:tcW w:w="5720" w:type="dxa"/>
            <w:vAlign w:val="bottom"/>
            <w:gridSpan w:val="2"/>
          </w:tcPr>
          <w:p>
            <w:pPr>
              <w:spacing w:after="0"/>
              <w:rPr>
                <w:sz w:val="20"/>
                <w:szCs w:val="20"/>
                <w:color w:val="auto"/>
              </w:rPr>
            </w:pPr>
            <w:r>
              <w:rPr>
                <w:rFonts w:ascii="Arial" w:cs="Arial" w:eastAsia="Arial" w:hAnsi="Arial"/>
                <w:sz w:val="20"/>
                <w:szCs w:val="20"/>
                <w:color w:val="auto"/>
              </w:rPr>
              <w:t>Thomas Publishing Company LLC</w:t>
            </w:r>
          </w:p>
        </w:tc>
        <w:tc>
          <w:tcPr>
            <w:tcW w:w="4740" w:type="dxa"/>
            <w:vAlign w:val="bottom"/>
            <w:gridSpan w:val="3"/>
          </w:tcPr>
          <w:p>
            <w:pPr>
              <w:jc w:val="center"/>
              <w:ind w:left="3221"/>
              <w:spacing w:after="0"/>
              <w:rPr>
                <w:sz w:val="20"/>
                <w:szCs w:val="20"/>
                <w:color w:val="auto"/>
              </w:rPr>
            </w:pPr>
            <w:r>
              <w:rPr>
                <w:rFonts w:ascii="Arial" w:cs="Arial" w:eastAsia="Arial" w:hAnsi="Arial"/>
                <w:sz w:val="20"/>
                <w:szCs w:val="20"/>
                <w:color w:val="auto"/>
                <w:w w:val="89"/>
              </w:rPr>
              <w:t>DE, United States</w:t>
            </w:r>
          </w:p>
        </w:tc>
      </w:tr>
      <w:tr>
        <w:trPr>
          <w:trHeight w:val="229"/>
        </w:trPr>
        <w:tc>
          <w:tcPr>
            <w:tcW w:w="220" w:type="dxa"/>
            <w:vAlign w:val="bottom"/>
          </w:tcPr>
          <w:p>
            <w:pPr>
              <w:spacing w:after="0"/>
              <w:rPr>
                <w:sz w:val="19"/>
                <w:szCs w:val="19"/>
                <w:color w:val="auto"/>
              </w:rPr>
            </w:pPr>
          </w:p>
        </w:tc>
        <w:tc>
          <w:tcPr>
            <w:tcW w:w="5720" w:type="dxa"/>
            <w:vAlign w:val="bottom"/>
            <w:gridSpan w:val="2"/>
          </w:tcPr>
          <w:p>
            <w:pPr>
              <w:spacing w:after="0"/>
              <w:rPr>
                <w:sz w:val="20"/>
                <w:szCs w:val="20"/>
                <w:color w:val="auto"/>
              </w:rPr>
            </w:pPr>
            <w:r>
              <w:rPr>
                <w:rFonts w:ascii="Arial" w:cs="Arial" w:eastAsia="Arial" w:hAnsi="Arial"/>
                <w:sz w:val="20"/>
                <w:szCs w:val="20"/>
                <w:color w:val="auto"/>
              </w:rPr>
              <w:t>Thomas Industrial Network, Inc.</w:t>
            </w:r>
          </w:p>
        </w:tc>
        <w:tc>
          <w:tcPr>
            <w:tcW w:w="4740" w:type="dxa"/>
            <w:vAlign w:val="bottom"/>
            <w:gridSpan w:val="3"/>
          </w:tcPr>
          <w:p>
            <w:pPr>
              <w:jc w:val="center"/>
              <w:ind w:left="3221"/>
              <w:spacing w:after="0"/>
              <w:rPr>
                <w:sz w:val="20"/>
                <w:szCs w:val="20"/>
                <w:color w:val="auto"/>
              </w:rPr>
            </w:pPr>
            <w:r>
              <w:rPr>
                <w:rFonts w:ascii="Arial" w:cs="Arial" w:eastAsia="Arial" w:hAnsi="Arial"/>
                <w:sz w:val="20"/>
                <w:szCs w:val="20"/>
                <w:color w:val="auto"/>
                <w:w w:val="89"/>
              </w:rPr>
              <w:t>DE, United States</w:t>
            </w:r>
          </w:p>
        </w:tc>
      </w:tr>
      <w:tr>
        <w:trPr>
          <w:trHeight w:val="230"/>
        </w:trPr>
        <w:tc>
          <w:tcPr>
            <w:tcW w:w="220" w:type="dxa"/>
            <w:vAlign w:val="bottom"/>
          </w:tcPr>
          <w:p>
            <w:pPr>
              <w:spacing w:after="0"/>
              <w:rPr>
                <w:sz w:val="19"/>
                <w:szCs w:val="19"/>
                <w:color w:val="auto"/>
              </w:rPr>
            </w:pPr>
          </w:p>
        </w:tc>
        <w:tc>
          <w:tcPr>
            <w:tcW w:w="5720" w:type="dxa"/>
            <w:vAlign w:val="bottom"/>
            <w:gridSpan w:val="2"/>
          </w:tcPr>
          <w:p>
            <w:pPr>
              <w:spacing w:after="0"/>
              <w:rPr>
                <w:sz w:val="20"/>
                <w:szCs w:val="20"/>
                <w:color w:val="auto"/>
              </w:rPr>
            </w:pPr>
            <w:r>
              <w:rPr>
                <w:rFonts w:ascii="Arial" w:cs="Arial" w:eastAsia="Arial" w:hAnsi="Arial"/>
                <w:sz w:val="20"/>
                <w:szCs w:val="20"/>
                <w:color w:val="auto"/>
              </w:rPr>
              <w:t>Thomas Marketing Services, Inc.</w:t>
            </w:r>
          </w:p>
        </w:tc>
        <w:tc>
          <w:tcPr>
            <w:tcW w:w="4740" w:type="dxa"/>
            <w:vAlign w:val="bottom"/>
            <w:gridSpan w:val="3"/>
          </w:tcPr>
          <w:p>
            <w:pPr>
              <w:jc w:val="center"/>
              <w:ind w:left="3221"/>
              <w:spacing w:after="0"/>
              <w:rPr>
                <w:sz w:val="20"/>
                <w:szCs w:val="20"/>
                <w:color w:val="auto"/>
              </w:rPr>
            </w:pPr>
            <w:r>
              <w:rPr>
                <w:rFonts w:ascii="Arial" w:cs="Arial" w:eastAsia="Arial" w:hAnsi="Arial"/>
                <w:sz w:val="20"/>
                <w:szCs w:val="20"/>
                <w:color w:val="auto"/>
                <w:w w:val="89"/>
              </w:rPr>
              <w:t>DE, United States</w:t>
            </w:r>
          </w:p>
        </w:tc>
      </w:tr>
      <w:tr>
        <w:trPr>
          <w:trHeight w:val="229"/>
        </w:trPr>
        <w:tc>
          <w:tcPr>
            <w:tcW w:w="220" w:type="dxa"/>
            <w:vAlign w:val="bottom"/>
          </w:tcPr>
          <w:p>
            <w:pPr>
              <w:spacing w:after="0"/>
              <w:rPr>
                <w:sz w:val="19"/>
                <w:szCs w:val="19"/>
                <w:color w:val="auto"/>
              </w:rPr>
            </w:pPr>
          </w:p>
        </w:tc>
        <w:tc>
          <w:tcPr>
            <w:tcW w:w="5720" w:type="dxa"/>
            <w:vAlign w:val="bottom"/>
            <w:gridSpan w:val="2"/>
          </w:tcPr>
          <w:p>
            <w:pPr>
              <w:spacing w:after="0"/>
              <w:rPr>
                <w:sz w:val="20"/>
                <w:szCs w:val="20"/>
                <w:color w:val="auto"/>
              </w:rPr>
            </w:pPr>
            <w:r>
              <w:rPr>
                <w:rFonts w:ascii="Arial" w:cs="Arial" w:eastAsia="Arial" w:hAnsi="Arial"/>
                <w:sz w:val="20"/>
                <w:szCs w:val="20"/>
                <w:color w:val="auto"/>
              </w:rPr>
              <w:t>Genicad, s.r.o.</w:t>
            </w:r>
          </w:p>
        </w:tc>
        <w:tc>
          <w:tcPr>
            <w:tcW w:w="4740" w:type="dxa"/>
            <w:vAlign w:val="bottom"/>
            <w:gridSpan w:val="3"/>
          </w:tcPr>
          <w:p>
            <w:pPr>
              <w:jc w:val="center"/>
              <w:ind w:left="3221"/>
              <w:spacing w:after="0"/>
              <w:rPr>
                <w:sz w:val="20"/>
                <w:szCs w:val="20"/>
                <w:color w:val="auto"/>
              </w:rPr>
            </w:pPr>
            <w:r>
              <w:rPr>
                <w:rFonts w:ascii="Arial" w:cs="Arial" w:eastAsia="Arial" w:hAnsi="Arial"/>
                <w:sz w:val="20"/>
                <w:szCs w:val="20"/>
                <w:color w:val="auto"/>
                <w:w w:val="89"/>
              </w:rPr>
              <w:t>Czech Republic</w:t>
            </w:r>
          </w:p>
        </w:tc>
      </w:tr>
      <w:tr>
        <w:trPr>
          <w:trHeight w:val="229"/>
        </w:trPr>
        <w:tc>
          <w:tcPr>
            <w:tcW w:w="220" w:type="dxa"/>
            <w:vAlign w:val="bottom"/>
          </w:tcPr>
          <w:p>
            <w:pPr>
              <w:spacing w:after="0"/>
              <w:rPr>
                <w:sz w:val="19"/>
                <w:szCs w:val="19"/>
                <w:color w:val="auto"/>
              </w:rPr>
            </w:pPr>
          </w:p>
        </w:tc>
        <w:tc>
          <w:tcPr>
            <w:tcW w:w="5720" w:type="dxa"/>
            <w:vAlign w:val="bottom"/>
            <w:gridSpan w:val="2"/>
          </w:tcPr>
          <w:p>
            <w:pPr>
              <w:spacing w:after="0"/>
              <w:rPr>
                <w:sz w:val="20"/>
                <w:szCs w:val="20"/>
                <w:color w:val="auto"/>
              </w:rPr>
            </w:pPr>
            <w:r>
              <w:rPr>
                <w:rFonts w:ascii="Arial" w:cs="Arial" w:eastAsia="Arial" w:hAnsi="Arial"/>
                <w:sz w:val="20"/>
                <w:szCs w:val="20"/>
                <w:color w:val="auto"/>
              </w:rPr>
              <w:t>Thomas Global Register, LLC</w:t>
            </w:r>
          </w:p>
        </w:tc>
        <w:tc>
          <w:tcPr>
            <w:tcW w:w="4740" w:type="dxa"/>
            <w:vAlign w:val="bottom"/>
            <w:gridSpan w:val="3"/>
          </w:tcPr>
          <w:p>
            <w:pPr>
              <w:jc w:val="center"/>
              <w:ind w:left="3221"/>
              <w:spacing w:after="0"/>
              <w:rPr>
                <w:sz w:val="20"/>
                <w:szCs w:val="20"/>
                <w:color w:val="auto"/>
              </w:rPr>
            </w:pPr>
            <w:r>
              <w:rPr>
                <w:rFonts w:ascii="Arial" w:cs="Arial" w:eastAsia="Arial" w:hAnsi="Arial"/>
                <w:sz w:val="20"/>
                <w:szCs w:val="20"/>
                <w:color w:val="auto"/>
                <w:w w:val="89"/>
              </w:rPr>
              <w:t>DE, United States</w:t>
            </w:r>
          </w:p>
        </w:tc>
      </w:tr>
      <w:tr>
        <w:trPr>
          <w:trHeight w:val="230"/>
        </w:trPr>
        <w:tc>
          <w:tcPr>
            <w:tcW w:w="220" w:type="dxa"/>
            <w:vAlign w:val="bottom"/>
          </w:tcPr>
          <w:p>
            <w:pPr>
              <w:spacing w:after="0"/>
              <w:rPr>
                <w:sz w:val="19"/>
                <w:szCs w:val="19"/>
                <w:color w:val="auto"/>
              </w:rPr>
            </w:pPr>
          </w:p>
        </w:tc>
        <w:tc>
          <w:tcPr>
            <w:tcW w:w="5720" w:type="dxa"/>
            <w:vAlign w:val="bottom"/>
            <w:gridSpan w:val="2"/>
          </w:tcPr>
          <w:p>
            <w:pPr>
              <w:spacing w:after="0"/>
              <w:rPr>
                <w:sz w:val="20"/>
                <w:szCs w:val="20"/>
                <w:color w:val="auto"/>
              </w:rPr>
            </w:pPr>
            <w:r>
              <w:rPr>
                <w:rFonts w:ascii="Arial" w:cs="Arial" w:eastAsia="Arial" w:hAnsi="Arial"/>
                <w:sz w:val="20"/>
                <w:szCs w:val="20"/>
                <w:color w:val="auto"/>
              </w:rPr>
              <w:t>Thomas International Publishing Co.</w:t>
            </w:r>
          </w:p>
        </w:tc>
        <w:tc>
          <w:tcPr>
            <w:tcW w:w="3560" w:type="dxa"/>
            <w:vAlign w:val="bottom"/>
          </w:tcPr>
          <w:p>
            <w:pPr>
              <w:spacing w:after="0"/>
              <w:rPr>
                <w:sz w:val="19"/>
                <w:szCs w:val="19"/>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20"/>
                <w:szCs w:val="20"/>
                <w:color w:val="auto"/>
                <w:w w:val="84"/>
              </w:rPr>
              <w:t>Japan</w:t>
            </w:r>
          </w:p>
        </w:tc>
      </w:tr>
      <w:tr>
        <w:trPr>
          <w:trHeight w:val="229"/>
        </w:trPr>
        <w:tc>
          <w:tcPr>
            <w:tcW w:w="220" w:type="dxa"/>
            <w:vAlign w:val="bottom"/>
          </w:tcPr>
          <w:p>
            <w:pPr>
              <w:spacing w:after="0"/>
              <w:rPr>
                <w:sz w:val="19"/>
                <w:szCs w:val="19"/>
                <w:color w:val="auto"/>
              </w:rPr>
            </w:pPr>
          </w:p>
        </w:tc>
        <w:tc>
          <w:tcPr>
            <w:tcW w:w="5720" w:type="dxa"/>
            <w:vAlign w:val="bottom"/>
            <w:gridSpan w:val="2"/>
          </w:tcPr>
          <w:p>
            <w:pPr>
              <w:spacing w:after="0"/>
              <w:rPr>
                <w:sz w:val="20"/>
                <w:szCs w:val="20"/>
                <w:color w:val="auto"/>
              </w:rPr>
            </w:pPr>
            <w:r>
              <w:rPr>
                <w:rFonts w:ascii="Arial" w:cs="Arial" w:eastAsia="Arial" w:hAnsi="Arial"/>
                <w:sz w:val="20"/>
                <w:szCs w:val="20"/>
                <w:color w:val="auto"/>
              </w:rPr>
              <w:t>Tarkmomas European Publishing Co, Inc.</w:t>
            </w:r>
          </w:p>
        </w:tc>
        <w:tc>
          <w:tcPr>
            <w:tcW w:w="4740" w:type="dxa"/>
            <w:vAlign w:val="bottom"/>
            <w:gridSpan w:val="3"/>
          </w:tcPr>
          <w:p>
            <w:pPr>
              <w:jc w:val="center"/>
              <w:ind w:left="3221"/>
              <w:spacing w:after="0"/>
              <w:rPr>
                <w:sz w:val="20"/>
                <w:szCs w:val="20"/>
                <w:color w:val="auto"/>
              </w:rPr>
            </w:pPr>
            <w:r>
              <w:rPr>
                <w:rFonts w:ascii="Arial" w:cs="Arial" w:eastAsia="Arial" w:hAnsi="Arial"/>
                <w:sz w:val="20"/>
                <w:szCs w:val="20"/>
                <w:color w:val="auto"/>
                <w:w w:val="89"/>
              </w:rPr>
              <w:t>DE, United States</w:t>
            </w:r>
          </w:p>
        </w:tc>
      </w:tr>
      <w:tr>
        <w:trPr>
          <w:trHeight w:val="230"/>
        </w:trPr>
        <w:tc>
          <w:tcPr>
            <w:tcW w:w="220" w:type="dxa"/>
            <w:vAlign w:val="bottom"/>
          </w:tcPr>
          <w:p>
            <w:pPr>
              <w:spacing w:after="0"/>
              <w:rPr>
                <w:sz w:val="19"/>
                <w:szCs w:val="19"/>
                <w:color w:val="auto"/>
              </w:rPr>
            </w:pPr>
          </w:p>
        </w:tc>
        <w:tc>
          <w:tcPr>
            <w:tcW w:w="5720" w:type="dxa"/>
            <w:vAlign w:val="bottom"/>
            <w:gridSpan w:val="2"/>
          </w:tcPr>
          <w:p>
            <w:pPr>
              <w:spacing w:after="0"/>
              <w:rPr>
                <w:sz w:val="20"/>
                <w:szCs w:val="20"/>
                <w:color w:val="auto"/>
              </w:rPr>
            </w:pPr>
            <w:r>
              <w:rPr>
                <w:rFonts w:ascii="Arial" w:cs="Arial" w:eastAsia="Arial" w:hAnsi="Arial"/>
                <w:sz w:val="20"/>
                <w:szCs w:val="20"/>
                <w:color w:val="auto"/>
              </w:rPr>
              <w:t>Tarkpapas European Publishing Co, Inc.</w:t>
            </w:r>
          </w:p>
        </w:tc>
        <w:tc>
          <w:tcPr>
            <w:tcW w:w="4740" w:type="dxa"/>
            <w:vAlign w:val="bottom"/>
            <w:gridSpan w:val="3"/>
          </w:tcPr>
          <w:p>
            <w:pPr>
              <w:jc w:val="center"/>
              <w:ind w:left="3221"/>
              <w:spacing w:after="0"/>
              <w:rPr>
                <w:sz w:val="20"/>
                <w:szCs w:val="20"/>
                <w:color w:val="auto"/>
              </w:rPr>
            </w:pPr>
            <w:r>
              <w:rPr>
                <w:rFonts w:ascii="Arial" w:cs="Arial" w:eastAsia="Arial" w:hAnsi="Arial"/>
                <w:sz w:val="20"/>
                <w:szCs w:val="20"/>
                <w:color w:val="auto"/>
                <w:w w:val="89"/>
              </w:rPr>
              <w:t>DE, United States</w:t>
            </w:r>
          </w:p>
        </w:tc>
      </w:tr>
      <w:tr>
        <w:trPr>
          <w:trHeight w:val="229"/>
        </w:trPr>
        <w:tc>
          <w:tcPr>
            <w:tcW w:w="220" w:type="dxa"/>
            <w:vAlign w:val="bottom"/>
          </w:tcPr>
          <w:p>
            <w:pPr>
              <w:spacing w:after="0"/>
              <w:rPr>
                <w:sz w:val="19"/>
                <w:szCs w:val="19"/>
                <w:color w:val="auto"/>
              </w:rPr>
            </w:pPr>
          </w:p>
        </w:tc>
        <w:tc>
          <w:tcPr>
            <w:tcW w:w="5720" w:type="dxa"/>
            <w:vAlign w:val="bottom"/>
            <w:gridSpan w:val="2"/>
          </w:tcPr>
          <w:p>
            <w:pPr>
              <w:spacing w:after="0"/>
              <w:rPr>
                <w:sz w:val="20"/>
                <w:szCs w:val="20"/>
                <w:color w:val="auto"/>
              </w:rPr>
            </w:pPr>
            <w:r>
              <w:rPr>
                <w:rFonts w:ascii="Arial" w:cs="Arial" w:eastAsia="Arial" w:hAnsi="Arial"/>
                <w:sz w:val="20"/>
                <w:szCs w:val="20"/>
                <w:color w:val="auto"/>
              </w:rPr>
              <w:t>Thomas International Publishing Co., Europe – V.O.F.</w:t>
            </w:r>
          </w:p>
        </w:tc>
        <w:tc>
          <w:tcPr>
            <w:tcW w:w="3560" w:type="dxa"/>
            <w:vAlign w:val="bottom"/>
          </w:tcPr>
          <w:p>
            <w:pPr>
              <w:spacing w:after="0"/>
              <w:rPr>
                <w:sz w:val="19"/>
                <w:szCs w:val="19"/>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20"/>
                <w:szCs w:val="20"/>
                <w:color w:val="auto"/>
                <w:w w:val="94"/>
              </w:rPr>
              <w:t>Belgium</w:t>
            </w:r>
          </w:p>
        </w:tc>
      </w:tr>
      <w:tr>
        <w:trPr>
          <w:trHeight w:val="229"/>
        </w:trPr>
        <w:tc>
          <w:tcPr>
            <w:tcW w:w="220" w:type="dxa"/>
            <w:vAlign w:val="bottom"/>
          </w:tcPr>
          <w:p>
            <w:pPr>
              <w:spacing w:after="0"/>
              <w:rPr>
                <w:sz w:val="19"/>
                <w:szCs w:val="19"/>
                <w:color w:val="auto"/>
              </w:rPr>
            </w:pPr>
          </w:p>
        </w:tc>
        <w:tc>
          <w:tcPr>
            <w:tcW w:w="5720" w:type="dxa"/>
            <w:vAlign w:val="bottom"/>
            <w:gridSpan w:val="2"/>
          </w:tcPr>
          <w:p>
            <w:pPr>
              <w:spacing w:after="0"/>
              <w:rPr>
                <w:sz w:val="20"/>
                <w:szCs w:val="20"/>
                <w:color w:val="auto"/>
              </w:rPr>
            </w:pPr>
            <w:r>
              <w:rPr>
                <w:rFonts w:ascii="Arial" w:cs="Arial" w:eastAsia="Arial" w:hAnsi="Arial"/>
                <w:sz w:val="20"/>
                <w:szCs w:val="20"/>
                <w:color w:val="auto"/>
              </w:rPr>
              <w:t>Thomas International Publishing Co. de Mexico – CV</w:t>
            </w:r>
          </w:p>
        </w:tc>
        <w:tc>
          <w:tcPr>
            <w:tcW w:w="3560" w:type="dxa"/>
            <w:vAlign w:val="bottom"/>
          </w:tcPr>
          <w:p>
            <w:pPr>
              <w:spacing w:after="0"/>
              <w:rPr>
                <w:sz w:val="19"/>
                <w:szCs w:val="19"/>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20"/>
                <w:szCs w:val="20"/>
                <w:color w:val="auto"/>
                <w:w w:val="94"/>
              </w:rPr>
              <w:t>Mexico</w:t>
            </w:r>
          </w:p>
        </w:tc>
      </w:tr>
      <w:tr>
        <w:trPr>
          <w:trHeight w:val="230"/>
        </w:trPr>
        <w:tc>
          <w:tcPr>
            <w:tcW w:w="220" w:type="dxa"/>
            <w:vAlign w:val="bottom"/>
          </w:tcPr>
          <w:p>
            <w:pPr>
              <w:spacing w:after="0"/>
              <w:rPr>
                <w:sz w:val="19"/>
                <w:szCs w:val="19"/>
                <w:color w:val="auto"/>
              </w:rPr>
            </w:pPr>
          </w:p>
        </w:tc>
        <w:tc>
          <w:tcPr>
            <w:tcW w:w="5720" w:type="dxa"/>
            <w:vAlign w:val="bottom"/>
            <w:gridSpan w:val="2"/>
          </w:tcPr>
          <w:p>
            <w:pPr>
              <w:spacing w:after="0"/>
              <w:rPr>
                <w:sz w:val="20"/>
                <w:szCs w:val="20"/>
                <w:color w:val="auto"/>
              </w:rPr>
            </w:pPr>
            <w:r>
              <w:rPr>
                <w:rFonts w:ascii="Arial" w:cs="Arial" w:eastAsia="Arial" w:hAnsi="Arial"/>
                <w:sz w:val="20"/>
                <w:szCs w:val="20"/>
                <w:color w:val="auto"/>
              </w:rPr>
              <w:t>Product Information Network, Inc.</w:t>
            </w:r>
          </w:p>
        </w:tc>
        <w:tc>
          <w:tcPr>
            <w:tcW w:w="4740" w:type="dxa"/>
            <w:vAlign w:val="bottom"/>
            <w:gridSpan w:val="3"/>
          </w:tcPr>
          <w:p>
            <w:pPr>
              <w:jc w:val="center"/>
              <w:ind w:left="3221"/>
              <w:spacing w:after="0"/>
              <w:rPr>
                <w:sz w:val="20"/>
                <w:szCs w:val="20"/>
                <w:color w:val="auto"/>
              </w:rPr>
            </w:pPr>
            <w:r>
              <w:rPr>
                <w:rFonts w:ascii="Arial" w:cs="Arial" w:eastAsia="Arial" w:hAnsi="Arial"/>
                <w:sz w:val="20"/>
                <w:szCs w:val="20"/>
                <w:color w:val="auto"/>
                <w:w w:val="89"/>
              </w:rPr>
              <w:t>DE, United States</w:t>
            </w:r>
          </w:p>
        </w:tc>
      </w:tr>
      <w:tr>
        <w:trPr>
          <w:trHeight w:val="229"/>
        </w:trPr>
        <w:tc>
          <w:tcPr>
            <w:tcW w:w="220" w:type="dxa"/>
            <w:vAlign w:val="bottom"/>
          </w:tcPr>
          <w:p>
            <w:pPr>
              <w:spacing w:after="0"/>
              <w:rPr>
                <w:sz w:val="19"/>
                <w:szCs w:val="19"/>
                <w:color w:val="auto"/>
              </w:rPr>
            </w:pPr>
          </w:p>
        </w:tc>
        <w:tc>
          <w:tcPr>
            <w:tcW w:w="5720" w:type="dxa"/>
            <w:vAlign w:val="bottom"/>
            <w:gridSpan w:val="2"/>
          </w:tcPr>
          <w:p>
            <w:pPr>
              <w:spacing w:after="0"/>
              <w:rPr>
                <w:sz w:val="20"/>
                <w:szCs w:val="20"/>
                <w:color w:val="auto"/>
              </w:rPr>
            </w:pPr>
            <w:r>
              <w:rPr>
                <w:rFonts w:ascii="Arial" w:cs="Arial" w:eastAsia="Arial" w:hAnsi="Arial"/>
                <w:sz w:val="20"/>
                <w:szCs w:val="20"/>
                <w:color w:val="auto"/>
              </w:rPr>
              <w:t>ThomComp, Inc.</w:t>
            </w:r>
          </w:p>
        </w:tc>
        <w:tc>
          <w:tcPr>
            <w:tcW w:w="4740" w:type="dxa"/>
            <w:vAlign w:val="bottom"/>
            <w:gridSpan w:val="3"/>
          </w:tcPr>
          <w:p>
            <w:pPr>
              <w:jc w:val="center"/>
              <w:ind w:left="3221"/>
              <w:spacing w:after="0"/>
              <w:rPr>
                <w:sz w:val="20"/>
                <w:szCs w:val="20"/>
                <w:color w:val="auto"/>
              </w:rPr>
            </w:pPr>
            <w:r>
              <w:rPr>
                <w:rFonts w:ascii="Arial" w:cs="Arial" w:eastAsia="Arial" w:hAnsi="Arial"/>
                <w:sz w:val="20"/>
                <w:szCs w:val="20"/>
                <w:color w:val="auto"/>
                <w:w w:val="89"/>
              </w:rPr>
              <w:t>DE, United States</w:t>
            </w:r>
          </w:p>
        </w:tc>
      </w:tr>
      <w:tr>
        <w:trPr>
          <w:trHeight w:val="229"/>
        </w:trPr>
        <w:tc>
          <w:tcPr>
            <w:tcW w:w="220" w:type="dxa"/>
            <w:vAlign w:val="bottom"/>
          </w:tcPr>
          <w:p>
            <w:pPr>
              <w:spacing w:after="0"/>
              <w:rPr>
                <w:sz w:val="19"/>
                <w:szCs w:val="19"/>
                <w:color w:val="auto"/>
              </w:rPr>
            </w:pPr>
          </w:p>
        </w:tc>
        <w:tc>
          <w:tcPr>
            <w:tcW w:w="5720" w:type="dxa"/>
            <w:vAlign w:val="bottom"/>
            <w:gridSpan w:val="2"/>
          </w:tcPr>
          <w:p>
            <w:pPr>
              <w:spacing w:after="0"/>
              <w:rPr>
                <w:sz w:val="20"/>
                <w:szCs w:val="20"/>
                <w:color w:val="auto"/>
              </w:rPr>
            </w:pPr>
            <w:r>
              <w:rPr>
                <w:rFonts w:ascii="Arial" w:cs="Arial" w:eastAsia="Arial" w:hAnsi="Arial"/>
                <w:sz w:val="20"/>
                <w:szCs w:val="20"/>
                <w:color w:val="auto"/>
              </w:rPr>
              <w:t>Thomas International Publishing Company, Inc.</w:t>
            </w:r>
          </w:p>
        </w:tc>
        <w:tc>
          <w:tcPr>
            <w:tcW w:w="4740" w:type="dxa"/>
            <w:vAlign w:val="bottom"/>
            <w:gridSpan w:val="3"/>
          </w:tcPr>
          <w:p>
            <w:pPr>
              <w:jc w:val="center"/>
              <w:ind w:left="3221"/>
              <w:spacing w:after="0"/>
              <w:rPr>
                <w:sz w:val="20"/>
                <w:szCs w:val="20"/>
                <w:color w:val="auto"/>
              </w:rPr>
            </w:pPr>
            <w:r>
              <w:rPr>
                <w:rFonts w:ascii="Arial" w:cs="Arial" w:eastAsia="Arial" w:hAnsi="Arial"/>
                <w:sz w:val="20"/>
                <w:szCs w:val="20"/>
                <w:color w:val="auto"/>
                <w:w w:val="89"/>
              </w:rPr>
              <w:t>DE, United States</w:t>
            </w:r>
          </w:p>
        </w:tc>
      </w:tr>
      <w:tr>
        <w:trPr>
          <w:trHeight w:val="199"/>
        </w:trPr>
        <w:tc>
          <w:tcPr>
            <w:tcW w:w="220" w:type="dxa"/>
            <w:vAlign w:val="bottom"/>
          </w:tcPr>
          <w:p>
            <w:pPr>
              <w:spacing w:after="0"/>
              <w:rPr>
                <w:sz w:val="17"/>
                <w:szCs w:val="17"/>
                <w:color w:val="auto"/>
              </w:rPr>
            </w:pPr>
          </w:p>
        </w:tc>
        <w:tc>
          <w:tcPr>
            <w:tcW w:w="5720" w:type="dxa"/>
            <w:vAlign w:val="bottom"/>
            <w:gridSpan w:val="2"/>
          </w:tcPr>
          <w:p>
            <w:pPr>
              <w:spacing w:after="0" w:line="199" w:lineRule="exact"/>
              <w:rPr>
                <w:sz w:val="20"/>
                <w:szCs w:val="20"/>
                <w:color w:val="auto"/>
              </w:rPr>
            </w:pPr>
            <w:r>
              <w:rPr>
                <w:rFonts w:ascii="Arial" w:cs="Arial" w:eastAsia="Arial" w:hAnsi="Arial"/>
                <w:sz w:val="20"/>
                <w:szCs w:val="20"/>
                <w:color w:val="auto"/>
              </w:rPr>
              <w:t>TL Publicacoes Eletonicas Limitada</w:t>
            </w:r>
          </w:p>
        </w:tc>
        <w:tc>
          <w:tcPr>
            <w:tcW w:w="3560" w:type="dxa"/>
            <w:vAlign w:val="bottom"/>
          </w:tcPr>
          <w:p>
            <w:pPr>
              <w:spacing w:after="0"/>
              <w:rPr>
                <w:sz w:val="17"/>
                <w:szCs w:val="17"/>
                <w:color w:val="auto"/>
              </w:rPr>
            </w:pPr>
          </w:p>
        </w:tc>
        <w:tc>
          <w:tcPr>
            <w:tcW w:w="1180" w:type="dxa"/>
            <w:vAlign w:val="bottom"/>
            <w:gridSpan w:val="2"/>
          </w:tcPr>
          <w:p>
            <w:pPr>
              <w:jc w:val="center"/>
              <w:ind w:right="260"/>
              <w:spacing w:after="0" w:line="199" w:lineRule="exact"/>
              <w:rPr>
                <w:sz w:val="20"/>
                <w:szCs w:val="20"/>
                <w:color w:val="auto"/>
              </w:rPr>
            </w:pPr>
            <w:r>
              <w:rPr>
                <w:rFonts w:ascii="Arial" w:cs="Arial" w:eastAsia="Arial" w:hAnsi="Arial"/>
                <w:sz w:val="20"/>
                <w:szCs w:val="20"/>
                <w:color w:val="auto"/>
                <w:w w:val="95"/>
              </w:rPr>
              <w:t>Brazil</w:t>
            </w:r>
          </w:p>
        </w:tc>
      </w:tr>
      <w:tr>
        <w:trPr>
          <w:trHeight w:val="260"/>
        </w:trPr>
        <w:tc>
          <w:tcPr>
            <w:tcW w:w="220" w:type="dxa"/>
            <w:vAlign w:val="bottom"/>
          </w:tcPr>
          <w:p>
            <w:pPr>
              <w:spacing w:after="0"/>
              <w:rPr>
                <w:sz w:val="22"/>
                <w:szCs w:val="22"/>
                <w:color w:val="auto"/>
              </w:rPr>
            </w:pPr>
          </w:p>
        </w:tc>
        <w:tc>
          <w:tcPr>
            <w:tcW w:w="5720" w:type="dxa"/>
            <w:vAlign w:val="bottom"/>
            <w:gridSpan w:val="2"/>
          </w:tcPr>
          <w:p>
            <w:pPr>
              <w:spacing w:after="0" w:line="260" w:lineRule="exact"/>
              <w:rPr>
                <w:sz w:val="20"/>
                <w:szCs w:val="20"/>
                <w:color w:val="auto"/>
              </w:rPr>
            </w:pPr>
            <w:r>
              <w:rPr>
                <w:rFonts w:ascii="Arial" w:cs="Arial" w:eastAsia="Arial" w:hAnsi="Arial"/>
                <w:sz w:val="20"/>
                <w:szCs w:val="20"/>
                <w:color w:val="auto"/>
              </w:rPr>
              <w:t>Incom Co., Ltd.</w:t>
            </w:r>
            <w:r>
              <w:rPr>
                <w:rFonts w:ascii="Arial" w:cs="Arial" w:eastAsia="Arial" w:hAnsi="Arial"/>
                <w:sz w:val="26"/>
                <w:szCs w:val="26"/>
                <w:color w:val="auto"/>
                <w:vertAlign w:val="superscript"/>
              </w:rPr>
              <w:t>(1)</w:t>
            </w:r>
          </w:p>
        </w:tc>
        <w:tc>
          <w:tcPr>
            <w:tcW w:w="3560" w:type="dxa"/>
            <w:vAlign w:val="bottom"/>
          </w:tcPr>
          <w:p>
            <w:pPr>
              <w:spacing w:after="0"/>
              <w:rPr>
                <w:sz w:val="22"/>
                <w:szCs w:val="22"/>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20"/>
                <w:szCs w:val="20"/>
                <w:color w:val="auto"/>
                <w:w w:val="84"/>
              </w:rPr>
              <w:t>Japan</w:t>
            </w:r>
          </w:p>
        </w:tc>
      </w:tr>
      <w:tr>
        <w:trPr>
          <w:trHeight w:val="230"/>
        </w:trPr>
        <w:tc>
          <w:tcPr>
            <w:tcW w:w="220" w:type="dxa"/>
            <w:vAlign w:val="bottom"/>
          </w:tcPr>
          <w:p>
            <w:pPr>
              <w:spacing w:after="0"/>
              <w:rPr>
                <w:sz w:val="19"/>
                <w:szCs w:val="19"/>
                <w:color w:val="auto"/>
              </w:rPr>
            </w:pPr>
          </w:p>
        </w:tc>
        <w:tc>
          <w:tcPr>
            <w:tcW w:w="5720" w:type="dxa"/>
            <w:vAlign w:val="bottom"/>
            <w:gridSpan w:val="2"/>
          </w:tcPr>
          <w:p>
            <w:pPr>
              <w:spacing w:after="0"/>
              <w:rPr>
                <w:sz w:val="20"/>
                <w:szCs w:val="20"/>
                <w:color w:val="auto"/>
              </w:rPr>
            </w:pPr>
            <w:r>
              <w:rPr>
                <w:rFonts w:ascii="Arial" w:cs="Arial" w:eastAsia="Arial" w:hAnsi="Arial"/>
                <w:sz w:val="20"/>
                <w:szCs w:val="20"/>
                <w:color w:val="auto"/>
              </w:rPr>
              <w:t>Incom/TIPCo Inc.</w:t>
            </w:r>
          </w:p>
        </w:tc>
        <w:tc>
          <w:tcPr>
            <w:tcW w:w="4740" w:type="dxa"/>
            <w:vAlign w:val="bottom"/>
            <w:gridSpan w:val="3"/>
          </w:tcPr>
          <w:p>
            <w:pPr>
              <w:jc w:val="center"/>
              <w:ind w:left="3221"/>
              <w:spacing w:after="0"/>
              <w:rPr>
                <w:sz w:val="20"/>
                <w:szCs w:val="20"/>
                <w:color w:val="auto"/>
              </w:rPr>
            </w:pPr>
            <w:r>
              <w:rPr>
                <w:rFonts w:ascii="Arial" w:cs="Arial" w:eastAsia="Arial" w:hAnsi="Arial"/>
                <w:sz w:val="20"/>
                <w:szCs w:val="20"/>
                <w:color w:val="auto"/>
                <w:w w:val="89"/>
              </w:rPr>
              <w:t>DE, United States</w:t>
            </w:r>
          </w:p>
        </w:tc>
      </w:tr>
      <w:tr>
        <w:trPr>
          <w:trHeight w:val="229"/>
        </w:trPr>
        <w:tc>
          <w:tcPr>
            <w:tcW w:w="220" w:type="dxa"/>
            <w:vAlign w:val="bottom"/>
          </w:tcPr>
          <w:p>
            <w:pPr>
              <w:spacing w:after="0"/>
              <w:rPr>
                <w:sz w:val="19"/>
                <w:szCs w:val="19"/>
                <w:color w:val="auto"/>
              </w:rPr>
            </w:pPr>
          </w:p>
        </w:tc>
        <w:tc>
          <w:tcPr>
            <w:tcW w:w="5720" w:type="dxa"/>
            <w:vAlign w:val="bottom"/>
            <w:gridSpan w:val="2"/>
          </w:tcPr>
          <w:p>
            <w:pPr>
              <w:spacing w:after="0"/>
              <w:rPr>
                <w:sz w:val="20"/>
                <w:szCs w:val="20"/>
                <w:color w:val="auto"/>
              </w:rPr>
            </w:pPr>
            <w:r>
              <w:rPr>
                <w:rFonts w:ascii="Arial" w:cs="Arial" w:eastAsia="Arial" w:hAnsi="Arial"/>
                <w:sz w:val="20"/>
                <w:szCs w:val="20"/>
                <w:color w:val="auto"/>
              </w:rPr>
              <w:t>Supplier Information Gathers, Inc.</w:t>
            </w:r>
          </w:p>
        </w:tc>
        <w:tc>
          <w:tcPr>
            <w:tcW w:w="4740" w:type="dxa"/>
            <w:vAlign w:val="bottom"/>
            <w:gridSpan w:val="3"/>
          </w:tcPr>
          <w:p>
            <w:pPr>
              <w:jc w:val="center"/>
              <w:ind w:left="3221"/>
              <w:spacing w:after="0"/>
              <w:rPr>
                <w:sz w:val="20"/>
                <w:szCs w:val="20"/>
                <w:color w:val="auto"/>
              </w:rPr>
            </w:pPr>
            <w:r>
              <w:rPr>
                <w:rFonts w:ascii="Arial" w:cs="Arial" w:eastAsia="Arial" w:hAnsi="Arial"/>
                <w:sz w:val="20"/>
                <w:szCs w:val="20"/>
                <w:color w:val="auto"/>
                <w:w w:val="89"/>
              </w:rPr>
              <w:t>DE, United States</w:t>
            </w:r>
          </w:p>
        </w:tc>
      </w:tr>
      <w:tr>
        <w:trPr>
          <w:trHeight w:val="229"/>
        </w:trPr>
        <w:tc>
          <w:tcPr>
            <w:tcW w:w="220" w:type="dxa"/>
            <w:vAlign w:val="bottom"/>
          </w:tcPr>
          <w:p>
            <w:pPr>
              <w:spacing w:after="0"/>
              <w:rPr>
                <w:sz w:val="19"/>
                <w:szCs w:val="19"/>
                <w:color w:val="auto"/>
              </w:rPr>
            </w:pPr>
          </w:p>
        </w:tc>
        <w:tc>
          <w:tcPr>
            <w:tcW w:w="5720" w:type="dxa"/>
            <w:vAlign w:val="bottom"/>
            <w:gridSpan w:val="2"/>
          </w:tcPr>
          <w:p>
            <w:pPr>
              <w:spacing w:after="0"/>
              <w:rPr>
                <w:sz w:val="20"/>
                <w:szCs w:val="20"/>
                <w:color w:val="auto"/>
              </w:rPr>
            </w:pPr>
            <w:r>
              <w:rPr>
                <w:rFonts w:ascii="Arial" w:cs="Arial" w:eastAsia="Arial" w:hAnsi="Arial"/>
                <w:sz w:val="20"/>
                <w:szCs w:val="20"/>
                <w:color w:val="auto"/>
              </w:rPr>
              <w:t>Publishing Information Services, Inc.</w:t>
            </w:r>
          </w:p>
        </w:tc>
        <w:tc>
          <w:tcPr>
            <w:tcW w:w="4740" w:type="dxa"/>
            <w:vAlign w:val="bottom"/>
            <w:gridSpan w:val="3"/>
          </w:tcPr>
          <w:p>
            <w:pPr>
              <w:jc w:val="center"/>
              <w:ind w:left="3221"/>
              <w:spacing w:after="0"/>
              <w:rPr>
                <w:sz w:val="20"/>
                <w:szCs w:val="20"/>
                <w:color w:val="auto"/>
              </w:rPr>
            </w:pPr>
            <w:r>
              <w:rPr>
                <w:rFonts w:ascii="Arial" w:cs="Arial" w:eastAsia="Arial" w:hAnsi="Arial"/>
                <w:sz w:val="20"/>
                <w:szCs w:val="20"/>
                <w:color w:val="auto"/>
                <w:w w:val="89"/>
              </w:rPr>
              <w:t>DE, United States</w:t>
            </w:r>
          </w:p>
        </w:tc>
      </w:tr>
      <w:tr>
        <w:trPr>
          <w:trHeight w:val="199"/>
        </w:trPr>
        <w:tc>
          <w:tcPr>
            <w:tcW w:w="220" w:type="dxa"/>
            <w:vAlign w:val="bottom"/>
          </w:tcPr>
          <w:p>
            <w:pPr>
              <w:spacing w:after="0"/>
              <w:rPr>
                <w:sz w:val="17"/>
                <w:szCs w:val="17"/>
                <w:color w:val="auto"/>
              </w:rPr>
            </w:pPr>
          </w:p>
        </w:tc>
        <w:tc>
          <w:tcPr>
            <w:tcW w:w="5720" w:type="dxa"/>
            <w:vAlign w:val="bottom"/>
            <w:gridSpan w:val="2"/>
          </w:tcPr>
          <w:p>
            <w:pPr>
              <w:spacing w:after="0" w:line="199" w:lineRule="exact"/>
              <w:rPr>
                <w:sz w:val="20"/>
                <w:szCs w:val="20"/>
                <w:color w:val="auto"/>
              </w:rPr>
            </w:pPr>
            <w:r>
              <w:rPr>
                <w:rFonts w:ascii="Arial" w:cs="Arial" w:eastAsia="Arial" w:hAnsi="Arial"/>
                <w:sz w:val="20"/>
                <w:szCs w:val="20"/>
                <w:color w:val="auto"/>
              </w:rPr>
              <w:t>Electronic Purchasing Information Corporation Inc.</w:t>
            </w:r>
          </w:p>
        </w:tc>
        <w:tc>
          <w:tcPr>
            <w:tcW w:w="4740" w:type="dxa"/>
            <w:vAlign w:val="bottom"/>
            <w:gridSpan w:val="3"/>
          </w:tcPr>
          <w:p>
            <w:pPr>
              <w:jc w:val="center"/>
              <w:ind w:left="3221"/>
              <w:spacing w:after="0" w:line="199" w:lineRule="exact"/>
              <w:rPr>
                <w:sz w:val="20"/>
                <w:szCs w:val="20"/>
                <w:color w:val="auto"/>
              </w:rPr>
            </w:pPr>
            <w:r>
              <w:rPr>
                <w:rFonts w:ascii="Arial" w:cs="Arial" w:eastAsia="Arial" w:hAnsi="Arial"/>
                <w:sz w:val="20"/>
                <w:szCs w:val="20"/>
                <w:color w:val="auto"/>
                <w:w w:val="89"/>
              </w:rPr>
              <w:t>DE, United States</w:t>
            </w:r>
          </w:p>
        </w:tc>
      </w:tr>
      <w:tr>
        <w:trPr>
          <w:trHeight w:val="260"/>
        </w:trPr>
        <w:tc>
          <w:tcPr>
            <w:tcW w:w="220" w:type="dxa"/>
            <w:vAlign w:val="bottom"/>
          </w:tcPr>
          <w:p>
            <w:pPr>
              <w:spacing w:after="0"/>
              <w:rPr>
                <w:sz w:val="22"/>
                <w:szCs w:val="22"/>
                <w:color w:val="auto"/>
              </w:rPr>
            </w:pPr>
          </w:p>
        </w:tc>
        <w:tc>
          <w:tcPr>
            <w:tcW w:w="5720" w:type="dxa"/>
            <w:vAlign w:val="bottom"/>
            <w:gridSpan w:val="2"/>
          </w:tcPr>
          <w:p>
            <w:pPr>
              <w:spacing w:after="0" w:line="260" w:lineRule="exact"/>
              <w:rPr>
                <w:sz w:val="20"/>
                <w:szCs w:val="20"/>
                <w:color w:val="auto"/>
              </w:rPr>
            </w:pPr>
            <w:r>
              <w:rPr>
                <w:rFonts w:ascii="Arial" w:cs="Arial" w:eastAsia="Arial" w:hAnsi="Arial"/>
                <w:sz w:val="20"/>
                <w:szCs w:val="20"/>
                <w:color w:val="auto"/>
              </w:rPr>
              <w:t>Industrial Media, LLC</w:t>
            </w:r>
            <w:r>
              <w:rPr>
                <w:rFonts w:ascii="Arial" w:cs="Arial" w:eastAsia="Arial" w:hAnsi="Arial"/>
                <w:sz w:val="26"/>
                <w:szCs w:val="26"/>
                <w:color w:val="auto"/>
                <w:vertAlign w:val="superscript"/>
              </w:rPr>
              <w:t>(2)</w:t>
            </w:r>
          </w:p>
        </w:tc>
        <w:tc>
          <w:tcPr>
            <w:tcW w:w="4740" w:type="dxa"/>
            <w:vAlign w:val="bottom"/>
            <w:gridSpan w:val="3"/>
          </w:tcPr>
          <w:p>
            <w:pPr>
              <w:jc w:val="center"/>
              <w:ind w:left="3221"/>
              <w:spacing w:after="0"/>
              <w:rPr>
                <w:sz w:val="20"/>
                <w:szCs w:val="20"/>
                <w:color w:val="auto"/>
              </w:rPr>
            </w:pPr>
            <w:r>
              <w:rPr>
                <w:rFonts w:ascii="Arial" w:cs="Arial" w:eastAsia="Arial" w:hAnsi="Arial"/>
                <w:sz w:val="20"/>
                <w:szCs w:val="20"/>
                <w:color w:val="auto"/>
                <w:w w:val="89"/>
              </w:rPr>
              <w:t>DE, United States</w:t>
            </w:r>
          </w:p>
        </w:tc>
      </w:tr>
      <w:tr>
        <w:trPr>
          <w:trHeight w:val="230"/>
        </w:trPr>
        <w:tc>
          <w:tcPr>
            <w:tcW w:w="220" w:type="dxa"/>
            <w:vAlign w:val="bottom"/>
          </w:tcPr>
          <w:p>
            <w:pPr>
              <w:spacing w:after="0"/>
              <w:rPr>
                <w:sz w:val="19"/>
                <w:szCs w:val="19"/>
                <w:color w:val="auto"/>
              </w:rPr>
            </w:pPr>
          </w:p>
        </w:tc>
        <w:tc>
          <w:tcPr>
            <w:tcW w:w="5720" w:type="dxa"/>
            <w:vAlign w:val="bottom"/>
            <w:gridSpan w:val="2"/>
          </w:tcPr>
          <w:p>
            <w:pPr>
              <w:spacing w:after="0"/>
              <w:rPr>
                <w:sz w:val="20"/>
                <w:szCs w:val="20"/>
                <w:color w:val="auto"/>
              </w:rPr>
            </w:pPr>
            <w:r>
              <w:rPr>
                <w:rFonts w:ascii="Arial" w:cs="Arial" w:eastAsia="Arial" w:hAnsi="Arial"/>
                <w:sz w:val="20"/>
                <w:szCs w:val="20"/>
                <w:color w:val="auto"/>
              </w:rPr>
              <w:t>Thomas Integrated Marketing Group</w:t>
            </w:r>
          </w:p>
        </w:tc>
        <w:tc>
          <w:tcPr>
            <w:tcW w:w="4740" w:type="dxa"/>
            <w:vAlign w:val="bottom"/>
            <w:gridSpan w:val="3"/>
          </w:tcPr>
          <w:p>
            <w:pPr>
              <w:jc w:val="center"/>
              <w:ind w:left="3221"/>
              <w:spacing w:after="0"/>
              <w:rPr>
                <w:sz w:val="20"/>
                <w:szCs w:val="20"/>
                <w:color w:val="auto"/>
              </w:rPr>
            </w:pPr>
            <w:r>
              <w:rPr>
                <w:rFonts w:ascii="Arial" w:cs="Arial" w:eastAsia="Arial" w:hAnsi="Arial"/>
                <w:sz w:val="20"/>
                <w:szCs w:val="20"/>
                <w:color w:val="auto"/>
                <w:w w:val="89"/>
              </w:rPr>
              <w:t>DE, United States</w:t>
            </w:r>
          </w:p>
        </w:tc>
      </w:tr>
      <w:tr>
        <w:trPr>
          <w:trHeight w:val="230"/>
        </w:trPr>
        <w:tc>
          <w:tcPr>
            <w:tcW w:w="220" w:type="dxa"/>
            <w:vAlign w:val="bottom"/>
          </w:tcPr>
          <w:p>
            <w:pPr>
              <w:spacing w:after="0"/>
              <w:rPr>
                <w:sz w:val="19"/>
                <w:szCs w:val="19"/>
                <w:color w:val="auto"/>
              </w:rPr>
            </w:pPr>
          </w:p>
        </w:tc>
        <w:tc>
          <w:tcPr>
            <w:tcW w:w="5720" w:type="dxa"/>
            <w:vAlign w:val="bottom"/>
            <w:gridSpan w:val="2"/>
          </w:tcPr>
          <w:p>
            <w:pPr>
              <w:spacing w:after="0"/>
              <w:rPr>
                <w:sz w:val="20"/>
                <w:szCs w:val="20"/>
                <w:color w:val="auto"/>
              </w:rPr>
            </w:pPr>
            <w:r>
              <w:rPr>
                <w:rFonts w:ascii="Arial" w:cs="Arial" w:eastAsia="Arial" w:hAnsi="Arial"/>
                <w:sz w:val="20"/>
                <w:szCs w:val="20"/>
                <w:color w:val="auto"/>
              </w:rPr>
              <w:t>Manufacturing Enterprise Communications, Inc.</w:t>
            </w:r>
          </w:p>
        </w:tc>
        <w:tc>
          <w:tcPr>
            <w:tcW w:w="4740" w:type="dxa"/>
            <w:vAlign w:val="bottom"/>
            <w:gridSpan w:val="3"/>
          </w:tcPr>
          <w:p>
            <w:pPr>
              <w:jc w:val="center"/>
              <w:ind w:left="3221"/>
              <w:spacing w:after="0"/>
              <w:rPr>
                <w:sz w:val="20"/>
                <w:szCs w:val="20"/>
                <w:color w:val="auto"/>
              </w:rPr>
            </w:pPr>
            <w:r>
              <w:rPr>
                <w:rFonts w:ascii="Arial" w:cs="Arial" w:eastAsia="Arial" w:hAnsi="Arial"/>
                <w:sz w:val="20"/>
                <w:szCs w:val="20"/>
                <w:color w:val="auto"/>
                <w:w w:val="89"/>
              </w:rPr>
              <w:t>DE, United States</w:t>
            </w:r>
          </w:p>
        </w:tc>
      </w:tr>
      <w:tr>
        <w:trPr>
          <w:trHeight w:val="229"/>
        </w:trPr>
        <w:tc>
          <w:tcPr>
            <w:tcW w:w="220" w:type="dxa"/>
            <w:vAlign w:val="bottom"/>
          </w:tcPr>
          <w:p>
            <w:pPr>
              <w:spacing w:after="0"/>
              <w:rPr>
                <w:sz w:val="19"/>
                <w:szCs w:val="19"/>
                <w:color w:val="auto"/>
              </w:rPr>
            </w:pPr>
          </w:p>
        </w:tc>
        <w:tc>
          <w:tcPr>
            <w:tcW w:w="5720" w:type="dxa"/>
            <w:vAlign w:val="bottom"/>
            <w:gridSpan w:val="2"/>
          </w:tcPr>
          <w:p>
            <w:pPr>
              <w:spacing w:after="0"/>
              <w:rPr>
                <w:sz w:val="20"/>
                <w:szCs w:val="20"/>
                <w:color w:val="auto"/>
              </w:rPr>
            </w:pPr>
            <w:r>
              <w:rPr>
                <w:rFonts w:ascii="Arial" w:cs="Arial" w:eastAsia="Arial" w:hAnsi="Arial"/>
                <w:sz w:val="20"/>
                <w:szCs w:val="20"/>
                <w:color w:val="auto"/>
              </w:rPr>
              <w:t>ThomasNet Incorporated</w:t>
            </w:r>
          </w:p>
        </w:tc>
        <w:tc>
          <w:tcPr>
            <w:tcW w:w="4740" w:type="dxa"/>
            <w:vAlign w:val="bottom"/>
            <w:gridSpan w:val="3"/>
          </w:tcPr>
          <w:p>
            <w:pPr>
              <w:jc w:val="center"/>
              <w:ind w:left="3221"/>
              <w:spacing w:after="0"/>
              <w:rPr>
                <w:sz w:val="20"/>
                <w:szCs w:val="20"/>
                <w:color w:val="auto"/>
              </w:rPr>
            </w:pPr>
            <w:r>
              <w:rPr>
                <w:rFonts w:ascii="Arial" w:cs="Arial" w:eastAsia="Arial" w:hAnsi="Arial"/>
                <w:sz w:val="20"/>
                <w:szCs w:val="20"/>
                <w:color w:val="auto"/>
                <w:w w:val="89"/>
              </w:rPr>
              <w:t>DE, United States</w:t>
            </w:r>
          </w:p>
        </w:tc>
      </w:tr>
      <w:tr>
        <w:trPr>
          <w:trHeight w:val="250"/>
        </w:trPr>
        <w:tc>
          <w:tcPr>
            <w:tcW w:w="220" w:type="dxa"/>
            <w:vAlign w:val="bottom"/>
          </w:tcPr>
          <w:p>
            <w:pPr>
              <w:spacing w:after="0"/>
              <w:rPr>
                <w:sz w:val="21"/>
                <w:szCs w:val="21"/>
                <w:color w:val="auto"/>
              </w:rPr>
            </w:pPr>
          </w:p>
        </w:tc>
        <w:tc>
          <w:tcPr>
            <w:tcW w:w="5720" w:type="dxa"/>
            <w:vAlign w:val="bottom"/>
            <w:gridSpan w:val="2"/>
          </w:tcPr>
          <w:p>
            <w:pPr>
              <w:spacing w:after="0"/>
              <w:rPr>
                <w:sz w:val="20"/>
                <w:szCs w:val="20"/>
                <w:color w:val="auto"/>
              </w:rPr>
            </w:pPr>
            <w:r>
              <w:rPr>
                <w:rFonts w:ascii="Arial" w:cs="Arial" w:eastAsia="Arial" w:hAnsi="Arial"/>
                <w:sz w:val="20"/>
                <w:szCs w:val="20"/>
                <w:color w:val="auto"/>
              </w:rPr>
              <w:t>Thomas Regional Directory Company Inc.</w:t>
            </w:r>
          </w:p>
        </w:tc>
        <w:tc>
          <w:tcPr>
            <w:tcW w:w="4740" w:type="dxa"/>
            <w:vAlign w:val="bottom"/>
            <w:gridSpan w:val="3"/>
          </w:tcPr>
          <w:p>
            <w:pPr>
              <w:jc w:val="center"/>
              <w:ind w:left="3221"/>
              <w:spacing w:after="0"/>
              <w:rPr>
                <w:sz w:val="20"/>
                <w:szCs w:val="20"/>
                <w:color w:val="auto"/>
              </w:rPr>
            </w:pPr>
            <w:r>
              <w:rPr>
                <w:rFonts w:ascii="Arial" w:cs="Arial" w:eastAsia="Arial" w:hAnsi="Arial"/>
                <w:sz w:val="20"/>
                <w:szCs w:val="20"/>
                <w:color w:val="auto"/>
                <w:w w:val="89"/>
              </w:rPr>
              <w:t>DE, United States</w:t>
            </w: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260" w:hanging="252"/>
        <w:spacing w:after="0"/>
        <w:tabs>
          <w:tab w:leader="none" w:pos="2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Company holds a 66.67% ownership interest.</w:t>
      </w:r>
    </w:p>
    <w:p>
      <w:pPr>
        <w:spacing w:after="0" w:line="11" w:lineRule="exact"/>
        <w:rPr>
          <w:rFonts w:ascii="Arial" w:cs="Arial" w:eastAsia="Arial" w:hAnsi="Arial"/>
          <w:sz w:val="18"/>
          <w:szCs w:val="18"/>
          <w:color w:val="auto"/>
        </w:rPr>
      </w:pPr>
    </w:p>
    <w:p>
      <w:pPr>
        <w:ind w:left="260" w:hanging="252"/>
        <w:spacing w:after="0"/>
        <w:tabs>
          <w:tab w:leader="none" w:pos="2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Company holds a 50% ownership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309245</wp:posOffset>
            </wp:positionV>
            <wp:extent cx="7157720" cy="4254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4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80"/>
          </w:cols>
          <w:pgMar w:left="320" w:top="333" w:right="899" w:bottom="1440" w:gutter="0" w:footer="0" w:header="0"/>
        </w:sectPr>
      </w:pPr>
    </w:p>
    <w:bookmarkStart w:id="101" w:name="page102"/>
    <w:bookmarkEnd w:id="101"/>
    <w:p>
      <w:pPr>
        <w:ind w:left="9960"/>
        <w:spacing w:after="0"/>
        <w:rPr>
          <w:sz w:val="20"/>
          <w:szCs w:val="20"/>
          <w:color w:val="auto"/>
        </w:rPr>
      </w:pPr>
      <w:r>
        <w:rPr>
          <w:rFonts w:ascii="Arial" w:cs="Arial" w:eastAsia="Arial" w:hAnsi="Arial"/>
          <w:sz w:val="18"/>
          <w:szCs w:val="18"/>
          <w:b w:val="1"/>
          <w:bCs w:val="1"/>
          <w:color w:val="auto"/>
        </w:rPr>
        <w:t>Exhibit 23.1</w:t>
      </w:r>
    </w:p>
    <w:p>
      <w:pPr>
        <w:spacing w:after="0" w:line="202"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0" w:lineRule="exact"/>
        <w:rPr>
          <w:sz w:val="20"/>
          <w:szCs w:val="20"/>
          <w:color w:val="auto"/>
        </w:rPr>
      </w:pPr>
    </w:p>
    <w:p>
      <w:pPr>
        <w:spacing w:after="0" w:line="205" w:lineRule="exact"/>
        <w:rPr>
          <w:sz w:val="20"/>
          <w:szCs w:val="20"/>
          <w:color w:val="auto"/>
        </w:rPr>
      </w:pPr>
    </w:p>
    <w:p>
      <w:pPr>
        <w:spacing w:after="0" w:line="248" w:lineRule="auto"/>
        <w:rPr>
          <w:sz w:val="20"/>
          <w:szCs w:val="20"/>
          <w:color w:val="auto"/>
        </w:rPr>
      </w:pPr>
      <w:r>
        <w:rPr>
          <w:rFonts w:ascii="Arial" w:cs="Arial" w:eastAsia="Arial" w:hAnsi="Arial"/>
          <w:sz w:val="18"/>
          <w:szCs w:val="18"/>
          <w:color w:val="auto"/>
        </w:rPr>
        <w:t>We consent to the incorporation by reference in the registration statements (No. 333-</w:t>
      </w:r>
      <w:r>
        <w:rPr>
          <w:rFonts w:ascii="Arial" w:cs="Arial" w:eastAsia="Arial" w:hAnsi="Arial"/>
          <w:sz w:val="16"/>
          <w:szCs w:val="16"/>
          <w:color w:val="auto"/>
        </w:rPr>
        <w:t>257671 and No. 333-258432</w:t>
      </w:r>
      <w:r>
        <w:rPr>
          <w:rFonts w:ascii="Arial" w:cs="Arial" w:eastAsia="Arial" w:hAnsi="Arial"/>
          <w:sz w:val="18"/>
          <w:szCs w:val="18"/>
          <w:color w:val="auto"/>
        </w:rPr>
        <w:t>) on Form S-8 of our report dated March 18, 2022, with respect to the consolidated financial statements and financial statement Schedule II - Valuation and Qualifying Accounts of Xometry, Inc. and subsidiaries.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McLean, VA</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March 18,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180340</wp:posOffset>
            </wp:positionV>
            <wp:extent cx="7157720" cy="4254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4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8" w:right="419" w:bottom="1440" w:gutter="0" w:footer="0" w:header="0"/>
        </w:sectPr>
      </w:pPr>
    </w:p>
    <w:bookmarkStart w:id="102" w:name="page103"/>
    <w:bookmarkEnd w:id="102"/>
    <w:p>
      <w:pPr>
        <w:jc w:val="right"/>
        <w:spacing w:after="0"/>
        <w:rPr>
          <w:sz w:val="20"/>
          <w:szCs w:val="20"/>
          <w:color w:val="auto"/>
        </w:rPr>
      </w:pPr>
      <w:r>
        <w:rPr>
          <w:rFonts w:ascii="Arial" w:cs="Arial" w:eastAsia="Arial" w:hAnsi="Arial"/>
          <w:sz w:val="18"/>
          <w:szCs w:val="18"/>
          <w:b w:val="1"/>
          <w:bCs w:val="1"/>
          <w:color w:val="auto"/>
        </w:rPr>
        <w:t>Exhibit 31.1</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I, Randolph Altschuler, certify that:</w:t>
      </w:r>
    </w:p>
    <w:p>
      <w:pPr>
        <w:spacing w:after="0" w:line="212" w:lineRule="exact"/>
        <w:rPr>
          <w:sz w:val="20"/>
          <w:szCs w:val="20"/>
          <w:color w:val="auto"/>
        </w:rPr>
      </w:pPr>
    </w:p>
    <w:p>
      <w:pPr>
        <w:ind w:left="520" w:hanging="512"/>
        <w:spacing w:after="0"/>
        <w:tabs>
          <w:tab w:leader="none" w:pos="520" w:val="left"/>
        </w:tabs>
        <w:numPr>
          <w:ilvl w:val="0"/>
          <w:numId w:val="84"/>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Xometry, Inc.;</w:t>
      </w:r>
    </w:p>
    <w:p>
      <w:pPr>
        <w:spacing w:after="0" w:line="211" w:lineRule="exact"/>
        <w:rPr>
          <w:rFonts w:ascii="Arial" w:cs="Arial" w:eastAsia="Arial" w:hAnsi="Arial"/>
          <w:sz w:val="18"/>
          <w:szCs w:val="18"/>
          <w:color w:val="auto"/>
        </w:rPr>
      </w:pPr>
    </w:p>
    <w:p>
      <w:pPr>
        <w:jc w:val="both"/>
        <w:ind w:left="520" w:right="260" w:hanging="512"/>
        <w:spacing w:after="0" w:line="248" w:lineRule="auto"/>
        <w:tabs>
          <w:tab w:leader="none" w:pos="520" w:val="left"/>
        </w:tabs>
        <w:numPr>
          <w:ilvl w:val="0"/>
          <w:numId w:val="8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520" w:right="220" w:hanging="512"/>
        <w:spacing w:after="0" w:line="291" w:lineRule="auto"/>
        <w:tabs>
          <w:tab w:leader="none" w:pos="520" w:val="left"/>
        </w:tabs>
        <w:numPr>
          <w:ilvl w:val="0"/>
          <w:numId w:val="8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520" w:right="260" w:hanging="512"/>
        <w:spacing w:after="0" w:line="248" w:lineRule="auto"/>
        <w:tabs>
          <w:tab w:leader="none" w:pos="52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020" w:right="80" w:hanging="479"/>
        <w:spacing w:after="0" w:line="248" w:lineRule="auto"/>
        <w:tabs>
          <w:tab w:leader="none" w:pos="895" w:val="left"/>
        </w:tabs>
        <w:numPr>
          <w:ilvl w:val="1"/>
          <w:numId w:val="8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020" w:right="320" w:hanging="479"/>
        <w:spacing w:after="0" w:line="248" w:lineRule="auto"/>
        <w:tabs>
          <w:tab w:leader="none" w:pos="895" w:val="left"/>
        </w:tabs>
        <w:numPr>
          <w:ilvl w:val="1"/>
          <w:numId w:val="8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1020" w:right="480" w:hanging="479"/>
        <w:spacing w:after="0" w:line="324" w:lineRule="auto"/>
        <w:tabs>
          <w:tab w:leader="none" w:pos="895" w:val="left"/>
        </w:tabs>
        <w:numPr>
          <w:ilvl w:val="1"/>
          <w:numId w:val="8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4" w:lineRule="exact"/>
        <w:rPr>
          <w:rFonts w:ascii="Arial" w:cs="Arial" w:eastAsia="Arial" w:hAnsi="Arial"/>
          <w:sz w:val="16"/>
          <w:szCs w:val="16"/>
          <w:color w:val="auto"/>
        </w:rPr>
      </w:pPr>
    </w:p>
    <w:p>
      <w:pPr>
        <w:ind w:left="1020" w:right="160" w:hanging="479"/>
        <w:spacing w:after="0" w:line="248" w:lineRule="auto"/>
        <w:tabs>
          <w:tab w:leader="none" w:pos="895" w:val="left"/>
        </w:tabs>
        <w:numPr>
          <w:ilvl w:val="1"/>
          <w:numId w:val="8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520" w:right="240" w:hanging="512"/>
        <w:spacing w:after="0" w:line="324" w:lineRule="auto"/>
        <w:tabs>
          <w:tab w:leader="none" w:pos="520" w:val="left"/>
        </w:tabs>
        <w:numPr>
          <w:ilvl w:val="0"/>
          <w:numId w:val="84"/>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4" w:lineRule="exact"/>
        <w:rPr>
          <w:rFonts w:ascii="Arial" w:cs="Arial" w:eastAsia="Arial" w:hAnsi="Arial"/>
          <w:sz w:val="16"/>
          <w:szCs w:val="16"/>
          <w:color w:val="auto"/>
        </w:rPr>
      </w:pPr>
    </w:p>
    <w:p>
      <w:pPr>
        <w:ind w:left="1020" w:right="40" w:hanging="479"/>
        <w:spacing w:after="0" w:line="291" w:lineRule="auto"/>
        <w:tabs>
          <w:tab w:leader="none" w:pos="895" w:val="left"/>
        </w:tabs>
        <w:numPr>
          <w:ilvl w:val="1"/>
          <w:numId w:val="84"/>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020" w:hanging="479"/>
        <w:spacing w:after="0" w:line="261" w:lineRule="auto"/>
        <w:tabs>
          <w:tab w:leader="none" w:pos="895" w:val="left"/>
        </w:tabs>
        <w:numPr>
          <w:ilvl w:val="1"/>
          <w:numId w:val="8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60" w:type="dxa"/>
            <w:vAlign w:val="bottom"/>
          </w:tcPr>
          <w:p>
            <w:pPr>
              <w:ind w:left="20"/>
              <w:spacing w:after="0"/>
              <w:rPr>
                <w:sz w:val="20"/>
                <w:szCs w:val="20"/>
                <w:color w:val="auto"/>
              </w:rPr>
            </w:pPr>
            <w:r>
              <w:rPr>
                <w:rFonts w:ascii="Arial" w:cs="Arial" w:eastAsia="Arial" w:hAnsi="Arial"/>
                <w:sz w:val="18"/>
                <w:szCs w:val="18"/>
                <w:color w:val="auto"/>
              </w:rPr>
              <w:t>Date: March 18, 2022</w:t>
            </w:r>
          </w:p>
        </w:tc>
        <w:tc>
          <w:tcPr>
            <w:tcW w:w="2360" w:type="dxa"/>
            <w:vAlign w:val="bottom"/>
          </w:tcPr>
          <w:p>
            <w:pPr>
              <w:ind w:left="2040"/>
              <w:spacing w:after="0"/>
              <w:rPr>
                <w:sz w:val="20"/>
                <w:szCs w:val="20"/>
                <w:color w:val="auto"/>
              </w:rPr>
            </w:pPr>
            <w:r>
              <w:rPr>
                <w:rFonts w:ascii="Arial" w:cs="Arial" w:eastAsia="Arial" w:hAnsi="Arial"/>
                <w:sz w:val="18"/>
                <w:szCs w:val="18"/>
                <w:color w:val="auto"/>
              </w:rPr>
              <w:t>By:</w:t>
            </w:r>
          </w:p>
        </w:tc>
        <w:tc>
          <w:tcPr>
            <w:tcW w:w="52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Randolph Altschuler</w:t>
            </w:r>
          </w:p>
        </w:tc>
      </w:tr>
      <w:tr>
        <w:trPr>
          <w:trHeight w:val="151"/>
        </w:trPr>
        <w:tc>
          <w:tcPr>
            <w:tcW w:w="366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5220" w:type="dxa"/>
            <w:vAlign w:val="bottom"/>
          </w:tcPr>
          <w:p>
            <w:pPr>
              <w:jc w:val="center"/>
              <w:spacing w:after="0" w:line="150" w:lineRule="exact"/>
              <w:rPr>
                <w:sz w:val="20"/>
                <w:szCs w:val="20"/>
                <w:color w:val="auto"/>
              </w:rPr>
            </w:pPr>
            <w:r>
              <w:rPr>
                <w:rFonts w:ascii="Arial" w:cs="Arial" w:eastAsia="Arial" w:hAnsi="Arial"/>
                <w:sz w:val="17"/>
                <w:szCs w:val="17"/>
                <w:b w:val="1"/>
                <w:bCs w:val="1"/>
                <w:color w:val="auto"/>
                <w:w w:val="96"/>
              </w:rPr>
              <w:t>Randolph Altschuler</w:t>
            </w:r>
          </w:p>
        </w:tc>
      </w:tr>
      <w:tr>
        <w:trPr>
          <w:trHeight w:val="234"/>
        </w:trPr>
        <w:tc>
          <w:tcPr>
            <w:tcW w:w="366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5220" w:type="dxa"/>
            <w:vAlign w:val="bottom"/>
          </w:tcPr>
          <w:p>
            <w:pPr>
              <w:jc w:val="center"/>
              <w:spacing w:after="0"/>
              <w:rPr>
                <w:sz w:val="20"/>
                <w:szCs w:val="20"/>
                <w:color w:val="auto"/>
              </w:rPr>
            </w:pPr>
            <w:r>
              <w:rPr>
                <w:rFonts w:ascii="Arial" w:cs="Arial" w:eastAsia="Arial" w:hAnsi="Arial"/>
                <w:sz w:val="18"/>
                <w:szCs w:val="18"/>
                <w:b w:val="1"/>
                <w:bCs w:val="1"/>
                <w:color w:val="auto"/>
                <w:w w:val="92"/>
              </w:rPr>
              <w:t>Chief Executive Officer and Director</w:t>
            </w:r>
          </w:p>
        </w:tc>
      </w:tr>
      <w:tr>
        <w:trPr>
          <w:trHeight w:val="722"/>
        </w:trPr>
        <w:tc>
          <w:tcPr>
            <w:tcW w:w="3660" w:type="dxa"/>
            <w:vAlign w:val="bottom"/>
            <w:tcBorders>
              <w:bottom w:val="single" w:sz="8" w:color="9A9A9A"/>
            </w:tcBorders>
          </w:tcPr>
          <w:p>
            <w:pPr>
              <w:spacing w:after="0"/>
              <w:rPr>
                <w:sz w:val="24"/>
                <w:szCs w:val="24"/>
                <w:color w:val="auto"/>
              </w:rPr>
            </w:pPr>
          </w:p>
        </w:tc>
        <w:tc>
          <w:tcPr>
            <w:tcW w:w="2360" w:type="dxa"/>
            <w:vAlign w:val="bottom"/>
            <w:tcBorders>
              <w:bottom w:val="single" w:sz="8" w:color="9A9A9A"/>
            </w:tcBorders>
          </w:tcPr>
          <w:p>
            <w:pPr>
              <w:spacing w:after="0"/>
              <w:rPr>
                <w:sz w:val="24"/>
                <w:szCs w:val="24"/>
                <w:color w:val="auto"/>
              </w:rPr>
            </w:pPr>
          </w:p>
        </w:tc>
        <w:tc>
          <w:tcPr>
            <w:tcW w:w="5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4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4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03" w:name="page104"/>
    <w:bookmarkEnd w:id="103"/>
    <w:p>
      <w:pPr>
        <w:jc w:val="right"/>
        <w:spacing w:after="0"/>
        <w:rPr>
          <w:sz w:val="20"/>
          <w:szCs w:val="20"/>
          <w:color w:val="auto"/>
        </w:rPr>
      </w:pPr>
      <w:r>
        <w:rPr>
          <w:rFonts w:ascii="Arial" w:cs="Arial" w:eastAsia="Arial" w:hAnsi="Arial"/>
          <w:sz w:val="18"/>
          <w:szCs w:val="18"/>
          <w:b w:val="1"/>
          <w:bCs w:val="1"/>
          <w:color w:val="auto"/>
        </w:rPr>
        <w:t>Exhibit 31.2</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I, James Rallo, certify that:</w:t>
      </w:r>
    </w:p>
    <w:p>
      <w:pPr>
        <w:spacing w:after="0" w:line="212" w:lineRule="exact"/>
        <w:rPr>
          <w:sz w:val="20"/>
          <w:szCs w:val="20"/>
          <w:color w:val="auto"/>
        </w:rPr>
      </w:pPr>
    </w:p>
    <w:p>
      <w:pPr>
        <w:ind w:left="520" w:hanging="512"/>
        <w:spacing w:after="0"/>
        <w:tabs>
          <w:tab w:leader="none" w:pos="520" w:val="left"/>
        </w:tabs>
        <w:numPr>
          <w:ilvl w:val="0"/>
          <w:numId w:val="85"/>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Xometry, Inc.;</w:t>
      </w:r>
    </w:p>
    <w:p>
      <w:pPr>
        <w:spacing w:after="0" w:line="211" w:lineRule="exact"/>
        <w:rPr>
          <w:rFonts w:ascii="Arial" w:cs="Arial" w:eastAsia="Arial" w:hAnsi="Arial"/>
          <w:sz w:val="18"/>
          <w:szCs w:val="18"/>
          <w:color w:val="auto"/>
        </w:rPr>
      </w:pPr>
    </w:p>
    <w:p>
      <w:pPr>
        <w:jc w:val="both"/>
        <w:ind w:left="520" w:right="260" w:hanging="512"/>
        <w:spacing w:after="0" w:line="248" w:lineRule="auto"/>
        <w:tabs>
          <w:tab w:leader="none" w:pos="520" w:val="left"/>
        </w:tabs>
        <w:numPr>
          <w:ilvl w:val="0"/>
          <w:numId w:val="8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520" w:right="220" w:hanging="512"/>
        <w:spacing w:after="0" w:line="291" w:lineRule="auto"/>
        <w:tabs>
          <w:tab w:leader="none" w:pos="520" w:val="left"/>
        </w:tabs>
        <w:numPr>
          <w:ilvl w:val="0"/>
          <w:numId w:val="8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520" w:right="260" w:hanging="512"/>
        <w:spacing w:after="0" w:line="248" w:lineRule="auto"/>
        <w:tabs>
          <w:tab w:leader="none" w:pos="52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020" w:right="80" w:hanging="479"/>
        <w:spacing w:after="0" w:line="248" w:lineRule="auto"/>
        <w:tabs>
          <w:tab w:leader="none" w:pos="895" w:val="left"/>
        </w:tabs>
        <w:numPr>
          <w:ilvl w:val="1"/>
          <w:numId w:val="8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020" w:right="320" w:hanging="479"/>
        <w:spacing w:after="0" w:line="248" w:lineRule="auto"/>
        <w:tabs>
          <w:tab w:leader="none" w:pos="895" w:val="left"/>
        </w:tabs>
        <w:numPr>
          <w:ilvl w:val="1"/>
          <w:numId w:val="8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1020" w:right="480" w:hanging="479"/>
        <w:spacing w:after="0" w:line="324" w:lineRule="auto"/>
        <w:tabs>
          <w:tab w:leader="none" w:pos="895" w:val="left"/>
        </w:tabs>
        <w:numPr>
          <w:ilvl w:val="1"/>
          <w:numId w:val="8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4" w:lineRule="exact"/>
        <w:rPr>
          <w:rFonts w:ascii="Arial" w:cs="Arial" w:eastAsia="Arial" w:hAnsi="Arial"/>
          <w:sz w:val="16"/>
          <w:szCs w:val="16"/>
          <w:color w:val="auto"/>
        </w:rPr>
      </w:pPr>
    </w:p>
    <w:p>
      <w:pPr>
        <w:ind w:left="1020" w:right="160" w:hanging="479"/>
        <w:spacing w:after="0" w:line="248" w:lineRule="auto"/>
        <w:tabs>
          <w:tab w:leader="none" w:pos="895" w:val="left"/>
        </w:tabs>
        <w:numPr>
          <w:ilvl w:val="1"/>
          <w:numId w:val="8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520" w:right="240" w:hanging="512"/>
        <w:spacing w:after="0" w:line="324" w:lineRule="auto"/>
        <w:tabs>
          <w:tab w:leader="none" w:pos="520" w:val="left"/>
        </w:tabs>
        <w:numPr>
          <w:ilvl w:val="0"/>
          <w:numId w:val="85"/>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4" w:lineRule="exact"/>
        <w:rPr>
          <w:rFonts w:ascii="Arial" w:cs="Arial" w:eastAsia="Arial" w:hAnsi="Arial"/>
          <w:sz w:val="16"/>
          <w:szCs w:val="16"/>
          <w:color w:val="auto"/>
        </w:rPr>
      </w:pPr>
    </w:p>
    <w:p>
      <w:pPr>
        <w:ind w:left="1020" w:right="40" w:hanging="479"/>
        <w:spacing w:after="0" w:line="291" w:lineRule="auto"/>
        <w:tabs>
          <w:tab w:leader="none" w:pos="895" w:val="left"/>
        </w:tabs>
        <w:numPr>
          <w:ilvl w:val="1"/>
          <w:numId w:val="85"/>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020" w:hanging="479"/>
        <w:spacing w:after="0" w:line="261" w:lineRule="auto"/>
        <w:tabs>
          <w:tab w:leader="none" w:pos="895" w:val="left"/>
        </w:tabs>
        <w:numPr>
          <w:ilvl w:val="1"/>
          <w:numId w:val="8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60" w:type="dxa"/>
            <w:vAlign w:val="bottom"/>
          </w:tcPr>
          <w:p>
            <w:pPr>
              <w:ind w:left="20"/>
              <w:spacing w:after="0"/>
              <w:rPr>
                <w:sz w:val="20"/>
                <w:szCs w:val="20"/>
                <w:color w:val="auto"/>
              </w:rPr>
            </w:pPr>
            <w:r>
              <w:rPr>
                <w:rFonts w:ascii="Arial" w:cs="Arial" w:eastAsia="Arial" w:hAnsi="Arial"/>
                <w:sz w:val="18"/>
                <w:szCs w:val="18"/>
                <w:color w:val="auto"/>
              </w:rPr>
              <w:t>Date: March 18, 2022</w:t>
            </w:r>
          </w:p>
        </w:tc>
        <w:tc>
          <w:tcPr>
            <w:tcW w:w="2360" w:type="dxa"/>
            <w:vAlign w:val="bottom"/>
          </w:tcPr>
          <w:p>
            <w:pPr>
              <w:ind w:left="2040"/>
              <w:spacing w:after="0"/>
              <w:rPr>
                <w:sz w:val="20"/>
                <w:szCs w:val="20"/>
                <w:color w:val="auto"/>
              </w:rPr>
            </w:pPr>
            <w:r>
              <w:rPr>
                <w:rFonts w:ascii="Arial" w:cs="Arial" w:eastAsia="Arial" w:hAnsi="Arial"/>
                <w:sz w:val="18"/>
                <w:szCs w:val="18"/>
                <w:color w:val="auto"/>
              </w:rPr>
              <w:t>By:</w:t>
            </w:r>
          </w:p>
        </w:tc>
        <w:tc>
          <w:tcPr>
            <w:tcW w:w="52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/s/ James Rallo</w:t>
            </w:r>
          </w:p>
        </w:tc>
      </w:tr>
      <w:tr>
        <w:trPr>
          <w:trHeight w:val="151"/>
        </w:trPr>
        <w:tc>
          <w:tcPr>
            <w:tcW w:w="366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5220" w:type="dxa"/>
            <w:vAlign w:val="bottom"/>
          </w:tcPr>
          <w:p>
            <w:pPr>
              <w:jc w:val="center"/>
              <w:spacing w:after="0" w:line="150" w:lineRule="exact"/>
              <w:rPr>
                <w:sz w:val="20"/>
                <w:szCs w:val="20"/>
                <w:color w:val="auto"/>
              </w:rPr>
            </w:pPr>
            <w:r>
              <w:rPr>
                <w:rFonts w:ascii="Arial" w:cs="Arial" w:eastAsia="Arial" w:hAnsi="Arial"/>
                <w:sz w:val="17"/>
                <w:szCs w:val="17"/>
                <w:b w:val="1"/>
                <w:bCs w:val="1"/>
                <w:color w:val="auto"/>
                <w:w w:val="94"/>
              </w:rPr>
              <w:t>James Rallo</w:t>
            </w:r>
          </w:p>
        </w:tc>
      </w:tr>
      <w:tr>
        <w:trPr>
          <w:trHeight w:val="234"/>
        </w:trPr>
        <w:tc>
          <w:tcPr>
            <w:tcW w:w="366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5220" w:type="dxa"/>
            <w:vAlign w:val="bottom"/>
          </w:tcPr>
          <w:p>
            <w:pPr>
              <w:jc w:val="center"/>
              <w:spacing w:after="0"/>
              <w:rPr>
                <w:sz w:val="20"/>
                <w:szCs w:val="20"/>
                <w:color w:val="auto"/>
              </w:rPr>
            </w:pPr>
            <w:r>
              <w:rPr>
                <w:rFonts w:ascii="Arial" w:cs="Arial" w:eastAsia="Arial" w:hAnsi="Arial"/>
                <w:sz w:val="18"/>
                <w:szCs w:val="18"/>
                <w:b w:val="1"/>
                <w:bCs w:val="1"/>
                <w:color w:val="auto"/>
                <w:w w:val="93"/>
              </w:rPr>
              <w:t>Chief Financial Officer</w:t>
            </w:r>
          </w:p>
        </w:tc>
      </w:tr>
      <w:tr>
        <w:trPr>
          <w:trHeight w:val="506"/>
        </w:trPr>
        <w:tc>
          <w:tcPr>
            <w:tcW w:w="3660" w:type="dxa"/>
            <w:vAlign w:val="bottom"/>
            <w:tcBorders>
              <w:bottom w:val="single" w:sz="8" w:color="9A9A9A"/>
            </w:tcBorders>
          </w:tcPr>
          <w:p>
            <w:pPr>
              <w:spacing w:after="0"/>
              <w:rPr>
                <w:sz w:val="24"/>
                <w:szCs w:val="24"/>
                <w:color w:val="auto"/>
              </w:rPr>
            </w:pPr>
          </w:p>
        </w:tc>
        <w:tc>
          <w:tcPr>
            <w:tcW w:w="2360" w:type="dxa"/>
            <w:vAlign w:val="bottom"/>
            <w:tcBorders>
              <w:bottom w:val="single" w:sz="8" w:color="9A9A9A"/>
            </w:tcBorders>
          </w:tcPr>
          <w:p>
            <w:pPr>
              <w:spacing w:after="0"/>
              <w:rPr>
                <w:sz w:val="24"/>
                <w:szCs w:val="24"/>
                <w:color w:val="auto"/>
              </w:rPr>
            </w:pPr>
          </w:p>
        </w:tc>
        <w:tc>
          <w:tcPr>
            <w:tcW w:w="5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4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04" w:name="page105"/>
    <w:bookmarkEnd w:id="104"/>
    <w:p>
      <w:pPr>
        <w:jc w:val="right"/>
        <w:spacing w:after="0"/>
        <w:rPr>
          <w:sz w:val="20"/>
          <w:szCs w:val="20"/>
          <w:color w:val="auto"/>
        </w:rPr>
      </w:pPr>
      <w:r>
        <w:rPr>
          <w:rFonts w:ascii="Arial" w:cs="Arial" w:eastAsia="Arial" w:hAnsi="Arial"/>
          <w:sz w:val="18"/>
          <w:szCs w:val="18"/>
          <w:b w:val="1"/>
          <w:bCs w:val="1"/>
          <w:color w:val="auto"/>
        </w:rPr>
        <w:t>Exhibit 32.1</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11"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18 U.S.C. SECTION 1350, AS ADOPTED PURSUANT TO</w:t>
      </w:r>
    </w:p>
    <w:p>
      <w:pPr>
        <w:ind w:left="32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96" w:lineRule="exact"/>
        <w:rPr>
          <w:sz w:val="20"/>
          <w:szCs w:val="20"/>
          <w:color w:val="auto"/>
        </w:rPr>
      </w:pPr>
    </w:p>
    <w:p>
      <w:pPr>
        <w:ind w:right="340" w:firstLine="509"/>
        <w:spacing w:after="0" w:line="248" w:lineRule="auto"/>
        <w:rPr>
          <w:sz w:val="20"/>
          <w:szCs w:val="20"/>
          <w:color w:val="auto"/>
        </w:rPr>
      </w:pPr>
      <w:r>
        <w:rPr>
          <w:rFonts w:ascii="Arial" w:cs="Arial" w:eastAsia="Arial" w:hAnsi="Arial"/>
          <w:sz w:val="18"/>
          <w:szCs w:val="18"/>
          <w:color w:val="auto"/>
        </w:rPr>
        <w:t>In connection with the Annual Report of Xometry, Inc. (the “Company”) on Form 10-K for the year ending December 31, 2021 as filed with the Securities and Exchange Commission on the date hereof (the “Report”), I certify, pursuant to 18 U.S.C. § 1350, as adopted pursuant to § 906 of the Sarbanes-Oxley Act of 2002, that:</w:t>
      </w:r>
    </w:p>
    <w:p>
      <w:pPr>
        <w:spacing w:after="0" w:line="182" w:lineRule="exact"/>
        <w:rPr>
          <w:sz w:val="20"/>
          <w:szCs w:val="20"/>
          <w:color w:val="auto"/>
        </w:rPr>
      </w:pPr>
    </w:p>
    <w:p>
      <w:pPr>
        <w:ind w:left="900" w:hanging="359"/>
        <w:spacing w:after="0"/>
        <w:tabs>
          <w:tab w:leader="none" w:pos="9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11" w:lineRule="exact"/>
        <w:rPr>
          <w:rFonts w:ascii="Arial" w:cs="Arial" w:eastAsia="Arial" w:hAnsi="Arial"/>
          <w:sz w:val="18"/>
          <w:szCs w:val="18"/>
          <w:color w:val="auto"/>
        </w:rPr>
      </w:pPr>
    </w:p>
    <w:p>
      <w:pPr>
        <w:ind w:left="1020" w:right="740" w:hanging="479"/>
        <w:spacing w:after="0" w:line="261" w:lineRule="auto"/>
        <w:tabs>
          <w:tab w:leader="none" w:pos="895"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 of operations of the Company.</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60" w:type="dxa"/>
            <w:vAlign w:val="bottom"/>
          </w:tcPr>
          <w:p>
            <w:pPr>
              <w:ind w:left="20"/>
              <w:spacing w:after="0"/>
              <w:rPr>
                <w:sz w:val="20"/>
                <w:szCs w:val="20"/>
                <w:color w:val="auto"/>
              </w:rPr>
            </w:pPr>
            <w:r>
              <w:rPr>
                <w:rFonts w:ascii="Arial" w:cs="Arial" w:eastAsia="Arial" w:hAnsi="Arial"/>
                <w:sz w:val="18"/>
                <w:szCs w:val="18"/>
                <w:color w:val="auto"/>
              </w:rPr>
              <w:t>Date: March 18, 2022</w:t>
            </w:r>
          </w:p>
        </w:tc>
        <w:tc>
          <w:tcPr>
            <w:tcW w:w="2360" w:type="dxa"/>
            <w:vAlign w:val="bottom"/>
          </w:tcPr>
          <w:p>
            <w:pPr>
              <w:ind w:left="2040"/>
              <w:spacing w:after="0"/>
              <w:rPr>
                <w:sz w:val="20"/>
                <w:szCs w:val="20"/>
                <w:color w:val="auto"/>
              </w:rPr>
            </w:pPr>
            <w:r>
              <w:rPr>
                <w:rFonts w:ascii="Arial" w:cs="Arial" w:eastAsia="Arial" w:hAnsi="Arial"/>
                <w:sz w:val="18"/>
                <w:szCs w:val="18"/>
                <w:color w:val="auto"/>
              </w:rPr>
              <w:t>By:</w:t>
            </w:r>
          </w:p>
        </w:tc>
        <w:tc>
          <w:tcPr>
            <w:tcW w:w="52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Randolph Altschuler</w:t>
            </w:r>
          </w:p>
        </w:tc>
      </w:tr>
      <w:tr>
        <w:trPr>
          <w:trHeight w:val="151"/>
        </w:trPr>
        <w:tc>
          <w:tcPr>
            <w:tcW w:w="366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5220" w:type="dxa"/>
            <w:vAlign w:val="bottom"/>
          </w:tcPr>
          <w:p>
            <w:pPr>
              <w:jc w:val="center"/>
              <w:spacing w:after="0" w:line="150" w:lineRule="exact"/>
              <w:rPr>
                <w:sz w:val="20"/>
                <w:szCs w:val="20"/>
                <w:color w:val="auto"/>
              </w:rPr>
            </w:pPr>
            <w:r>
              <w:rPr>
                <w:rFonts w:ascii="Arial" w:cs="Arial" w:eastAsia="Arial" w:hAnsi="Arial"/>
                <w:sz w:val="17"/>
                <w:szCs w:val="17"/>
                <w:b w:val="1"/>
                <w:bCs w:val="1"/>
                <w:color w:val="auto"/>
                <w:w w:val="96"/>
              </w:rPr>
              <w:t>Randolph Altschuler</w:t>
            </w:r>
          </w:p>
        </w:tc>
      </w:tr>
      <w:tr>
        <w:trPr>
          <w:trHeight w:val="234"/>
        </w:trPr>
        <w:tc>
          <w:tcPr>
            <w:tcW w:w="366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5220" w:type="dxa"/>
            <w:vAlign w:val="bottom"/>
          </w:tcPr>
          <w:p>
            <w:pPr>
              <w:jc w:val="center"/>
              <w:spacing w:after="0"/>
              <w:rPr>
                <w:sz w:val="20"/>
                <w:szCs w:val="20"/>
                <w:color w:val="auto"/>
              </w:rPr>
            </w:pPr>
            <w:r>
              <w:rPr>
                <w:rFonts w:ascii="Arial" w:cs="Arial" w:eastAsia="Arial" w:hAnsi="Arial"/>
                <w:sz w:val="18"/>
                <w:szCs w:val="18"/>
                <w:b w:val="1"/>
                <w:bCs w:val="1"/>
                <w:color w:val="auto"/>
                <w:w w:val="92"/>
              </w:rPr>
              <w:t>Chief Executive Officer and Director</w:t>
            </w:r>
          </w:p>
        </w:tc>
      </w:tr>
      <w:tr>
        <w:trPr>
          <w:trHeight w:val="506"/>
        </w:trPr>
        <w:tc>
          <w:tcPr>
            <w:tcW w:w="3660" w:type="dxa"/>
            <w:vAlign w:val="bottom"/>
            <w:tcBorders>
              <w:bottom w:val="single" w:sz="8" w:color="9A9A9A"/>
            </w:tcBorders>
          </w:tcPr>
          <w:p>
            <w:pPr>
              <w:spacing w:after="0"/>
              <w:rPr>
                <w:sz w:val="24"/>
                <w:szCs w:val="24"/>
                <w:color w:val="auto"/>
              </w:rPr>
            </w:pPr>
          </w:p>
        </w:tc>
        <w:tc>
          <w:tcPr>
            <w:tcW w:w="2360" w:type="dxa"/>
            <w:vAlign w:val="bottom"/>
            <w:tcBorders>
              <w:bottom w:val="single" w:sz="8" w:color="9A9A9A"/>
            </w:tcBorders>
          </w:tcPr>
          <w:p>
            <w:pPr>
              <w:spacing w:after="0"/>
              <w:rPr>
                <w:sz w:val="24"/>
                <w:szCs w:val="24"/>
                <w:color w:val="auto"/>
              </w:rPr>
            </w:pPr>
          </w:p>
        </w:tc>
        <w:tc>
          <w:tcPr>
            <w:tcW w:w="5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05" w:name="page106"/>
    <w:bookmarkEnd w:id="105"/>
    <w:p>
      <w:pPr>
        <w:jc w:val="right"/>
        <w:spacing w:after="0"/>
        <w:rPr>
          <w:sz w:val="20"/>
          <w:szCs w:val="20"/>
          <w:color w:val="auto"/>
        </w:rPr>
      </w:pPr>
      <w:r>
        <w:rPr>
          <w:rFonts w:ascii="Arial" w:cs="Arial" w:eastAsia="Arial" w:hAnsi="Arial"/>
          <w:sz w:val="18"/>
          <w:szCs w:val="18"/>
          <w:b w:val="1"/>
          <w:bCs w:val="1"/>
          <w:color w:val="auto"/>
        </w:rPr>
        <w:t>Exhibit 32.2</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11"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18 U.S.C. SECTION 1350, AS ADOPTED PURSUANT TO</w:t>
      </w:r>
    </w:p>
    <w:p>
      <w:pPr>
        <w:ind w:left="32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96" w:lineRule="exact"/>
        <w:rPr>
          <w:sz w:val="20"/>
          <w:szCs w:val="20"/>
          <w:color w:val="auto"/>
        </w:rPr>
      </w:pPr>
    </w:p>
    <w:p>
      <w:pPr>
        <w:ind w:right="340" w:firstLine="509"/>
        <w:spacing w:after="0" w:line="248" w:lineRule="auto"/>
        <w:rPr>
          <w:sz w:val="20"/>
          <w:szCs w:val="20"/>
          <w:color w:val="auto"/>
        </w:rPr>
      </w:pPr>
      <w:r>
        <w:rPr>
          <w:rFonts w:ascii="Arial" w:cs="Arial" w:eastAsia="Arial" w:hAnsi="Arial"/>
          <w:sz w:val="18"/>
          <w:szCs w:val="18"/>
          <w:color w:val="auto"/>
        </w:rPr>
        <w:t>In connection with the Annual Report of Xometry, Inc. (the “Company”) on Form 10-K for the year ending December 31, 2021 as filed with the Securities and Exchange Commission on the date hereof (the “Report”), I certify, pursuant to 18 U.S.C. § 1350, as adopted pursuant to § 906 of the Sarbanes-Oxley Act of 2002, that:</w:t>
      </w:r>
    </w:p>
    <w:p>
      <w:pPr>
        <w:spacing w:after="0" w:line="182" w:lineRule="exact"/>
        <w:rPr>
          <w:sz w:val="20"/>
          <w:szCs w:val="20"/>
          <w:color w:val="auto"/>
        </w:rPr>
      </w:pPr>
    </w:p>
    <w:p>
      <w:pPr>
        <w:ind w:left="900" w:hanging="359"/>
        <w:spacing w:after="0"/>
        <w:tabs>
          <w:tab w:leader="none" w:pos="9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11" w:lineRule="exact"/>
        <w:rPr>
          <w:rFonts w:ascii="Arial" w:cs="Arial" w:eastAsia="Arial" w:hAnsi="Arial"/>
          <w:sz w:val="18"/>
          <w:szCs w:val="18"/>
          <w:color w:val="auto"/>
        </w:rPr>
      </w:pPr>
    </w:p>
    <w:p>
      <w:pPr>
        <w:ind w:left="1020" w:right="740" w:hanging="479"/>
        <w:spacing w:after="0" w:line="261" w:lineRule="auto"/>
        <w:tabs>
          <w:tab w:leader="none" w:pos="895"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 of operations of the Company.</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60" w:type="dxa"/>
            <w:vAlign w:val="bottom"/>
          </w:tcPr>
          <w:p>
            <w:pPr>
              <w:ind w:left="20"/>
              <w:spacing w:after="0"/>
              <w:rPr>
                <w:sz w:val="20"/>
                <w:szCs w:val="20"/>
                <w:color w:val="auto"/>
              </w:rPr>
            </w:pPr>
            <w:r>
              <w:rPr>
                <w:rFonts w:ascii="Arial" w:cs="Arial" w:eastAsia="Arial" w:hAnsi="Arial"/>
                <w:sz w:val="18"/>
                <w:szCs w:val="18"/>
                <w:color w:val="auto"/>
              </w:rPr>
              <w:t>Date: March 18, 2022</w:t>
            </w:r>
          </w:p>
        </w:tc>
        <w:tc>
          <w:tcPr>
            <w:tcW w:w="2360" w:type="dxa"/>
            <w:vAlign w:val="bottom"/>
          </w:tcPr>
          <w:p>
            <w:pPr>
              <w:ind w:left="2040"/>
              <w:spacing w:after="0"/>
              <w:rPr>
                <w:sz w:val="20"/>
                <w:szCs w:val="20"/>
                <w:color w:val="auto"/>
              </w:rPr>
            </w:pPr>
            <w:r>
              <w:rPr>
                <w:rFonts w:ascii="Arial" w:cs="Arial" w:eastAsia="Arial" w:hAnsi="Arial"/>
                <w:sz w:val="18"/>
                <w:szCs w:val="18"/>
                <w:color w:val="auto"/>
              </w:rPr>
              <w:t>By:</w:t>
            </w:r>
          </w:p>
        </w:tc>
        <w:tc>
          <w:tcPr>
            <w:tcW w:w="52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/s/ James Rallo</w:t>
            </w:r>
          </w:p>
        </w:tc>
      </w:tr>
      <w:tr>
        <w:trPr>
          <w:trHeight w:val="151"/>
        </w:trPr>
        <w:tc>
          <w:tcPr>
            <w:tcW w:w="366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5220" w:type="dxa"/>
            <w:vAlign w:val="bottom"/>
          </w:tcPr>
          <w:p>
            <w:pPr>
              <w:jc w:val="center"/>
              <w:spacing w:after="0" w:line="150" w:lineRule="exact"/>
              <w:rPr>
                <w:sz w:val="20"/>
                <w:szCs w:val="20"/>
                <w:color w:val="auto"/>
              </w:rPr>
            </w:pPr>
            <w:r>
              <w:rPr>
                <w:rFonts w:ascii="Arial" w:cs="Arial" w:eastAsia="Arial" w:hAnsi="Arial"/>
                <w:sz w:val="17"/>
                <w:szCs w:val="17"/>
                <w:b w:val="1"/>
                <w:bCs w:val="1"/>
                <w:color w:val="auto"/>
                <w:w w:val="94"/>
              </w:rPr>
              <w:t>James Rallo</w:t>
            </w:r>
          </w:p>
        </w:tc>
      </w:tr>
      <w:tr>
        <w:trPr>
          <w:trHeight w:val="234"/>
        </w:trPr>
        <w:tc>
          <w:tcPr>
            <w:tcW w:w="366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5220" w:type="dxa"/>
            <w:vAlign w:val="bottom"/>
          </w:tcPr>
          <w:p>
            <w:pPr>
              <w:jc w:val="center"/>
              <w:spacing w:after="0"/>
              <w:rPr>
                <w:sz w:val="20"/>
                <w:szCs w:val="20"/>
                <w:color w:val="auto"/>
              </w:rPr>
            </w:pPr>
            <w:r>
              <w:rPr>
                <w:rFonts w:ascii="Arial" w:cs="Arial" w:eastAsia="Arial" w:hAnsi="Arial"/>
                <w:sz w:val="18"/>
                <w:szCs w:val="18"/>
                <w:b w:val="1"/>
                <w:bCs w:val="1"/>
                <w:color w:val="auto"/>
                <w:w w:val="93"/>
              </w:rPr>
              <w:t>Chief Financial Officer</w:t>
            </w:r>
          </w:p>
        </w:tc>
      </w:tr>
      <w:tr>
        <w:trPr>
          <w:trHeight w:val="723"/>
        </w:trPr>
        <w:tc>
          <w:tcPr>
            <w:tcW w:w="3660" w:type="dxa"/>
            <w:vAlign w:val="bottom"/>
            <w:tcBorders>
              <w:bottom w:val="single" w:sz="8" w:color="9A9A9A"/>
            </w:tcBorders>
          </w:tcPr>
          <w:p>
            <w:pPr>
              <w:spacing w:after="0"/>
              <w:rPr>
                <w:sz w:val="24"/>
                <w:szCs w:val="24"/>
                <w:color w:val="auto"/>
              </w:rPr>
            </w:pPr>
          </w:p>
        </w:tc>
        <w:tc>
          <w:tcPr>
            <w:tcW w:w="2360" w:type="dxa"/>
            <w:vAlign w:val="bottom"/>
            <w:tcBorders>
              <w:bottom w:val="single" w:sz="8" w:color="9A9A9A"/>
            </w:tcBorders>
          </w:tcPr>
          <w:p>
            <w:pPr>
              <w:spacing w:after="0"/>
              <w:rPr>
                <w:sz w:val="24"/>
                <w:szCs w:val="24"/>
                <w:color w:val="auto"/>
              </w:rPr>
            </w:pPr>
          </w:p>
        </w:tc>
        <w:tc>
          <w:tcPr>
            <w:tcW w:w="5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2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2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06" w:name="page107"/>
    <w:bookmarkEnd w:id="10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25A06FB"/>
    <w:multiLevelType w:val="hybridMultilevel"/>
    <w:lvl w:ilvl="0">
      <w:lvlJc w:val="left"/>
      <w:lvlText w:val="☒"/>
      <w:numFmt w:val="bullet"/>
      <w:start w:val="1"/>
    </w:lvl>
  </w:abstractNum>
  <w:abstractNum w:abstractNumId="1">
    <w:nsid w:val="2CD89A32"/>
    <w:multiLevelType w:val="hybridMultilevel"/>
    <w:lvl w:ilvl="0">
      <w:lvlJc w:val="left"/>
      <w:lvlText w:val="☐"/>
      <w:numFmt w:val="bullet"/>
      <w:start w:val="1"/>
    </w:lvl>
  </w:abstractNum>
  <w:abstractNum w:abstractNumId="2">
    <w:nsid w:val="57E4CCAF"/>
    <w:multiLevelType w:val="hybridMultilevel"/>
    <w:lvl w:ilvl="0">
      <w:lvlJc w:val="left"/>
      <w:lvlText w:val="•"/>
      <w:numFmt w:val="bullet"/>
      <w:start w:val="1"/>
    </w:lvl>
  </w:abstractNum>
  <w:abstractNum w:abstractNumId="3">
    <w:nsid w:val="7A6D8D3C"/>
    <w:multiLevelType w:val="hybridMultilevel"/>
    <w:lvl w:ilvl="0">
      <w:lvlJc w:val="left"/>
      <w:lvlText w:val="•"/>
      <w:numFmt w:val="bullet"/>
      <w:start w:val="1"/>
    </w:lvl>
  </w:abstractNum>
  <w:abstractNum w:abstractNumId="4">
    <w:nsid w:val="4B588F54"/>
    <w:multiLevelType w:val="hybridMultilevel"/>
    <w:lvl w:ilvl="0">
      <w:lvlJc w:val="left"/>
      <w:lvlText w:val="•"/>
      <w:numFmt w:val="bullet"/>
      <w:start w:val="1"/>
    </w:lvl>
  </w:abstractNum>
  <w:abstractNum w:abstractNumId="5">
    <w:nsid w:val="542289EC"/>
    <w:multiLevelType w:val="hybridMultilevel"/>
    <w:lvl w:ilvl="0">
      <w:lvlJc w:val="left"/>
      <w:lvlText w:val="•"/>
      <w:numFmt w:val="bullet"/>
      <w:start w:val="1"/>
    </w:lvl>
  </w:abstractNum>
  <w:abstractNum w:abstractNumId="6">
    <w:nsid w:val="6DE91B18"/>
    <w:multiLevelType w:val="hybridMultilevel"/>
    <w:lvl w:ilvl="0">
      <w:lvlJc w:val="left"/>
      <w:lvlText w:val="•"/>
      <w:numFmt w:val="bullet"/>
      <w:start w:val="1"/>
    </w:lvl>
  </w:abstractNum>
  <w:abstractNum w:abstractNumId="7">
    <w:nsid w:val="38437FDB"/>
    <w:multiLevelType w:val="hybridMultilevel"/>
    <w:lvl w:ilvl="0">
      <w:lvlJc w:val="left"/>
      <w:lvlText w:val="•"/>
      <w:numFmt w:val="bullet"/>
      <w:start w:val="1"/>
    </w:lvl>
  </w:abstractNum>
  <w:abstractNum w:abstractNumId="8">
    <w:nsid w:val="7644A45C"/>
    <w:multiLevelType w:val="hybridMultilevel"/>
    <w:lvl w:ilvl="0">
      <w:lvlJc w:val="left"/>
      <w:lvlText w:val="•"/>
      <w:numFmt w:val="bullet"/>
      <w:start w:val="1"/>
    </w:lvl>
  </w:abstractNum>
  <w:abstractNum w:abstractNumId="9">
    <w:nsid w:val="32FFF902"/>
    <w:multiLevelType w:val="hybridMultilevel"/>
    <w:lvl w:ilvl="0">
      <w:lvlJc w:val="left"/>
      <w:lvlText w:val="•"/>
      <w:numFmt w:val="bullet"/>
      <w:start w:val="1"/>
    </w:lvl>
  </w:abstractNum>
  <w:abstractNum w:abstractNumId="10">
    <w:nsid w:val="684A481A"/>
    <w:multiLevelType w:val="hybridMultilevel"/>
    <w:lvl w:ilvl="0">
      <w:lvlJc w:val="left"/>
      <w:lvlText w:val="•"/>
      <w:numFmt w:val="bullet"/>
      <w:start w:val="1"/>
    </w:lvl>
  </w:abstractNum>
  <w:abstractNum w:abstractNumId="11">
    <w:nsid w:val="579478FE"/>
    <w:multiLevelType w:val="hybridMultilevel"/>
    <w:lvl w:ilvl="0">
      <w:lvlJc w:val="left"/>
      <w:lvlText w:val="•"/>
      <w:numFmt w:val="bullet"/>
      <w:start w:val="1"/>
    </w:lvl>
  </w:abstractNum>
  <w:abstractNum w:abstractNumId="12">
    <w:nsid w:val="749ABB43"/>
    <w:multiLevelType w:val="hybridMultilevel"/>
    <w:lvl w:ilvl="0">
      <w:lvlJc w:val="left"/>
      <w:lvlText w:val="•"/>
      <w:numFmt w:val="bullet"/>
      <w:start w:val="1"/>
    </w:lvl>
  </w:abstractNum>
  <w:abstractNum w:abstractNumId="13">
    <w:nsid w:val="3DC240FB"/>
    <w:multiLevelType w:val="hybridMultilevel"/>
    <w:lvl w:ilvl="0">
      <w:lvlJc w:val="left"/>
      <w:lvlText w:val="•"/>
      <w:numFmt w:val="bullet"/>
      <w:start w:val="1"/>
    </w:lvl>
  </w:abstractNum>
  <w:abstractNum w:abstractNumId="14">
    <w:nsid w:val="1BA026FA"/>
    <w:multiLevelType w:val="hybridMultilevel"/>
    <w:lvl w:ilvl="0">
      <w:lvlJc w:val="left"/>
      <w:lvlText w:val="•"/>
      <w:numFmt w:val="bullet"/>
      <w:start w:val="1"/>
    </w:lvl>
  </w:abstractNum>
  <w:abstractNum w:abstractNumId="15">
    <w:nsid w:val="79A1DEAA"/>
    <w:multiLevelType w:val="hybridMultilevel"/>
    <w:lvl w:ilvl="0">
      <w:lvlJc w:val="left"/>
      <w:lvlText w:val="•"/>
      <w:numFmt w:val="bullet"/>
      <w:start w:val="1"/>
    </w:lvl>
  </w:abstractNum>
  <w:abstractNum w:abstractNumId="16">
    <w:nsid w:val="75C6C33A"/>
    <w:multiLevelType w:val="hybridMultilevel"/>
    <w:lvl w:ilvl="0">
      <w:lvlJc w:val="left"/>
      <w:lvlText w:val="•"/>
      <w:numFmt w:val="bullet"/>
      <w:start w:val="1"/>
    </w:lvl>
  </w:abstractNum>
  <w:abstractNum w:abstractNumId="17">
    <w:nsid w:val="12E685FB"/>
    <w:multiLevelType w:val="hybridMultilevel"/>
    <w:lvl w:ilvl="0">
      <w:lvlJc w:val="left"/>
      <w:lvlText w:val="•"/>
      <w:numFmt w:val="bullet"/>
      <w:start w:val="1"/>
    </w:lvl>
  </w:abstractNum>
  <w:abstractNum w:abstractNumId="18">
    <w:nsid w:val="70C6A529"/>
    <w:multiLevelType w:val="hybridMultilevel"/>
    <w:lvl w:ilvl="0">
      <w:lvlJc w:val="left"/>
      <w:lvlText w:val="•"/>
      <w:numFmt w:val="bullet"/>
      <w:start w:val="1"/>
    </w:lvl>
  </w:abstractNum>
  <w:abstractNum w:abstractNumId="19">
    <w:nsid w:val="520EEDD1"/>
    <w:multiLevelType w:val="hybridMultilevel"/>
    <w:lvl w:ilvl="0">
      <w:lvlJc w:val="left"/>
      <w:lvlText w:val="•"/>
      <w:numFmt w:val="bullet"/>
      <w:start w:val="1"/>
    </w:lvl>
  </w:abstractNum>
  <w:abstractNum w:abstractNumId="20">
    <w:nsid w:val="374A3FE6"/>
    <w:multiLevelType w:val="hybridMultilevel"/>
    <w:lvl w:ilvl="0">
      <w:lvlJc w:val="left"/>
      <w:lvlText w:val="•"/>
      <w:numFmt w:val="bullet"/>
      <w:start w:val="1"/>
    </w:lvl>
  </w:abstractNum>
  <w:abstractNum w:abstractNumId="21">
    <w:nsid w:val="4F4EF005"/>
    <w:multiLevelType w:val="hybridMultilevel"/>
    <w:lvl w:ilvl="0">
      <w:lvlJc w:val="left"/>
      <w:lvlText w:val="•"/>
      <w:numFmt w:val="bullet"/>
      <w:start w:val="1"/>
    </w:lvl>
  </w:abstractNum>
  <w:abstractNum w:abstractNumId="22">
    <w:nsid w:val="23F9C13C"/>
    <w:multiLevelType w:val="hybridMultilevel"/>
    <w:lvl w:ilvl="0">
      <w:lvlJc w:val="left"/>
      <w:lvlText w:val="•"/>
      <w:numFmt w:val="bullet"/>
      <w:start w:val="1"/>
    </w:lvl>
  </w:abstractNum>
  <w:abstractNum w:abstractNumId="23">
    <w:nsid w:val="649BB77C"/>
    <w:multiLevelType w:val="hybridMultilevel"/>
    <w:lvl w:ilvl="0">
      <w:lvlJc w:val="left"/>
      <w:lvlText w:val="•"/>
      <w:numFmt w:val="bullet"/>
      <w:start w:val="1"/>
    </w:lvl>
  </w:abstractNum>
  <w:abstractNum w:abstractNumId="24">
    <w:nsid w:val="275AC794"/>
    <w:multiLevelType w:val="hybridMultilevel"/>
    <w:lvl w:ilvl="0">
      <w:lvlJc w:val="left"/>
      <w:lvlText w:val="•"/>
      <w:numFmt w:val="bullet"/>
      <w:start w:val="1"/>
    </w:lvl>
  </w:abstractNum>
  <w:abstractNum w:abstractNumId="25">
    <w:nsid w:val="39386575"/>
    <w:multiLevelType w:val="hybridMultilevel"/>
    <w:lvl w:ilvl="0">
      <w:lvlJc w:val="left"/>
      <w:lvlText w:val="•"/>
      <w:numFmt w:val="bullet"/>
      <w:start w:val="1"/>
    </w:lvl>
  </w:abstractNum>
  <w:abstractNum w:abstractNumId="26">
    <w:nsid w:val="1CF10FD8"/>
    <w:multiLevelType w:val="hybridMultilevel"/>
    <w:lvl w:ilvl="0">
      <w:lvlJc w:val="left"/>
      <w:lvlText w:val="(%1)"/>
      <w:numFmt w:val="decimal"/>
      <w:start w:val="2"/>
    </w:lvl>
  </w:abstractNum>
  <w:abstractNum w:abstractNumId="27">
    <w:nsid w:val="180115BE"/>
    <w:multiLevelType w:val="hybridMultilevel"/>
    <w:lvl w:ilvl="0">
      <w:lvlJc w:val="left"/>
      <w:lvlText w:val="•"/>
      <w:numFmt w:val="bullet"/>
      <w:start w:val="1"/>
    </w:lvl>
  </w:abstractNum>
  <w:abstractNum w:abstractNumId="28">
    <w:nsid w:val="235BA861"/>
    <w:multiLevelType w:val="hybridMultilevel"/>
    <w:lvl w:ilvl="0">
      <w:lvlJc w:val="left"/>
      <w:lvlText w:val="(%1)"/>
      <w:numFmt w:val="decimal"/>
      <w:start w:val="1"/>
    </w:lvl>
  </w:abstractNum>
  <w:abstractNum w:abstractNumId="29">
    <w:nsid w:val="47398C89"/>
    <w:multiLevelType w:val="hybridMultilevel"/>
    <w:lvl w:ilvl="0">
      <w:lvlJc w:val="left"/>
      <w:lvlText w:val="(%1)"/>
      <w:numFmt w:val="decimal"/>
      <w:start w:val="2"/>
    </w:lvl>
    <w:lvl w:ilvl="1">
      <w:lvlJc w:val="left"/>
      <w:lvlText w:val="(%2)"/>
      <w:numFmt w:val="lowerLetter"/>
      <w:start w:val="1"/>
    </w:lvl>
  </w:abstractNum>
  <w:abstractNum w:abstractNumId="30">
    <w:nsid w:val="354FE9F9"/>
    <w:multiLevelType w:val="hybridMultilevel"/>
    <w:lvl w:ilvl="0">
      <w:lvlJc w:val="left"/>
      <w:lvlText w:val="(%1)"/>
      <w:numFmt w:val="lowerLetter"/>
      <w:start w:val="2"/>
    </w:lvl>
  </w:abstractNum>
  <w:abstractNum w:abstractNumId="31">
    <w:nsid w:val="15B5AF5C"/>
    <w:multiLevelType w:val="hybridMultilevel"/>
    <w:lvl w:ilvl="0">
      <w:lvlJc w:val="left"/>
      <w:lvlText w:val="(%1)"/>
      <w:numFmt w:val="lowerLetter"/>
      <w:start w:val="3"/>
    </w:lvl>
  </w:abstractNum>
  <w:abstractNum w:abstractNumId="32">
    <w:nsid w:val="741226BB"/>
    <w:multiLevelType w:val="hybridMultilevel"/>
    <w:lvl w:ilvl="0">
      <w:lvlJc w:val="left"/>
      <w:lvlText w:val="(%1)"/>
      <w:numFmt w:val="lowerLetter"/>
      <w:start w:val="4"/>
    </w:lvl>
  </w:abstractNum>
  <w:abstractNum w:abstractNumId="33">
    <w:nsid w:val="D34B6A8"/>
    <w:multiLevelType w:val="hybridMultilevel"/>
    <w:lvl w:ilvl="0">
      <w:lvlJc w:val="left"/>
      <w:lvlText w:val="(%1)"/>
      <w:numFmt w:val="lowerLetter"/>
      <w:start w:val="5"/>
    </w:lvl>
  </w:abstractNum>
  <w:abstractNum w:abstractNumId="34">
    <w:nsid w:val="10233C99"/>
    <w:multiLevelType w:val="hybridMultilevel"/>
    <w:lvl w:ilvl="0">
      <w:lvlJc w:val="left"/>
      <w:lvlText w:val="(%1)"/>
      <w:numFmt w:val="lowerLetter"/>
      <w:start w:val="6"/>
    </w:lvl>
  </w:abstractNum>
  <w:abstractNum w:abstractNumId="35">
    <w:nsid w:val="3F6AB60F"/>
    <w:multiLevelType w:val="hybridMultilevel"/>
    <w:lvl w:ilvl="0">
      <w:lvlJc w:val="left"/>
      <w:lvlText w:val="(%1)"/>
      <w:numFmt w:val="lowerLetter"/>
      <w:start w:val="7"/>
    </w:lvl>
  </w:abstractNum>
  <w:abstractNum w:abstractNumId="36">
    <w:nsid w:val="61574095"/>
    <w:multiLevelType w:val="hybridMultilevel"/>
    <w:lvl w:ilvl="0">
      <w:lvlJc w:val="left"/>
      <w:lvlText w:val="(%1)"/>
      <w:numFmt w:val="lowerLetter"/>
      <w:start w:val="8"/>
    </w:lvl>
  </w:abstractNum>
  <w:abstractNum w:abstractNumId="37">
    <w:nsid w:val="7E0C57B1"/>
    <w:multiLevelType w:val="hybridMultilevel"/>
    <w:lvl w:ilvl="0">
      <w:lvlJc w:val="left"/>
      <w:lvlText w:val="(%1)"/>
      <w:numFmt w:val="lowerRoman"/>
      <w:start w:val="1"/>
    </w:lvl>
  </w:abstractNum>
  <w:abstractNum w:abstractNumId="38">
    <w:nsid w:val="77AE35EB"/>
    <w:multiLevelType w:val="hybridMultilevel"/>
    <w:lvl w:ilvl="0">
      <w:lvlJc w:val="left"/>
      <w:lvlText w:val="(%1)"/>
      <w:numFmt w:val="lowerLetter"/>
      <w:start w:val="10"/>
    </w:lvl>
  </w:abstractNum>
  <w:abstractNum w:abstractNumId="39">
    <w:nsid w:val="579BE4F1"/>
    <w:multiLevelType w:val="hybridMultilevel"/>
    <w:lvl w:ilvl="0">
      <w:lvlJc w:val="left"/>
      <w:lvlText w:val="(%1)"/>
      <w:numFmt w:val="lowerLetter"/>
      <w:start w:val="11"/>
    </w:lvl>
  </w:abstractNum>
  <w:abstractNum w:abstractNumId="40">
    <w:nsid w:val="310C50B3"/>
    <w:multiLevelType w:val="hybridMultilevel"/>
    <w:lvl w:ilvl="0">
      <w:lvlJc w:val="left"/>
      <w:lvlText w:val="(%1)"/>
      <w:numFmt w:val="lowerLetter"/>
      <w:start w:val="12"/>
    </w:lvl>
  </w:abstractNum>
  <w:abstractNum w:abstractNumId="41">
    <w:nsid w:val="5FF87E05"/>
    <w:multiLevelType w:val="hybridMultilevel"/>
    <w:lvl w:ilvl="0">
      <w:lvlJc w:val="left"/>
      <w:lvlText w:val="(%1)"/>
      <w:numFmt w:val="lowerLetter"/>
      <w:start w:val="13"/>
    </w:lvl>
  </w:abstractNum>
  <w:abstractNum w:abstractNumId="42">
    <w:nsid w:val="2F305DEF"/>
    <w:multiLevelType w:val="hybridMultilevel"/>
    <w:lvl w:ilvl="0">
      <w:lvlJc w:val="left"/>
      <w:lvlText w:val="(%1)"/>
      <w:numFmt w:val="lowerLetter"/>
      <w:start w:val="14"/>
    </w:lvl>
  </w:abstractNum>
  <w:abstractNum w:abstractNumId="43">
    <w:nsid w:val="25A70BF7"/>
    <w:multiLevelType w:val="hybridMultilevel"/>
    <w:lvl w:ilvl="0">
      <w:lvlJc w:val="left"/>
      <w:lvlText w:val="(%1)"/>
      <w:numFmt w:val="lowerLetter"/>
      <w:start w:val="15"/>
    </w:lvl>
  </w:abstractNum>
  <w:abstractNum w:abstractNumId="44">
    <w:nsid w:val="1DBABF00"/>
    <w:multiLevelType w:val="hybridMultilevel"/>
    <w:lvl w:ilvl="0">
      <w:lvlJc w:val="left"/>
      <w:lvlText w:val="(%1)"/>
      <w:numFmt w:val="lowerLetter"/>
      <w:start w:val="16"/>
    </w:lvl>
  </w:abstractNum>
  <w:abstractNum w:abstractNumId="45">
    <w:nsid w:val="4AD084E9"/>
    <w:multiLevelType w:val="hybridMultilevel"/>
    <w:lvl w:ilvl="0">
      <w:lvlJc w:val="left"/>
      <w:lvlText w:val="(%1)"/>
      <w:numFmt w:val="lowerLetter"/>
      <w:start w:val="17"/>
    </w:lvl>
  </w:abstractNum>
  <w:abstractNum w:abstractNumId="46">
    <w:nsid w:val="1F48EAA1"/>
    <w:multiLevelType w:val="hybridMultilevel"/>
    <w:lvl w:ilvl="0">
      <w:lvlJc w:val="left"/>
      <w:lvlText w:val="(%1)"/>
      <w:numFmt w:val="lowerLetter"/>
      <w:start w:val="18"/>
    </w:lvl>
  </w:abstractNum>
  <w:abstractNum w:abstractNumId="47">
    <w:nsid w:val="1381823A"/>
    <w:multiLevelType w:val="hybridMultilevel"/>
    <w:lvl w:ilvl="0">
      <w:lvlJc w:val="left"/>
      <w:lvlText w:val="(%1)"/>
      <w:numFmt w:val="lowerLetter"/>
      <w:start w:val="19"/>
    </w:lvl>
  </w:abstractNum>
  <w:abstractNum w:abstractNumId="48">
    <w:nsid w:val="5DB70AE5"/>
    <w:multiLevelType w:val="hybridMultilevel"/>
    <w:lvl w:ilvl="0">
      <w:lvlJc w:val="left"/>
      <w:lvlText w:val="•"/>
      <w:numFmt w:val="bullet"/>
      <w:start w:val="1"/>
    </w:lvl>
  </w:abstractNum>
  <w:abstractNum w:abstractNumId="49">
    <w:nsid w:val="100F8FCA"/>
    <w:multiLevelType w:val="hybridMultilevel"/>
    <w:lvl w:ilvl="0">
      <w:lvlJc w:val="left"/>
      <w:lvlText w:val="(%1)"/>
      <w:numFmt w:val="lowerLetter"/>
      <w:start w:val="20"/>
    </w:lvl>
  </w:abstractNum>
  <w:abstractNum w:abstractNumId="50">
    <w:nsid w:val="6590700B"/>
    <w:multiLevelType w:val="hybridMultilevel"/>
    <w:lvl w:ilvl="0">
      <w:lvlJc w:val="left"/>
      <w:lvlText w:val="(%1)"/>
      <w:numFmt w:val="lowerLetter"/>
      <w:start w:val="21"/>
    </w:lvl>
  </w:abstractNum>
  <w:abstractNum w:abstractNumId="51">
    <w:nsid w:val="15014ACB"/>
    <w:multiLevelType w:val="hybridMultilevel"/>
    <w:lvl w:ilvl="0">
      <w:lvlJc w:val="left"/>
      <w:lvlText w:val="(%1)"/>
      <w:numFmt w:val="lowerRoman"/>
      <w:start w:val="5"/>
    </w:lvl>
  </w:abstractNum>
  <w:abstractNum w:abstractNumId="52">
    <w:nsid w:val="5F5E7FD0"/>
    <w:multiLevelType w:val="hybridMultilevel"/>
    <w:lvl w:ilvl="0">
      <w:lvlJc w:val="left"/>
      <w:lvlText w:val="(%1)"/>
      <w:numFmt w:val="lowerLetter"/>
      <w:start w:val="23"/>
    </w:lvl>
  </w:abstractNum>
  <w:abstractNum w:abstractNumId="53">
    <w:nsid w:val="98A3148"/>
    <w:multiLevelType w:val="hybridMultilevel"/>
    <w:lvl w:ilvl="0">
      <w:lvlJc w:val="left"/>
      <w:lvlText w:val="(%1)"/>
      <w:numFmt w:val="lowerRoman"/>
      <w:start w:val="10"/>
    </w:lvl>
  </w:abstractNum>
  <w:abstractNum w:abstractNumId="54">
    <w:nsid w:val="799D0247"/>
    <w:multiLevelType w:val="hybridMultilevel"/>
    <w:lvl w:ilvl="0">
      <w:lvlJc w:val="left"/>
      <w:lvlText w:val="(%1)"/>
      <w:numFmt w:val="lowerLetter"/>
      <w:start w:val="25"/>
    </w:lvl>
  </w:abstractNum>
  <w:abstractNum w:abstractNumId="55">
    <w:nsid w:val="6B94764"/>
    <w:multiLevelType w:val="hybridMultilevel"/>
    <w:lvl w:ilvl="0">
      <w:lvlJc w:val="left"/>
      <w:lvlText w:val="(%1)"/>
      <w:numFmt w:val="decimal"/>
      <w:start w:val="3"/>
    </w:lvl>
  </w:abstractNum>
  <w:abstractNum w:abstractNumId="56">
    <w:nsid w:val="42C296BD"/>
    <w:multiLevelType w:val="hybridMultilevel"/>
    <w:lvl w:ilvl="0">
      <w:lvlJc w:val="left"/>
      <w:lvlText w:val="(%1)"/>
      <w:numFmt w:val="decimal"/>
      <w:start w:val="4"/>
    </w:lvl>
  </w:abstractNum>
  <w:abstractNum w:abstractNumId="57">
    <w:nsid w:val="168E121F"/>
    <w:multiLevelType w:val="hybridMultilevel"/>
    <w:lvl w:ilvl="0">
      <w:lvlJc w:val="left"/>
      <w:lvlText w:val="(%1)"/>
      <w:numFmt w:val="decimal"/>
      <w:start w:val="5"/>
    </w:lvl>
  </w:abstractNum>
  <w:abstractNum w:abstractNumId="58">
    <w:nsid w:val="1EBA5D23"/>
    <w:multiLevelType w:val="hybridMultilevel"/>
    <w:lvl w:ilvl="0">
      <w:lvlJc w:val="left"/>
      <w:lvlText w:val="(%1)"/>
      <w:numFmt w:val="decimal"/>
      <w:start w:val="6"/>
    </w:lvl>
  </w:abstractNum>
  <w:abstractNum w:abstractNumId="59">
    <w:nsid w:val="661E3F1E"/>
    <w:multiLevelType w:val="hybridMultilevel"/>
    <w:lvl w:ilvl="0">
      <w:lvlJc w:val="left"/>
      <w:lvlText w:val="(%1)"/>
      <w:numFmt w:val="decimal"/>
      <w:start w:val="7"/>
    </w:lvl>
  </w:abstractNum>
  <w:abstractNum w:abstractNumId="60">
    <w:nsid w:val="5DC79EA8"/>
    <w:multiLevelType w:val="hybridMultilevel"/>
    <w:lvl w:ilvl="0">
      <w:lvlJc w:val="left"/>
      <w:lvlText w:val="•"/>
      <w:numFmt w:val="bullet"/>
      <w:start w:val="1"/>
    </w:lvl>
  </w:abstractNum>
  <w:abstractNum w:abstractNumId="61">
    <w:nsid w:val="540A471C"/>
    <w:multiLevelType w:val="hybridMultilevel"/>
    <w:lvl w:ilvl="0">
      <w:lvlJc w:val="left"/>
      <w:lvlText w:val="(%1)"/>
      <w:numFmt w:val="decimal"/>
      <w:start w:val="8"/>
    </w:lvl>
  </w:abstractNum>
  <w:abstractNum w:abstractNumId="62">
    <w:nsid w:val="7BD3EE7B"/>
    <w:multiLevelType w:val="hybridMultilevel"/>
    <w:lvl w:ilvl="0">
      <w:lvlJc w:val="left"/>
      <w:lvlText w:val="(%1)"/>
      <w:numFmt w:val="lowerLetter"/>
      <w:start w:val="1"/>
    </w:lvl>
  </w:abstractNum>
  <w:abstractNum w:abstractNumId="63">
    <w:nsid w:val="51D9C564"/>
    <w:multiLevelType w:val="hybridMultilevel"/>
    <w:lvl w:ilvl="0">
      <w:lvlJc w:val="left"/>
      <w:lvlText w:val="(%1)"/>
      <w:numFmt w:val="lowerLetter"/>
      <w:start w:val="2"/>
    </w:lvl>
  </w:abstractNum>
  <w:abstractNum w:abstractNumId="64">
    <w:nsid w:val="613EFDC5"/>
    <w:multiLevelType w:val="hybridMultilevel"/>
    <w:lvl w:ilvl="0">
      <w:lvlJc w:val="left"/>
      <w:lvlText w:val="(%1)"/>
      <w:numFmt w:val="lowerLetter"/>
      <w:start w:val="3"/>
    </w:lvl>
  </w:abstractNum>
  <w:abstractNum w:abstractNumId="65">
    <w:nsid w:val="BF72B14"/>
    <w:multiLevelType w:val="hybridMultilevel"/>
    <w:lvl w:ilvl="0">
      <w:lvlJc w:val="left"/>
      <w:lvlText w:val="(%1)"/>
      <w:numFmt w:val="lowerLetter"/>
      <w:start w:val="4"/>
    </w:lvl>
  </w:abstractNum>
  <w:abstractNum w:abstractNumId="66">
    <w:nsid w:val="11447B73"/>
    <w:multiLevelType w:val="hybridMultilevel"/>
    <w:lvl w:ilvl="0">
      <w:lvlJc w:val="left"/>
      <w:lvlText w:val="(%1)"/>
      <w:numFmt w:val="lowerLetter"/>
      <w:start w:val="5"/>
    </w:lvl>
  </w:abstractNum>
  <w:abstractNum w:abstractNumId="67">
    <w:nsid w:val="42963E5A"/>
    <w:multiLevelType w:val="hybridMultilevel"/>
    <w:lvl w:ilvl="0">
      <w:lvlJc w:val="left"/>
      <w:lvlText w:val="(%1)"/>
      <w:numFmt w:val="decimal"/>
      <w:start w:val="9"/>
    </w:lvl>
  </w:abstractNum>
  <w:abstractNum w:abstractNumId="68">
    <w:nsid w:val="A0382C5"/>
    <w:multiLevelType w:val="hybridMultilevel"/>
    <w:lvl w:ilvl="0">
      <w:lvlJc w:val="left"/>
      <w:lvlText w:val="(%1)"/>
      <w:numFmt w:val="decimal"/>
      <w:start w:val="10"/>
    </w:lvl>
  </w:abstractNum>
  <w:abstractNum w:abstractNumId="69">
    <w:nsid w:val="8F2B15E"/>
    <w:multiLevelType w:val="hybridMultilevel"/>
    <w:lvl w:ilvl="0">
      <w:lvlJc w:val="left"/>
      <w:lvlText w:val="(%1)"/>
      <w:numFmt w:val="decimal"/>
      <w:start w:val="11"/>
    </w:lvl>
  </w:abstractNum>
  <w:abstractNum w:abstractNumId="70">
    <w:nsid w:val="1A32234B"/>
    <w:multiLevelType w:val="hybridMultilevel"/>
    <w:lvl w:ilvl="0">
      <w:lvlJc w:val="left"/>
      <w:lvlText w:val="(%1)"/>
      <w:numFmt w:val="decimal"/>
      <w:start w:val="12"/>
    </w:lvl>
  </w:abstractNum>
  <w:abstractNum w:abstractNumId="71">
    <w:nsid w:val="3B0FD379"/>
    <w:multiLevelType w:val="hybridMultilevel"/>
    <w:lvl w:ilvl="0">
      <w:lvlJc w:val="left"/>
      <w:lvlText w:val="(%1)"/>
      <w:numFmt w:val="decimal"/>
      <w:start w:val="13"/>
    </w:lvl>
  </w:abstractNum>
  <w:abstractNum w:abstractNumId="72">
    <w:nsid w:val="68EB2F63"/>
    <w:multiLevelType w:val="hybridMultilevel"/>
    <w:lvl w:ilvl="0">
      <w:lvlJc w:val="left"/>
      <w:lvlText w:val="•"/>
      <w:numFmt w:val="bullet"/>
      <w:start w:val="1"/>
    </w:lvl>
  </w:abstractNum>
  <w:abstractNum w:abstractNumId="73">
    <w:nsid w:val="4962813B"/>
    <w:multiLevelType w:val="hybridMultilevel"/>
    <w:lvl w:ilvl="0">
      <w:lvlJc w:val="left"/>
      <w:lvlText w:val="(%1)"/>
      <w:numFmt w:val="decimal"/>
      <w:start w:val="14"/>
    </w:lvl>
  </w:abstractNum>
  <w:abstractNum w:abstractNumId="74">
    <w:nsid w:val="60B6DF70"/>
    <w:multiLevelType w:val="hybridMultilevel"/>
    <w:lvl w:ilvl="0">
      <w:lvlJc w:val="left"/>
      <w:lvlText w:val="(%1)"/>
      <w:numFmt w:val="decimal"/>
      <w:start w:val="15"/>
    </w:lvl>
  </w:abstractNum>
  <w:abstractNum w:abstractNumId="75">
    <w:nsid w:val="6A5EE64"/>
    <w:multiLevelType w:val="hybridMultilevel"/>
    <w:lvl w:ilvl="0">
      <w:lvlJc w:val="left"/>
      <w:lvlText w:val="(%1)"/>
      <w:numFmt w:val="decimal"/>
      <w:start w:val="16"/>
    </w:lvl>
  </w:abstractNum>
  <w:abstractNum w:abstractNumId="76">
    <w:nsid w:val="14330624"/>
    <w:multiLevelType w:val="hybridMultilevel"/>
    <w:lvl w:ilvl="0">
      <w:lvlJc w:val="left"/>
      <w:lvlText w:val="(%1)"/>
      <w:numFmt w:val="decimal"/>
      <w:start w:val="17"/>
    </w:lvl>
  </w:abstractNum>
  <w:abstractNum w:abstractNumId="77">
    <w:nsid w:val="7FFFCA11"/>
    <w:multiLevelType w:val="hybridMultilevel"/>
    <w:lvl w:ilvl="0">
      <w:lvlJc w:val="left"/>
      <w:lvlText w:val="(%1)"/>
      <w:numFmt w:val="decimal"/>
      <w:start w:val="18"/>
    </w:lvl>
  </w:abstractNum>
  <w:abstractNum w:abstractNumId="78">
    <w:nsid w:val="1A27709E"/>
    <w:multiLevelType w:val="hybridMultilevel"/>
    <w:lvl w:ilvl="0">
      <w:lvlJc w:val="left"/>
      <w:lvlText w:val="*"/>
      <w:numFmt w:val="bullet"/>
      <w:start w:val="1"/>
    </w:lvl>
    <w:lvl w:ilvl="1">
      <w:lvlJc w:val="left"/>
      <w:lvlText w:val="%2"/>
      <w:numFmt w:val="decimal"/>
      <w:start w:val="104"/>
    </w:lvl>
  </w:abstractNum>
  <w:abstractNum w:abstractNumId="79">
    <w:nsid w:val="71EA1109"/>
    <w:multiLevelType w:val="hybridMultilevel"/>
    <w:lvl w:ilvl="0">
      <w:lvlJc w:val="left"/>
      <w:lvlText w:val="**"/>
      <w:numFmt w:val="bullet"/>
      <w:start w:val="1"/>
    </w:lvl>
    <w:lvl w:ilvl="1">
      <w:lvlJc w:val="left"/>
      <w:lvlText w:val="%2"/>
      <w:numFmt w:val="decimal"/>
      <w:start w:val="1"/>
    </w:lvl>
  </w:abstractNum>
  <w:abstractNum w:abstractNumId="80">
    <w:nsid w:val="100F59DC"/>
    <w:multiLevelType w:val="hybridMultilevel"/>
    <w:lvl w:ilvl="0">
      <w:lvlJc w:val="left"/>
      <w:lvlText w:val="†"/>
      <w:numFmt w:val="bullet"/>
      <w:start w:val="1"/>
    </w:lvl>
  </w:abstractNum>
  <w:abstractNum w:abstractNumId="81">
    <w:nsid w:val="7FB7E0AA"/>
    <w:multiLevelType w:val="hybridMultilevel"/>
    <w:lvl w:ilvl="0">
      <w:lvlJc w:val="left"/>
      <w:lvlText w:val="•"/>
      <w:numFmt w:val="bullet"/>
      <w:start w:val="1"/>
    </w:lvl>
  </w:abstractNum>
  <w:abstractNum w:abstractNumId="82">
    <w:nsid w:val="6EB5BD4"/>
    <w:multiLevelType w:val="hybridMultilevel"/>
    <w:lvl w:ilvl="0">
      <w:lvlJc w:val="left"/>
      <w:lvlText w:val="(%1)"/>
      <w:numFmt w:val="decimal"/>
      <w:start w:val="1"/>
    </w:lvl>
  </w:abstractNum>
  <w:abstractNum w:abstractNumId="83">
    <w:nsid w:val="6F6DD9AC"/>
    <w:multiLevelType w:val="hybridMultilevel"/>
    <w:lvl w:ilvl="0">
      <w:lvlJc w:val="left"/>
      <w:lvlText w:val="%1."/>
      <w:numFmt w:val="decimal"/>
      <w:start w:val="1"/>
    </w:lvl>
    <w:lvl w:ilvl="1">
      <w:lvlJc w:val="left"/>
      <w:lvlText w:val="(%2)"/>
      <w:numFmt w:val="lowerLetter"/>
      <w:start w:val="1"/>
    </w:lvl>
  </w:abstractNum>
  <w:abstractNum w:abstractNumId="84">
    <w:nsid w:val="94211F2"/>
    <w:multiLevelType w:val="hybridMultilevel"/>
    <w:lvl w:ilvl="0">
      <w:lvlJc w:val="left"/>
      <w:lvlText w:val="%1."/>
      <w:numFmt w:val="decimal"/>
      <w:start w:val="1"/>
    </w:lvl>
    <w:lvl w:ilvl="1">
      <w:lvlJc w:val="left"/>
      <w:lvlText w:val="(%2)"/>
      <w:numFmt w:val="lowerLetter"/>
      <w:start w:val="1"/>
    </w:lvl>
  </w:abstractNum>
  <w:abstractNum w:abstractNumId="85">
    <w:nsid w:val="885E1B"/>
    <w:multiLevelType w:val="hybridMultilevel"/>
    <w:lvl w:ilvl="0">
      <w:lvlJc w:val="left"/>
      <w:lvlText w:val="(%1)"/>
      <w:numFmt w:val="decimal"/>
      <w:start w:val="1"/>
    </w:lvl>
  </w:abstractNum>
  <w:abstractNum w:abstractNumId="86">
    <w:nsid w:val="7627211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jpeg"/><Relationship Id="rId59" Type="http://schemas.openxmlformats.org/officeDocument/2006/relationships/image" Target="media/image52.png"/><Relationship Id="rId60"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jpeg"/><Relationship Id="rId67" Type="http://schemas.openxmlformats.org/officeDocument/2006/relationships/image" Target="media/image59.png"/><Relationship Id="rId68" Type="http://schemas.openxmlformats.org/officeDocument/2006/relationships/image" Target="media/image60.jpeg"/><Relationship Id="rId69" Type="http://schemas.openxmlformats.org/officeDocument/2006/relationships/image" Target="media/image61.png"/><Relationship Id="rId70" Type="http://schemas.openxmlformats.org/officeDocument/2006/relationships/image" Target="media/image62.jpeg"/><Relationship Id="rId71"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png"/><Relationship Id="rId77" Type="http://schemas.openxmlformats.org/officeDocument/2006/relationships/image" Target="media/image69.png"/><Relationship Id="rId78" Type="http://schemas.openxmlformats.org/officeDocument/2006/relationships/image" Target="media/image70.png"/><Relationship Id="rId79" Type="http://schemas.openxmlformats.org/officeDocument/2006/relationships/image" Target="media/image71.png"/><Relationship Id="rId80" Type="http://schemas.openxmlformats.org/officeDocument/2006/relationships/image" Target="media/image72.png"/><Relationship Id="rId81" Type="http://schemas.openxmlformats.org/officeDocument/2006/relationships/image" Target="media/image73.png"/><Relationship Id="rId82" Type="http://schemas.openxmlformats.org/officeDocument/2006/relationships/image" Target="media/image74.png"/><Relationship Id="rId83" Type="http://schemas.openxmlformats.org/officeDocument/2006/relationships/image" Target="media/image75.png"/><Relationship Id="rId84" Type="http://schemas.openxmlformats.org/officeDocument/2006/relationships/image" Target="media/image76.png"/><Relationship Id="rId85" Type="http://schemas.openxmlformats.org/officeDocument/2006/relationships/image" Target="media/image77.png"/><Relationship Id="rId86" Type="http://schemas.openxmlformats.org/officeDocument/2006/relationships/image" Target="media/image78.png"/><Relationship Id="rId87" Type="http://schemas.openxmlformats.org/officeDocument/2006/relationships/image" Target="media/image79.png"/><Relationship Id="rId88" Type="http://schemas.openxmlformats.org/officeDocument/2006/relationships/image" Target="media/image80.png"/><Relationship Id="rId89" Type="http://schemas.openxmlformats.org/officeDocument/2006/relationships/image" Target="media/image81.png"/><Relationship Id="rId90" Type="http://schemas.openxmlformats.org/officeDocument/2006/relationships/image" Target="media/image82.png"/><Relationship Id="rId91" Type="http://schemas.openxmlformats.org/officeDocument/2006/relationships/image" Target="media/image83.png"/><Relationship Id="rId92" Type="http://schemas.openxmlformats.org/officeDocument/2006/relationships/image" Target="media/image84.png"/><Relationship Id="rId93" Type="http://schemas.openxmlformats.org/officeDocument/2006/relationships/image" Target="media/image85.png"/><Relationship Id="rId94" Type="http://schemas.openxmlformats.org/officeDocument/2006/relationships/image" Target="media/image86.png"/><Relationship Id="rId95" Type="http://schemas.openxmlformats.org/officeDocument/2006/relationships/image" Target="media/image87.png"/><Relationship Id="rId96" Type="http://schemas.openxmlformats.org/officeDocument/2006/relationships/image" Target="media/image88.png"/><Relationship Id="rId97" Type="http://schemas.openxmlformats.org/officeDocument/2006/relationships/image" Target="media/image89.png"/><Relationship Id="rId98" Type="http://schemas.openxmlformats.org/officeDocument/2006/relationships/image" Target="media/image90.png"/><Relationship Id="rId99" Type="http://schemas.openxmlformats.org/officeDocument/2006/relationships/image" Target="media/image91.png"/><Relationship Id="rId100" Type="http://schemas.openxmlformats.org/officeDocument/2006/relationships/image" Target="media/image92.png"/><Relationship Id="rId101" Type="http://schemas.openxmlformats.org/officeDocument/2006/relationships/image" Target="media/image93.png"/><Relationship Id="rId102" Type="http://schemas.openxmlformats.org/officeDocument/2006/relationships/image" Target="media/image94.png"/><Relationship Id="rId103" Type="http://schemas.openxmlformats.org/officeDocument/2006/relationships/image" Target="media/image95.png"/><Relationship Id="rId104" Type="http://schemas.openxmlformats.org/officeDocument/2006/relationships/image" Target="media/image96.png"/><Relationship Id="rId105" Type="http://schemas.openxmlformats.org/officeDocument/2006/relationships/image" Target="media/image97.png"/><Relationship Id="rId106" Type="http://schemas.openxmlformats.org/officeDocument/2006/relationships/image" Target="media/image98.png"/><Relationship Id="rId107" Type="http://schemas.openxmlformats.org/officeDocument/2006/relationships/image" Target="media/image99.png"/><Relationship Id="rId108" Type="http://schemas.openxmlformats.org/officeDocument/2006/relationships/image" Target="media/image100.png"/><Relationship Id="rId109" Type="http://schemas.openxmlformats.org/officeDocument/2006/relationships/image" Target="media/image101.png"/><Relationship Id="rId110" Type="http://schemas.openxmlformats.org/officeDocument/2006/relationships/image" Target="media/image102.png"/><Relationship Id="rId111" Type="http://schemas.openxmlformats.org/officeDocument/2006/relationships/image" Target="media/image103.png"/><Relationship Id="rId112" Type="http://schemas.openxmlformats.org/officeDocument/2006/relationships/image" Target="media/image104.png"/><Relationship Id="rId113" Type="http://schemas.openxmlformats.org/officeDocument/2006/relationships/image" Target="media/image105.png"/><Relationship Id="rId114" Type="http://schemas.openxmlformats.org/officeDocument/2006/relationships/image" Target="media/image106.png"/><Relationship Id="rId115" Type="http://schemas.openxmlformats.org/officeDocument/2006/relationships/image" Target="media/image107.png"/><Relationship Id="rId116" Type="http://schemas.openxmlformats.org/officeDocument/2006/relationships/image" Target="media/image108.png"/><Relationship Id="rId117" Type="http://schemas.openxmlformats.org/officeDocument/2006/relationships/image" Target="media/image109.png"/><Relationship Id="rId118" Type="http://schemas.openxmlformats.org/officeDocument/2006/relationships/image" Target="media/image110.png"/><Relationship Id="rId119" Type="http://schemas.openxmlformats.org/officeDocument/2006/relationships/image" Target="media/image111.png"/><Relationship Id="rId120" Type="http://schemas.openxmlformats.org/officeDocument/2006/relationships/image" Target="media/image112.png"/><Relationship Id="rId121" Type="http://schemas.openxmlformats.org/officeDocument/2006/relationships/image" Target="media/image113.png"/><Relationship Id="rId122" Type="http://schemas.openxmlformats.org/officeDocument/2006/relationships/image" Target="media/image114.png"/><Relationship Id="rId123" Type="http://schemas.openxmlformats.org/officeDocument/2006/relationships/image" Target="media/image115.png"/><Relationship Id="rId124" Type="http://schemas.openxmlformats.org/officeDocument/2006/relationships/image" Target="media/image116.png"/><Relationship Id="rId125" Type="http://schemas.openxmlformats.org/officeDocument/2006/relationships/image" Target="media/image117.png"/><Relationship Id="rId126" Type="http://schemas.openxmlformats.org/officeDocument/2006/relationships/image" Target="media/image118.png"/><Relationship Id="rId127" Type="http://schemas.openxmlformats.org/officeDocument/2006/relationships/image" Target="media/image119.png"/><Relationship Id="rId128" Type="http://schemas.openxmlformats.org/officeDocument/2006/relationships/image" Target="media/image120.png"/><Relationship Id="rId129" Type="http://schemas.openxmlformats.org/officeDocument/2006/relationships/image" Target="media/image121.png"/><Relationship Id="rId130" Type="http://schemas.openxmlformats.org/officeDocument/2006/relationships/image" Target="media/image122.png"/><Relationship Id="rId131" Type="http://schemas.openxmlformats.org/officeDocument/2006/relationships/image" Target="media/image123.png"/><Relationship Id="rId132" Type="http://schemas.openxmlformats.org/officeDocument/2006/relationships/image" Target="media/image124.png"/><Relationship Id="rId133" Type="http://schemas.openxmlformats.org/officeDocument/2006/relationships/image" Target="media/image125.png"/><Relationship Id="rId134" Type="http://schemas.openxmlformats.org/officeDocument/2006/relationships/image" Target="media/image126.png"/><Relationship Id="rId135" Type="http://schemas.openxmlformats.org/officeDocument/2006/relationships/image" Target="media/image127.png"/><Relationship Id="rId136" Type="http://schemas.openxmlformats.org/officeDocument/2006/relationships/image" Target="media/image128.png"/><Relationship Id="rId137" Type="http://schemas.openxmlformats.org/officeDocument/2006/relationships/image" Target="media/image129.png"/><Relationship Id="rId138" Type="http://schemas.openxmlformats.org/officeDocument/2006/relationships/image" Target="media/image130.png"/><Relationship Id="rId139" Type="http://schemas.openxmlformats.org/officeDocument/2006/relationships/image" Target="media/image131.png"/><Relationship Id="rId140" Type="http://schemas.openxmlformats.org/officeDocument/2006/relationships/image" Target="media/image132.png"/><Relationship Id="rId141" Type="http://schemas.openxmlformats.org/officeDocument/2006/relationships/image" Target="media/image133.png"/><Relationship Id="rId142" Type="http://schemas.openxmlformats.org/officeDocument/2006/relationships/image" Target="media/image134.png"/><Relationship Id="rId143" Type="http://schemas.openxmlformats.org/officeDocument/2006/relationships/image" Target="media/image135.png"/><Relationship Id="rId144" Type="http://schemas.openxmlformats.org/officeDocument/2006/relationships/image" Target="media/image136.png"/><Relationship Id="rId145" Type="http://schemas.openxmlformats.org/officeDocument/2006/relationships/image" Target="media/image137.png"/><Relationship Id="rId146" Type="http://schemas.openxmlformats.org/officeDocument/2006/relationships/image" Target="media/image138.png"/><Relationship Id="rId147" Type="http://schemas.openxmlformats.org/officeDocument/2006/relationships/image" Target="media/image139.png"/><Relationship Id="rId148" Type="http://schemas.openxmlformats.org/officeDocument/2006/relationships/image" Target="media/image140.png"/><Relationship Id="rId149" Type="http://schemas.openxmlformats.org/officeDocument/2006/relationships/image" Target="media/image141.png"/><Relationship Id="rId150" Type="http://schemas.openxmlformats.org/officeDocument/2006/relationships/image" Target="media/image142.png"/><Relationship Id="rId151" Type="http://schemas.openxmlformats.org/officeDocument/2006/relationships/image" Target="media/image143.png"/><Relationship Id="rId152" Type="http://schemas.openxmlformats.org/officeDocument/2006/relationships/image" Target="media/image144.png"/><Relationship Id="rId153" Type="http://schemas.openxmlformats.org/officeDocument/2006/relationships/image" Target="media/image145.png"/><Relationship Id="rId154" Type="http://schemas.openxmlformats.org/officeDocument/2006/relationships/image" Target="media/image146.png"/><Relationship Id="rId155" Type="http://schemas.openxmlformats.org/officeDocument/2006/relationships/image" Target="media/image147.png"/><Relationship Id="rId156" Type="http://schemas.openxmlformats.org/officeDocument/2006/relationships/image" Target="media/image148.png"/><Relationship Id="rId157" Type="http://schemas.openxmlformats.org/officeDocument/2006/relationships/image" Target="media/image149.png"/><Relationship Id="rId158" Type="http://schemas.openxmlformats.org/officeDocument/2006/relationships/image" Target="media/image150.png"/><Relationship Id="rId159" Type="http://schemas.openxmlformats.org/officeDocument/2006/relationships/image" Target="media/image151.png"/><Relationship Id="rId160" Type="http://schemas.openxmlformats.org/officeDocument/2006/relationships/image" Target="media/image152.png"/><Relationship Id="rId161" Type="http://schemas.openxmlformats.org/officeDocument/2006/relationships/image" Target="media/image153.png"/><Relationship Id="rId162" Type="http://schemas.openxmlformats.org/officeDocument/2006/relationships/image" Target="media/image154.png"/><Relationship Id="rId163" Type="http://schemas.openxmlformats.org/officeDocument/2006/relationships/image" Target="media/image155.png"/><Relationship Id="rId164" Type="http://schemas.openxmlformats.org/officeDocument/2006/relationships/image" Target="media/image156.png"/><Relationship Id="rId165" Type="http://schemas.openxmlformats.org/officeDocument/2006/relationships/image" Target="media/image157.png"/><Relationship Id="rId166" Type="http://schemas.openxmlformats.org/officeDocument/2006/relationships/image" Target="media/image158.png"/><Relationship Id="rId167" Type="http://schemas.openxmlformats.org/officeDocument/2006/relationships/image" Target="media/image159.png"/><Relationship Id="rId168" Type="http://schemas.openxmlformats.org/officeDocument/2006/relationships/image" Target="media/image160.png"/><Relationship Id="rId169" Type="http://schemas.openxmlformats.org/officeDocument/2006/relationships/image" Target="media/image161.png"/><Relationship Id="rId170" Type="http://schemas.openxmlformats.org/officeDocument/2006/relationships/image" Target="media/image162.png"/><Relationship Id="rId171" Type="http://schemas.openxmlformats.org/officeDocument/2006/relationships/image" Target="media/image163.png"/><Relationship Id="rId172" Type="http://schemas.openxmlformats.org/officeDocument/2006/relationships/image" Target="media/image164.png"/><Relationship Id="rId173" Type="http://schemas.openxmlformats.org/officeDocument/2006/relationships/image" Target="media/image165.png"/><Relationship Id="rId174" Type="http://schemas.openxmlformats.org/officeDocument/2006/relationships/image" Target="media/image166.png"/><Relationship Id="rId175" Type="http://schemas.openxmlformats.org/officeDocument/2006/relationships/image" Target="media/image167.png"/><Relationship Id="rId176" Type="http://schemas.openxmlformats.org/officeDocument/2006/relationships/image" Target="media/image168.png"/><Relationship Id="rId177" Type="http://schemas.openxmlformats.org/officeDocument/2006/relationships/image" Target="media/image169.png"/><Relationship Id="rId178" Type="http://schemas.openxmlformats.org/officeDocument/2006/relationships/image" Target="media/image170.png"/><Relationship Id="rId179" Type="http://schemas.openxmlformats.org/officeDocument/2006/relationships/image" Target="media/image171.png"/><Relationship Id="rId180" Type="http://schemas.openxmlformats.org/officeDocument/2006/relationships/image" Target="media/image172.png"/><Relationship Id="rId181" Type="http://schemas.openxmlformats.org/officeDocument/2006/relationships/image" Target="media/image173.png"/><Relationship Id="rId182" Type="http://schemas.openxmlformats.org/officeDocument/2006/relationships/image" Target="media/image174.png"/><Relationship Id="rId183" Type="http://schemas.openxmlformats.org/officeDocument/2006/relationships/image" Target="media/image175.png"/><Relationship Id="rId184" Type="http://schemas.openxmlformats.org/officeDocument/2006/relationships/image" Target="media/image176.png"/><Relationship Id="rId185" Type="http://schemas.openxmlformats.org/officeDocument/2006/relationships/image" Target="media/image177.png"/><Relationship Id="rId186" Type="http://schemas.openxmlformats.org/officeDocument/2006/relationships/image" Target="media/image178.png"/><Relationship Id="rId187" Type="http://schemas.openxmlformats.org/officeDocument/2006/relationships/image" Target="media/image179.png"/><Relationship Id="rId188" Type="http://schemas.openxmlformats.org/officeDocument/2006/relationships/image" Target="media/image180.png"/><Relationship Id="rId189" Type="http://schemas.openxmlformats.org/officeDocument/2006/relationships/image" Target="media/image181.png"/><Relationship Id="rId190" Type="http://schemas.openxmlformats.org/officeDocument/2006/relationships/image" Target="media/image182.png"/><Relationship Id="rId191" Type="http://schemas.openxmlformats.org/officeDocument/2006/relationships/image" Target="media/image183.png"/><Relationship Id="rId192" Type="http://schemas.openxmlformats.org/officeDocument/2006/relationships/image" Target="media/image184.png"/><Relationship Id="rId193" Type="http://schemas.openxmlformats.org/officeDocument/2006/relationships/image" Target="media/image185.png"/><Relationship Id="rId194" Type="http://schemas.openxmlformats.org/officeDocument/2006/relationships/image" Target="media/image186.png"/><Relationship Id="rId195" Type="http://schemas.openxmlformats.org/officeDocument/2006/relationships/image" Target="media/image187.png"/><Relationship Id="rId196" Type="http://schemas.openxmlformats.org/officeDocument/2006/relationships/image" Target="media/image188.png"/><Relationship Id="rId197" Type="http://schemas.openxmlformats.org/officeDocument/2006/relationships/image" Target="media/image189.png"/><Relationship Id="rId198" Type="http://schemas.openxmlformats.org/officeDocument/2006/relationships/image" Target="media/image190.png"/><Relationship Id="rId199" Type="http://schemas.openxmlformats.org/officeDocument/2006/relationships/image" Target="media/image191.png"/><Relationship Id="rId200" Type="http://schemas.openxmlformats.org/officeDocument/2006/relationships/image" Target="media/image192.png"/><Relationship Id="rId201" Type="http://schemas.openxmlformats.org/officeDocument/2006/relationships/image" Target="media/image193.png"/><Relationship Id="rId202" Type="http://schemas.openxmlformats.org/officeDocument/2006/relationships/image" Target="media/image194.png"/><Relationship Id="rId203" Type="http://schemas.openxmlformats.org/officeDocument/2006/relationships/image" Target="media/image195.png"/><Relationship Id="rId204" Type="http://schemas.openxmlformats.org/officeDocument/2006/relationships/image" Target="media/image196.png"/><Relationship Id="rId205" Type="http://schemas.openxmlformats.org/officeDocument/2006/relationships/image" Target="media/image197.png"/><Relationship Id="rId206" Type="http://schemas.openxmlformats.org/officeDocument/2006/relationships/image" Target="media/image198.png"/><Relationship Id="rId207" Type="http://schemas.openxmlformats.org/officeDocument/2006/relationships/image" Target="media/image199.png"/><Relationship Id="rId208" Type="http://schemas.openxmlformats.org/officeDocument/2006/relationships/image" Target="media/image200.png"/><Relationship Id="rId209" Type="http://schemas.openxmlformats.org/officeDocument/2006/relationships/image" Target="media/image201.png"/><Relationship Id="rId210" Type="http://schemas.openxmlformats.org/officeDocument/2006/relationships/image" Target="media/image202.png"/><Relationship Id="rId211" Type="http://schemas.openxmlformats.org/officeDocument/2006/relationships/image" Target="media/image203.png"/><Relationship Id="rId212" Type="http://schemas.openxmlformats.org/officeDocument/2006/relationships/image" Target="media/image204.png"/><Relationship Id="rId213" Type="http://schemas.openxmlformats.org/officeDocument/2006/relationships/image" Target="media/image205.png"/><Relationship Id="rId214" Type="http://schemas.openxmlformats.org/officeDocument/2006/relationships/image" Target="media/image206.png"/><Relationship Id="rId215" Type="http://schemas.openxmlformats.org/officeDocument/2006/relationships/image" Target="media/image207.png"/><Relationship Id="rId216" Type="http://schemas.openxmlformats.org/officeDocument/2006/relationships/image" Target="media/image208.png"/><Relationship Id="rId217" Type="http://schemas.openxmlformats.org/officeDocument/2006/relationships/image" Target="media/image209.png"/><Relationship Id="rId218" Type="http://schemas.openxmlformats.org/officeDocument/2006/relationships/image" Target="media/image210.png"/><Relationship Id="rId219" Type="http://schemas.openxmlformats.org/officeDocument/2006/relationships/image" Target="media/image211.png"/><Relationship Id="rId220" Type="http://schemas.openxmlformats.org/officeDocument/2006/relationships/image" Target="media/image212.png"/><Relationship Id="rId221" Type="http://schemas.openxmlformats.org/officeDocument/2006/relationships/image" Target="media/image213.png"/><Relationship Id="rId222" Type="http://schemas.openxmlformats.org/officeDocument/2006/relationships/image" Target="media/image214.png"/><Relationship Id="rId223" Type="http://schemas.openxmlformats.org/officeDocument/2006/relationships/image" Target="media/image215.png"/><Relationship Id="rId224" Type="http://schemas.openxmlformats.org/officeDocument/2006/relationships/image" Target="media/image216.png"/><Relationship Id="rId225" Type="http://schemas.openxmlformats.org/officeDocument/2006/relationships/image" Target="media/image217.png"/><Relationship Id="rId226" Type="http://schemas.openxmlformats.org/officeDocument/2006/relationships/image" Target="media/image218.png"/><Relationship Id="rId227" Type="http://schemas.openxmlformats.org/officeDocument/2006/relationships/image" Target="media/image219.png"/><Relationship Id="rId228" Type="http://schemas.openxmlformats.org/officeDocument/2006/relationships/image" Target="media/image220.png"/><Relationship Id="rId229" Type="http://schemas.openxmlformats.org/officeDocument/2006/relationships/image" Target="media/image221.png"/><Relationship Id="rId230" Type="http://schemas.openxmlformats.org/officeDocument/2006/relationships/image" Target="media/image222.png"/><Relationship Id="rId231" Type="http://schemas.openxmlformats.org/officeDocument/2006/relationships/image" Target="media/image223.png"/><Relationship Id="rId232" Type="http://schemas.openxmlformats.org/officeDocument/2006/relationships/image" Target="media/image224.png"/><Relationship Id="rId233" Type="http://schemas.openxmlformats.org/officeDocument/2006/relationships/image" Target="media/image225.png"/><Relationship Id="rId234" Type="http://schemas.openxmlformats.org/officeDocument/2006/relationships/image" Target="media/image226.png"/><Relationship Id="rId235" Type="http://schemas.openxmlformats.org/officeDocument/2006/relationships/image" Target="media/image227.png"/><Relationship Id="rId236" Type="http://schemas.openxmlformats.org/officeDocument/2006/relationships/image" Target="media/image228.png"/><Relationship Id="rId237" Type="http://schemas.openxmlformats.org/officeDocument/2006/relationships/image" Target="media/image229.png"/><Relationship Id="rId238" Type="http://schemas.openxmlformats.org/officeDocument/2006/relationships/image" Target="media/image230.png"/><Relationship Id="rId239" Type="http://schemas.openxmlformats.org/officeDocument/2006/relationships/image" Target="media/image231.png"/><Relationship Id="rId240" Type="http://schemas.openxmlformats.org/officeDocument/2006/relationships/image" Target="media/image232.png"/><Relationship Id="rId241" Type="http://schemas.openxmlformats.org/officeDocument/2006/relationships/image" Target="media/image233.png"/><Relationship Id="rId242" Type="http://schemas.openxmlformats.org/officeDocument/2006/relationships/image" Target="media/image234.png"/><Relationship Id="rId243" Type="http://schemas.openxmlformats.org/officeDocument/2006/relationships/image" Target="media/image235.png"/><Relationship Id="rId244" Type="http://schemas.openxmlformats.org/officeDocument/2006/relationships/image" Target="media/image236.png"/><Relationship Id="rId245" Type="http://schemas.openxmlformats.org/officeDocument/2006/relationships/image" Target="media/image237.png"/><Relationship Id="rId246" Type="http://schemas.openxmlformats.org/officeDocument/2006/relationships/image" Target="media/image238.png"/><Relationship Id="rId247" Type="http://schemas.openxmlformats.org/officeDocument/2006/relationships/image" Target="media/image239.png"/><Relationship Id="rId248" Type="http://schemas.openxmlformats.org/officeDocument/2006/relationships/image" Target="media/image240.png"/><Relationship Id="rId249" Type="http://schemas.openxmlformats.org/officeDocument/2006/relationships/image" Target="media/image241.png"/><Relationship Id="rId250" Type="http://schemas.openxmlformats.org/officeDocument/2006/relationships/image" Target="media/image242.png"/><Relationship Id="rId251" Type="http://schemas.openxmlformats.org/officeDocument/2006/relationships/image" Target="media/image243.png"/><Relationship Id="rId252" Type="http://schemas.openxmlformats.org/officeDocument/2006/relationships/image" Target="media/image244.png"/><Relationship Id="rId253" Type="http://schemas.openxmlformats.org/officeDocument/2006/relationships/image" Target="media/image245.png"/><Relationship Id="rId254" Type="http://schemas.openxmlformats.org/officeDocument/2006/relationships/image" Target="media/image246.png"/><Relationship Id="rId255" Type="http://schemas.openxmlformats.org/officeDocument/2006/relationships/image" Target="media/image247.png"/><Relationship Id="rId256" Type="http://schemas.openxmlformats.org/officeDocument/2006/relationships/image" Target="media/image248.png"/><Relationship Id="rId257" Type="http://schemas.openxmlformats.org/officeDocument/2006/relationships/image" Target="media/image249.png"/><Relationship Id="rId258" Type="http://schemas.openxmlformats.org/officeDocument/2006/relationships/image" Target="media/image250.png"/><Relationship Id="rId259" Type="http://schemas.openxmlformats.org/officeDocument/2006/relationships/image" Target="media/image251.png"/><Relationship Id="rId260" Type="http://schemas.openxmlformats.org/officeDocument/2006/relationships/image" Target="media/image252.png"/><Relationship Id="rId261" Type="http://schemas.openxmlformats.org/officeDocument/2006/relationships/image" Target="media/image253.png"/><Relationship Id="rId262" Type="http://schemas.openxmlformats.org/officeDocument/2006/relationships/image" Target="media/image254.png"/><Relationship Id="rId263" Type="http://schemas.openxmlformats.org/officeDocument/2006/relationships/image" Target="media/image255.png"/><Relationship Id="rId264" Type="http://schemas.openxmlformats.org/officeDocument/2006/relationships/image" Target="media/image256.png"/><Relationship Id="rId265" Type="http://schemas.openxmlformats.org/officeDocument/2006/relationships/image" Target="media/image257.png"/><Relationship Id="rId266" Type="http://schemas.openxmlformats.org/officeDocument/2006/relationships/image" Target="media/image258.png"/><Relationship Id="rId267" Type="http://schemas.openxmlformats.org/officeDocument/2006/relationships/image" Target="media/image259.png"/><Relationship Id="rId268" Type="http://schemas.openxmlformats.org/officeDocument/2006/relationships/image" Target="media/image260.png"/><Relationship Id="rId269" Type="http://schemas.openxmlformats.org/officeDocument/2006/relationships/image" Target="media/image261.png"/><Relationship Id="rId270" Type="http://schemas.openxmlformats.org/officeDocument/2006/relationships/image" Target="media/image262.png"/><Relationship Id="rId271" Type="http://schemas.openxmlformats.org/officeDocument/2006/relationships/image" Target="media/image263.png"/><Relationship Id="rId272" Type="http://schemas.openxmlformats.org/officeDocument/2006/relationships/image" Target="media/image264.png"/><Relationship Id="rId273" Type="http://schemas.openxmlformats.org/officeDocument/2006/relationships/image" Target="media/image265.png"/><Relationship Id="rId274" Type="http://schemas.openxmlformats.org/officeDocument/2006/relationships/image" Target="media/image266.png"/><Relationship Id="rId275" Type="http://schemas.openxmlformats.org/officeDocument/2006/relationships/image" Target="media/image267.png"/><Relationship Id="rId276" Type="http://schemas.openxmlformats.org/officeDocument/2006/relationships/image" Target="media/image268.png"/><Relationship Id="rId277" Type="http://schemas.openxmlformats.org/officeDocument/2006/relationships/image" Target="media/image269.png"/><Relationship Id="rId278" Type="http://schemas.openxmlformats.org/officeDocument/2006/relationships/image" Target="media/image270.png"/><Relationship Id="rId279" Type="http://schemas.openxmlformats.org/officeDocument/2006/relationships/image" Target="media/image271.png"/><Relationship Id="rId280" Type="http://schemas.openxmlformats.org/officeDocument/2006/relationships/image" Target="media/image272.png"/><Relationship Id="rId281" Type="http://schemas.openxmlformats.org/officeDocument/2006/relationships/image" Target="media/image273.png"/><Relationship Id="rId282" Type="http://schemas.openxmlformats.org/officeDocument/2006/relationships/image" Target="media/image274.png"/><Relationship Id="rId283" Type="http://schemas.openxmlformats.org/officeDocument/2006/relationships/image" Target="media/image275.png"/><Relationship Id="rId284" Type="http://schemas.openxmlformats.org/officeDocument/2006/relationships/image" Target="media/image276.png"/><Relationship Id="rId285" Type="http://schemas.openxmlformats.org/officeDocument/2006/relationships/image" Target="media/image277.png"/><Relationship Id="rId286" Type="http://schemas.openxmlformats.org/officeDocument/2006/relationships/image" Target="media/image278.png"/><Relationship Id="rId287" Type="http://schemas.openxmlformats.org/officeDocument/2006/relationships/image" Target="media/image279.png"/><Relationship Id="rId288" Type="http://schemas.openxmlformats.org/officeDocument/2006/relationships/image" Target="media/image280.png"/><Relationship Id="rId289" Type="http://schemas.openxmlformats.org/officeDocument/2006/relationships/image" Target="media/image281.png"/><Relationship Id="rId290" Type="http://schemas.openxmlformats.org/officeDocument/2006/relationships/image" Target="media/image282.png"/><Relationship Id="rId291" Type="http://schemas.openxmlformats.org/officeDocument/2006/relationships/image" Target="media/image283.png"/><Relationship Id="rId292" Type="http://schemas.openxmlformats.org/officeDocument/2006/relationships/image" Target="media/image284.png"/><Relationship Id="rId293" Type="http://schemas.openxmlformats.org/officeDocument/2006/relationships/image" Target="media/image285.png"/><Relationship Id="rId294" Type="http://schemas.openxmlformats.org/officeDocument/2006/relationships/image" Target="media/image286.png"/><Relationship Id="rId295" Type="http://schemas.openxmlformats.org/officeDocument/2006/relationships/image" Target="media/image287.png"/><Relationship Id="rId296" Type="http://schemas.openxmlformats.org/officeDocument/2006/relationships/image" Target="media/image288.png"/><Relationship Id="rId297" Type="http://schemas.openxmlformats.org/officeDocument/2006/relationships/image" Target="media/image289.png"/><Relationship Id="rId298" Type="http://schemas.openxmlformats.org/officeDocument/2006/relationships/image" Target="media/image290.png"/><Relationship Id="rId299" Type="http://schemas.openxmlformats.org/officeDocument/2006/relationships/image" Target="media/image291.png"/><Relationship Id="rId300" Type="http://schemas.openxmlformats.org/officeDocument/2006/relationships/image" Target="media/image292.png"/><Relationship Id="rId301" Type="http://schemas.openxmlformats.org/officeDocument/2006/relationships/image" Target="media/image293.png"/><Relationship Id="rId302" Type="http://schemas.openxmlformats.org/officeDocument/2006/relationships/image" Target="media/image294.png"/><Relationship Id="rId303" Type="http://schemas.openxmlformats.org/officeDocument/2006/relationships/image" Target="media/image295.png"/><Relationship Id="rId304" Type="http://schemas.openxmlformats.org/officeDocument/2006/relationships/image" Target="media/image296.png"/><Relationship Id="rId305" Type="http://schemas.openxmlformats.org/officeDocument/2006/relationships/image" Target="media/image297.png"/><Relationship Id="rId306" Type="http://schemas.openxmlformats.org/officeDocument/2006/relationships/image" Target="media/image298.png"/><Relationship Id="rId307" Type="http://schemas.openxmlformats.org/officeDocument/2006/relationships/image" Target="media/image299.png"/><Relationship Id="rId308" Type="http://schemas.openxmlformats.org/officeDocument/2006/relationships/image" Target="media/image300.png"/><Relationship Id="rId309" Type="http://schemas.openxmlformats.org/officeDocument/2006/relationships/image" Target="media/image301.png"/><Relationship Id="rId310" Type="http://schemas.openxmlformats.org/officeDocument/2006/relationships/image" Target="media/image302.png"/><Relationship Id="rId311" Type="http://schemas.openxmlformats.org/officeDocument/2006/relationships/image" Target="media/image303.png"/><Relationship Id="rId312" Type="http://schemas.openxmlformats.org/officeDocument/2006/relationships/image" Target="media/image304.png"/><Relationship Id="rId313" Type="http://schemas.openxmlformats.org/officeDocument/2006/relationships/image" Target="media/image305.png"/><Relationship Id="rId314" Type="http://schemas.openxmlformats.org/officeDocument/2006/relationships/image" Target="media/image306.png"/><Relationship Id="rId315" Type="http://schemas.openxmlformats.org/officeDocument/2006/relationships/image" Target="media/image307.png"/><Relationship Id="rId316" Type="http://schemas.openxmlformats.org/officeDocument/2006/relationships/image" Target="media/image308.png"/><Relationship Id="rId317" Type="http://schemas.openxmlformats.org/officeDocument/2006/relationships/image" Target="media/image309.png"/><Relationship Id="rId318" Type="http://schemas.openxmlformats.org/officeDocument/2006/relationships/image" Target="media/image310.png"/><Relationship Id="rId319" Type="http://schemas.openxmlformats.org/officeDocument/2006/relationships/image" Target="media/image311.png"/><Relationship Id="rId320" Type="http://schemas.openxmlformats.org/officeDocument/2006/relationships/image" Target="media/image312.png"/><Relationship Id="rId321" Type="http://schemas.openxmlformats.org/officeDocument/2006/relationships/image" Target="media/image313.png"/><Relationship Id="rId322" Type="http://schemas.openxmlformats.org/officeDocument/2006/relationships/image" Target="media/image314.png"/><Relationship Id="rId323" Type="http://schemas.openxmlformats.org/officeDocument/2006/relationships/image" Target="media/image315.png"/><Relationship Id="rId324" Type="http://schemas.openxmlformats.org/officeDocument/2006/relationships/image" Target="media/image316.png"/><Relationship Id="rId325" Type="http://schemas.openxmlformats.org/officeDocument/2006/relationships/image" Target="media/image317.png"/><Relationship Id="rId326" Type="http://schemas.openxmlformats.org/officeDocument/2006/relationships/image" Target="media/image318.png"/><Relationship Id="rId327" Type="http://schemas.openxmlformats.org/officeDocument/2006/relationships/image" Target="media/image319.png"/><Relationship Id="rId328" Type="http://schemas.openxmlformats.org/officeDocument/2006/relationships/image" Target="media/image320.png"/><Relationship Id="rId329" Type="http://schemas.openxmlformats.org/officeDocument/2006/relationships/image" Target="media/image321.png"/><Relationship Id="rId330" Type="http://schemas.openxmlformats.org/officeDocument/2006/relationships/image" Target="media/image322.png"/><Relationship Id="rId331" Type="http://schemas.openxmlformats.org/officeDocument/2006/relationships/image" Target="media/image323.png"/><Relationship Id="rId332" Type="http://schemas.openxmlformats.org/officeDocument/2006/relationships/image" Target="media/image324.png"/><Relationship Id="rId333" Type="http://schemas.openxmlformats.org/officeDocument/2006/relationships/image" Target="media/image325.png"/><Relationship Id="rId334" Type="http://schemas.openxmlformats.org/officeDocument/2006/relationships/image" Target="media/image326.png"/><Relationship Id="rId335" Type="http://schemas.openxmlformats.org/officeDocument/2006/relationships/image" Target="media/image327.png"/><Relationship Id="rId336" Type="http://schemas.openxmlformats.org/officeDocument/2006/relationships/image" Target="media/image328.png"/><Relationship Id="rId337" Type="http://schemas.openxmlformats.org/officeDocument/2006/relationships/image" Target="media/image329.png"/><Relationship Id="rId338" Type="http://schemas.openxmlformats.org/officeDocument/2006/relationships/image" Target="media/image330.png"/><Relationship Id="rId339" Type="http://schemas.openxmlformats.org/officeDocument/2006/relationships/image" Target="media/image331.png"/><Relationship Id="rId340" Type="http://schemas.openxmlformats.org/officeDocument/2006/relationships/image" Target="media/image332.png"/><Relationship Id="rId341" Type="http://schemas.openxmlformats.org/officeDocument/2006/relationships/image" Target="media/image333.png"/><Relationship Id="rId342" Type="http://schemas.openxmlformats.org/officeDocument/2006/relationships/image" Target="media/image334.png"/><Relationship Id="rId343" Type="http://schemas.openxmlformats.org/officeDocument/2006/relationships/image" Target="media/image335.png"/><Relationship Id="rId344" Type="http://schemas.openxmlformats.org/officeDocument/2006/relationships/image" Target="media/image336.png"/><Relationship Id="rId345" Type="http://schemas.openxmlformats.org/officeDocument/2006/relationships/image" Target="media/image337.png"/><Relationship Id="rId346" Type="http://schemas.openxmlformats.org/officeDocument/2006/relationships/image" Target="media/image338.png"/><Relationship Id="rId347" Type="http://schemas.openxmlformats.org/officeDocument/2006/relationships/image" Target="media/image339.png"/><Relationship Id="rId348" Type="http://schemas.openxmlformats.org/officeDocument/2006/relationships/image" Target="media/image340.png"/><Relationship Id="rId349" Type="http://schemas.openxmlformats.org/officeDocument/2006/relationships/image" Target="media/image341.png"/><Relationship Id="rId350" Type="http://schemas.openxmlformats.org/officeDocument/2006/relationships/image" Target="media/image342.png"/><Relationship Id="rId351" Type="http://schemas.openxmlformats.org/officeDocument/2006/relationships/image" Target="media/image343.png"/><Relationship Id="rId352" Type="http://schemas.openxmlformats.org/officeDocument/2006/relationships/image" Target="media/image344.png"/><Relationship Id="rId353" Type="http://schemas.openxmlformats.org/officeDocument/2006/relationships/image" Target="media/image345.png"/><Relationship Id="rId354" Type="http://schemas.openxmlformats.org/officeDocument/2006/relationships/image" Target="media/image346.png"/><Relationship Id="rId355" Type="http://schemas.openxmlformats.org/officeDocument/2006/relationships/image" Target="media/image347.png"/><Relationship Id="rId356" Type="http://schemas.openxmlformats.org/officeDocument/2006/relationships/image" Target="media/image348.png"/><Relationship Id="rId357" Type="http://schemas.openxmlformats.org/officeDocument/2006/relationships/image" Target="media/image349.png"/><Relationship Id="rId358" Type="http://schemas.openxmlformats.org/officeDocument/2006/relationships/image" Target="media/image350.png"/><Relationship Id="rId359" Type="http://schemas.openxmlformats.org/officeDocument/2006/relationships/image" Target="media/image351.png"/><Relationship Id="rId360" Type="http://schemas.openxmlformats.org/officeDocument/2006/relationships/image" Target="media/image352.png"/><Relationship Id="rId361" Type="http://schemas.openxmlformats.org/officeDocument/2006/relationships/image" Target="media/image353.png"/><Relationship Id="rId362" Type="http://schemas.openxmlformats.org/officeDocument/2006/relationships/image" Target="media/image354.png"/><Relationship Id="rId363" Type="http://schemas.openxmlformats.org/officeDocument/2006/relationships/image" Target="media/image355.png"/><Relationship Id="rId364" Type="http://schemas.openxmlformats.org/officeDocument/2006/relationships/image" Target="media/image356.png"/><Relationship Id="rId365" Type="http://schemas.openxmlformats.org/officeDocument/2006/relationships/image" Target="media/image357.png"/><Relationship Id="rId366" Type="http://schemas.openxmlformats.org/officeDocument/2006/relationships/image" Target="media/image358.png"/><Relationship Id="rId367" Type="http://schemas.openxmlformats.org/officeDocument/2006/relationships/image" Target="media/image359.png"/><Relationship Id="rId368" Type="http://schemas.openxmlformats.org/officeDocument/2006/relationships/image" Target="media/image360.png"/><Relationship Id="rId369" Type="http://schemas.openxmlformats.org/officeDocument/2006/relationships/image" Target="media/image361.png"/><Relationship Id="rId370" Type="http://schemas.openxmlformats.org/officeDocument/2006/relationships/image" Target="media/image362.png"/><Relationship Id="rId371" Type="http://schemas.openxmlformats.org/officeDocument/2006/relationships/image" Target="media/image363.png"/><Relationship Id="rId372" Type="http://schemas.openxmlformats.org/officeDocument/2006/relationships/image" Target="media/image364.png"/><Relationship Id="rId373" Type="http://schemas.openxmlformats.org/officeDocument/2006/relationships/image" Target="media/image365.png"/><Relationship Id="rId374" Type="http://schemas.openxmlformats.org/officeDocument/2006/relationships/image" Target="media/image366.png"/><Relationship Id="rId375" Type="http://schemas.openxmlformats.org/officeDocument/2006/relationships/image" Target="media/image367.png"/><Relationship Id="rId376" Type="http://schemas.openxmlformats.org/officeDocument/2006/relationships/image" Target="media/image368.png"/><Relationship Id="rId377" Type="http://schemas.openxmlformats.org/officeDocument/2006/relationships/image" Target="media/image369.png"/><Relationship Id="rId378" Type="http://schemas.openxmlformats.org/officeDocument/2006/relationships/image" Target="media/image370.png"/><Relationship Id="rId379" Type="http://schemas.openxmlformats.org/officeDocument/2006/relationships/image" Target="media/image371.png"/><Relationship Id="rId397" Type="http://schemas.openxmlformats.org/officeDocument/2006/relationships/image" Target="media/image372.png"/><Relationship Id="rId398" Type="http://schemas.openxmlformats.org/officeDocument/2006/relationships/image" Target="media/image373.png"/><Relationship Id="rId406" Type="http://schemas.openxmlformats.org/officeDocument/2006/relationships/image" Target="media/image374.png"/><Relationship Id="rId407" Type="http://schemas.openxmlformats.org/officeDocument/2006/relationships/image" Target="media/image375.png"/><Relationship Id="rId408" Type="http://schemas.openxmlformats.org/officeDocument/2006/relationships/image" Target="media/image376.png"/><Relationship Id="rId409" Type="http://schemas.openxmlformats.org/officeDocument/2006/relationships/image" Target="media/image377.png"/><Relationship Id="rId410" Type="http://schemas.openxmlformats.org/officeDocument/2006/relationships/image" Target="media/image378.png"/><Relationship Id="rId411" Type="http://schemas.openxmlformats.org/officeDocument/2006/relationships/image" Target="media/image379.png"/><Relationship Id="rId412" Type="http://schemas.openxmlformats.org/officeDocument/2006/relationships/image" Target="media/image380.png"/><Relationship Id="rId413" Type="http://schemas.openxmlformats.org/officeDocument/2006/relationships/image" Target="media/image381.png"/><Relationship Id="rId414" Type="http://schemas.openxmlformats.org/officeDocument/2006/relationships/image" Target="media/image382.png"/><Relationship Id="rId415" Type="http://schemas.openxmlformats.org/officeDocument/2006/relationships/image" Target="media/image383.png"/><Relationship Id="rId416" Type="http://schemas.openxmlformats.org/officeDocument/2006/relationships/image" Target="media/image384.png"/><Relationship Id="rId417" Type="http://schemas.openxmlformats.org/officeDocument/2006/relationships/image" Target="media/image385.png"/><Relationship Id="rId418" Type="http://schemas.openxmlformats.org/officeDocument/2006/relationships/image" Target="media/image386.png"/><Relationship Id="rId419" Type="http://schemas.openxmlformats.org/officeDocument/2006/relationships/image" Target="media/image387.png"/><Relationship Id="rId420" Type="http://schemas.openxmlformats.org/officeDocument/2006/relationships/image" Target="media/image388.png"/><Relationship Id="rId421" Type="http://schemas.openxmlformats.org/officeDocument/2006/relationships/image" Target="media/image389.png"/><Relationship Id="rId422" Type="http://schemas.openxmlformats.org/officeDocument/2006/relationships/image" Target="media/image390.png"/><Relationship Id="rId423" Type="http://schemas.openxmlformats.org/officeDocument/2006/relationships/image" Target="media/image391.png"/><Relationship Id="rId61" Type="http://schemas.openxmlformats.org/officeDocument/2006/relationships/hyperlink" Target="https://www.sec.gov/Archives/edgar/data/0001657573/000119312521206526/d120843d424b4.htm" TargetMode="External"/><Relationship Id="rId380" Type="http://schemas.openxmlformats.org/officeDocument/2006/relationships/hyperlink" Target="https://www.sec.gov/Archives/edgar/data/0001657573/000119312521207643/d184650dex31.htm" TargetMode="External"/><Relationship Id="rId381" Type="http://schemas.openxmlformats.org/officeDocument/2006/relationships/hyperlink" Target="https://www.sec.gov/Archives/edgar/data/0001657573/000119312521207643/d184650dex32.htm" TargetMode="External"/><Relationship Id="rId382" Type="http://schemas.openxmlformats.org/officeDocument/2006/relationships/hyperlink" Target="https://www.sec.gov/Archives/edgar/data/0001657573/000119312522028542/d278632dex41.htm" TargetMode="External"/><Relationship Id="rId383" Type="http://schemas.openxmlformats.org/officeDocument/2006/relationships/hyperlink" Target="https://www.sec.gov/Archives/edgar/data/0001657573/000119312522028542/d278632dex41.htm#exa" TargetMode="External"/><Relationship Id="rId384" Type="http://schemas.openxmlformats.org/officeDocument/2006/relationships/hyperlink" Target="https://www.sec.gov/Archives/edgar/data/0001657573/000119312521200359/d120843dex41.htm" TargetMode="External"/><Relationship Id="rId385" Type="http://schemas.openxmlformats.org/officeDocument/2006/relationships/hyperlink" Target="https://www.sec.gov/Archives/edgar/data/0001657573/000119312521194064/d120843dex109.htm" TargetMode="External"/><Relationship Id="rId386" Type="http://schemas.openxmlformats.org/officeDocument/2006/relationships/hyperlink" Target="https://www.sec.gov/Archives/edgar/data/0001657573/000119312521200359/d120843dex1010.htm" TargetMode="External"/><Relationship Id="rId387" Type="http://schemas.openxmlformats.org/officeDocument/2006/relationships/hyperlink" Target="https://www.sec.gov/Archives/edgar/data/0001657573/000119312521200359/d120843dex1011.htm" TargetMode="External"/><Relationship Id="rId388" Type="http://schemas.openxmlformats.org/officeDocument/2006/relationships/hyperlink" Target="https://www.sec.gov/Archives/edgar/data/0001657573/000119312521200359/d120843dex1012.htm" TargetMode="External"/><Relationship Id="rId389" Type="http://schemas.openxmlformats.org/officeDocument/2006/relationships/hyperlink" Target="https://www.sec.gov/Archives/edgar/data/0001657573/000119312521200359/d120843dex1013.htm" TargetMode="External"/><Relationship Id="rId390" Type="http://schemas.openxmlformats.org/officeDocument/2006/relationships/hyperlink" Target="https://www.sec.gov/Archives/edgar/data/0001657573/000119312521200359/d120843dex1014.htm" TargetMode="External"/><Relationship Id="rId391" Type="http://schemas.openxmlformats.org/officeDocument/2006/relationships/hyperlink" Target="https://www.sec.gov/Archives/edgar/data/0001657573/000119312521194064/d120843dex1015.htm" TargetMode="External"/><Relationship Id="rId392" Type="http://schemas.openxmlformats.org/officeDocument/2006/relationships/hyperlink" Target="https://www.sec.gov/Archives/edgar/data/0001657573/000119312521194064/d120843dex1018.htm" TargetMode="External"/><Relationship Id="rId393" Type="http://schemas.openxmlformats.org/officeDocument/2006/relationships/hyperlink" Target="https://www.sec.gov/Archives/edgar/data/0001657573/000119312521350901/d254750dex21.htm" TargetMode="External"/><Relationship Id="rId394" Type="http://schemas.openxmlformats.org/officeDocument/2006/relationships/hyperlink" Target="https://www.sec.gov/Archives/edgar/data/0001657573/000119312521181945/d120843dex101.htm" TargetMode="External"/><Relationship Id="rId395" Type="http://schemas.openxmlformats.org/officeDocument/2006/relationships/hyperlink" Target="https://www.sec.gov/Archives/edgar/data/0001657573/000119312521181945/d120843dex102.htm" TargetMode="External"/><Relationship Id="rId396" Type="http://schemas.openxmlformats.org/officeDocument/2006/relationships/hyperlink" Target="https://www.sec.gov/Archives/edgar/data/0001657573/000119312521181945/d120843dex103.htm" TargetMode="External"/><Relationship Id="rId399" Type="http://schemas.openxmlformats.org/officeDocument/2006/relationships/hyperlink" Target="https://www.sec.gov/Archives/edgar/data/0001657573/000119312521181945/d120843dex104.htm" TargetMode="External"/><Relationship Id="rId400" Type="http://schemas.openxmlformats.org/officeDocument/2006/relationships/hyperlink" Target="https://www.sec.gov/Archives/edgar/data/0001657573/000119312521181945/d120843dex105.htm" TargetMode="External"/><Relationship Id="rId401" Type="http://schemas.openxmlformats.org/officeDocument/2006/relationships/hyperlink" Target="https://www.sec.gov/Archives/edgar/data/0001657573/000119312521181945/d120843dex106.htm" TargetMode="External"/><Relationship Id="rId402" Type="http://schemas.openxmlformats.org/officeDocument/2006/relationships/hyperlink" Target="https://www.sec.gov/Archives/edgar/data/0001657573/000119312521181945/d120843dex107.htm" TargetMode="External"/><Relationship Id="rId403" Type="http://schemas.openxmlformats.org/officeDocument/2006/relationships/hyperlink" Target="https://www.sec.gov/Archives/edgar/data/0001657573/000119312521181945/d120843dex108.htm" TargetMode="External"/><Relationship Id="rId404" Type="http://schemas.openxmlformats.org/officeDocument/2006/relationships/hyperlink" Target="https://www.sec.gov/Archives/edgar/data/0001657573/000119312521194064/d120843dex1016.htm" TargetMode="External"/><Relationship Id="rId405" Type="http://schemas.openxmlformats.org/officeDocument/2006/relationships/hyperlink" Target="https://www.sec.gov/Archives/edgar/data/0001657573/000119312521194064/d120843dex101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2022-03-18T15:15:42Z</dcterms:created>
  <dcterms:modified xsi:type="dcterms:W3CDTF">2022-03-18T15:15:42Z</dcterms:modified>
</cp:coreProperties>
</file>