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mtr-20251231.htm"/>
      <w:bookmarkStart w:id="1" w:name="ksxmtr20251231"/>
      <w:bookmarkEnd w:id="0"/>
      <w:bookmarkEnd w:id="1"/>
      <w:r>
        <w:rPr/>
        <w:t> </w:t>
      </w:r>
    </w:p>
    <w:p>
      <w:pPr>
        <w:pStyle w:val="TextBody"/>
        <w:pBdr>
          <w:top w:val="double" w:sz="4" w:space="1" w:color="000000"/>
        </w:pBdr>
        <w:bidi w:val="0"/>
        <w:jc w:val="left"/>
        <w:rPr>
          <w:rFonts w:ascii="Times New Roman" w:hAnsi="Times New Roman"/>
          <w:color w:val="000000"/>
          <w:sz w:val="2"/>
        </w:rPr>
      </w:pPr>
      <w:r>
        <w:rPr>
          <w:rFonts w:ascii="Times New Roman" w:hAnsi="Times New Roman"/>
          <w:color w:val="000000"/>
          <w:sz w:val="2"/>
        </w:rPr>
        <w:t>[</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001-40546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Xometry,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6116 Executive Blvd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18"/>
              </w:rPr>
              <w:t>Suite 800</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8"/>
              </w:rPr>
              <w:t>North Bethesda, MD</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 xml:space="preserve">Registrant’s telephone number, including area code: </w:t>
      </w:r>
      <w:r>
        <w:rPr>
          <w:rFonts w:ascii="Times New Roman" w:hAnsi="Times New Roman"/>
          <w:b/>
          <w:color w:val="000000"/>
          <w:sz w:val="20"/>
        </w:rPr>
        <w:t>(240) 252-1138</w:t>
      </w:r>
    </w:p>
    <w:p>
      <w:pPr>
        <w:pStyle w:val="TextBody"/>
        <w:bidi w:val="0"/>
        <w:spacing w:before="60" w:after="283"/>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4006"/>
        <w:gridCol w:w="146"/>
        <w:gridCol w:w="826"/>
        <w:gridCol w:w="146"/>
        <w:gridCol w:w="3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60" w:after="283"/>
        <w:jc w:val="left"/>
        <w:rPr>
          <w:rFonts w:ascii="Times New Roman" w:hAnsi="Times New Roman"/>
          <w:color w:val="000000"/>
          <w:sz w:val="15"/>
        </w:rPr>
      </w:pPr>
      <w:r>
        <w:rPr>
          <w:rFonts w:ascii="Times New Roman" w:hAnsi="Times New Roman"/>
          <w:color w:val="000000"/>
          <w:sz w:val="15"/>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based on the closing price of the shares of common stock as reported by The Nasdaq Global Select Market on June 30, 2025 was</w:t>
      </w:r>
      <w:r>
        <w:rPr>
          <w:rFonts w:ascii="Times New Roman" w:hAnsi="Times New Roman"/>
          <w:color w:val="000000"/>
          <w:sz w:val="20"/>
        </w:rPr>
        <w:t xml:space="preserve"> </w:t>
      </w:r>
      <w:r>
        <w:rPr>
          <w:rFonts w:ascii="Times New Roman" w:hAnsi="Times New Roman"/>
          <w:color w:val="000000"/>
          <w:sz w:val="15"/>
        </w:rPr>
        <w:t>$1.5</w:t>
      </w:r>
      <w:r>
        <w:rPr>
          <w:rFonts w:ascii="Times New Roman" w:hAnsi="Times New Roman"/>
          <w:color w:val="000000"/>
          <w:sz w:val="20"/>
        </w:rPr>
        <w:t xml:space="preserve"> </w:t>
      </w:r>
      <w:r>
        <w:rPr>
          <w:rFonts w:ascii="Times New Roman" w:hAnsi="Times New Roman"/>
          <w:color w:val="000000"/>
          <w:sz w:val="15"/>
        </w:rPr>
        <w:t>billion.</w:t>
      </w:r>
    </w:p>
    <w:p>
      <w:pPr>
        <w:pStyle w:val="TextBody"/>
        <w:bidi w:val="0"/>
        <w:spacing w:before="60" w:after="283"/>
        <w:jc w:val="left"/>
        <w:rPr>
          <w:rFonts w:ascii="Times New Roman" w:hAnsi="Times New Roman"/>
          <w:sz w:val="20"/>
        </w:rPr>
      </w:pPr>
      <w:r>
        <w:rPr>
          <w:rFonts w:ascii="Times New Roman" w:hAnsi="Times New Roman"/>
          <w:color w:val="000000"/>
          <w:sz w:val="15"/>
        </w:rPr>
        <w:t>The number of shares of Registrant’s Class A common stock outstanding as of February 9, 2026 was 50,349,113</w:t>
      </w:r>
      <w:r>
        <w:rPr>
          <w:rFonts w:ascii="Times New Roman" w:hAnsi="Times New Roman"/>
          <w:color w:val="000000"/>
          <w:sz w:val="20"/>
        </w:rPr>
        <w:t xml:space="preserve"> </w:t>
      </w:r>
      <w:r>
        <w:rPr>
          <w:rFonts w:ascii="Times New Roman" w:hAnsi="Times New Roman"/>
          <w:color w:val="000000"/>
          <w:sz w:val="15"/>
        </w:rPr>
        <w:t>and the number of shares of the registrant’s Class B common stock outstanding as of February 9, 2026 was 1,475,311.</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jc w:val="left"/>
        <w:rPr>
          <w:rFonts w:ascii="Times New Roman" w:hAnsi="Times New Roman"/>
          <w:sz w:val="20"/>
        </w:rPr>
      </w:pPr>
      <w:r>
        <w:rPr>
          <w:rFonts w:ascii="Times New Roman" w:hAnsi="Times New Roman"/>
          <w:color w:val="000000"/>
          <w:sz w:val="16"/>
        </w:rPr>
        <w:t>Portions of the Registrant’s definitive proxy statement for the Registrant’s 2026 annual meeting of stockholders, to be filed within 120 days after the close of the Registrant’s fiscal year, are incorporated by reference into Part III of this Annual Report.</w:t>
      </w:r>
      <w:r>
        <w:rPr>
          <w:rFonts w:ascii="Times New Roman" w:hAnsi="Times New Roman"/>
          <w:color w:val="000000"/>
          <w:sz w:val="20"/>
        </w:rPr>
        <w:t xml:space="preserve"> </w:t>
      </w:r>
    </w:p>
    <w:p>
      <w:pPr>
        <w:pStyle w:val="TextBody"/>
        <w:bidi w:val="0"/>
        <w:jc w:val="left"/>
        <w:rPr/>
      </w:pPr>
      <w:r>
        <w:rPr/>
        <w:t> </w:t>
      </w:r>
    </w:p>
    <w:tbl>
      <w:tblPr>
        <w:tblW w:w="6936" w:type="dxa"/>
        <w:jc w:val="left"/>
        <w:tblInd w:w="0" w:type="dxa"/>
        <w:tblLayout w:type="fixed"/>
        <w:tblCellMar>
          <w:top w:w="28" w:type="dxa"/>
          <w:left w:w="28" w:type="dxa"/>
          <w:bottom w:w="28" w:type="dxa"/>
          <w:right w:w="28" w:type="dxa"/>
        </w:tblCellMar>
      </w:tblPr>
      <w:tblGrid>
        <w:gridCol w:w="1321"/>
        <w:gridCol w:w="286"/>
        <w:gridCol w:w="1186"/>
        <w:gridCol w:w="1741"/>
        <w:gridCol w:w="1351"/>
        <w:gridCol w:w="1051"/>
      </w:tblGrid>
      <w:tr>
        <w:trPr/>
        <w:tc>
          <w:tcPr>
            <w:tcW w:w="13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Auditor Firm Id: </w:t>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34</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Auditor Name: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Deloitte &amp; Touche LLP</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Location:</w:t>
            </w:r>
          </w:p>
        </w:tc>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McLean, VA</w:t>
            </w:r>
          </w:p>
        </w:tc>
      </w:tr>
    </w:tbl>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
              <w:r>
                <w:rPr>
                  <w:rStyle w:val="InternetLink"/>
                  <w:rFonts w:ascii="Times New Roman" w:hAnsi="Times New Roman"/>
                  <w:b/>
                  <w:color w:val="0000FF"/>
                  <w:sz w:val="20"/>
                  <w:u w:val="single"/>
                </w:rPr>
                <w:t>PART 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
              <w:r>
                <w:rPr>
                  <w:rStyle w:val="InternetLink"/>
                  <w:rFonts w:ascii="Times New Roman" w:hAnsi="Times New Roman"/>
                  <w:b/>
                  <w:color w:val="0000FF"/>
                  <w:sz w:val="20"/>
                  <w:u w:val="single"/>
                </w:rPr>
                <w:t>PART 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sa">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_">
              <w:r>
                <w:rPr>
                  <w:rStyle w:val="InternetLink"/>
                  <w:rFonts w:ascii="Times New Roman" w:hAnsi="Times New Roman"/>
                  <w:b/>
                  <w:color w:val="0000FF"/>
                  <w:sz w:val="20"/>
                  <w:u w:val="single"/>
                </w:rPr>
                <w:t>PART III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_">
              <w:r>
                <w:rPr>
                  <w:rStyle w:val="InternetLink"/>
                  <w:rFonts w:ascii="Times New Roman" w:hAnsi="Times New Roman"/>
                  <w:b/>
                  <w:color w:val="0000FF"/>
                  <w:sz w:val="20"/>
                  <w:u w:val="single"/>
                </w:rPr>
                <w:t>PART IV</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anticipated growth of our business, including our ability to effectively manage or sustain our growth and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inflation, interest rates, recessionary factors, foreign exchange rate volatility, tariffs and other trade barriers, domestic and global geopolitical uncertainties, public health crises, supply-chain disruptions or other macroeconomic factors, which may lead to periods of global economic uncertainty;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new buyers and suppliers and successfully engage new and existing buyers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success of our sales and marketing efforts, and our ability to promote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maintain, protect and enforce our intellectual property or other proprietary rights and any costs associated therewith;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effectively manage our costs and expenses, which may be impacted by changes in tariff policies and inflationary pressures;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rates of the markets in which we compete.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 Item 1A, and elsewhere in this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forward-looking statements made in this Form 10-K relate only to events as of the date on which the statements are made. We undertake no obligation to update any forward-looking statements made in this Form 10-K to reflect events or circumstances after the date of this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2" w:name="part_i_"/>
      <w:bookmarkEnd w:id="2"/>
      <w:r>
        <w:rPr>
          <w:rFonts w:ascii="Times New Roman" w:hAnsi="Times New Roman"/>
          <w:b/>
          <w:color w:val="000000"/>
          <w:sz w:val="20"/>
        </w:rPr>
        <w:t>PART I</w:t>
      </w:r>
    </w:p>
    <w:p>
      <w:pPr>
        <w:pStyle w:val="TextBody"/>
        <w:bidi w:val="0"/>
        <w:spacing w:before="200" w:after="200"/>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Our Mission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Xometry, Inc. (“Xometry”, the “Company”, “our”, or “we”) was founded in 2013 with the mission to make the world's manufacturing capacity accessible to all. Xometry's Artificial Intelligence ("AI") native marketplace that is digitizing how custom manufacturing is priced, sourced and fulfilled globally.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About Our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Xometry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also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Our Platforms &amp; Technology</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Xometry Marketplace Platform and Technology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Xometry operates an AI-native online marketplace that connects buyers with suppliers of manufacturing services, driving the digital transformation of one of the largest industries in the world. The platform is designed to digitize and modernize the sourcing, pricing, and execution of manufacturing work across a broad range of processes, materials and industries, enabling more efficient matching of manufacturing demand with available production capacity. We facilitate innovation by providing real-time access to global manufacturing demand and capacity. We believe these capabilities position Xometry as a preferred digital collaboration, sourcing and transaction platform for custom manufacturing, supporting long-term engagement and repeat usage across both sides of the marketplace, and lead to Xometry becoming an integral part of our buyer’s supply chains.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color w:val="000000"/>
          <w:sz w:val="20"/>
        </w:rPr>
        <w:t xml:space="preserve">Instant Quoting Engine®. </w:t>
      </w:r>
      <w:r>
        <w:rPr>
          <w:rFonts w:ascii="Times New Roman" w:hAnsi="Times New Roman"/>
          <w:color w:val="000000"/>
          <w:sz w:val="20"/>
        </w:rPr>
        <w:t>Our AI-native instant quoting engine provides pricing and lead times, simplifying the buyers’ decision-making process. We deliver real-time automated design for manufacturing (“DFM”) insights during the purchase funnel, enabling buyers to purchase with greater confidence while reducing downstream operational overhead related to manufacturability issues during job sourcing or production. By analyzing part geometry, materials, tolerances, quantities, historical transaction data and supplier performance signals, the platform delivers rapid, data-driven sourcing decisions that reduce time-to-production and procurement friction. With a rapidly growing global network of 4,996 Active Suppliers, Xometry offers significant production capacity and flexibility, ensuring that our 81,821 Active Buyers receive high-quality results while meeting demanding timelines. This scale enables customers to source everything from early-stage prototypes to production-scale orders across a single digital platform.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define Active Suppliers as suppliers that have used our platform at least once during the last twelve months to manufacture a product. In addition, we define Active Buyers as buyers who have made at least one purchase on our marketplace during the last twelve months.</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color w:val="000000"/>
          <w:sz w:val="20"/>
        </w:rPr>
        <w:t xml:space="preserve">Proprietary AI tech stack and data. </w:t>
      </w:r>
      <w:r>
        <w:rPr>
          <w:rFonts w:ascii="Times New Roman" w:hAnsi="Times New Roman"/>
          <w:color w:val="000000"/>
          <w:sz w:val="20"/>
        </w:rPr>
        <w:t>The Xometry marketplace is powered by proprietary machine learning technology that continuously learns from hundreds of millions of data inputs generated across marketplace interactions, including quoting activity, order execution, supplier performance, pricing outcomes and customer behavior. These data assets and models enable ongoing improvements to pricing accuracy, lead-time predictability, manufacturability analysis and supplier matching. Over time, this feedback loop enhances marketplace efficiency, improves customer outcomes, and strengthens the overall performance of the ecosystem. Each quarter of growth and improvements in our technology has helped to incrementally power the quarters that follow. We continue to invest in a dynamic, personalized pricing engine that leverages AI to calibrate customer- and category-level price sensitivity, enabling the platform to deliver improved pricing value while balancing supply availability, customer demand and supplier economics.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color w:val="000000"/>
        </w:rPr>
      </w:pPr>
      <w:r>
        <w:rPr>
          <w:color w:val="000000"/>
        </w:rPr>
        <w:t>•</w:t>
      </w:r>
    </w:p>
    <w:p>
      <w:pPr>
        <w:pStyle w:val="TextBody"/>
        <w:bidi w:val="0"/>
        <w:spacing w:before="200" w:after="200"/>
        <w:jc w:val="both"/>
        <w:rPr/>
      </w:pPr>
      <w:r>
        <w:rPr>
          <w:rFonts w:ascii="Times New Roman" w:hAnsi="Times New Roman"/>
          <w:b/>
          <w:color w:val="000000"/>
          <w:sz w:val="20"/>
        </w:rPr>
        <w:t xml:space="preserve">Extensible Marketplace Platform. </w:t>
      </w:r>
      <w:r>
        <w:rPr>
          <w:rFonts w:ascii="Times New Roman" w:hAnsi="Times New Roman"/>
          <w:color w:val="000000"/>
          <w:sz w:val="20"/>
        </w:rPr>
        <w:t>The Xometry marketplace is extensible, supporting an expansive set of traditional and emerging manufacturing processes, a growing selection of materials, and comprehensive quality assurance options offered by our supplier network. As new processes, capabilities and suppliers are added to the marketplace, the platform can rapidly incorporate them into its quoting, matching and workflow systems. This extensibility positions us to scale efficiently and capture new categories introduced by our suppliers, enabling buyers to access customized manufacturing solutions aligned with their industry needs and preferences. We provide buyers with rigorous quality and certification standards designed to ensure parts are manufactured to meet industry-specific compliance and quality benchmarks. We maintain supplier qualification, performance monitoring and quality assurance processes intended to provide customers confidence in the consistency, reliability and durability of parts produced through the platform. We focus on ensuring high-quality delivery and reducing rework through AI-powered inspection and virtual quality control capabilities designed to identify potential quality issues earlier in the manufacturing lifecycle.</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color w:val="000000"/>
          <w:sz w:val="20"/>
        </w:rPr>
        <w:t xml:space="preserve">Digital Infrastructure for Enterprise Customers. </w:t>
      </w:r>
      <w:r>
        <w:rPr>
          <w:rFonts w:ascii="Times New Roman" w:hAnsi="Times New Roman"/>
          <w:color w:val="000000"/>
          <w:sz w:val="20"/>
        </w:rPr>
        <w:t>To support enterprise customers, we are investing in automation to simplify onboarding and ongoing procurement management, including punchout integrations across a broader range of enterprise resource planning (“ERP”) systems. We also continue to expand the capabilities of Teamspace, Xometry’s proprietary cloud-based on-platform solution that enables customers to collaborate with other users on projects and custom part orders. These technology solutions help drive our land and expand efforts by embedding Xometry further into enterprise workflows. Our standardized, timely messaging platform enables the consistent publication of critical events and updates to both customers and suppliers, ensuring reliable, on-time communication across the marketplace.</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color w:val="000000"/>
          <w:sz w:val="20"/>
        </w:rPr>
        <w:t>Global Sourcing Network.</w:t>
      </w:r>
      <w:r>
        <w:rPr>
          <w:color w:val="000000"/>
        </w:rPr>
        <w:t xml:space="preserve"> </w:t>
      </w:r>
      <w:r>
        <w:rPr>
          <w:rFonts w:ascii="Times New Roman" w:hAnsi="Times New Roman"/>
          <w:color w:val="000000"/>
          <w:sz w:val="20"/>
        </w:rPr>
        <w:t>We provide sourcing and pricing across a network of buyers and suppliers, offer access to a wide and growing range of manufacturing processes through our diverse and expanding supplier network, and enable business success through additional products and services that serve the unique needs of each side of our marketplace. For suppliers, the marketplace provides consistent access to qualified demand, automated job matching and tools to manage capacity utilization and operational efficiency. We believe our growing supplier network, combined with our technology-enabled matching capabilities, creates a differentiated value proposition for both buyers and suppliers.</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color w:val="000000"/>
          <w:sz w:val="20"/>
        </w:rPr>
        <w:t xml:space="preserve">Workcenter Partner Network Operating System. </w:t>
      </w:r>
      <w:r>
        <w:rPr>
          <w:rFonts w:ascii="Times New Roman" w:hAnsi="Times New Roman"/>
          <w:color w:val="000000"/>
          <w:sz w:val="20"/>
        </w:rPr>
        <w:t>For suppliers, we continue to expand functionality within our partner-facing mobile application, Workcenter, available on both iOS and Android. These investments are designed to meet suppliers where they work most effectively and to simplify job management through optimized workflows, on-platform communication for support, personalized offers and streamlined job acceptance, driving higher supplier engagement and marketplace participation.</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Thomasnet Platform and Technology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Thomasnet® is a leading digital platform connecting industrial buyers with over 500,000 listed North America suppliers. Operating at the intersection of digital marketing, industrial sourcing, and supply chain management. Thomasnet supports manufacturers, distributors, and service providers with tools and resources to enhance visibility, drive qualified leads, and streamline procurement processes. Through our Thomasnet platform, we offer a suite of digital marketing services including search engine optimization ("SEO"), content creation, data-driven advertising, analytics and insights. These solutions help industrial companies increase online visibility and drive business growth. In late 2025, Thomasnet launched new platform tools designed to help industrial buyers source optimal suppliers including a dynamic advertising platform and improved search technology. The new performance-based listings model allows industrial business advertisers to set budgets and only pay for potential buyers who interact with their profiles. Thomasnet also launched new natural language search tools that enable buyers to run complex, multi-capability searches and identify more relevant suppliers for their needs.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Industry Overview and Opportunity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global manufacturing industry is at an important inflection point. The urgent need for resilient, localized and compliant supply chains—combined with the shift toward AI-driven automation—has increased the value proposition of our platforms. We are the bridge to a more efficient, transparent and resilient future for custom manufacturing.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that we are only at the beginning of our journey to digitize the world’s production capacity. We estimate the addressable market for our marketplace is approximately $275 billion based on the estimated size of the market for key manufacturing processes offered on our platform, including computer numerical control (“CNC”) machining, injection molding, 3D printing, sheet forming and cutting, die casting, urethane casting, tube cutting and tube bending. Our Thomasnet industrial sourcing platform, which offers over 80,000 industrial categories, further expands our total addressable market.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 xml:space="preserve">Custom Manufacturing is a massive, highly fragmented, and regionalized industry in need of solutions to drive efficiency. </w:t>
      </w:r>
      <w:r>
        <w:rPr>
          <w:rFonts w:ascii="Times New Roman" w:hAnsi="Times New Roman"/>
          <w:color w:val="000000"/>
          <w:sz w:val="20"/>
        </w:rPr>
        <w:t xml:space="preserve">The global manufacturing industry is one of the largest and most important industries in the world. We believe the industry is undergoing increased digitization via a number of global thematic shifts, including changing demand for production, new manufacturing technologies, and shifting value chains, and is in need of solutions to drive efficiency and create opportunities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these dynamics. Furthermore, the manufacturing industry is largely composed of small- to medium-sized manufacturers and we believe that there are significant barriers to entry for these businesses, who have to compete with scaled, better-resourced manufacturers. Xometry has an opportunity to help these small- to medium-sized manufacturers with their financing, advertising and marketing through our services.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i/>
          <w:color w:val="000000"/>
          <w:sz w:val="20"/>
        </w:rPr>
        <w:t xml:space="preserve">Sourcing manufacturing opportunities is a complex, costly and time-consuming process. </w:t>
      </w:r>
      <w:r>
        <w:rPr>
          <w:rFonts w:ascii="Times New Roman" w:hAnsi="Times New Roman"/>
          <w:color w:val="000000"/>
          <w:sz w:val="20"/>
        </w:rPr>
        <w:t xml:space="preserve">Even for the most sophisticated buyers and suppliers, the manufacturing sourcing and procurement process is complex, fraught with uncertainty, costly and time-consuming. We believe that changing the labor-intensive sourcing process presents a significant opportunity as buyers and suppliers look for more efficient ways to source demand and launch production.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Resilient, localized and compliant supply chains are imperative.</w:t>
      </w:r>
      <w:r>
        <w:rPr>
          <w:color w:val="000000"/>
        </w:rPr>
        <w:t xml:space="preserve"> </w:t>
      </w:r>
      <w:r>
        <w:rPr>
          <w:rFonts w:ascii="Times New Roman" w:hAnsi="Times New Roman"/>
          <w:color w:val="000000"/>
          <w:sz w:val="20"/>
        </w:rPr>
        <w:t xml:space="preserve">There is a significant opportunity to help companies around the world improve their supply chain diversification, access just-in-time production, and build supply chain resilience. The effects of ongoing geopolitical instability and the potential impact arising from changes in trade policies have highlighted the urgent need for resilient and localized supply chains. </w:t>
      </w:r>
    </w:p>
    <w:p>
      <w:pPr>
        <w:pStyle w:val="TextBody"/>
        <w:bidi w:val="0"/>
        <w:spacing w:before="120" w:after="200"/>
        <w:jc w:val="both"/>
        <w:rPr>
          <w:color w:val="000000"/>
        </w:rPr>
      </w:pPr>
      <w:r>
        <w:rPr>
          <w:color w:val="000000"/>
        </w:rPr>
        <w:t>•</w:t>
      </w:r>
    </w:p>
    <w:p>
      <w:pPr>
        <w:pStyle w:val="TextBody"/>
        <w:bidi w:val="0"/>
        <w:spacing w:before="120" w:after="200"/>
        <w:jc w:val="both"/>
        <w:rPr/>
      </w:pPr>
      <w:r>
        <w:rPr>
          <w:rFonts w:ascii="Times New Roman" w:hAnsi="Times New Roman"/>
          <w:b/>
          <w:i/>
          <w:color w:val="000000"/>
          <w:sz w:val="20"/>
        </w:rPr>
        <w:t>AI is driving an inflection point for industry digitization.</w:t>
      </w:r>
      <w:r>
        <w:rPr>
          <w:color w:val="000000"/>
        </w:rPr>
        <w:t xml:space="preserve"> </w:t>
      </w:r>
      <w:r>
        <w:rPr>
          <w:rFonts w:ascii="Times New Roman" w:hAnsi="Times New Roman"/>
          <w:color w:val="000000"/>
          <w:sz w:val="20"/>
        </w:rPr>
        <w:t xml:space="preserve">We believe artificial intelligence is becoming foundational to manufacturing’s digital transformation. Beyond incremental automation, AI is increasingly embedded in the infrastructure that governs how work is sourced, priced, and produced. In an environment of ongoing supply-chain volatility and increased reshoring, AI-driven platforms are enabling faster decision-making, greater resilience, and improved constructive competitiveness across the manufacturing ecosystem.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i/>
          <w:color w:val="000000"/>
          <w:sz w:val="20"/>
        </w:rPr>
        <w:t xml:space="preserve">Increasing focus on the manufacturing industry to address environmental and sustainability issues. </w:t>
      </w:r>
      <w:r>
        <w:rPr>
          <w:rFonts w:ascii="Times New Roman" w:hAnsi="Times New Roman"/>
          <w:color w:val="000000"/>
          <w:sz w:val="20"/>
        </w:rPr>
        <w:t>Companies and investors are increasingly focused on the importance of environmental and sustainability issues. Supply chain management is a major source of carbon emissions. We believe companies will increasingly look to productive business solutions that limit carbon emissions throughout the manufacturing ecosystem.</w:t>
      </w:r>
    </w:p>
    <w:p>
      <w:pPr>
        <w:pStyle w:val="TextBody"/>
        <w:bidi w:val="0"/>
        <w:spacing w:before="200" w:after="200"/>
        <w:jc w:val="both"/>
        <w:rPr>
          <w:rFonts w:ascii="Times New Roman" w:hAnsi="Times New Roman"/>
          <w:sz w:val="20"/>
        </w:rPr>
      </w:pPr>
      <w:r>
        <w:rPr>
          <w:rFonts w:ascii="Times New Roman" w:hAnsi="Times New Roman"/>
          <w:b/>
          <w:color w:val="000000"/>
          <w:sz w:val="20"/>
        </w:rPr>
        <w:t>Our Growth Strategy</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believe our financial performance demonstrates the success of our purposefully built marketplace model in the large and highly fragmented custom manufacturing market. We have designed our marketplace structure to be a key differentiator to power our growth and adoption amongst our customers and suppliers. Our service offerings deepen our relationships with suppliers. We believe our results to date prove that a superior experience for both buyers and suppliers, fueled by the power of marketplace dynamics, can deliver sustainable growth and value. We aim to continue to drive strong growth and expanding Adjusted EBITDA margins (a non-GAAP measure) by consistent execution across our key growth initiatives:</w:t>
      </w:r>
    </w:p>
    <w:p>
      <w:pPr>
        <w:pStyle w:val="TextBody"/>
        <w:bidi w:val="0"/>
        <w:spacing w:before="200" w:after="200"/>
        <w:jc w:val="both"/>
        <w:rPr>
          <w:color w:val="000000"/>
        </w:rPr>
      </w:pPr>
      <w:r>
        <w:rPr>
          <w:color w:val="000000"/>
        </w:rPr>
        <w:t>•</w:t>
      </w:r>
    </w:p>
    <w:p>
      <w:pPr>
        <w:pStyle w:val="TextBody"/>
        <w:bidi w:val="0"/>
        <w:spacing w:before="200" w:after="200"/>
        <w:jc w:val="both"/>
        <w:rPr/>
      </w:pPr>
      <w:r>
        <w:rPr>
          <w:rFonts w:ascii="Times New Roman" w:hAnsi="Times New Roman"/>
          <w:b/>
          <w:i/>
          <w:color w:val="000000"/>
          <w:sz w:val="20"/>
        </w:rPr>
        <w:t>Expanding our networks of buyers and suppliers.</w:t>
      </w:r>
      <w:r>
        <w:rPr>
          <w:color w:val="000000"/>
        </w:rPr>
        <w:t xml:space="preserve"> </w:t>
      </w:r>
      <w:r>
        <w:rPr>
          <w:rFonts w:ascii="Times New Roman" w:hAnsi="Times New Roman"/>
          <w:color w:val="000000"/>
          <w:sz w:val="20"/>
        </w:rPr>
        <w:t>We continue to scale our global buyer and supplier networks, increasing liquidity, improving geographic coverage, and deepening our fulfillment capabilities. This growth enhances our proprietary data flywheel, enabling more accurate pricing, faster matching to the optimal supplier, and more resilient supply chain execution. In 2025, Active Buyers increased 20% to 81,821 driven by strong enterprise growth and efficient corporate marketing initiatives. In 2026, we plan to enhance our customer segmentation efforts, leveraging AI capabilities in our advertising technology stack to increase marketing efficiency through better personalization, targeting and customer engagement. We expect to continue to rapidly expand our global network of active suppliers given significant market fragmentation and our ability to help suppliers grow their manufacturing businesses. In 2025, Active Suppliers increased 17% year-over-year</w:t>
      </w:r>
      <w:r>
        <w:rPr>
          <w:rFonts w:ascii="Times New Roman" w:hAnsi="Times New Roman"/>
          <w:color w:val="000000"/>
          <w:sz w:val="13"/>
        </w:rPr>
        <w:t>(1)</w:t>
      </w:r>
      <w:r>
        <w:rPr>
          <w:color w:val="000000"/>
        </w:rPr>
        <w:t xml:space="preserve"> </w:t>
      </w:r>
      <w:r>
        <w:rPr>
          <w:rFonts w:ascii="Times New Roman" w:hAnsi="Times New Roman"/>
          <w:color w:val="000000"/>
          <w:sz w:val="20"/>
        </w:rPr>
        <w:t>to 4,996 as we focused among other things on adding larger, sophisticated suppliers with advanced certifications to support increasing enterprise growth. Our ability to drive global reach provides increasing flexibility, resilience and lead time advantages for our customers.</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i/>
          <w:color w:val="000000"/>
          <w:sz w:val="20"/>
        </w:rPr>
        <w:t>Expanding the Marketplace platform.</w:t>
      </w:r>
      <w:r>
        <w:rPr>
          <w:color w:val="000000"/>
        </w:rPr>
        <w:t xml:space="preserve"> </w:t>
      </w:r>
      <w:r>
        <w:rPr>
          <w:rFonts w:ascii="Times New Roman" w:hAnsi="Times New Roman"/>
          <w:color w:val="000000"/>
          <w:sz w:val="20"/>
        </w:rPr>
        <w:t>We are extending the breadth and intelligence of our platform by expanding supported manufacturing capabilities and enhancing digital workflows across the production lifecycle. Our continued investment in AI and infrastructure optimizes dynamic pricing, manufacturability, supplier routing, and fulfillment.</w:t>
      </w:r>
      <w:r>
        <w:rPr>
          <w:color w:val="000000"/>
        </w:rPr>
        <w:t xml:space="preserve"> </w:t>
      </w:r>
      <w:r>
        <w:rPr>
          <w:rFonts w:ascii="Times New Roman" w:hAnsi="Times New Roman"/>
          <w:color w:val="000000"/>
          <w:sz w:val="20"/>
        </w:rPr>
        <w:t xml:space="preserve">Our goal is to be the primary destination for our customers' manufacturing and supply chain needs. We continue to expand the Marketplace selection including new process categories, materials and finishes. In late 2025, we added the ability to auto quote injection molding, one of the largest categories in custom manufacturing.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6"/>
        </w:rPr>
        <w:t xml:space="preserve">In 2025, we </w:t>
      </w:r>
      <w:r>
        <w:rPr>
          <w:rFonts w:ascii="Times New Roman" w:hAnsi="Times New Roman"/>
          <w:color w:val="1D1C1D"/>
          <w:sz w:val="16"/>
        </w:rPr>
        <w:t>adjusted the number of our 2024 Active Suppliers to reflect an immaterial correction.</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color w:val="000000"/>
        </w:rPr>
      </w:pPr>
      <w:r>
        <w:rPr>
          <w:color w:val="000000"/>
        </w:rPr>
        <w:t>•</w:t>
      </w:r>
    </w:p>
    <w:p>
      <w:pPr>
        <w:pStyle w:val="TextBody"/>
        <w:bidi w:val="0"/>
        <w:spacing w:before="200" w:after="200"/>
        <w:jc w:val="both"/>
        <w:rPr/>
      </w:pPr>
      <w:r>
        <w:rPr>
          <w:rFonts w:ascii="Times New Roman" w:hAnsi="Times New Roman"/>
          <w:b/>
          <w:i/>
          <w:color w:val="000000"/>
          <w:sz w:val="20"/>
        </w:rPr>
        <w:t>Driving deeper enterprise engagement.</w:t>
      </w:r>
      <w:r>
        <w:rPr>
          <w:color w:val="000000"/>
        </w:rPr>
        <w:t xml:space="preserve"> </w:t>
      </w:r>
      <w:r>
        <w:rPr>
          <w:rFonts w:ascii="Times New Roman" w:hAnsi="Times New Roman"/>
          <w:color w:val="000000"/>
          <w:sz w:val="20"/>
        </w:rPr>
        <w:t>We are establishing Xometry as the core digital infrastructure for custom manufacturing for our large enterprise customers. We aim to reduce institutional friction by embedding our technology directly into customer workflows through tools like Teamspace and ERP integrations. As our platform becomes more embedded in enterprise workflows, it is driving larger, more predictable, multi-year spend. At the top of the enterprise funnel, marketplace accounts with last twelve month spend of at least $50,000 grew by 18% year-over-year to 1,760 in 2025. Our technology initiatives combined with our enterprise sales efforts are powering our land-and-expand success as the number of Accounts with Last Twelve-Months Spend of at least $500,000 increased to over 140 in fiscal year 2025 from over 100 in fiscal year 2024.</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i/>
          <w:color w:val="000000"/>
          <w:sz w:val="20"/>
        </w:rPr>
        <w:t xml:space="preserve">Growing internationally. </w:t>
      </w:r>
      <w:r>
        <w:rPr>
          <w:rFonts w:ascii="Times New Roman" w:hAnsi="Times New Roman"/>
          <w:color w:val="000000"/>
          <w:sz w:val="20"/>
        </w:rPr>
        <w:t xml:space="preserve">We believe there is significant opportunity in the global manufacturing ecosystem for a marketplace like Xometry given consistent buyer needs and supplier fragmentation across international markets. We continue to invest and grow our International business primarily driven by expansion in Europe, China and Turkey. We offer localized platforms supporting 18 languages. In 2025, International revenue increased 27% to $113 million, representing 18% of total marketplace revenue.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i/>
          <w:color w:val="000000"/>
          <w:sz w:val="20"/>
        </w:rPr>
        <w:t>Enhancing Services offerings.</w:t>
      </w:r>
      <w:r>
        <w:rPr>
          <w:color w:val="000000"/>
        </w:rPr>
        <w:t xml:space="preserve"> </w:t>
      </w:r>
      <w:r>
        <w:rPr>
          <w:rFonts w:ascii="Times New Roman" w:hAnsi="Times New Roman"/>
          <w:color w:val="000000"/>
          <w:sz w:val="20"/>
        </w:rPr>
        <w:t>We offer manufacturers a comprehensive suite of tools—including Thomasnet advertising, financial products like Instant Pay, and Workcenter software that allow us to deepen our supplier relationships and monetize the broader manufacturing ecosystem. Revenue from Services was approximately 8% of our total revenue for the year ended December 31, 2025 with the majority generated from Thomasnet advertising and marketing services. We are investing to restore Thomasnet advertising growth by improving the underlying platform technology. In late 2025, we launched a new dynamic ad-serving technology platform and enhanced search experience to improve buyer and supplier engagement on the Thomasnet platform.</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i/>
          <w:color w:val="000000"/>
          <w:sz w:val="20"/>
        </w:rPr>
        <w:t xml:space="preserve">Capital allocation focused on scaling profitable growth. </w:t>
      </w:r>
      <w:r>
        <w:rPr>
          <w:rFonts w:ascii="Times New Roman" w:hAnsi="Times New Roman"/>
          <w:color w:val="000000"/>
          <w:sz w:val="20"/>
        </w:rPr>
        <w:t>We are committed to delivering long-term shareholder value through disciplined execution on organic growth and a rigorous capital and resource allocation. Our fiscal year 2025 financial results demonstrate our ability to deliver strong revenue and gross profit growth, operating leverage and increasing adjusted EBITDA margins. We are focused on driving strong free cash flow conversion given our asset light model, with capital expenditures that are predominately capitalized software costs. We are also focused on maintaining a strong balance sheet with approximately $219.1 million in cash and cash equivalents and marketable securities as of December 31, 2025. With the size and complexity of the custom manufacturing industry, we believe there is an opportunity for selected, targeted, tuck-in acquisitions to expand our offerings and geographies including technology and talent.</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Key Benefits for Our Buyers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enable buyers across industries to source a broad array of manufacturing processes to meet their needs. We generate a majority of our revenue from marketplace orders on our platform.</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i/>
          <w:color w:val="000000"/>
          <w:sz w:val="20"/>
        </w:rPr>
        <w:t>Instant and Competitive Pricing and Lead Times.</w:t>
      </w:r>
      <w:r>
        <w:rPr>
          <w:color w:val="000000"/>
        </w:rPr>
        <w:t xml:space="preserve"> </w:t>
      </w:r>
      <w:r>
        <w:rPr>
          <w:rFonts w:ascii="Times New Roman" w:hAnsi="Times New Roman"/>
          <w:color w:val="000000"/>
          <w:sz w:val="20"/>
        </w:rPr>
        <w:t>Xometry's instant quoting engine represents a shift from the manual, complex and labor-intensive procurement process to a seamless automated, AI-driven, instant and transparent purchase. We create value for buyers through our marketplace which is fueled by the continuous learning of our AI-enabled technology platform. The data generated by platform interactions improves the efficiency of our marketplace pricing and improves lead times for buyers. As our AI technology learns buyer needs and preferences, it becomes more precise and efficient, leading to better pricing and matching which in turn drives greater buyer engagement on the platform.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Ease of Purchase.</w:t>
      </w:r>
      <w:r>
        <w:rPr>
          <w:color w:val="000000"/>
        </w:rPr>
        <w:t xml:space="preserve"> </w:t>
      </w:r>
      <w:r>
        <w:rPr>
          <w:rFonts w:ascii="Times New Roman" w:hAnsi="Times New Roman"/>
          <w:color w:val="000000"/>
          <w:sz w:val="20"/>
        </w:rPr>
        <w:t>We make it easy for buyers to transact on our marketplace by simplifying the procurement process and using e-commerce experience. After a buyer uploads a computer-aided design (“CAD”) file, our platform provides instant access to a wide range of materials, finishes and certifications, with transparent pricing and lead time information. Buyers can also access our e-commerce capabilities through our plug-ins created for various popular 3D CAD programs and punch-out integrations with widely-used ERP and procurement systems.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Access to a Growing Network of Suppliers.</w:t>
      </w:r>
      <w:r>
        <w:rPr>
          <w:color w:val="000000"/>
        </w:rPr>
        <w:t xml:space="preserve"> </w:t>
      </w:r>
      <w:r>
        <w:rPr>
          <w:rFonts w:ascii="Times New Roman" w:hAnsi="Times New Roman"/>
          <w:color w:val="000000"/>
          <w:sz w:val="20"/>
        </w:rPr>
        <w:t xml:space="preserve">We provide buyers access to a growing global network of suppliers on our platform. Our extensive network alongside a personalized user experience allows buyers to submit projects with unique components and specifications, which we source through our platform to the optimal suppliers. We implement select credentialing and compliance specifications to ensure that we can meet the standards for buyers across a number of industries.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Broad Suite of Industry-Specific Solutions.</w:t>
      </w:r>
      <w:r>
        <w:rPr>
          <w:color w:val="000000"/>
        </w:rPr>
        <w:t xml:space="preserve"> </w:t>
      </w:r>
      <w:r>
        <w:rPr>
          <w:rFonts w:ascii="Times New Roman" w:hAnsi="Times New Roman"/>
          <w:color w:val="000000"/>
          <w:sz w:val="20"/>
        </w:rPr>
        <w:t xml:space="preserve">We offer a wide range of traditional and emerging manufacturing processes and materials for customized solutions across massive industries including Aerospace, Industrial, Medical Devices, Automotive, Consumer Goods, Defense, Government, Energy, Education and Robotics. The extensibility of our platform allows us to add new processes over time.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Reliability and Quality.</w:t>
      </w:r>
      <w:r>
        <w:rPr>
          <w:color w:val="000000"/>
        </w:rPr>
        <w:t xml:space="preserve"> </w:t>
      </w:r>
      <w:r>
        <w:rPr>
          <w:rFonts w:ascii="Times New Roman" w:hAnsi="Times New Roman"/>
          <w:color w:val="000000"/>
          <w:sz w:val="20"/>
        </w:rPr>
        <w:t xml:space="preserve">We offer consistently high-quality products and certainty of order fulfillment for buyers. We are further embedding our platform into various buyer workflows by productizing our internal AI and workflow engine. Our enterprise integration supports procurement workflows and part and sourcing requirements. By embedding Xometry intelligence into workflows, we can deliver more reliable and relevant manufacturing solutions for buyers. </w:t>
      </w:r>
    </w:p>
    <w:p>
      <w:pPr>
        <w:pStyle w:val="TextBody"/>
        <w:bidi w:val="0"/>
        <w:spacing w:before="120" w:after="200"/>
        <w:jc w:val="both"/>
        <w:rPr>
          <w:color w:val="000000"/>
        </w:rPr>
      </w:pPr>
      <w:r>
        <w:rPr>
          <w:color w:val="000000"/>
        </w:rPr>
        <w:t>•</w:t>
      </w:r>
    </w:p>
    <w:p>
      <w:pPr>
        <w:pStyle w:val="TextBody"/>
        <w:bidi w:val="0"/>
        <w:spacing w:before="120" w:after="200"/>
        <w:jc w:val="both"/>
        <w:rPr/>
      </w:pPr>
      <w:r>
        <w:rPr>
          <w:rFonts w:ascii="Times New Roman" w:hAnsi="Times New Roman"/>
          <w:b/>
          <w:i/>
          <w:color w:val="000000"/>
          <w:sz w:val="20"/>
        </w:rPr>
        <w:t>Production Flexibility.</w:t>
      </w:r>
      <w:r>
        <w:rPr>
          <w:color w:val="000000"/>
        </w:rPr>
        <w:t xml:space="preserve"> </w:t>
      </w:r>
      <w:r>
        <w:rPr>
          <w:rFonts w:ascii="Times New Roman" w:hAnsi="Times New Roman"/>
          <w:color w:val="000000"/>
          <w:sz w:val="20"/>
        </w:rPr>
        <w:t xml:space="preserve">We allow buyers to purchase and reorder any number of parts and services, across dozens of manufacturing processes for rapid prototyping, product development and high-volume production. These processes can also be combined with a multitude of finishes available across CNC machining, sheet forming and cutting, tube bending and cutting, molding, casting, extrusion and additive manufacturing along with thousands of raw material and color combinations. Given this ability to provide tailored and scaled solutions, we find that buyers typically expand their use of our marketplace, sourcing a greater number of parts and processes over time.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b/>
          <w:i/>
          <w:color w:val="000000"/>
          <w:sz w:val="20"/>
        </w:rPr>
        <w:t xml:space="preserve">Comprehensive, Industry-Relevant Supplier Database. </w:t>
      </w:r>
      <w:r>
        <w:rPr>
          <w:rFonts w:ascii="Times New Roman" w:hAnsi="Times New Roman"/>
          <w:color w:val="000000"/>
          <w:sz w:val="20"/>
        </w:rPr>
        <w:t>Thomasnet has a comprehensive database of over 500,000 suppliers in North America, allowing buyers to create trustworthy shortlists for their niche sourcing and supply chain needs. For over 125 years, Thomasnet has offered buyers a seamless experience that delivers industry-relevant supplier information. Today’s supplier search results are based on a buyers’ natural language query, and those results can easily be filtered by region, company type, quality certifications, and ownership type.</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Key Benefits for Our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empower suppliers to grow their manufacturing businesses and improve machine utilization by providing access to an extensive, diverse base of buyers. We also offer suppliers supporting products and services to meet their unique needs.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i/>
          <w:color w:val="000000"/>
          <w:sz w:val="20"/>
        </w:rPr>
        <w:t>Cost-Efficient, Real-Time New Business Generation.</w:t>
      </w:r>
      <w:r>
        <w:rPr>
          <w:color w:val="000000"/>
        </w:rPr>
        <w:t xml:space="preserve"> </w:t>
      </w:r>
      <w:r>
        <w:rPr>
          <w:rFonts w:ascii="Times New Roman" w:hAnsi="Times New Roman"/>
          <w:color w:val="000000"/>
          <w:sz w:val="20"/>
        </w:rPr>
        <w:t xml:space="preserve">Through our AI-native marketplace, we offer suppliers access to manufacturing opportunities from our large, geographically and industry-diverse buyer base, allowing suppliers to gain new customers without increasing their sales and marketing spend. As our AI technology improves, our ability to generate new business for suppliers increases. Our model is designed to lower customer acquisition costs and improve suppliers’ margins over time. Our suite of services, including our leading Thomasnet platform, helps North American suppliers reach new customers, maximize their digital marketing strategies and grow their businesses.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Repeat, High-Quality Customers.</w:t>
      </w:r>
      <w:r>
        <w:rPr>
          <w:color w:val="000000"/>
        </w:rPr>
        <w:t xml:space="preserve"> </w:t>
      </w:r>
      <w:r>
        <w:rPr>
          <w:rFonts w:ascii="Times New Roman" w:hAnsi="Times New Roman"/>
          <w:color w:val="000000"/>
          <w:sz w:val="20"/>
        </w:rPr>
        <w:t>Following a successful transaction, we initially offer the same supplier the opportunity to accept the next repeat order in order to increase efficiency and reliability. Our ability to attract repeat buyers helps stabilize demand for suppliers so they can operate their businesses more efficiently.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Operational Excellence.</w:t>
      </w:r>
      <w:r>
        <w:rPr>
          <w:color w:val="000000"/>
        </w:rPr>
        <w:t xml:space="preserve"> </w:t>
      </w:r>
      <w:r>
        <w:rPr>
          <w:rFonts w:ascii="Times New Roman" w:hAnsi="Times New Roman"/>
          <w:color w:val="000000"/>
          <w:sz w:val="20"/>
        </w:rPr>
        <w:t xml:space="preserve">We aim to be a digital one-stop-shop for all workflow solutions for suppliers. We provide order management, shipping and collaboration tools, reducing friction for suppliers and improving overall manufacturing order process efficiency. In 2022, we introduced Workcenter, our partner operating system, which gives suppliers a one-stop view into all of their Xometry and non-Xometry work. A cloud-based manufacturing execution system, Workcenter brings the job board and financial services into one, easy-to-use platform which helps our suppliers digitize their operations so they can work smarter and faster. With Workcenter, shop owners can build and manage workflows for all their projects, including those from non-Xometry customers.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Financial Stability and Security.</w:t>
      </w:r>
      <w:r>
        <w:rPr>
          <w:color w:val="000000"/>
        </w:rPr>
        <w:t xml:space="preserve"> </w:t>
      </w:r>
      <w:r>
        <w:rPr>
          <w:rFonts w:ascii="Times New Roman" w:hAnsi="Times New Roman"/>
          <w:color w:val="000000"/>
          <w:sz w:val="20"/>
        </w:rPr>
        <w:t xml:space="preserve">Our financial services help suppliers enhance their cash flows. Suppliers can receive accelerated payouts and a seamless digital invoicing process in an industry that frequently still relies on analog payments that are prone to delays. These services help suppliers manage their business more efficiently.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Advertising and Marketing Solutions Tailored to Industry. </w:t>
      </w:r>
      <w:r>
        <w:rPr>
          <w:rFonts w:ascii="Times New Roman" w:hAnsi="Times New Roman"/>
          <w:color w:val="000000"/>
          <w:sz w:val="20"/>
        </w:rPr>
        <w:t xml:space="preserve">Our suite of digital advertising and marketing services provided on Thomasnet helps suppliers grow and efficiently run their business. Thomasnet's search platform attacts the industry-relevant corporate buyers that our suppliers want to work with. We offer suppliers a full slate of digital advertising and marketing services that help them build brand awareness and buyer engagement across organic and paid search, social media and AI-generated search summaries to further grow their businesses.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Increased Utilization.</w:t>
      </w:r>
      <w:r>
        <w:rPr>
          <w:color w:val="000000"/>
        </w:rPr>
        <w:t xml:space="preserve"> </w:t>
      </w:r>
      <w:r>
        <w:rPr>
          <w:rFonts w:ascii="Times New Roman" w:hAnsi="Times New Roman"/>
          <w:color w:val="000000"/>
          <w:sz w:val="20"/>
        </w:rPr>
        <w:t xml:space="preserve">We are focused on helping suppliers realize their potential by providing manufacturing opportunities that can be procured in a single click. Knowing that there is a reliable way to fill their capacity gives suppliers the confidence they need to invest in new equipment and hire additional employees. The convenience of this automated cycle drives greater order fulfillment and increased utilization across our supplier network. </w:t>
      </w:r>
    </w:p>
    <w:p>
      <w:pPr>
        <w:pStyle w:val="TextBody"/>
        <w:bidi w:val="0"/>
        <w:spacing w:before="120" w:after="200"/>
        <w:jc w:val="both"/>
        <w:rPr>
          <w:color w:val="000000"/>
        </w:rPr>
      </w:pPr>
      <w:r>
        <w:rPr>
          <w:color w:val="000000"/>
        </w:rPr>
        <w:t>•</w:t>
      </w:r>
    </w:p>
    <w:p>
      <w:pPr>
        <w:pStyle w:val="TextBody"/>
        <w:bidi w:val="0"/>
        <w:spacing w:before="120" w:after="200"/>
        <w:jc w:val="both"/>
        <w:rPr/>
      </w:pPr>
      <w:r>
        <w:rPr>
          <w:rFonts w:ascii="Times New Roman" w:hAnsi="Times New Roman"/>
          <w:b/>
          <w:i/>
          <w:color w:val="000000"/>
          <w:sz w:val="20"/>
        </w:rPr>
        <w:t>Supplier Community.</w:t>
      </w:r>
      <w:r>
        <w:rPr>
          <w:color w:val="000000"/>
        </w:rPr>
        <w:t xml:space="preserve"> </w:t>
      </w:r>
      <w:r>
        <w:rPr>
          <w:rFonts w:ascii="Times New Roman" w:hAnsi="Times New Roman"/>
          <w:color w:val="000000"/>
          <w:sz w:val="20"/>
        </w:rPr>
        <w:t>Through our supplier-focused community initiatives, we empower suppliers of a variety of sizes to grow their businesses.</w:t>
      </w:r>
      <w:r>
        <w:rPr>
          <w:color w:val="000000"/>
        </w:rPr>
        <w:t xml:space="preserve"> </w:t>
      </w:r>
      <w:r>
        <w:rPr>
          <w:rFonts w:ascii="Times New Roman" w:hAnsi="Times New Roman"/>
          <w:color w:val="000000"/>
          <w:sz w:val="20"/>
        </w:rPr>
        <w:t>Our Community Portal is an active and dedicated place where we can interact with our suppliers to better understand their needs and interests, and give them a platform to support one another. Our suppliers take pride in their craft and often share tips on machining best practices as well as how they leverage Xometry to work best for their shop.</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domestic and global on-demand manufacturing industry is localized and highly fragmented. We compete for both buyers and suppliers. We compete with the traditional, analog manner of buying and sourcing of custom manufactured parts. A key component of our competitive strategy and opportunity is to continue to build our brand awareness to drive digitization and further market share gains.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compete for buyers primarily with local manufacturers who may not be digitally enabled and do not provide online instant quote capabilities and lead times. Our competitors include vertically integrated service bureaus, traditional brokers, the service bureau divisions of the additive original equipment manufacturing companies, independent machine shops and 3D printing service bureaus and digital manufacturing service companies. For buyers, we compete on the basis of competitive pricing, user experience and superior customer service.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suppliers, we compete with brokers and listing services. Suppliers will pay independent brokers commissions to connect with buyers as well as list their services in offline trade publications and online listing services. We also compete with companies that sell software and services to suppliers, enabling them to sell from their own website or otherwise run their business independently of our platform. We compete for suppliers on the basis of providing real-time access to orders, cash flow stability, global access to customers and services and financial products.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strive to recruit, develop, and engage diverse, highly talented and driven employees who connect to our mission and model our core values. We believe that our strong, mission-driven culture and our continued investment in our employees’ growth and development are key to our collective success. As of December 31, 2025, we had 1,174 employees.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Xometry Culture and Engagement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global team is unified by our mission, and we are passionate about delivering every day for our buyers, suppliers and partners. Our core values, which are rooted in the spirit of entrepreneurism, guide how we connect with our industry, our community and each other. We take pride and celebrate our focus on the customer, whether external or internal, our inclusive collaboration, our desire to deliver exceptional solutions and service, and our creativity and innovation.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All of us at Xometry come to work with one mission in mind, to make the world's manufacturing capacity accessible for all.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Learning and Development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are committed to cultivating ongoing learning throughout each employee’s unique career journey at Xometry. We strive to continuously develop capabilities across our global teams and to ensure there are plentiful opportunities where our employees can showcase their expanding accomplishments. We seek to ensure our employees have the tools and resources they need to achieve their career goals covering a range of priority topics, through a variety of learning formats, and in close partnership and alignment with leaders.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believe career growth occurs by building a broad-based portfolio of capabilities and not just in a linear path, and we eagerly encourage and celebrate mobility throughout the organization.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committed to growing and empowering communities in our company, our industry, and the neighborhoods in which we live. We know that a diverse and thriving workforce is critical to attract and retain the talent necessary to grow our business. Our success depends on ideas. We can foster more productive ideas if we amplify all voices and provide the tools and resources to those who need them.</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compensation philosophy is to promote a pay-for-performance culture to attract, incentivize, and retain talented employees who can develop, implement, and drive long-term value creation strategies. We’ve designed our compensation program so that many of our employees have a component of their compensation that is performance or incentive driven.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designed our total rewards approach to include a range of offerings to reward, engage and support our employees. This includes market-competitive pay, including equity compensation, along with a comprehensive offering of benefits and programs to support health, mental, social and financial well-being. While the philosophy around our benefits is the same worldwide, specific benefits vary regionally due to local regulations and preferences.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Social Impact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take pride in giving back to the communities that have supported us as an organization and as individuals. In addition to our donor advised fund, we also sponsor and encourage our employees to volunteer and/or donate to a variety of charitable organizations, whether to non-profits local to the communities in which we operate, for causes near to our employees’ hearts or as part of our employee resource groups’ missions to advocate, educate and/or support partner non-profit organizations.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Environment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committed to making it easy to access manufacturing services while reducing carbon emissions and promoting sustainable energy solutions. We purchase carbon credits to offset 100% of the estimated impact of the shipment of parts, and offer buyers the ability to instantly purchase carbon credits to offset the projected carbon used to make and ship their parts. We also promote technologies like additive manufacturing that reduce the carbon footprint.</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Non-Profit Organizations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Xometry is dedicated to funding causes that will drive the future of sustainable manufacturing. We created a donor advised fund (see www.xometry.org,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support we provide through our donor advised fund makes our business stronger and more successful.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embraced the Pledge 1% movement and are committed to donating 1% of our equity over time, to fund and support the operations of the donor advised fund. We initially reserved 402,658 shares of Class A common stock, representing 1% of our fully diluted capitalization as of the date of approval by our board of directors, for issuance over the initial five years for this purpose, in an amount not to exceed 20% of the initial reserve amount per calendar year. Through our donor advised fund, Xometry has pledged more than $900,000 to provide eight scholarships through the 2026 academic year to students enrolled in the Department of Mechanical Engineering at the Howard University College of Engineering and Architecture. Xometry is also providing scholarships for 250 students at community colleges in six manufacturing states: Maryland, Kentucky, Wisconsin, South Carolina, Connecticut and New York. </w:t>
      </w:r>
    </w:p>
    <w:p>
      <w:pPr>
        <w:pStyle w:val="TextBody"/>
        <w:bidi w:val="0"/>
        <w:spacing w:before="0" w:after="200"/>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privacy, data protection, taxation, sanctions, tariffs, export and import activities, intellectual property, advertising, environmental, labor and employment, consumer protection and unsolicited email and text messages, and cybersecurity, could have a material impact on our business in subsequent periods. For more information on the potential impacts of government regulations affecting our business, see “Item 1A - Risk Factors.”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Data Privacy and Security Laws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subject to numerous data privacy and security obligations in various jurisdictions, including laws, regulations, guidance, industry standards, external and internal privacy and security policies, contractual requirements, and other obligations relating to data privacy and security. Most U.S. states have enacted laws and regulations requiring notification to users when there is a security breach of personal data, or requiring the adoption of certain information security standards that are often vaguely defined and difficult to practically implement. The costs of compliance with these laws and regulations may increase in the future as a result of amendments or changes in interpretation. Furthermore, any failure on our part to comply with these laws and regulations may subject us to significant liabilities.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are also subject to federal, state, and foreign laws and regulations regarding privacy and protection of data.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Any failure by us to comply with these terms or privacy-related laws and regulations could result in proceedings against us by governmental authorities or others. In addition, the interpretation of privacy and data protection laws and regulations and their application to online services are quickly changing, becoming increasingly stringent, and creating regulatory uncertainty. Preparing for and complying with these obligations requires us to devote significant resources, which may necessitate changes to our services, information technologies, systems, and practices and to those of any third parties that process personal data on our behalf.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addition, outside the U.S., an increasing number of laws, regulations, and industry standards govern data privacy and security. Complying with these varying domestic and foreign requirements could cause us to incur additional costs and change our business practices. Further, any failure by us to adequately protect our users’ privacy and data could result in a loss of user confidence in our services and ultimately in a loss of users.</w:t>
      </w:r>
    </w:p>
    <w:p>
      <w:pPr>
        <w:pStyle w:val="TextBody"/>
        <w:bidi w:val="0"/>
        <w:spacing w:before="0" w:after="200"/>
        <w:jc w:val="left"/>
        <w:rPr>
          <w:rFonts w:ascii="Times New Roman" w:hAnsi="Times New Roman"/>
          <w:sz w:val="20"/>
        </w:rPr>
      </w:pPr>
      <w:r>
        <w:rPr>
          <w:rFonts w:ascii="Times New Roman" w:hAnsi="Times New Roman"/>
          <w:b/>
          <w:color w:val="000000"/>
          <w:sz w:val="20"/>
        </w:rPr>
        <w:t>Reducing Manufacturing’s Carbon Footprint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are committed to reducing the manufacturing industry’s overall carbon footprint.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Marketplace customers can calculate the carbon footprint of the different solutions for their manufacturing needs and use that data to make carbon-reducing decisions. In 2022, we integrated Gravity Climate’s API into our marketplace. Gravity Climate’s API calculates carbon emissions estimates for Xometry order requests, using climate science and data related to product material, manufacturing processes, mass, and geography.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 carbon offset program, which gives buyers an integrated option to offset up to 100% of the projected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suppliers. We offer green technologies like additive manufacturing, which help to reduce the carbon footprint of the manufacturing industry globally.</w:t>
      </w:r>
    </w:p>
    <w:p>
      <w:pPr>
        <w:pStyle w:val="TextBody"/>
        <w:bidi w:val="0"/>
        <w:spacing w:before="0" w:after="200"/>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have twelve issued patents and two pending patent applications in the U.S. directed to the use of machine learning for generating fabrication and manufacturing predictions, such as price, manufacturability and suitable materials. We also have a European patent issued in Germany, France, United Kingdom and Turkey directed to similar technologies. Our issued patents in the U.S. will expire between 2036 and 2037, excluding any extension of patent terms that may be available.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we have approximately 35 registered U.S. trademarks and more than 100 registered foreign trademarks for our name and certain words and phrases that we use in our business. We rely on copyright laws and licenses to use and protect software and certain other elements of our proprietary technologies.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confidentiality agreements with other third parties.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the section titled “Risk Factors—Risks Related to Our Business” for a more comprehensive description of risks related to our intellectual property and proprietary rights.</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were founded in 2013 and incorporated in Delaware on May 29, 2013 under the name NextLine Manufacturing Corp. We changed our name to Xometry, Inc. on June 29, 2015. Our principal executive offices are located at 6116 Executive Boulevard, Suite 800, North Bethesda, MD 20852, and our telephone number is (240) 252-1138. We maintain websites at www.xometry.com and www.thomasnet.com. Information contained in, or accessible through, our website is not a part of this Annual Report on Form 10-K, and the inclusion of our website address in this Annual Report on Form 10-K is only as an inactive textual reference.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00"/>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and uncertainties described below, together with all of the other information in this Annual Report on Form 10-K, including the sections titled “Management’s Discussion and Analysis of Financial Condition and Results of Operations” and our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0" w:after="200"/>
        <w:jc w:val="center"/>
        <w:rPr>
          <w:rFonts w:ascii="Times New Roman" w:hAnsi="Times New Roman"/>
          <w:sz w:val="20"/>
        </w:rPr>
      </w:pPr>
      <w:r>
        <w:rPr>
          <w:rFonts w:ascii="Times New Roman" w:hAnsi="Times New Roman"/>
          <w:b/>
          <w:color w:val="000000"/>
          <w:sz w:val="20"/>
        </w:rPr>
        <w:t>Risk Factors Summary</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outside our control, that could cause our actual results to be harmed.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We have incurred net losses in the past, expect to incur net losses in the future and may never achieve or maintain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continue to grow on pace with historical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manage the anticipated growth of our business, our future revenue and operating results may be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results may fluctuate from quarter to quarter, which makes our future results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growth depends on our ability to attract and retain a large community of buyers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on our ability to deliver products and manufacturing processes that meet the demand of buyers transacting on our marketplace and our ability to adapt to technological changes and improvements.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maintain and improve the quality of our platform, customer support and ancillary services available through our platform, we may not be able to attract and retain buyers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quality assurance to buyers even when a supplier manufactures the ordered part(s), which could subject us to liability for poor quality parts.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model involves our agreeing to pricing with a buyer in advance of sourcing the opportunity to a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third-party partners or service providers may experience a security breach, including unauthorized parties obtaining access to buyers’ confidential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deal effectively with bad actors engaging on our marketplace or platform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disputes between buyers and suppliers on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a third-party payment processor to process payments made by buyers and payments made to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fulfill buyer orders.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expect to face increasing competition in many aspects of our business, which could cause our operating results to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rapidly grow our business outside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Unstable market and economic conditions, including a global or domestic recession or the fear of a recession, and inflation may have serious adverse consequences on our business, financial condition and share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U.S. and international trade policies could adversely impact our business,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stringent and evolving laws and regulations relating to consumer data privacy and data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intellectual property and proprietary rights are valuable, and any inability to obtain, maintain, protect or enforce them could substantially harm our business, products, services, and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incur substantial costs and other harms as a result of any claim of infringement, misappropriation or other violation of another party’s intellectual property or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Amazon Web Services to operate our platform, and any disruption of service from Amazon Web Services or material change to our arrangement with Amazon Web Services could adversely affect our business.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have incurred net losses in the past, expect to incur net losses in the future and may never achieve or sustain profitability.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incurred net losses since our inception in 2013. We incurred a net loss available to common stockholders of $61.7 million in 2025 and, as a result of these losses, we had an accumulated deficit of $432.0 million as of December 31, 2025. We expect to continue the development and expansion of our business.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may not continue to grow on pace with historical rates.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grown rapidly over the last several years, but our recent revenue growth rate and financial performance should not be considered indicative of our future performance. During the years ended December 31, 2025, 2024, and 2023, our revenue was $686.6 million, $545.5 million and $463.4 million, respectively. We have in the past and may in the future experience declines in our revenue growth rate as a result of a number of factors, including slowing demand for our platform, insufficient growth in the number of buyers and suppliers who transact on our marketplace, increasing competition, a decrease in the growth of our overall market, our failure to continue to capitalize on growth opportunities, failure to realize anticipated revenue growth from our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If we are unable to manage the anticipated growth of our business, our future revenue and operating results may be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such as by failing to implement necessary procedures, transition to new processes or hire necessary personnel, it may be difficult for us to execute our business strategy and our business could be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operating results may fluctuate from quarter to quarter, which makes our future results difficult to predict.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quarterly operating results have fluctuated in the past and may fluctuate in the future.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You should take into account these risks and uncertainties frequently encountered by companies in rapidly evolving markets. Our operating results in any given quarter can be influenced by numerous factors, many of which are unpredictable or are outside of our control,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maintain and grow our community of buyers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retain and increase revenue from existing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demand for and types of manufacturing processes, capabilities and materials that are sourced on our marketplace to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spending patterns of buyers, including whether those buyers who transact on our marketplace frequently, or for larger services, reduce their use of our marketplace or stop transacting on our marketplace completely;</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timing of large orders on our marketplace;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holidays on purchasing and manufacturing activity;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prices charged to buyers transacting on our marketplace;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pricing model;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introduce new features and services and enhance our existing platform and our ability to generate significant revenue from new features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outages of our platform and associated reputational harm;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financial accounting standards and the interpretation of those standards that may affect the way we recognize and report our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in, and timing of, operating expenses that we may incur to grow and expand our business and to remain 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the acquisition of businesses, talent, technologies, or intellectual property, including potentially significant amortization costs and possible impairments;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breaches of, or failures relating to, security or data privacy and associated remediation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adverse judgments, settlements, or other litigation-related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our intellectual property or proprietary rights or our solutions, or third-party intellectual property or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tariffs and global trade, or tax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currency exchange rates and interest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uncertainties regarding the effect of general economic, business and market conditions, including inflationary pressures, general economic downturn or recession, market volatility, changes in interest rates, the impact of trade policies including the implementation of tariffs and changes in monetary policy;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unrest, changes and uncertainty associated with terrorism, hostilities and war, including the ongoing conflict between Russia and Ukraine and related sanctions imposed against Russia by the international community, and conflict in the Middle East;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and political conditions and government regulations in the countries where we currently have significant numbers of users or partners, or where we currently operate or may expand in the future;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disasters, such as earthquakes, hurricanes, wildfires, and the effects of public health crises.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Class A common stock could fall substantially, and we could face costly lawsuits, including securities class action suits.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growth depends on our ability to attract and retain a large community of buyers and suppliers, and the loss of our buyers and suppliers, or failure to attract new buyers and suppliers, could materially and adversely affect our business, financial condition,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derive a majority of our revenue from sales to buyers transacting on our marketplace seeking sophisticated manufacturing solutions. The size and diversity of our community of buyers and suppliers is critical to our success. Over the past few years, we have experienced strong growth in the number of buyers and suppliers transacting on our marketplace, including the number of active buyers, but we do not know whether we will be able to achieve similar growth rates in the future. Suppliers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suppliers, such as engaging suppliers directly, finding suppliers through other online or offline platforms or marketplaces. Buyers and suppliers may also source connections through our Thomasnet platform. Additionally, buyers may use in-house manufacturing processes. Use of these other options available to buyers and suppliers may make our marketplace less attractive to them and could lead to decreased use of our marketplace, which could result in a decrease in revenue. In addition, a decrease in engagement from buyers, including due to a general decrease in spending, could diminish the network effects that results from expanding the number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of buyers within a particular account, or decrease the attractiveness of our marketplace to suppliers. If we fail to attract new buyers and suppliers or our existing buyers or suppliers decrease their use of or cease using our marketplace, the breadth and diversity of manufacturing processes offered on our marketplace may be reduced, or the quality of products manufactured by suppliers transacting on our marketplace is not satisfactory to buyers, buyers and suppliers may decrease their use of our marketplace.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Key factors in attracting and retaining buyers include our ability to grow our brand awareness, attract and retain high-quality suppliers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suppliers. The prices quoted must appeal to both buyers and suppliers; if the quoted prices are unattractive to either buyers or suppliers, we could incur losses on certain orders, or buyers or suppliers could decrease their activity or stop transacting on our marketplace. A key factor in attracting and retaining suppliers, in turn, is maintaining and increasing the number and diversity of buyers transacting on our marketplace. Achieving growth in our community of buyers and suppliers may require us to increasingly engage in sophisticated and costly sales and marketing efforts that may not result in growth in our community of buyers and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Buyers or suppliers can stop transacting on our marketplace at any time. Buyers or suppliers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suppliers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suppliers or fail to maintain existing buyers and existing suppliers, our revenue may grow more slowly than expected, or decline, and our business, financial condition, and results of operations could be materially and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success depends on our ability to deliver products and manufacturing processes that meet the demand of buyers transacting on our marketplace and our ability to adapt to technological changes and improvements.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business may be affected by changes in buyer requirements and preferences, including as a result of decreased consumer demand for products, supplier manufacturing processes, availability of manufacturing materials and machinery, rapid technological change, and the emergence of new standards and practices, including advances in AI, generative AI and emerging autonomous or “agentic” AI systems, any of which could render our marketplace less attractive, uneconomical or obsolete. To the extent that our buyers’ demand for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 We may also be required to invest significant resources to develop, acquire or integrate AI-driven and agentic technologies, and there can be no assurance that such investments will be successful, cost-effective or result in increased demand for our offerings.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plan to expand the network of suppliers transacting on our marketplace to increase the number of suppliers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failure to properly meet the needs of buyers and suppliers or respond to changes in our industry on a cost-effective and timely basis, or at all, including advances in AI and agentic AI technologies that could reduce the relevance of our platform, would likely have a material adverse effect on our business, financial condition, and results of operations and harm our competitive position.</w:t>
      </w:r>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If we fail to maintain and improve the quality of our platform, customer support and ancillary services available through our platform, we may not be able to attract and retain buyers and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 satisfy both buyers and suppliers,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supplier products and services,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like our Thomasnet.com® platform, Xometry Pay and Workcenter, improving upon and introducing new design guides, expanding the availability of suppliers to additional geographic and industry segments and improving the user-friendliness of our platform and our ability to provide high-quality support. Our buyers and suppliers depend on our support organization to resolve issues relating to our platform. Our ability to provide effective support is largely dependent on our ability to attract and retain employees who are well versed in our platform and the needs of buyers and suppliers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we need to continue to adapt, expand and improve our platform and user interfaces to keep up with changing user preferences. We invest substantial resources in researching and developing new supplier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provide quality assurance to buyers even when a supplier manufactures the ordered part(s), which could subject us to liability for poor quality parts.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customer agreement with buyers provides that we will manufacture their order in accordance with their specifications. Whether or not the order is ultimately supplied by a supplier, in the event that a buyer deems that an order does not conform to its specifications, we agree to replace the order. Our standard customer terms allow buyers three days to specify non-conformance; however, the duration of our warranty varies by contract, and in some cases, we may be responsible for replacing non-conforming orders for longer periods. While we require suppliers to meet certain quality standards before offering their services on our marketplace and provide operational support to our buyers and suppliers, such efforts may not prevent us from losses due to poor quality of parts manufactured for our buyers. To the extent we face a significant number of claims of non-conformance, our financial condition and results of operations could be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business model involves our agreeing to pricing with a buyer in advance of sourcing the opportunity to a supplier. We are at risk that the price a buyer pays us may be less than the cost we ultimately pay a supplier.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supplier with requisite manufacturing process. From time to time, we may quote buyers prices that are lower than the cost we agree with a supplier. If our platform is unable to find a supplier to source a manufacturing opportunity from a particular buyer at below the price we quote such buyer, or at all, our results of operations may be materially and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It may be difficult for us to comply with non-standard contract terms with our customers.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Customers, including large customers with substantial negotiating and purchasing power, may require that we use their internally-prepared purchase order forms or agree to terms and conditions for purchases that include terms that affect the amount or timing of or our ability to recognize revenue, increase our costs, increase our liability or are otherwise inconsistent with our standard documentation. If we are required to agree to these terms in order to do business with such customers, it may increase our cost to comply with such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terms or we may not be able to comply with such terms at all, in which case our relationship with the affected customer may be negatively impacted and our liability may be significantly increased.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If our information 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business involves the collection, storage, processing, transmission and other use of proprietary, confidential and personal data of buyers and suppliers and other parties, as well as the use of third-party partners and service providers who collect, store, process, transmit and otherwise use such data. In particular, our platform stores and transmits to suppliers confidential buyer information, including the intellectual property in their part designs and other sensitive data. We also maintain certain other proprietary and confidential data relating to our business and personal data of our personnel and job applicants. We refer to the aforementioned data and other proprietary, confidential, or sensitive data as “sensitive information.”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Internet of Things attacks, operational technology attacks, and other similar threats.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particular, severe ransomware attacks are becoming increasingly prevalent (particularly for companies engaged in critical manufacturing). Such attacks could lead to significant interruptions in our operations, loss of sensitive information, loss of revenue, reputational harm, and diversion of funds. Extortion payments may alleviate the negative impact of a ransomware attack, but we may be unwilling or unable to make such payments due to, for example, applicable laws or regulations prohibiting such payments.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environments and security programs.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security breach or incident that we or our third-party partners or service providers experience could result in unauthorized, unlawful, or accidental access to, misuse of, or acquisition of our and our third-party service providers’ sensitive information, the loss, corruption, or alteration of such data, interruptions in our operations, damage to our computers or systems or those of our platform’s users, or the loss of access to our systems by us, our buyers or our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an actual or perceived breach of security of our networks or systems or those of any of our third-party partners’ or service providers’ security occurs, our ability to provide our platform could be disrupted, public perception of the effectiveness of our security measures and brand could be severely harmed, and we could lose buyers, suppliers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additional reporting requirements or oversight, restrictions on processing sensitive information (including personal data), negative publicity, monetary fund diversions, and legal and financial exposure, including potential contractual liability (such as indemnification obligations), in all cases that may not always be covered by our insurance, in whole or in part. Any such compromise could also result in damage to our brand and a loss of confidence in our security and privacy or data protection measures, and any significant unavailability of our platforms due to attacks could cause buyers and suppliers to stop using our platforms and transacting on our marketplace.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Certain data privacy and security obligations may require us to implement and maintain specific security measures or industry-standard or reasonable security measures to protect our information technology systems and sensitive information.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sensitive information, or the belief that any of these have occurred, could damage our reputation and expose us to a risk of loss or litigation and possible liability. Furthermore,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we cannot provide assurances that such measures will be effective in all cases. We take steps designed to detect and remediate vulnerabilities in our information systems (such as our hardware and/or software, including that of third parties with whom we work). We may not, however, detect and remediate all such vulnerabilities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employ a shared responsibility model where our customers are responsible for using, configuring and implementing security measures related to our platform, services and products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For example, we support Multi-Factor Authentication for users of the Xometry platform, but it is the customer’s responsibility to enable it.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in the future may be adversely impacted.</w:t>
      </w:r>
    </w:p>
    <w:p>
      <w:pPr>
        <w:pStyle w:val="TextBody"/>
        <w:bidi w:val="0"/>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such limitations are sufficient to protect us from liabilities, damages, or claims related to our data privacy and security obligations. Although we maintain cybersecurity liability insurance, we cannot be certain our coverage will be adequate to protect us from or mitigate expenses or liabilities actually incurred, that such coverage will continue to be available to us on commercially reasonable terms or at all, or that such coverage will pay future claims. Any of the foregoing could materially and adversely affect our business, prospects, financial condition and results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generative AI technologies. Any sensitive information that we input into a third-party generative AI and machine learning (“ML” together with AI,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Moreover, AI/ML models may create flawed, incomplete, or inaccurate outputs, some of which may appear correct. This may happen if the inputs that the model relied on were inaccurate,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including exposure to reputational and competitive harm, customer loss, and legal liability.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Failure to deal effectively with bad actors engaging on our marketplace or platform could harm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suppliers engaging on our marketplace. Regulations requiring marketplaces to detect and limit illegal activities are increasing. Our measures may not always keep up with these changes.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suffer reputational harm for actual or perceived bad acts or actual or perceived illegal activities of buyers and suppliers on our marketplaces, particularly related to factory or other workplace conditions. Failure to limit the impact of actual or perceived illegal activity on our marketplace, could subject us to penalties, fines, other enforcement actions and expenses, significant reputation harm and our business, financial condition, and results of operations could be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may be subject to disputes between buyers and suppliers on our platform.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model involves, in part, connecting buyers to suppliers who fulfill orders on our marketplace. It is possible that disputes may arise between buyers and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buyers and the suppliers with whom we pair. If these disputes are not resolved amicably, the parties might escalate to formal proceedings, such as by filing claims with a court or arbitral authority. Given our role in facilitating and supporting the relationships between buyers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rely on a third-party payment processor to process payments made by buyers and payments made to suppliers, and if we cannot manage our relationship with such third party and other payment-related risks, our business, financial condition, and results of operations could be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rely on a third-party payment processor, Stripe, to process payments made by buyers and payments made to suppliers. We also rely on Stripe for certain financial service offerings, an integrated payment processing tool for suppliers available through our platform.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suppliers, or decrease the use of Xometry Pay, any of which could disrupt our business for an extended period of time, make our platform less convenient, trustworthy and attractive to users, and adversely affect our ability to attract and retain qualified buyers and suppliers.</w:t>
      </w:r>
    </w:p>
    <w:p>
      <w:pPr>
        <w:pStyle w:val="TextBody"/>
        <w:bidi w:val="0"/>
        <w:jc w:val="both"/>
        <w:rPr>
          <w:rFonts w:ascii="Times New Roman" w:hAnsi="Times New Roman"/>
          <w:color w:val="000000"/>
          <w:sz w:val="20"/>
        </w:rPr>
      </w:pPr>
      <w:r>
        <w:rPr>
          <w:rFonts w:ascii="Times New Roman" w:hAnsi="Times New Roman"/>
          <w:color w:val="000000"/>
          <w:sz w:val="20"/>
        </w:rPr>
        <w:t xml:space="preserve">Payments by our buyers can be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 transactions, which could make our platform less convenient and attractive to users. We also rely on data provided by Stripe for financial statement reporting, and there could be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inaccuracies and other errors in such data. If any of these events were to occur, our business, financial condition, and results of operations could be materially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We are required to comply with payment card network operating rules.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(“PCI DSS”), govern a variety of areas, including how consumers and customers may use their cards, the security features of cards, security standards for processing, data security and allocation of liability for certain acts or omissions, including liability in the event of a data breach. For example,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from credit card companies ranging from $5,000 to $100,000 per month, litigation, damage to our reputation, and revenue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PCI DSS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 card networks could refuse to allow us to process through their networks. Any of the foregoing could materially adversely impact our business, financial condition or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pStyle w:val="TextBody"/>
        <w:bidi w:val="0"/>
        <w:jc w:val="both"/>
        <w:rPr>
          <w:rFonts w:ascii="Times New Roman" w:hAnsi="Times New Roman"/>
          <w:b/>
          <w:i/>
          <w:color w:val="000000"/>
          <w:sz w:val="20"/>
        </w:rPr>
      </w:pPr>
      <w:r>
        <w:rPr>
          <w:rFonts w:ascii="Times New Roman" w:hAnsi="Times New Roman"/>
          <w:b/>
          <w:i/>
          <w:color w:val="000000"/>
          <w:sz w:val="20"/>
        </w:rPr>
        <w:t>We rely on third parties to deliver buyer orders.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rely on continued and unimpeded access to postal services and shipping carriers for us or our suppliers to deliver manufactured parts reliably and timely to buyers. From time to time, the postal services and shipping carriers have experienced increased delays in delivery of their goods, due to economic, geopolitical and other factors. If shipping delays or interruptions occur, or if shipping rates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increase significantly, our suppliers may have increased costs, and/or our buyers may have a poor purchasing experience and may lose trust in our marketplace, which could negatively impact our business,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face significant competition and expect to face increasing competition in many aspects of our business, which could cause our operating results to suffer.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manufacturing market is localized and highly fragmented and we compete for both buyers and suppliers. We compete for buyers with a wide variety of manufacturers. We compete for customers with vertically integrated service bureaus, traditional brokers, the service bureau divisions of the additive original equipment manufacturing companies, independent machine shops and 3D printing service bureaus and digital manufacturing service companies. We compete for suppliers with brokers and listing services, as well as companies that sell software and services to suppliers, enabling them to sell from their own website or otherwise run their business independently of our platform.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parts, implementation of interactive web-based and automated user interface and quoting systems and/or building scalable operating models specifically designed for efficient production. We may, from time to time, establish alliances or relationships with other competitors or potential competitors, and our competitors may also be suppliers transacting on our marketplace. To the extent companies terminate such relationships and establish alliances and relationships with our competitors, our business could be harmed.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expanded and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recruiting, training and retaining talented and capable employees outside of the United States, Europe and Asia, and maintaining our company culture across all of our offices;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providing our platform and operating our business across a significant distance, in different languages and among different cultures, including the potential need to modify our platform and features to ensure that they are relevant in different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in jurisdictions that do not protect intellectual property rights or other proprietary rights to the same extent as does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and economic instability, including that related to the conflict between Russia and Ukraine and the conflict in the Middle East;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potentially adverse tax consequences due to changes in the income and other tax laws of the United States or the international jurisdictions in which we operate; and</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higher costs of doing business internationally, including increased legal, financial compliance, accounting, travel, infrastructure and other administrative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Contractors outside of the U.S. performing business functions may be subject to agreements that require them to follow our standards, processes and procedures. Notwithstanding their contractual obligations, from time-to-time contractors may not comply with such standards, processes or procedures. Significant or continuing noncompliance with such standards, processes and procedures could harm our reputation and, as a result, could have an adverse effect on our sales and financial condition.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 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to comply with these laws and regulations or manage the complexity of our global operations successfully, our business, results of operations and financial condition could be materially and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Geopolitical instability relating to the Ukraine-Russia conflict adversely impact the U.S. and global economies.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February 2022, Russia invaded Ukraine and the ensuing conflict has continued into 2026. In response, the U.S. government and other countries have imposed punishing sanctions against Russia, including significant restrictions on most companies’ ability to do business in Russia. The invasion of Ukraine and any retaliatory measures taken by the United States and other countries could threaten global security and result in further regional conflict and otherwise have a lasting impact on regional and global economies, any or all of which could adversely affect our business and the price of our Class A common stock.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contractors in Ukraine, Belarus and Russia. To the extent there are losses of life, disruptions to internet connectivity, or interruptions to banking payment systems, we and our contractors could be adversely impacted.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It is not possible to predict the broader or longer-term consequences of the conflict in Ukraine, which could include further sanctions, embargoes, regional instability, geopolitical shifts and adverse effects on macroeconomic conditions, security conditions, currency exchange rates, the price and availability of energy and financial markets. Such geopolitical instability and uncertainty could have a negative impact on our ability to continue expanding our operations internationally and to otherwise generate revenues and attract buyers and suppliers internationally. In addition, a significant escalation or expansion of economic disruption or the conflict’s current scope could have a material adverse effect on our business, results of operation, financial condition and growth prospects.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Unstable market and economic conditions, including a global or domestic recession or the fear of a recession, may have serious adverse consequences on our business, financial condition and share price.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global economy, including credit and financial markets, has experienced volatility and disruptions, including diminished liquidity and credit availability, declines in consumer confidence, declines in economic growth, fluctuations in inflation rates and interest rates and uncertainty about economic stability. For example, the conflict between Russia and Ukraine and the conflict in the Middle East have created volatility in the global capital markets and is expected to have further global economic consequences, including disruptions of the global supply chain and energy markets. In addition, rising inflation, changes in trade policies including the implementation of tariffs and other macroeconomic pressures in the United States and the global economy could exacerbate volatility in the global capital markets and heighten unstable market conditions. Any such volatility and disruptions may have adverse consequences on us or the third parties on whom we rely. If the equity and credit markets continue to deteriorate, including as a result of political unrest, war or a global or domestic recession or the fear thereof,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marketing budgets for our customers and potentially less demand for our platform. Any significant increases in inflation and related increase in interest rates could have a material adverse effect on our business, results of operations and financial condition.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Changes in U.S. and international trade policies and uncertainty in the tariff regime could adversely impact our business, results of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Recent judicial and executive actions relating to U.S. tariffs have created a dynamic and unpredictable trade landscape, which may adversely impact our business. Current or future tariffs or other restrictive trade measures may significantly raise the cost of raw materials, components or finished goods. We derive the majority of our revenue from the sale of parts and assemblies to our customers on our marketplace. Our business is therefore dependent upon the availability and price of raw materials, tools and components for assembly in various countries around the world. To the extent that significant tariffs, sanctions or similar restrictions are placed on certain goods imported into the United States or tariffs and similar measures, including retaliatory measures, are imposed by foreign governments, we could also face significant challenges in maintaining our cost-effectiveness, and we and our network of suppliers may be required to raise prices, thereby making our marketplace less attractive to buyers. To the extent suppliers increase their costs and we are unable to sufficiently pass such price increases on to our customers, or if the level of demand for the products and services we offer decreases as a result of any price increases, we may not be able to achieve or maintain profitability or otherwise maintain our historical margins. Our suppliers, and we as a result, may experience supply chain disruptions as a result of increased costs and uncertainty, including risks to the long-term viability of such suppliers, which may impact our ability to meet customer demand or cause reputational harm if we are unable to deliver parts and assemblies on expected timelines or if any price increases are poorly received by customers. In addition, many of our customers operate businesses that may be impacted by trade policies, which may result in decreased demand on our marketplace or extended sales cycles as customers assess the impact of evolving trade policies on their operations and face increased costs or decreased revenue due to tariffs and trade restrictions. As a result of the foregoing factors, our business, financial condition and results of operations could be materially and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Class A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 Further, international suppliers may elect not to continue engaging us, limiting our sourcing options and increasing our dependency on domestic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February 2026, the United States Supreme Court (SCOTUS) invalidated certain tariffs imposed by the U.S. government under emergency statutory authority in 2025.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This evolving legal and policy landscape have contributed to continued volatility in the trade environment.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business could be adversely impacted by changes in the Internet and mobile device accessibility of users.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depends on users’ access to our platform via a personal computer or mobile device and the Internet. We enable suppliers to access our platform via a mobile browser, which we believe is important to the growth of our business by adding suppliers to our marketplace and enabling faster supplier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Interruptions to or other problems with our website and platform, information technology systems, manufacturing processes or other operations could damage our reputation and brand and substantially harm our business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suppliers.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number of factors or events could cause such interruptions or problems, including: human and software errors, design faults,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data protection, and any actual or perceived failure by us (or the third parties with whom we work) to comply with such obligations could materially and adversely affect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receive, collect, store, process, transfer and otherwise use (collectively, process) sensitive information (defined above), including personal data. The effectiveness of our technology, including our AI and platforms, and our ability to offer our platform to users rely on the processing of this data. Our processing of this data subjects us to numerous data privacy and security obligations, including federal, state, local and foreign laws, regulations, guidance, industry standards, internal and external privacy and security policies, contractual requirements, and other obligations regarding privacy, data protection, information security and the processing of personal data and other sensitive information.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processing of personal data, or their interpretation, or any changes regarding the manner in which the consent of users or other data subjects for the processing of such data must be obtained, could increase our costs and require us to modify our services and features, possibly in a material manner, which we may be unable to complete, and may limit our ability to store and process user data or develop new services and features.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expect that there will continue to be new laws, regulations and industry standards concerning privacy, data protection and information security proposed and enacted in various jurisdictions. For example, the EU’s General Data Protection Regulation (“EU GDPR”), the United Kingdom’s GDPR (“UK GDPR”) (collectively, EU and UK GDPR, “GDPR”), Canada’s Personal Information Protection and Electronic Documents Act, United Kingdom's Data Protection Act 2018, India's Digital Personal Data Protection Act, 2023 and China’s Personal Information Protection Law impose strict requirements for processing personal data.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Under the GDPR, companies may face temporary or definitive bans on data processing and other corrective actions; significant financial penalties for noncompliance (including possible fines of up to €20 million under the EU GDPR, 17.5 million pounds sterling under the UK GDPR, or, in each case, 4% of global annual turnover for the preceding financial year for the most serious violations (whichever is greater), as well as the right to compensation for financial or non-financial damages claimed by any individuals. If our efforts to comply with GDPR are not successful, or are perceived to be unsuccessful, it could adversely affect our business. We also target customers in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Asia and have operations in China and may be subject to new and emerging data privacy regimes in Asia, including China’s Personal Information Protection Law.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To illustrate,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We may also be subject to the Fair Credit Reporting Act, which imposes specific obligations on certain data processing activities.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“CCPA”) applies to personal information of consumers, business representatives, and employees who are California residents, and mandates that covered companies provide specific disclosures to California residents and honor requests of such residents to exercise certain privacy rights. The CCPA provides for fines of up to $7,500 per intentional violation and a private right of action for certain data breaches. Similar laws are being considered in several other states, as well as at the federal and local levels, and we expect more states to pass similar laws in the future. Additionally, U.S. state comprehensive privacy laws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and other agencies with respect to data privacy issues, including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AI/ML technologies in our platform services. The development and use of AI/ML present various privacy and security risks that may impact our business. AI/ML are subject to privacy and data security laws, as well as increasing regulation and scrutiny. Several jurisdictions around the globe, including Europe and certain U.S. states, have proposed or enacted laws governing AI/ML, such as the EU’s Artificial Intelligence Act. We expect other jurisdictions will adopt similar laws. Additionally, in the United Kingdom, the government has published a White Paper calling for existing regulators to implement certain specific principles to guide and inform the responsible development and use of AI/ML. Moreover,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the ordinary course of business, we transfer personal data from Europe and other jurisdictions to the U.S.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out of Europe for allegedly violating the GDPR’s cross-border data transfer limitations. Additionally, companies that transfer personal data out of the EEA and UK to other jurisdictions, particularly to the U.S., are subject to increased scrutiny from regulators, individual litigants, and activist groups.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Moreover,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Additionally, under various privacy laws and other obligations, we may be required to obtain certain consents to process personal data. For example, some of our data processing practices have and may in the future be challenged under wiretapping laws, if we obtain consumer information from third parties through various methods, including chatbot and session replay providers, cookies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to data privacy and security laws, we are contractually subject to industry standards adopted by industry groups and, we are, or may become subject to such obligations in the future.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also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targeted advertising purposes and other disclosures of personal data for advertising purposes in exchange for money or other valuable consideration, and requires covered businesses to honor user-enabled browser signals from the Global Privacy Control.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may at times fail (or are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governmental enforcement actions (e.g., investigations, fines, penalties, audits, inspections, and similar), litigation, claims (including class-action claims) and mass arbitration demands; additional reporting requirements and/or oversight; bans on processing personal data; orders to destroy or not use personal data; or public statements against us by consumer advocacy groups or others. In particular, plaintiffs have become increasingly more active in bringing privacy-related claims against companies, including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result in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Furthermore, the costs of compliance with, and other burdens imposed by the privacy and security obligations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and could result in similar material adverse effects on our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Government regulation of the Internet and e-commerce is evolving, and unfavorable changes could adversely affect our business, financial condition,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Growth of our business will depend on a strong reputation and brand and any failure to maintain, protect, and enhance our brand would hurt our ability to retain or expand our base of buyers and suppliers and our ability to increase their level of engagement.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that building a strong reputation, identity and brand are critical to our ability to attract and retain buyers and suppliers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suppliers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reputation, brand, and ability to build trust with existing and new buyers and suppliers may be adversely affected by complaints and negative publicity about us, our buyers or our suppliers, even if factually incorrect or based on isolated incidents. Negative perception of our platform, marketplace or company may harm our reputation, brand, and network effects, including as a result of:</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complaints or negative publicity about us, our platform, our marketplace, our buyers, our suppliers, or our policies and guidelines, including our pricing model;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quote, production, lead time or shipping delays;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manufacturing or quality control inadequacies;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fraud;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illegal, negligent, reckless, or otherwise inappropriate behavior by buyers, suppliers or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provide suppliers with a sufficient level of orders or repeat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offer buyers or suppliers competitive pricing and lead times;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provide a range of manufacturing processes sought by buyers;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provide manufacturing processes that limit environmental harm;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over, or investigations by regulators into, our company or the industry in which we operate;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buyers’ or suppliers’ lack of awareness of, or compliance with, our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policies that users or others perceive as overly restrictive, unclear, inconsistent with our values or mission, or not clearly articulated;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comply with legal, tax, and regulatory requirements, as discussed elsewhere in this “Risk Factors” section;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failure to comply with applicable sanctions globally;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enforce our policies in a manner that users perceive as effective, fair, and transparent;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operate our business in a way that is consistent with our values and mission;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or unsatisfactory support experiences;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illegal or otherwise inappropriate behavior by our management team or other employees or contractors;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responses by buyers or suppliers to new services or manufacturing processes available on our marketplace;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register or to prevent infringement, misappropriation or other violation of our trademarks;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perception of our treatment of buyers and suppliers and our response to buyer or supplier sentiment related to political or social causes or actions of management;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any of the foregoing with respect to our competitors, to the extent such resulting negative perception affects the public’s perception of us or our industry as a whole.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company culture and values have contributed to our success and if we cannot maintain and evolve our culture as we grow, our business could be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that our company culture has been critical to our success. We face a number of challenges that may affect our ability to sustain our corporate culture,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identify, attract, reward, and retain people in leadership positions in our organization who share and further our culture, values, and mission;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further our diversity efforts with respect to our leadership team and our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increasing size and geographic diversity of our workforce;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competitive pressures to move in directions that may divert us from our mission, vision, and values;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continued challenges of a rapidly evolving industry; and</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integration of new personnel and businesses from acquisitions.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we are not able to maintain and evolve our culture, our business, financial condition, and results of operations could be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Any failure to offer high-quality support may harm our relationships with buyers and suppliers and could adversely affect our business, financial condition,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attract and retain buyers and suppliers is dependent in part on our ability to provide high-quality support. Buyers and suppliers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business is subject to a variety of laws and regulations, both in the United States and internationally, many of which are evolving.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suppliers, are subject to additional requirements or that we are prohibited from conducting our business in or with certain jurisdictions. It is also possible that certain provisions in agreements with our service providers or between buyers and suppliers may be found to be unenforceable or not compliant with applicable law.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are subject to U.S. and other anti-corruption laws, trade controls, economic sanctions and similar laws and regulations. Our failure to comply with these laws and regulations could subject us to civil, criminal and administrative penalties and harm our reputation.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do business worldwide, which requires us to comply with the laws and regulations of the U.S. government and various foreign jurisdictions. These laws and regulations place restrictions on our operations, trade practices, partners and investments.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particular, our operations are subject to U.S. and foreign anti-corruption and trade control laws and regulations, such as the Foreign Corrupt Practices Act (“FCPA”), export controls and economic sanctions programs, including those administered by the U.S. Treasury Department’s Office of Foreign Assets Control (“OFAC”), the State Department’s Directorate of Defense Trade Controls (“DDTC”), and the Bureau of Industry and Security (“BIS”), of the Department of Commerce. As a result of doing business in foreign countries and with foreign customers, we are exposed to a heightened risk of violating anti-corruption and trade control laws and sanctions regulations.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levels of corruption. Our continued expansion outside the U.S. could increase the risk of FCPA, OFAC or other similar violations in the future.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an exporter, we must comply with various laws and regulations relating to the export of products and technology from the U.S. and other countries having jurisdiction over our operations. In the U.S., these laws include the International Traffic in Arms Regulations (“ITAR”), administered by the DDTC, the Export Administration Regulations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debarment from doing business with certain buyers, and restrictions on our ability to export our parts, and repeat failures could carry more significant penalties.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are subject to various federal, state, local and non-U.S. laws and regulations relating to environmental protection.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intellectual property and proprietary rights are valuable, and any inability to obtain, maintain, protect or enforce them could substantially harm our business, products, services and brand.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forced to rebrand our products, which could result in loss of brand recognition and could require us to devote resources to advertising and marketing new brands.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Additionally, our intellectual property rights and other confidential business information are subject to risks of compromise or unauthorized disclosure if our security measures or those of our third-party service providers are unable to prevent cyber-attacks.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Significant impairments of our intellectual property rights, and limitations on our ability to assert our intellectual property rights against others, could have a material and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could incur substantial costs and other harms as a result of any claim of infringement, misappropriation or other violation of another party’s intellectual property or proprietary rights.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Whether merited or not, we may face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suppliers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Additionally, in recent years, individuals and groups have begun purchasing intellectual property assets for the purpose of making claims of infringement, misappropriation or other violations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intellectual property litigation to which we might become a party, or for which we are required to provide indemnification, may require us to do one or more of the following:</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cease selling or using offerings that incorporate or are otherwise covered by the intellectual property rights that we allegedly infringe, misappropriate or otherwise violate;</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substantial payments for legal fees, settlement payments or other costs or damages, including potentially treble damages and attorneys’ fees if we are found liable for willful infringement;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redesign the allegedly infringing, misappropriating or otherwise violating offerings to avoid infringement, misappropriation or other violation, which could be costly, time-consuming or impossible.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of the foregoing could materially and adversely affect our business, prospects,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may not be able to successfully execute future acquisitions or efficiently manage any acquired businesses.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Natural or man-made disasters affecting the manufacturing facilities of our suppliers or of our facilities could materially and adversely affect our business, financial condition,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Suppliers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pStyle w:val="TextBody"/>
        <w:bidi w:val="0"/>
        <w:jc w:val="both"/>
        <w:rPr>
          <w:rFonts w:ascii="Times New Roman" w:hAnsi="Times New Roman"/>
          <w:color w:val="000000"/>
          <w:sz w:val="20"/>
        </w:rPr>
      </w:pPr>
      <w:r>
        <w:rPr>
          <w:rFonts w:ascii="Times New Roman" w:hAnsi="Times New Roman"/>
          <w:color w:val="000000"/>
          <w:sz w:val="20"/>
        </w:rPr>
        <w:t>In the event any of our suppliers’ facilities or manufacturing equipment are affected by a disaster, suppliers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unable to meet the shipping deadlines of our buyers;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disruptions in our ability to process orders, manufacture and ship orders;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forced to rely on third-party manufacturers or otherwise fail to fulfill orders of our buyers;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be unable to source materials required for orders.</w:t>
      </w:r>
    </w:p>
    <w:p>
      <w:pPr>
        <w:pStyle w:val="TextBody"/>
        <w:bidi w:val="0"/>
        <w:jc w:val="both"/>
        <w:rPr>
          <w:rFonts w:ascii="Times New Roman" w:hAnsi="Times New Roman"/>
          <w:color w:val="000000"/>
          <w:sz w:val="20"/>
        </w:rPr>
      </w:pPr>
      <w:r>
        <w:rPr>
          <w:rFonts w:ascii="Times New Roman" w:hAnsi="Times New Roman"/>
          <w:color w:val="000000"/>
          <w:sz w:val="20"/>
        </w:rPr>
        <w:t>In the event of any of our facilities are affected by a disaster, we may:</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disruptions in our ability to process orders, provide sales and marketing support and customer service, and otherwise operate our business, any of which could negatively impact our business;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need to expend significant capital and other resources to address any damage caused by the disaster.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disruption as a result of natural or man-made disaster strikes of the manufacturing facilities of our suppliers or of our facilities, we may lose buyers, damage our brand and reputation, and we may be unable to regain those buyers or fail to attract new buyers.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suppliers’ facilities or manufacturing equipment may cause. Furthermore, certain of our manufacturing partners may not possess adequate insurance coverage for damage incurred at their facilities which affects parts for our buyers.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depend upon talented employees to grow, operate and improve our business, and if we are unable to retain and motivate our personnel and attract new talent, we may not be able to grow effectively.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our success has depended, and our future success depends, in part on the efforts and talents of our senior management. There can be no assurance that the services of any employee will continue to be available to us in the future.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is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2025, as part of our restructuring actions to help improve efficiency and align resources, we reduced our workforce by approximately 5%. Although we believe these employee transitions are in the best interest of our company and our stockholders, these transitions may result in unanticipated consequences, such as disruptions in our operations, added costs, operational inefficiencies, decreased employee morale and productivity and increased turnover. To the extent we experience additional turnover, competition for top talent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similar risks effectively, our ability to achieve our strategic objectives will be adversely affected, and our business and growth prospects may be harmed.</w:t>
      </w:r>
    </w:p>
    <w:p>
      <w:pPr>
        <w:pStyle w:val="TextBody"/>
        <w:bidi w:val="0"/>
        <w:spacing w:before="0" w:after="200"/>
        <w:jc w:val="both"/>
        <w:rPr>
          <w:rFonts w:ascii="Times New Roman" w:hAnsi="Times New Roman"/>
          <w:sz w:val="20"/>
        </w:rPr>
      </w:pPr>
      <w:r>
        <w:rPr>
          <w:rFonts w:ascii="Times New Roman" w:hAnsi="Times New Roman"/>
          <w:b/>
          <w:i/>
          <w:color w:val="000000"/>
          <w:sz w:val="20"/>
        </w:rPr>
        <w:t>We are a multinational organization faced with increasingly complex tax issues in many jurisdictions, and uncertainties or changes in the interpretation and application of existing, new and proposed tax laws and regulations could materially affect our tax obligations and effective tax rate.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a multinational organization, we are subject to U.S. federal, state, local and non-U.S. income taxes and non-income taxes in several jurisdictions. The amount of taxes we pay in different jurisdictions depends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Significant judgment is required in evaluating our tax positions and our worldwide provision for taxes. During the ordinary course of business, there are many activities and transactions for which the ultimate tax determination is uncertain. In the past, we have received letters from certain jurisdictions indicating that we are required to pay taxes based on having certain minimum contacts in such jurisdictions. We may become subject to taxation in additional jurisdictions in the future.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the Company.</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New income, sales, use, value-added or other tax laws, statutes, rules, regulations or ordinances could be enacted at any time. Those enactments could harm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purchase our products in the future. Additionally, new, changed, modified or newly interpreted or applied tax laws could increase our customers’ and our compliance, operating and other costs, as well as the costs of our products. Further, these events could decrease the capital we have available to operate our business. Any or all of these events could harm our business, results of operations and financial condition.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December 31, 2025, we have net operating loss (“NOL”) carryforwards for U.S. federal income tax purposes, and similar state amounts, of approximately $291.3 million available to reduce future income subject to income taxes before limitations. Of the total loss carryforward available, approximately $44.4 million of net operating losses were attributable to the acquisition of Thomas Publishing Company and its subsidiaries (collectively, “Thomas”). U.S. federal net operating losses incurred in taxable years beginning after December 31, 2017 may be carried forward indefinitely, but the deductibility of such net operating losses in a taxable year is limited to 80% of taxable income.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50% change, by value, in our ownership over a three-year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have experienced ownership changes in the past, and we may experience ownership changes in the future as a result of subsequent shifts in our stock ownership. As a result, our ability to use our pre-change NOLs or other tax attributes to offset future taxable income may be subject to limitations, which could potentially result in increased future tax liability to us. In addition, at the state level, there may be periods during which the use of NOLs is suspended or otherwise limited, which could accelerate or permanently increase our state taxes owed. Any such limitations could harm our business, results of operations and financial condition. For example, California recently enacted legislation that, with certain exceptions, suspends the ability ot use California net operating losses to offset California income and limits the ability to use California business tax credits to offset California taxes, for taxable years beginning on or after January 1, 2024, and before January 1, 2027. Such state tax law provisions could accelerate or permanently increase state taxes owed.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Earnings for future periods may be impacted by impairment charges for goodwill and intangible assets.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carry a significant amount of goodwill and identifiable intangible assets on our Consolidated Balance Sheets. Goodwill is the excess of purchase price over the fair value of the net assets of acquired businesses. We assess goodwill, indefinite-lived and definite-lived intangible assets for impairment each year, or more frequently if circumstances suggest an impairment may have occurred. We have concluded that there were no impairments of goodwill, indefinite-lived or definite-lived intangibles in 2025. If we determine that a significant impairment has occurred in the value of our intangible assets, right of use assets or fixed assets in 2026 or beyond, we could be required to write off a portion of our assets, which could adversely affect our consolidated financial condition or our reported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use of “open source” software could adversely affect our ability to offer our services and subject us to possible litigation.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a result of our current or future use of open source software, we may face claims or litigation, be required to release our proprietary source code, pay damages for breach of contract, re-engineer our technology, discontinue sales in the event re-engineering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rely on Amazon Web Services to operate our platform, and any disruption of service from Amazon Web Services or material change to our arrangement with Amazon Web Services could adversely affect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operation of our platform depends on certain third-party service providers. In particular, we currently host our platform, serve our users and support our operations using Amazon Web Services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failure to meet our buyers’ price expectations would adversely affect our business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business depends in part on our ability to process a large volume of new part designs from a diverse group of buyers and successfully identify significant opportunities for our business based on those submissions.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the volume and variety of designs and manufacturing processes we process, and the size and diversity of our buyers give us valuable insight into the needs of our prospective buyers and the ability of our community of suppliers to meet those needs. We utilize this industry knowledge to better match buyers and suppliers and to improve pricing. If the number and diversity of designs and manufacturing processes we process, or the size and diversity of our buyer or supplier bases decrease, our ability to expand our business and improve pricing could be negatively impacted. In addition, even if we do continue to process a large number and variety of designs and manufacturing processes and work with significant and diverse buyer and supplier bases, there are no guarantees that we will successfully identify significant business opportunities, improve the products and services available on our platform or increase the number of transactions on our platform as a result.</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If our present single or limited source suppliers become unavailable or inadequate, our buyer relationships, results of operations and financial condition may be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While most manufacturing equipment and materials for our buyers’ orders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supplier could adversely affect our relationship with our buyers and our results of operations and financial condition.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The impact of economic conditions, including the resulting effect on consumer spending, may adversely affect our business, financial condition,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performance is in part subject to economic conditions and their impact on levels of consumer spending, as consumer spending impacts buyers and suppliers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public health pandemics or other health crises. Further, small businesses that do not have substantial resources, like some of the buyers and suppliers transacting on our marketplace, tend to be more adversely affected by poor economic conditions than large businesses. If buyers or suppliers on our platform were to cease operations, temporarily or permanently, or face financial distress or other business disruption, our business, financial condition, and results of operation may be materially and adversely affected.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Currency exchange rate fluctuations affect our results of operations, as reported in our financial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report our financial results in U.S. dollars. We collect our revenue primarily in U.S. dollars. A portion of our revenue, cost of revenue, sales and marketing, operations and support, product development and general and administrative expenses are in jurisdictions outside the United States and are incurred in foreign currencies.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For example, there has been and may continue to be volatility in currency exchange rates as a result of the conflict in Ukraine. We do not currently enter into hedging transactions and our business, financial condition and results of operations could be materially and adversely affected if we are unable to effectively hedge against currency fluctuations in the future.</w:t>
      </w:r>
    </w:p>
    <w:p>
      <w:pPr>
        <w:pStyle w:val="TextBody"/>
        <w:bidi w:val="0"/>
        <w:spacing w:before="0" w:after="200"/>
        <w:jc w:val="both"/>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stock price may be volatile, and the value of our Class A common stock may decline.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market price of our Class A common stock may be highly volatile and may fluctuate or decline substantially as a result of a variety of factors, some of which are beyond our control, and may not be related to our operating performance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price and volume fluctuations in the overall stock market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operating results or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pricing model;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projected operating and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business developments, acquisitions, or new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involvement in any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sales of our Class A common stock by us or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our results of operations meet previously announced guidance or the expectations of securities analysts or investors;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data breaches, disruptions or other incidents involving our platform, marketplace or products or services;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our intellectual property or proprietary rights or our solutions, or third-party intellectual or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senior management or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anticipated future size and growth rate of our market; and</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general economic and market conditions and overall fluctuations in the financial markets in the United States and abroad, including the effects of public health crises or other macroeconomic factors and geopolitical tension, which may lead to periods of global economic uncertainty.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market for technology stocks and the stock market in general have recently experienced significant price and volume fluctuations that have affected and continue to affect the market prices of equity securities of many companies, including our own. These fluctuations have often been unrelated or disproportionate to the operating performance of these companies. Broad market and industry fluctuations, as well as general economic, political, regulatory and market conditions, may continue to negatively impact investor confidence and the market price of equity securities, including our Class A common stock. 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If our operating and financial performance in any given period does not meet the guidance that we provide to the public or the expectations of investment analysts, the market price of our Class A common stock may decline.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but are not obligated to, provide public guidance on our expected operating and financial results for future periods. Any such guidance will comprise forward-looking statements, subject to the risks and uncertainties described in this filing and in our other public filings and public statements. We have in the past failed to meet publicly announced guidance, and our actual results in the future may not always be in line with or exceed any guidance we have provided, especially in times of economic uncertainty, such as the effects of public health crises or other macroeconomic factors and geopolitical tension, which may lead to periods of global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or inaccurate research about our business, our stock price and trading volume could decline.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stock price and trading volume is heavily influenced by the way analysts and investors interpret our financial information and other disclosures. We do not have control over these analysts. If securities or industry analysts cease coverage of us,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We may require additional capital to support the growth of our business, and this capital might not be available on acceptable terms, if at all.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funded our operations since inception primarily through equity and convertible debt financings.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as they become more widely used by suppliers.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December 31, 2025, we had $219.1 million in cash and cash equivalents and marketable securities. While we believe our existing cash and cash equivalents and marketable securities will be sufficient to meet our anticipated cash needs for at least twelve months,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The dual-class structure of our common stock may allow Randolph Altschuler, our co-founder and Chief Executive Officer, to significantly influence matters requiring stockholder approval which may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Class B common stock has twenty votes per share, whereas our Class A common stock has one vote per share. Randolph Altschuler, our co-founder and Chief Executive Officer, owns Class B common stock representing approximately 37.2% of the voting power of our outstanding capital stock, based on the number of shares outstanding as of December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a result, Mr. Altschuler will have the ability to significantly influence the outcome of most matters requiring stockholder approval for the foreseeable future, including the election of directors and approval of significant corporate transactions, such as a merger or other sale of our company or our assets, even if his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Class B common stock will convert automatically into Class A common stock, on a one-to-one basis, upon: (1) the sale or transfer of such shares of Class B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 (2) the death or incapacity of the Class B common stockholder; (3) such holder’s departure from our board of directors; and (4) on the final conversion date, defined as the earlier of (a) the seventh anniversary of our initial public offering; or (b) the date specified by vote of the holders of a majority of the outstanding shares of Class B common stock.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and not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our board of directors, or our chief executive officer;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for cause only upon the vote of sixty-six and two-thirds percent (66 2/3%) of our outstanding shares of our voting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 and</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require the approval of our board of directors or the holders of at least sixty-six and two-thirds percent (66 2/3%) of our outstanding shares of common stock to amend our bylaws and certain provisions of our certificate of incorporation.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amended and restated certificate of incorporation designate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does not apply to suits brought to enforce a duty or liability created by the Exchange Act or any other claim for which the U.S. federal courts have exclusive jurisdiction.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our amended and restated certificate of incorporation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pStyle w:val="TextBody"/>
        <w:bidi w:val="0"/>
        <w:spacing w:before="0" w:after="200"/>
        <w:jc w:val="both"/>
        <w:rPr>
          <w:rFonts w:ascii="Times New Roman" w:hAnsi="Times New Roman"/>
          <w:sz w:val="20"/>
        </w:rPr>
      </w:pPr>
      <w:r>
        <w:rPr>
          <w:rFonts w:ascii="Times New Roman" w:hAnsi="Times New Roman"/>
          <w:b/>
          <w:color w:val="000000"/>
          <w:sz w:val="20"/>
        </w:rPr>
        <w:t>Risks Related to our Convertible Notes</w:t>
      </w:r>
      <w:r>
        <w:rPr>
          <w:rFonts w:ascii="Times New Roman" w:hAnsi="Times New Roman"/>
          <w:color w:val="000000"/>
          <w:sz w:val="20"/>
        </w:rPr>
        <w:t xml:space="preserve">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Servicing our debt requires a significant amount of cash, and we may not have sufficient cash flow from our business to pay our substantial debt.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make scheduled payments of the principal of, to pay interest on, or to refinance our indebtedness, including the $85.8 million aggregate outstanding principal amount of 1.00% Convertible Senior Notes due 2027 (the “2027 Notes”) and the $250.0 million aggregate outstanding principal amount of 0.75% Convertible Senior Notes due 2030 (the "2030 Notes" and, together with the 2027 Notes, the "Convertible Notes") issued in February 2022 and June 2025, respectively, depends on our future performance, which is subject to economic, financial, competitive and other factors beyond our control. If the assumptions underlying our cash flow guidance are incorrect, our business may not continue to generate cash flow from operations in the future sufficient to service our debt, including the Convertible Notes, and make necessary capital expenditures. If we are unable to generate such cash flow, we may be required to adopt one or more alternatives, such as selling assets, restructuring debt or issuing additional equity, equity-linked or debt instruments on terms that may be onerous or highly dilutive. Our ability to refinance our indebtedness will depend on the capital markets and our financial condition at such time. If we are unable to engage in any of these activities or engage in these activities on desirable terms, we may be unable to meet our debt obligations, including the Convertible Notes, which would materially and adversely impact our business, financial condition and operating results.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Conversion of the Convertible Notes may dilute the ownership interest of our stockholders to the extent we elect to satisfy our conversion obligation by delivering shares of our Class A common stock. It may also otherwise depress the price of our Class A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conversion of some or all of the Convertible Notes may dilute the ownership interests of our stockholders to the extent we elect to settle our conversion obligation in shares of our Class A common stock or a combination of cash and shares of our Class A common stock. Any sales in the public market of our Class A common stock issuable upon such conversion could also adversely affect prevailing market prices of our Class A common stock. In addition, the existence of the Convertible Notes may encourage short selling by market participants because the conversion of the Convertible Notes could be used to satisfy short positions, or anticipated conversion of the Convertible Notes into shares of our Class A common stock could depress the price of our Class A common stock.</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Certain provisions in the indenture governing the Convertible Notes may delay or prevent an otherwise beneficial takeover attempt of 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Certain provisions in the indenture governing the Convertible Notes may make it more difficult or expensive for a third party to acquire us. For example, the indenture governing the Convertible Notes will require us, except as described in the indenture, to repurchase the notes for cash upon the occurrence of a “fundamental change” (as defined in the applicable indenture) and, in certain circumstances, to increase the respective conversion rate for a holder that converts its Convertible Notes in connection with a “make-whole fundamental change” (as defined in the applicable indenture). A takeover of us may trigger the requirement that we repurchase the Convertible Notes and/or increase the applicable conversion rate, which could make it costlier for a potential acquirer to engage in such takeover. Such additional costs may have the effect of delaying or preventing a takeover of us that would otherwise be beneficial to investors.</w:t>
      </w:r>
    </w:p>
    <w:p>
      <w:pPr>
        <w:pStyle w:val="TextBody"/>
        <w:bidi w:val="0"/>
        <w:jc w:val="both"/>
        <w:rPr>
          <w:rFonts w:ascii="Times New Roman" w:hAnsi="Times New Roman"/>
          <w:sz w:val="20"/>
        </w:rPr>
      </w:pPr>
      <w:r>
        <w:rPr>
          <w:rFonts w:ascii="Times New Roman" w:hAnsi="Times New Roman"/>
          <w:b/>
          <w:i/>
          <w:color w:val="000000"/>
          <w:sz w:val="20"/>
        </w:rPr>
        <w:t>The Capped Call Transactions may affect the market price of the 2030 Notes and our Class A common stock.</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 connection with the sale of the 2030 Notes, we entered into capped call transactions (the “Capped Call Transactions”) with certain financial institutions (the “Option Counterparties”). The Capped Call Transactions cover, subject to customary adjustments, the number of shares of our Class A common stock initially underlying the 2030 Notes. The Capped Call Transactions are expected generally to reduce the potential dilution to our Class A common stock upon any conversion of the 2030 Notes and/or offset any cash payments we are required to make in excess of the principal amount of converted 2030 Notes, as the case may be, with such reduction and/or offset subject to a cap.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prior to the maturity of the 2030 Notes (and are likely to do so during the 40 trading day period beginning on the 41st scheduled trading day prior to the maturity date of the 2030 Notes, or, to the extent we exercise the relevant election under the Capped Call Transactions, following any repurchase, redemption, or conversion of the 2030 Notes). This activity could also cause or avoid an increase or a decrease in the market price of our Class A common stock or the notes, which could affect the ability of the holders of the 2030 Notes to convert their notes and, to the extent the activity occurs during any observation period related to a conversion of the 2030 Notes, it could affect the number of shares, if any, and value of the consideration that the holders of the 2030 Notes will receive upon conversion of the 2030 Notes.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potential effect, if any, of these transactions and activities on the market price of our Class A common stock or the 2030 Notes will depend in part on market conditions and cannot be ascertained at this time. Any of these activities could adversely affect the value of our Class A common stock and the value of the 2030 Notes (and as a result, the number of shares, if any, and value of the consideration that the holders of the 2030 Notes would receive upon the conversion of any of their 2030 Notes) and, under certain circumstances, the holders of the 2030 Notes ability to convert their 2030 Notes.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do not make any representation or prediction as to the direction or magnitude of any potential effect that the transactions described above may have on the price of the 2030 Notes or our Class A common stock. In addition, we do not make any representation that the Option Counterparties or their respective affiliates will engage in these transactions or that these transactions, once commenced, will not be discontinued without notice.</w:t>
      </w:r>
    </w:p>
    <w:p>
      <w:pPr>
        <w:pStyle w:val="TextBody"/>
        <w:bidi w:val="0"/>
        <w:jc w:val="both"/>
        <w:rPr>
          <w:rFonts w:ascii="Times New Roman" w:hAnsi="Times New Roman"/>
          <w:sz w:val="20"/>
        </w:rPr>
      </w:pPr>
      <w:r>
        <w:rPr>
          <w:rFonts w:ascii="Times New Roman" w:hAnsi="Times New Roman"/>
          <w:b/>
          <w:i/>
          <w:color w:val="000000"/>
          <w:sz w:val="20"/>
        </w:rPr>
        <w:t>We are subject to counterparty risk with respect to the Capped Call Transactions.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Option Counterparties are financial institutions, and we will be subject to the risk that any or all of them might default under the Capped Call Transactions. Our exposure to the credit risk of the Option Counterparties will not be secured by any collateral.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Global economic conditions have from time to time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If we fail to retain and motivate members of our management team or other key personnel, our business and future growth prospects would be harmed.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success and future growth depend largely upon the continued services of our executive officers as well as other key personnel. These executives and key personnel have been primarily responsible for determining the strategic direction of the business and executing our growth strategy and are integral to our brand, culture and reputation with buyers and suppliers.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Litigation or legal proceedings could expose us to significant liabilities and have a negative impact on our reputation or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the past, securities class action litigation often has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business. Additionally, securities litigation and stockholder activism could give rise to perceived uncertainties as to our future, adversely affect our relationships with customers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Changes in tax laws may materially adversely affect our business, prospects, financial condition and operating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(“IRS”), with respect to the Tax Act may affect us, and certain aspects of the Tax Act could be repealed or modified in future legislation. The Coronavirus Aid, Relief, and Economic Security Act (“CARES Act”) has already modified certain provisions of the Tax Act. In addition, it is uncertain if and to what extent various states will conform to the Tax Act, the CARES Act or any newly enacted federal tax legislation.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and the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In addition, pursuant to Section 404 of the Sarbanes Oxley-Act, we are required to perform system and process evaluation and testing of our internal control over financial reporting to allow our management to furnish a report on, among other things, the effectiveness of our internal control over financial reporting for the fiscal year covered by this Annual Report, and we are also required to have our independent registered public accounting firm issue an opinion on the effectiveness of our internal control over financial reporting on an annual basis.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have experienced a material weakness in our internal control over financial reporting in the past. Although the material weakness was remediated, we cannot assure you that there will not be material weaknesses in our internal control over financial reporting in the future, and our testing, or the subsequent testing by our independent public accounting firm, may reveal deficiencies in our internal control over financial reporting that are deemed to be material weaknesses.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 common stock. In addition, if we are unable to continue to meet these requirements, we may not be able to remain listed on The Nasdaq Global Select Market.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If we are unable to assert that our internal control over financial reporting is effective, or if our independent registered public accounting firm is unable to express an opinion on the effectiveness of our internal control over financial reporting, investors could lose confidence in the reliability of our financial statements, the market price of our Class A common stock could decline and we could be subject to sanctions or investigations by The Nasdaq Global Select Market, the SEC or other regulatory authorities. Any failure to maintain effective disclosure controls and internal control over financial reporting could have an adverse effect on our business, results of operations and financial condition and could cause a decline in the market price of our Class A common stock. </w:t>
      </w:r>
    </w:p>
    <w:p>
      <w:pPr>
        <w:pStyle w:val="TextBody"/>
        <w:bidi w:val="0"/>
        <w:spacing w:before="0" w:after="200"/>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0" w:after="200"/>
        <w:jc w:val="both"/>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our customers’ confidential information (“Information Systems and Data”).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information security function, which is led by our Chief Technology Officer (“CTO”), helps identify, assess, and manage our cybersecurity threats and risks. We identify and assess risks from cybersecurity threats by monitoring and evaluating our threat environment using various methods including using manual and automated tools, analyzing reports of threats and actors, evaluating our risk profile, conducting audits, conducting threat and vulnerability assessments, and performing tabletop incident response exercises.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Depending on the environment and system, we implement and maintain various technical, physical, and organizational measures, processes, standards, and policies designed to manage and mitigate material risks from cybersecurity threats to our Information Systems and Data, including incident detection and response, a vulnerability management policy, business continuity plans, risk assessments, encryption of certain data, access controls, employee training, penetration testing, cybersecurity insurance, systems monitoring and dedicated cybersecurity staff.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assessment and management of material risks from cybersecurity threats are integrated into our overall risk management processes. Certain information about our assessment and management of material risks from cybersecurity threats is included in risk management reports, as applicable, to senior leadership and the Audit Committee.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use third-party service providers to assist us from time to time to identify, assess, and manage material risks from cybersecurity threats, including for example, professional services firms, cybersecurity consultants and software providers, managed cybersecurity service providers, penetration testing firms, and forensic investigators.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use third-party service providers to perform a variety of functions throughout our business, such as application providers, hosting companies, and third-party manufacturing organizations.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(such as by reviewing certain vendor’s security assessments or reports) and impose contractual obligations related to cybersecurity on the provider. </w:t>
      </w:r>
    </w:p>
    <w:p>
      <w:pPr>
        <w:pStyle w:val="TextBody"/>
        <w:bidi w:val="0"/>
        <w:spacing w:before="0" w:after="200"/>
        <w:jc w:val="both"/>
        <w:rPr>
          <w:rFonts w:ascii="Times New Roman" w:hAnsi="Times New Roman"/>
          <w:sz w:val="20"/>
        </w:rPr>
      </w:pPr>
      <w:r>
        <w:rPr>
          <w:rFonts w:ascii="Times New Roman" w:hAnsi="Times New Roman"/>
          <w:color w:val="000000"/>
          <w:sz w:val="20"/>
        </w:rPr>
        <w:t>For a description of the risks from cybersecurity threats that may materially affect us and how they may do so, see our risk factors under Part 1. Item 1A. Risk Factors in this Annual Report on Form 10-K, including the risk factor titled “</w:t>
      </w:r>
      <w:r>
        <w:rPr>
          <w:rFonts w:ascii="Times New Roman" w:hAnsi="Times New Roman"/>
          <w:i/>
          <w:color w:val="000000"/>
          <w:sz w:val="20"/>
        </w:rPr>
        <w:t>If our information 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r>
        <w:rPr>
          <w:rFonts w:ascii="Times New Roman" w:hAnsi="Times New Roman"/>
          <w:color w:val="000000"/>
          <w:sz w:val="20"/>
        </w:rPr>
        <w:t xml:space="preserve">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board of directors addresses our cybersecurity risk management as part of its general oversight function. The Audit Committee of our board of directors is responsible for overseeing our cybersecurity risk management processes, including oversight and mitigation of risks from cybersecurity threats.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members of management, including (i) our CTO, Vaidyanathan Raghavan, who previously served as the General Manager of Technology at Wayfair and holds a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Master of Science in Electrical Engineering degree from the University of Minnesota; and (ii) our Vice President of Information Technology and Security, Mr. Brendan Hamilton, who has previously worked as a Vice President at an international bank with supervisory responsibility for cybersecurity issues and is a Certified Information Systems Security Professional.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Chief Human Resource Officer, President, CTO and recruiting personnel are responsible for hiring appropriate personnel, helping to integrate cybersecurity risk considerations into our overall risk management strategy, and communicating key priorities to relevant personnel. Our management, including our President, CTO and Chief Financial Officer, is responsible for approving budgets, helping prepare for cybersecurity incidents, approving cybersecurity processes, and reviewing security assessments and other security-related reports.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cybersecurity incident response processes are designed to escalate certain cybersecurity incidents to members of management depending on the circumstances, including our Chief Executive Officer, President, CTO, Chief Financial Officer, and General Counsel, who works with our incident response team to help mitigate and remediate cybersecurity incidents of which they are notified. In addition, our incident response processes include reporting to the Audit Committee of the board of directors for certain cybersecurity incidents.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Audit Committee receives periodic reports from the CTO concerning our significant cybersecurity threats and risk and the processes we have implemented to address them. Our board of directors receives such reports periodically from the Audit Committee and from our CTO. The board of directors also receive various reports, summaries or presentations related to cybersecurity threats, risk, and mitigation. </w:t>
      </w:r>
    </w:p>
    <w:p>
      <w:pPr>
        <w:pStyle w:val="TextBody"/>
        <w:bidi w:val="0"/>
        <w:spacing w:before="0" w:after="200"/>
        <w:jc w:val="both"/>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believe that our facilities are well maintained and are generally suitable to meet our needs. All of our offices are leased and we do not own any real property. Our operating leases range in expiration from 2026 to 2032. We have leased offices and/or facilities in the following locations: </w:t>
      </w:r>
    </w:p>
    <w:tbl>
      <w:tblPr>
        <w:tblW w:w="3522" w:type="dxa"/>
        <w:jc w:val="left"/>
        <w:tblInd w:w="0" w:type="dxa"/>
        <w:tblLayout w:type="fixed"/>
        <w:tblCellMar>
          <w:top w:w="28" w:type="dxa"/>
          <w:left w:w="28" w:type="dxa"/>
          <w:bottom w:w="28" w:type="dxa"/>
          <w:right w:w="28" w:type="dxa"/>
        </w:tblCellMar>
      </w:tblPr>
      <w:tblGrid>
        <w:gridCol w:w="1966"/>
        <w:gridCol w:w="242"/>
        <w:gridCol w:w="1123"/>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 Operating Leases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City, State</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Square Footage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Gaithersburg, MD</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Bethesda, MD</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Lexington, KY</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Boston, MA</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International Operating Leases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City, Country</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Square Footage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Hohenbrunn, Germany</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Bangalore, India</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Istanbul, Turkey</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Shenzhen, China</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Chelmsford, England</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Shanghai, China</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Lyon, France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 </w:t>
      </w:r>
    </w:p>
    <w:p>
      <w:pPr>
        <w:pStyle w:val="TextBody"/>
        <w:bidi w:val="0"/>
        <w:spacing w:before="0" w:after="200"/>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sz w:val="20"/>
        </w:rPr>
      </w:pPr>
      <w:bookmarkStart w:id="10" w:name="part_ii_"/>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0" w:after="200"/>
        <w:jc w:val="both"/>
        <w:rPr>
          <w:rFonts w:ascii="Times New Roman" w:hAnsi="Times New Roman"/>
          <w:b/>
          <w:color w:val="000000"/>
          <w:sz w:val="20"/>
        </w:rPr>
      </w:pPr>
      <w:bookmarkStart w:id="11" w:name="item_5_market_for_registrants_common"/>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Class A common stock has been listed on the NASDAQ Global Select Market under the symbol “XMTR” since June 30, 2021. Prior to that date, there was no public trading market for our Class A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February 9, 2026, there were 60 holders of record of our Class A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of February 9, 2026, there was one holder of record of our Class B common stock.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200"/>
        <w:jc w:val="both"/>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Purchases of Equity Securities by the Issuer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00" w:after="20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performance graph shows a comparison from June 30, 2021 (the date our Class A common stock commenced trading on the Nasdaq Global Select Market) through December 31, 2025, of the cumulative total return for our Class A common stock, the Nasdaq Composite Index, and the Russell 2000 Index.</w:t>
      </w:r>
    </w:p>
    <w:p>
      <w:pPr>
        <w:pStyle w:val="TextBody"/>
        <w:bidi w:val="0"/>
        <w:spacing w:before="0" w:after="200"/>
        <w:jc w:val="center"/>
        <w:rPr/>
      </w:pPr>
      <w:r>
        <w:rPr/>
        <w:drawing>
          <wp:inline distT="0" distB="0" distL="0" distR="0">
            <wp:extent cx="6629400" cy="451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29400" cy="4514850"/>
                    </a:xfrm>
                    <a:prstGeom prst="rect">
                      <a:avLst/>
                    </a:prstGeom>
                  </pic:spPr>
                </pic:pic>
              </a:graphicData>
            </a:graphic>
          </wp:inline>
        </w:drawing>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graph assumes an initial investment of $100 on June 30, 2021. The comparisons in the graph are not intended to forecast or be indicative of possible future performance of our common stock. The performance graph and related information shall not be deemed “soliciting material” or to be “filed” with the SEC, nor shall such information be incorporated by reference into any future filing under the Securities Act or Exchange Act.</w:t>
      </w:r>
    </w:p>
    <w:p>
      <w:pPr>
        <w:pStyle w:val="TextBody"/>
        <w:bidi w:val="0"/>
        <w:spacing w:before="0" w:after="200"/>
        <w:jc w:val="both"/>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bookmarkStart w:id="13" w:name="mda"/>
      <w:bookmarkEnd w:id="13"/>
      <w:r>
        <w:rPr>
          <w:rFonts w:ascii="Times New Roman" w:hAnsi="Times New Roman"/>
          <w:b/>
          <w:color w:val="000000"/>
          <w:sz w:val="20"/>
        </w:rPr>
        <w:t>Item 7. Management’s Discussion and Analysis of Financial Condition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sections of this Annual Report on Form 10-K. Our historical results are not necessarily indicative of the results that may be expected for any period in the future.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section of our Annual Report on Form 10-K includes a discussion regarding our financial condition and results of operations for the fiscal years ended December 31, 2025 and 2024, and year-to-year comparisons between fiscal years ended December 31, 2025 and 2024. A discussion regarding our financial condition and results of operations for the fiscal year ended December 31, 2023, and year-to-year comparisons between fiscal years ended December 31, 2024 and 2023 that are not included in this Annual Report on Form 10-K can be found in “Management’s Discussion and Analysis of Financial Condition and Results of Operations” in Part II, Item 7 of our Annual Report on Form 10-K for the fiscal year ended December 31, 2024, filed with the SEC on February 25, 2025.</w:t>
      </w:r>
    </w:p>
    <w:p>
      <w:pPr>
        <w:pStyle w:val="TextBody"/>
        <w:bidi w:val="0"/>
        <w:spacing w:before="0" w:after="200"/>
        <w:jc w:val="center"/>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Xometry, Inc. (“Xometry”, the “Company”, “our”, or “we”)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Xometry operates an AI-native online marketplace that connects buyers with suppliers of manufacturing services, driving the digital transformation of one of the largest industries in the world. The platform is designed to digitize and modernize the sourcing, pricing, and execution of manufacturing work across a broad range of processes, materials and industries, enabling more efficient matching of manufacturing demand with available production capacity. We facilitate innovation by providing real-time access to global manufacturing demand and capacity. We believe these capabilities position Xometry as a preferred digital collaboration, sourcing and transaction platform for custom manufacturing, and lead to Xometry becoming an intergral part of our buyer’s supply chains.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 proprietary technology to enable product designers, engineers, buyers, and supply chain professionals to instantly access the capacity of a global network of manufacturing facilities. The Company’s marketplace makes it possible for buyers to quickly receive pricing, expected lead times, and manufacturability feedback and place orders on the marketplace. The network allows us to provide high volumes of unique parts, including custom components and assemblies for our buyers, as well as larger production orders of single parts. Teamspace is a cloud-based solution within the Xometry platform that enables customers to collaborate with other users on projects and custom part orders. Workcenter, our partner operating system, gives suppliers a one-stop view into all of their Xometry and non-Xometry work. A cloud-based manufacturing execution system, Workcenter brings the job board and financial services into one, easy-to-use platform which helps our suppliers digitize their operations so they can work smarter and faster. With Workcenter, shop owners can build and manage workflows for all their projects, including those from non-Xometry customers. These technology solutions help drive our land and expand efforts by embedding Xometry further into enterprise workflows.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benefits from a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services, including our financial services or the purchase of tools and materials.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Industrial, Medical Devices, Automotive, Consumer Goods, Defense, Government, Energy, Education and Robotics.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empower suppliers to grow their manufacturing businesses and improve machine utilization by providing access to an extensive, diverse base of buyers. We also offer suppliers supporting services to meet their unique needs. The Thomasnet digital platform connects industrial buyers with over 500,000 North American suppliers. Operating at the intersection of digital marketing, industrial sourcing, and supply chain management, Thomasnet supports manufacturers, distributors, and service providers with tools and resources to enhance visibility, drive qualified leads, and streamline procurement processes. Thomasnet offers a suite of digital marketing services including SEO, content creation, data-driven advertising, analytics and insights. These solutions help industrial companies increase online visibility and drive business growth. In addition, our services include financial service products to facilitate faster payments.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Continued Growth in Active Buyers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must maintain and grow our Active Buyer base and grow our wallet share with existing buyers. We define Active Buyers as the number of buyers who have made at least one purchase on our marketplace during the last twelve months. An increase or decrease in the number of Active Buyers is a key indicator of our ability to attract, retain and engage buyers on our platform. We intend to continue investing in acquiring new buyers through traditional paid sales and marketing techniques as well as leveraging our organic referral network to drive awareness and build trust. The number of Active Buyers on our platform reached 81,821 as of December 31, 2025, up 20% from 68,267 as of December 31, 2024. Once we acquire a buyer, we seek to expand the breadth and scale of the services sold to that buyer and leverage the relationship to gain additional buyers within an account through a combination of product offerings, customer relationship marketing, sales and account management. We remain focused on increasing wallet share with our existing buyers through a number of deliberate strategies. With each positive experience and the expansion of our manufacturing processes by acquiring new supplier capabilities we will continue building our buyers’ spend and opportunities on our marketplace.</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Continued Growth in Our Broad Base of Suppliers</w:t>
      </w:r>
    </w:p>
    <w:p>
      <w:pPr>
        <w:pStyle w:val="TextBody"/>
        <w:bidi w:val="0"/>
        <w:spacing w:before="0" w:after="200"/>
        <w:jc w:val="both"/>
        <w:rPr>
          <w:rFonts w:ascii="Times New Roman" w:hAnsi="Times New Roman"/>
          <w:sz w:val="20"/>
        </w:rPr>
      </w:pPr>
      <w:r>
        <w:rPr>
          <w:rFonts w:ascii="Times New Roman" w:hAnsi="Times New Roman"/>
          <w:color w:val="000000"/>
          <w:sz w:val="20"/>
        </w:rPr>
        <w:t>We must maintain and grow our broad selection of suppliers and add to our diverse array of manufacturing processes in order to continue to grow our business and maximize the efficiency of our network. We rely on our network of suppliers to provide the sophisticated manufacturing processes that we offer to our buyers. We believe the value proposition for suppliers, in particular increasing utilization of their manufacturing operations, is compelling. If we fail to attract new suppliers to our platform and retain existing suppliers, the attractiveness of our platform to buyers would decrease and we would not be able to grow our revenue. In order to increase our efficiency, we intend to continue to expand our large and growing network of suppliers. The number of active suppliers, which we define as suppliers that have used our platform at least once during the last twelve months to manufacture a product, has grown 17% year-over-year</w:t>
      </w:r>
      <w:r>
        <w:rPr>
          <w:rFonts w:ascii="Times New Roman" w:hAnsi="Times New Roman"/>
          <w:color w:val="000000"/>
          <w:sz w:val="13"/>
        </w:rPr>
        <w:t>(1)</w:t>
      </w:r>
      <w:r>
        <w:rPr>
          <w:rFonts w:ascii="Times New Roman" w:hAnsi="Times New Roman"/>
          <w:color w:val="000000"/>
          <w:sz w:val="20"/>
        </w:rPr>
        <w:t xml:space="preserve"> to 4,996 for the year ended December 31, 2025. As we add to our supplier base, our AI-driven pricing becomes more competitive, and therefore more attractive to buyers, leading to higher revenue and improved margins. However, if we do not efficiently price the manufacturing opportunities on our marketplace, our revenue and margins could be adversely impacted.</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Investments in Technology and Expansion of Our Platform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invested, and intend to continue to invest, in developing technology, tools, features, and products that provide targeted and useful solutions for our buyers and suppliers. We intend to continue to invest in our AI and machine learning technologies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marketplace, the efficiency of our marketplace may be impaired, and our revenue and gross profit may be adversely impacted.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6"/>
        </w:rPr>
        <w:t xml:space="preserve">In 2025, we </w:t>
      </w:r>
      <w:r>
        <w:rPr>
          <w:rFonts w:ascii="Times New Roman" w:hAnsi="Times New Roman"/>
          <w:color w:val="1D1C1D"/>
          <w:sz w:val="16"/>
        </w:rPr>
        <w:t>adjusted the number of our 2024 Active Suppliers to reflect an immaterial correction.</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Expansion of Our International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2019, we launched Xometry in Europe, followed by Xometry Asia in 2022 and Xometry United Kingdom and Xometry Turkey in 2023. We believe there is significant opportunity in the global manufacturing ecosystem for our marketplace. With operations throughout the majority of the contiguous United States and customers in Europe and Asia, we have established footholds in major markets around the world. As we have expanded our physical presence, we have also added new language functionality to our platforms to reach a wider customer base. As of December 31, 2025, customers can access our platforms in 18 languages. We will continue to dedicate sales and marketing resources to develop our supplier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Expansion of Our Services (previously referred to as “Supplier Services”)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2020, we launched financial services to help our suppliers manage their cash flow. These services help suppliers manage their business more efficiently, even on jobs that they source outside of our platform. In December 2021, we acquired Thomas, which significantly expanded our services. Thomas offers a suite of digital marketing services including SEO, content creation, data-driven advertising, analytics and insights. In late 2025, Thomas launched new platform tools designed to help industrial buyers source the right suppliers, including a dynamic advertising platform and improved search technology. The new performance-based listings model allows industrial business advertisers to set budgets and only pay for potential buyers who interact with their profiles. Thomas also launched smart search, a powerful new tool that enables buyers to run complex, multi-capability searches and identify more relevant suppliers for their needs. Workcenter, our cloud-based manufacturing execution system, provides order management to our supplier community which allows shops and shop owners to digitize and automate their operations so they can focus on growing their business. In addition to being able to manage existing orders, Workcenter is designed to integrate seamlessly with the AI-driven Xometry marketplace, giving suppliers a one-stop view into all of their orders. These solutions help industrial companies increase online visibility and drive business growth.</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Unfavorable conditions in the economy both in the United States and abroad may negatively affect the growth of our business and our results of operations. For example, macroeconomic events, fluctuations in inflation, volatile market conditions, impacts from tariffs,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Part I, Item 1A of this Form 10-K.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Restructuring</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During 2025, we initiated restructuring actions to help improve efficiency and align resources by reducing our workforce by approximately 5%. The workforce reduction focused on realigning our staffing levels to help us meet the current and future objectives of our business. For the year ended December 31, 2025, we incurred $1.3 million for employee termination costs related to our restructuring. Refer to Note 11, </w:t>
      </w:r>
      <w:r>
        <w:rPr>
          <w:rFonts w:ascii="Times New Roman" w:hAnsi="Times New Roman"/>
          <w:i/>
          <w:color w:val="000000"/>
          <w:sz w:val="20"/>
        </w:rPr>
        <w:t>Debt and Commitments and Contingencies—Restructuring</w:t>
      </w:r>
      <w:r>
        <w:rPr>
          <w:rFonts w:ascii="Times New Roman" w:hAnsi="Times New Roman"/>
          <w:color w:val="000000"/>
          <w:sz w:val="20"/>
        </w:rPr>
        <w:t xml:space="preserve"> in Part II, Item 8 of this Form 10-K.</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sz w:val="20"/>
        </w:rPr>
      </w:pPr>
      <w:r>
        <w:rPr>
          <w:rFonts w:ascii="Times New Roman" w:hAnsi="Times New Roman"/>
          <w:b/>
          <w:color w:val="000000"/>
          <w:sz w:val="20"/>
        </w:rPr>
        <w:t>Key Operational and Business Metrics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to the measures presented in our consolidated financial statements included elsewhere in this Annual Report on Form 10-K, we use the following key operational and business metrics to help us evaluate our business, measure our performance, identify trends affecting our business, formulate business plans and develop forecasts, and make strategic decisions: </w:t>
      </w:r>
    </w:p>
    <w:p>
      <w:pPr>
        <w:pStyle w:val="TextBody"/>
        <w:bidi w:val="0"/>
        <w:spacing w:before="0" w:after="200"/>
        <w:jc w:val="left"/>
        <w:rPr>
          <w:rFonts w:ascii="Times New Roman" w:hAnsi="Times New Roman"/>
          <w:sz w:val="20"/>
        </w:rPr>
      </w:pPr>
      <w:r>
        <w:rPr>
          <w:rFonts w:ascii="Times New Roman" w:hAnsi="Times New Roman"/>
          <w:b/>
          <w:i/>
          <w:color w:val="000000"/>
          <w:sz w:val="20"/>
        </w:rPr>
        <w:t>Active Buyers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define Active Buyers as the number of buyers who have made at least one purchase on our marketplace during the last twelve months. An increase or decrease in the number of Active Buyers is a key indicator of our ability to attract, retain and engage buyers on our platform.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Active Buyers has consistently grown over time. The number of Active Buyers on our platform reached 81,821 as of December 31, 2025, up 20% from 68,267 as of December 31, 2024. The key drivers of Active Buyer growth are primarily due to strong enterprise growth and efficient corporate marketing initiatives. </w:t>
      </w:r>
    </w:p>
    <w:p>
      <w:pPr>
        <w:pStyle w:val="TextBody"/>
        <w:bidi w:val="0"/>
        <w:jc w:val="center"/>
        <w:rPr/>
      </w:pPr>
      <w:r>
        <w:rPr/>
        <w:drawing>
          <wp:inline distT="0" distB="0" distL="0" distR="0">
            <wp:extent cx="4953000" cy="5514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53000" cy="55149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i/>
          <w:color w:val="000000"/>
          <w:sz w:val="20"/>
        </w:rPr>
        <w:t>Percentage of Revenue from Existing Accounts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the quarter ended December 31, 2025, 98% of our revenue was generated from existing accounts. We believe the repeat purchase activity from existing accounts reflects the underlying strength of our business and provides us with substantial revenue visibility and predictability. </w:t>
      </w:r>
    </w:p>
    <w:p>
      <w:pPr>
        <w:pStyle w:val="TextBody"/>
        <w:bidi w:val="0"/>
        <w:jc w:val="center"/>
        <w:rPr/>
      </w:pPr>
      <w:r>
        <w:rPr/>
        <w:drawing>
          <wp:inline distT="0" distB="0" distL="0" distR="0">
            <wp:extent cx="4953000" cy="5514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53000" cy="55149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i/>
          <w:color w:val="000000"/>
          <w:sz w:val="20"/>
        </w:rPr>
        <w:t>Accounts with Last Twelve-Month Spend of At Least $50,000</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1,760 as of December 31, 2025, up 18%</w:t>
      </w:r>
      <w:r>
        <w:rPr>
          <w:rFonts w:ascii="Times New Roman" w:hAnsi="Times New Roman"/>
          <w:color w:val="FF0000"/>
          <w:sz w:val="20"/>
        </w:rPr>
        <w:t xml:space="preserve"> </w:t>
      </w:r>
      <w:r>
        <w:rPr>
          <w:rFonts w:ascii="Times New Roman" w:hAnsi="Times New Roman"/>
          <w:color w:val="000000"/>
          <w:sz w:val="20"/>
        </w:rPr>
        <w:t xml:space="preserve">from 1,495 as of December 31, 2024. </w:t>
      </w:r>
    </w:p>
    <w:p>
      <w:pPr>
        <w:pStyle w:val="TextBody"/>
        <w:bidi w:val="0"/>
        <w:spacing w:before="200" w:after="200"/>
        <w:jc w:val="center"/>
        <w:rPr/>
      </w:pPr>
      <w:r>
        <w:rPr/>
        <w:drawing>
          <wp:inline distT="0" distB="0" distL="0" distR="0">
            <wp:extent cx="4953000" cy="5514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953000" cy="5514975"/>
                    </a:xfrm>
                    <a:prstGeom prst="rect">
                      <a:avLst/>
                    </a:prstGeom>
                  </pic:spPr>
                </pic:pic>
              </a:graphicData>
            </a:graphic>
          </wp:inline>
        </w:drawing>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Adjusted EBITDA and Non-GAAP Net Income (Loss) are non-GAAP financial measures that we use, in addition to our GAAP financial measures, to evaluate our business. We have included Adjusted EBITDA and Non-GAAP Net Income (Loss) in this filing because they are key measures used by our management to evaluate our operating performance. Accordingly, we believe that Adjusted EBITDA and Non-GAAP Net Income (Loss) provide useful information to investors and others in understanding and evaluating our operating results in the same manner as our management team and board of directors. Our calculation of Adjusted EBITDA and Non-GAAP net income (loss) may differ from similarly titled non-GAAP measures, if any, reported by our peer companies and therefore may not serve as an accurate basis of comparison among companies. Adjusted EBITDA and Non-GAAP Net Income (Loss) should not be considered in isolation from, or as a substitute for, financial information prepared in accordance with GAAP.</w:t>
      </w:r>
    </w:p>
    <w:p>
      <w:pPr>
        <w:pStyle w:val="TextBody"/>
        <w:bidi w:val="0"/>
        <w:spacing w:before="0" w:after="200"/>
        <w:jc w:val="both"/>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define Adjusted EBITDA as net loss, adjusted for interest expense, interest and dividend income and other expenses, and certain other non-cash or non-recurring items impacting net loss from time to time, principally comprised of depreciation and amortization, amortization of lease intangible, provision (benefit) for income taxes, stock-based compensation, payroll tax expense related to stock-based compensation, charitable contribution of common stock, income from unconsolidated joint venture, impairment of assets, restructuring charges,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w:t>
      </w:r>
    </w:p>
    <w:tbl>
      <w:tblPr>
        <w:tblW w:w="8204" w:type="dxa"/>
        <w:jc w:val="left"/>
        <w:tblInd w:w="0" w:type="dxa"/>
        <w:tblLayout w:type="fixed"/>
        <w:tblCellMar>
          <w:top w:w="28" w:type="dxa"/>
          <w:left w:w="28" w:type="dxa"/>
          <w:bottom w:w="28" w:type="dxa"/>
          <w:right w:w="28" w:type="dxa"/>
        </w:tblCellMar>
      </w:tblPr>
      <w:tblGrid>
        <w:gridCol w:w="5641"/>
        <w:gridCol w:w="146"/>
        <w:gridCol w:w="211"/>
        <w:gridCol w:w="736"/>
        <w:gridCol w:w="166"/>
        <w:gridCol w:w="146"/>
        <w:gridCol w:w="211"/>
        <w:gridCol w:w="736"/>
        <w:gridCol w:w="21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expense, interest and dividend income and other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0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7"/>
        </w:rPr>
        <w:t>Includes loss on debt extinguishment.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year ended December 31, 2025, Adjusted EBITDA was $18.5 million, compared to Adjusted EBITDA loss of $(9.7) million for the same period in 2024. For the year ended December 31, 2025, Adjusted EBITDA increased to 2.7% of revenue, as compared to (1.8)% of revenue for the same period in 2024. The increase in Adjusted EBITDA was driven primarily by increased operating efficiencies as we continue to grow our revenue and margins faster than our expenses.</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sz w:val="20"/>
        </w:rPr>
      </w:pPr>
      <w:r>
        <w:rPr>
          <w:rFonts w:ascii="Times New Roman" w:hAnsi="Times New Roman"/>
          <w:b/>
          <w:i/>
          <w:color w:val="000000"/>
          <w:sz w:val="20"/>
        </w:rPr>
        <w:t>Non-GAAP Net Income (Loss)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define Non-GAAP Net Income (Loss), as net loss adjusted for depreciation and amortization, stock-based compensation, payroll tax expense related to stock-based compensation, amortization of lease intangible, amortization of deferred costs on convertible notes, loss on sale of property and equipment, charitable contribution of common stock, lease termination, impairment of assets, restructuring charges, loss on debt extinguishment and acquisition and other adjustments not reflective of our ongoing business, such as adjustments related to purchase accounting, the revaluation of contingent consideration, transaction costs and executive severance.</w:t>
      </w:r>
    </w:p>
    <w:tbl>
      <w:tblPr>
        <w:tblW w:w="7274" w:type="dxa"/>
        <w:jc w:val="left"/>
        <w:tblInd w:w="0" w:type="dxa"/>
        <w:tblLayout w:type="fixed"/>
        <w:tblCellMar>
          <w:top w:w="28" w:type="dxa"/>
          <w:left w:w="28" w:type="dxa"/>
          <w:bottom w:w="28" w:type="dxa"/>
          <w:right w:w="28" w:type="dxa"/>
        </w:tblCellMar>
      </w:tblPr>
      <w:tblGrid>
        <w:gridCol w:w="4711"/>
        <w:gridCol w:w="146"/>
        <w:gridCol w:w="211"/>
        <w:gridCol w:w="736"/>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Non-GAAP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costs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the year ended December 31, 2025, Non-GAAP Net Income was $20.8 million, as compared to Non-GAAP Net Loss of $(2.1) million for the same period in 2024. For the year ended December 31, 2025, Non-GAAP Net Income (Loss) was 3.0% of revenue, as compared to (0.4)% of revenue for the same period in 2024.</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marketplace revenue is primarily comprised of sales of parts and assemblies to customers through our platform. Buyers purchase specialized CNC manufacturing, sheet metal manufacturing, 3D printing, injection molding, urethane casting, stamping, extrusions, tube cutting, tube bending and finishing services. Customer purchases range from rapid prototyping of single parts to high-volume production on our marketplace. These products are primarily manufactured by our network of suppliers.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Services revenue includes the sale of marketing and advertising services and financial service products. </w:t>
      </w:r>
    </w:p>
    <w:p>
      <w:pPr>
        <w:pStyle w:val="TextBody"/>
        <w:bidi w:val="0"/>
        <w:spacing w:before="0" w:after="200"/>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Marketplace cost of revenue primarily consists of the cost to us of the products that are manufactured or produced by us or our suppliers for delivery to buyers on our platform, internal and external production costs, shipping costs and certain internal depreciation. We expect the cost of revenue to increase in absolute dollars to the extent our revenue increases and transaction volume increases. As we grow and add suppliers to our platform, we are able to improve our pricing efficiency and we expect cost of revenue to decline as a percentage of revenue over time.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Services cost of revenue primarily consists of internal and external production costs and website hosting.</w:t>
      </w:r>
    </w:p>
    <w:p>
      <w:pPr>
        <w:pStyle w:val="TextBody"/>
        <w:bidi w:val="0"/>
        <w:spacing w:before="0" w:after="200"/>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Gross profit, or revenue less cost of revenue, is primarily affected by the growth of our revenue and the mix of our business between marketplace and services. Marketplace gross margin is our economic value driven by the spread between the price to the buyer and the cost to the supplier. The price to the buyer is primarily driven by AI through our instant quoting engine which utilizes machine learning and our proprietary data to make price predictions. The cost to the supplier is driven by an AI powered matching algorithm which finds the optimal supplier match in our network.</w:t>
      </w:r>
    </w:p>
    <w:p>
      <w:pPr>
        <w:pStyle w:val="TextBody"/>
        <w:bidi w:val="0"/>
        <w:spacing w:before="200" w:after="20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operating expenses consist of sales and marketing, operations and support, product development, general and administrative functions and impairment of assets.</w:t>
      </w:r>
    </w:p>
    <w:p>
      <w:pPr>
        <w:pStyle w:val="TextBody"/>
        <w:bidi w:val="0"/>
        <w:spacing w:before="0" w:after="200"/>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Sales and marketing expenses are expensed as incurred and include the costs of our digital marketing strategies, branding costs and other advertising costs, restructuring charges, certain depreciation and amortization expense, contract acquisition costs and compensation expenses, including stock-based compensation for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but decrease over time as a percentage of revenue. Sales and marketing expenses may fluctuate from period to period based on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restructuring charges, certain depreciation and amortization expense and software costs used in delivering buyer and suppliers services. We expect operations and support expenses to increase in absolute dollars in the future as we grow our business but decrease over time as a percentage of revenue. Operations and support expenses may fluctuate from period to period based on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Product development costs that are not eligible for capitalization are expensed as incurred. These costs primarily consist of compensation expenses, including stock-based compensation expenses to our employees performing these functions, restructuring charges and certain depreciation and amortization expense. We expect product development expense to increase in absolute dollars in the future as we grow our business but decrease as a percentage of revenue. Product development expenses may fluctuate from period to period based on the timing of our investments, which may vary in scope and scale over future periods.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General and administrative expenses primarily consist of compensation expenses, including stock-based compensation expenses, for executive, finance, legal and other administrative personnel, provision for bad debt, professional service fees, facilities cost, restructuring charges and certain depreciation and amortization expense. We expect general and administrative expenses to increase in absolute dollars in the future as we grow our business but decrease as a percentage of revenue. General and administrative expenses may fluctuate from period to period due to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expense consists of interest incurred on our outstanding borrowings under our outstanding convertible notes or other borrowings. See “Management’s Discussion and Analysis of Financial Condition and Results of Operations—Liquidity and Capital Resources.”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and dividend income consists of interest and dividends on our cash, cash equivalents and marketable securities. </w:t>
      </w:r>
    </w:p>
    <w:p>
      <w:pPr>
        <w:pStyle w:val="TextBody"/>
        <w:bidi w:val="0"/>
        <w:spacing w:before="0" w:after="200"/>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0"/>
        </w:rPr>
        <w:t>Other expenses consist primarily of loss on debt extinguishment, realized foreign exchange gains and/or losses, non-income based taxes and other expenses.</w:t>
      </w:r>
      <w:r>
        <w:rPr>
          <w:rFonts w:ascii="Times New Roman" w:hAnsi="Times New Roman"/>
          <w:color w:val="FF0000"/>
          <w:sz w:val="20"/>
        </w:rPr>
        <w:t xml:space="preserve">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Income from Unconsolidated Joint Venture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Income from unconsolidated joint venture consists of our share of the joint venture’s income. </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(Provision) Benefit for Income Taxes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(Provision) benefit for income taxes primarily consists of income based taxes primarily from international operations.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is our discussion of the consolidated results of operations for the year ended December 31, 2025 as compared to the year ended December 31, 2024.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sets forth our statement of operations data for the years indicated: </w:t>
      </w:r>
    </w:p>
    <w:tbl>
      <w:tblPr>
        <w:tblW w:w="6539" w:type="dxa"/>
        <w:jc w:val="left"/>
        <w:tblInd w:w="0" w:type="dxa"/>
        <w:tblLayout w:type="fixed"/>
        <w:tblCellMar>
          <w:top w:w="28" w:type="dxa"/>
          <w:left w:w="28" w:type="dxa"/>
          <w:bottom w:w="28" w:type="dxa"/>
          <w:right w:w="28" w:type="dxa"/>
        </w:tblCellMar>
      </w:tblPr>
      <w:tblGrid>
        <w:gridCol w:w="3886"/>
        <w:gridCol w:w="146"/>
        <w:gridCol w:w="211"/>
        <w:gridCol w:w="781"/>
        <w:gridCol w:w="166"/>
        <w:gridCol w:w="146"/>
        <w:gridCol w:w="211"/>
        <w:gridCol w:w="781"/>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Impairment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sets forth our statement of operations data expressed as a percentage of total revenue for the years indicated:</w:t>
      </w:r>
    </w:p>
    <w:tbl>
      <w:tblPr>
        <w:tblW w:w="6319" w:type="dxa"/>
        <w:jc w:val="left"/>
        <w:tblInd w:w="0" w:type="dxa"/>
        <w:tblLayout w:type="fixed"/>
        <w:tblCellMar>
          <w:top w:w="28" w:type="dxa"/>
          <w:left w:w="28" w:type="dxa"/>
          <w:bottom w:w="28" w:type="dxa"/>
          <w:right w:w="28" w:type="dxa"/>
        </w:tblCellMar>
      </w:tblPr>
      <w:tblGrid>
        <w:gridCol w:w="3886"/>
        <w:gridCol w:w="146"/>
        <w:gridCol w:w="146"/>
        <w:gridCol w:w="571"/>
        <w:gridCol w:w="331"/>
        <w:gridCol w:w="146"/>
        <w:gridCol w:w="146"/>
        <w:gridCol w:w="571"/>
        <w:gridCol w:w="37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Impairment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present our disaggregated revenue and cost of revenue. Revenue from our marketplace primarily reflects the sales of parts and assemblies on our platform. Revenue from services primarily includes the sale of advertising and to a lesser extent financial service products and SaaS products.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Revenue and cost of revenue is presented in the following tables for the years ended December 31, 2025 and 2024 (in thousands):</w:t>
      </w:r>
    </w:p>
    <w:tbl>
      <w:tblPr>
        <w:tblW w:w="4259" w:type="dxa"/>
        <w:jc w:val="left"/>
        <w:tblInd w:w="0" w:type="dxa"/>
        <w:tblLayout w:type="fixed"/>
        <w:tblCellMar>
          <w:top w:w="28" w:type="dxa"/>
          <w:left w:w="28" w:type="dxa"/>
          <w:bottom w:w="28" w:type="dxa"/>
          <w:right w:w="28" w:type="dxa"/>
        </w:tblCellMar>
      </w:tblPr>
      <w:tblGrid>
        <w:gridCol w:w="1396"/>
        <w:gridCol w:w="146"/>
        <w:gridCol w:w="211"/>
        <w:gridCol w:w="781"/>
        <w:gridCol w:w="271"/>
        <w:gridCol w:w="146"/>
        <w:gridCol w:w="211"/>
        <w:gridCol w:w="781"/>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323,365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218,305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162,581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sz w:val="20"/>
        </w:rPr>
      </w:pPr>
      <w:r>
        <w:rPr>
          <w:rFonts w:ascii="Times New Roman" w:hAnsi="Times New Roman"/>
          <w:b/>
          <w:color w:val="000000"/>
          <w:sz w:val="20"/>
        </w:rPr>
        <w:t>Comparison of the Years Ended December 31, 2025 and 2024</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revenue increased $141.1 million, or 26%, from $545.5 million for the year ended December 31, 2024 to $686.6 million for the year ended December 31, 2025. This growth was a result of an increase in marketplace revenue, partially offset by a decrease in services revenue. Marketplace revenue increased $143.7 million, or 30%, from $485.9 million for the year ended December 31, 2024 to $629.6 million for the year ended December 31, 2025. The increase in marketplace revenue was primarily due to increased buyer activity on the platform, particularly with respect to enterprise customers, for the year ended December 31, 2025, as compared to the prior year period.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Services revenue decreased $2.6 million, or 4%, from $59.6 million for the year ended December 31, 2024 to $57.0 million for the year ended December 31, 2025. The decrease in revenue was primarily due to reductions in Thomas advertising and marketing services and, to a lesser extent, reductions in Thomas non-core services, partly offset by growth in financial services.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revenue for the year ended December 31, 2025 and 2024 was $573.8 million and $456.7 million, respectively, for the U.S. reportable segment, and $112.9 million and $88.8 million, respectively, for the International reportable segment.</w:t>
      </w:r>
    </w:p>
    <w:p>
      <w:pPr>
        <w:pStyle w:val="TextBody"/>
        <w:bidi w:val="0"/>
        <w:spacing w:before="0" w:after="200"/>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cost of revenue increased $88.0 million, or 27%, from $329.9 million for the year ended December 31, 2024 to $417.9 million for the year ended December 31, 2025. This increase was primarily the result of an increase in marketplace cost of revenue. Total cost of revenue from marketplace and services for the year ended December 31, 2025 was $411.3 million and $6.5 million, respectively, as compared to $323.4 million and $6.5 million, respectively, for the year ended December 31, 2024.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Marketplace cost of revenue was driven by increased payments to suppliers on our platform due to order growth and increased activity on our marketplace.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cost of revenue for the year ended December 31, 2025 and 2024 was $347.7 million and $274.8 million, respectively for the U.S. reportable segment, and $70.2 million and $55.1 million, respectively, for the International reportable segment. </w:t>
      </w:r>
    </w:p>
    <w:p>
      <w:pPr>
        <w:pStyle w:val="TextBody"/>
        <w:bidi w:val="0"/>
        <w:spacing w:before="0" w:after="200"/>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profit increased $53.1 million, or 25%, from $215.6 million for the year ended December 31, 2024 to $268.8 million for the year ended December 31, 2025. The increase in gross profit was primarily due to increases in revenue from marketplace and improved marketplace gross margins as compared to the prior year period.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gross margin was 39.1% for the year ended December 31, 2025, as compared to 39.5% for the year ended December 31, 2024. The decrease was primarily driven by faster growth and associated mix shift to marketplace revenue which has a lower gross margin than services.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margin for marketplace was 34.7% for the year ended December 31, 2025, as compared to 33.5% for the year ended December 31, 2024. The improvement over the prior year period was due largely to our AI-driven platform and expanding supplier network, which optimizes pricing to buyers and suppliers.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Gross margin for our services was 88.6% for the year ended December 31, 2025, as compared to 89.0% for the year ended December 31, 2024.</w:t>
      </w:r>
    </w:p>
    <w:p>
      <w:pPr>
        <w:pStyle w:val="TextBody"/>
        <w:bidi w:val="0"/>
        <w:spacing w:before="0" w:after="20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0" w:after="200"/>
        <w:jc w:val="both"/>
        <w:rPr>
          <w:rFonts w:ascii="Times New Roman" w:hAnsi="Times New Roman"/>
          <w:sz w:val="20"/>
        </w:rPr>
      </w:pPr>
      <w:r>
        <w:rPr>
          <w:rFonts w:ascii="Times New Roman" w:hAnsi="Times New Roman"/>
          <w:color w:val="000000"/>
          <w:sz w:val="20"/>
        </w:rPr>
        <w:t>Sales and marketing expense increased $14.3 million, or 13%, from $108.4 million for the year ended December 31, 2024 to $122.7 million for the year ended December 31, 2025, primarily due to increases in employee compensation costs, including stock-based compensation and benefit costs, and consulting expenses. As a percent of total revenue, sales and marketing expenses decreased to 17.9% for the year ended December 31, 2025 from 19.9% for the year ended December 31, 2024.</w:t>
      </w:r>
      <w:r>
        <w:rPr>
          <w:rFonts w:ascii="Times New Roman" w:hAnsi="Times New Roman"/>
          <w:color w:val="FF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Advertising expense increased 1.8%, from $35.1 million for the year ended December 31, 2024 to $35.8 million for the year ended December 31, 2025 due to increased services and marketplace advertising.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sz w:val="20"/>
        </w:rPr>
      </w:pPr>
      <w:r>
        <w:rPr>
          <w:rFonts w:ascii="Times New Roman" w:hAnsi="Times New Roman"/>
          <w:b/>
          <w:i/>
          <w:color w:val="000000"/>
          <w:sz w:val="20"/>
        </w:rPr>
        <w:t>Operations and Support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Operations and support expense increased $13.4 million, or 23%, from $59.0 million for the year ended December 31, 2024 to $72.4 million for the year ended December 31, 2025, primarily due to the hiring of additional operations and support employees and their compensation costs, including stock-based compensation, an increase in consulting costs and severance costs related to restructuring. As a percent of total revenue, operations and support expenses decreased to 10.5% for the year ended December 31, 2025 from 10.8% for the year ended December 31, 2024. </w:t>
      </w:r>
    </w:p>
    <w:p>
      <w:pPr>
        <w:pStyle w:val="TextBody"/>
        <w:bidi w:val="0"/>
        <w:spacing w:before="0" w:after="200"/>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Product development expense increased $7.5 million, or 19%, from $39.3 million for the year ended December 31, 2024 to $46.8 million for the year ended December 31, 2025, primarily as a result of increases in amortization expense related to capitalized internal-use software development costs, increases in software costs, stock-based compensation, consulting costs and severance costs related to restructuring. These increases were offset by employee compensation costs that were capitalized to internal-use software development. As a percent of total revenue, product development expenses decreased to 6.8% for the year ended December 31, 2025 from 7.2% for the year ended December 31, 2024. </w:t>
      </w:r>
    </w:p>
    <w:p>
      <w:pPr>
        <w:pStyle w:val="TextBody"/>
        <w:bidi w:val="0"/>
        <w:spacing w:before="0" w:after="200"/>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General and administrative expense increased $7.3 million, or 11%, from $65.0 million for the year ended December 31, 2024 to $72.3 million for the year ended December 31, 2025. The increase was primarily driven by an increase in reserves for bad debt, the costs of charitable contributions of Class A common stock, compensation costs including stock-based compensation, consulting costs and severance costs. These increases were offset by reductions in professional fees. As a percent of total revenue, general and administrative expenses decreased to 10.5% for the year ended December 31, 2025 from 11.9% for the year ended December 31, 2024. </w:t>
      </w:r>
    </w:p>
    <w:p>
      <w:pPr>
        <w:pStyle w:val="TextBody"/>
        <w:bidi w:val="0"/>
        <w:spacing w:before="0" w:after="200"/>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increased $0.2 million, or 3%, from $4.8 million for the year ended December 31, 2024 to $4.9 million for the year ended December 31, 2025.</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0" w:after="200"/>
        <w:jc w:val="both"/>
        <w:rPr>
          <w:rFonts w:ascii="Times New Roman" w:hAnsi="Times New Roman"/>
          <w:sz w:val="20"/>
        </w:rPr>
      </w:pPr>
      <w:r>
        <w:rPr>
          <w:rFonts w:ascii="Times New Roman" w:hAnsi="Times New Roman"/>
          <w:color w:val="000000"/>
          <w:sz w:val="20"/>
        </w:rPr>
        <w:t>Interest and dividend income decreased by $2.2 million, or 21%, from $10.8 million for the year ended December 31, 2024 to $8.6 million for the year ended December 31, 2025. The decrease was primarily due to lower investment in the money market account as we fund ongoing operations</w:t>
      </w:r>
      <w:r>
        <w:rPr>
          <w:rFonts w:ascii="Times New Roman" w:hAnsi="Times New Roman"/>
          <w:color w:val="FF0000"/>
          <w:sz w:val="20"/>
        </w:rPr>
        <w:t>.</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Other expenses increased $18.9 million, from $0.8 million for the year ended December 31, 2024 to $19.7 million for the year ended December 31, 2025. The increase was primarily attributable to a $16.4 million loss on debt extinguishment recognized in connection with the partial repurchase of 2027 Notes, and to a lesser extent to the increases in foreign exchange losses and non-income based taxes. </w:t>
      </w:r>
    </w:p>
    <w:p>
      <w:pPr>
        <w:pStyle w:val="TextBody"/>
        <w:bidi w:val="0"/>
        <w:spacing w:before="0" w:after="200"/>
        <w:jc w:val="left"/>
        <w:rPr>
          <w:rFonts w:ascii="Times New Roman" w:hAnsi="Times New Roman"/>
          <w:sz w:val="20"/>
        </w:rPr>
      </w:pPr>
      <w:r>
        <w:rPr>
          <w:rFonts w:ascii="Times New Roman" w:hAnsi="Times New Roman"/>
          <w:i/>
          <w:color w:val="000000"/>
          <w:sz w:val="20"/>
        </w:rPr>
        <w:t>(Provision) benefit for income taxes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(Provision) benefit for income taxes changed by $(0.6) million, from less than $0.1 million for the year ended December 31, 2024 to $(0.6) million for the year ended December 31, 2025. The change was primarily driven by foreign income based taxes.</w:t>
      </w:r>
    </w:p>
    <w:p>
      <w:pPr>
        <w:pStyle w:val="TextBody"/>
        <w:bidi w:val="0"/>
        <w:spacing w:before="0" w:after="200"/>
        <w:jc w:val="left"/>
        <w:rPr>
          <w:rFonts w:ascii="Times New Roman" w:hAnsi="Times New Roman"/>
          <w:sz w:val="20"/>
        </w:rPr>
      </w:pPr>
      <w:r>
        <w:rPr>
          <w:rFonts w:ascii="Times New Roman" w:hAnsi="Times New Roman"/>
          <w:b/>
          <w:i/>
          <w:color w:val="000000"/>
          <w:sz w:val="20"/>
        </w:rPr>
        <w:t>Additional Segment Considerations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0"/>
        </w:rPr>
        <w:t>Segment Adjusted EBITDA from our U.S. reportable segment for the years ended December 31, 2025 and 2024 was $31.0 million and $0.2 million, respectively. Segment Adjusted EBITDA from our International reportable segment for the years ended December 31, 2025 and 2024 was $(12.5) million and $(9.8) million, respectively.</w:t>
      </w:r>
      <w:r>
        <w:rPr>
          <w:rFonts w:ascii="Times New Roman" w:hAnsi="Times New Roman"/>
          <w:color w:val="FF0000"/>
          <w:sz w:val="20"/>
        </w:rPr>
        <w:t xml:space="preserve"> </w:t>
      </w:r>
    </w:p>
    <w:p>
      <w:pPr>
        <w:pStyle w:val="TextBody"/>
        <w:bidi w:val="0"/>
        <w:spacing w:before="0" w:after="20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financed our operations primarily through sales of our equity securities and borrowings under our convertible notes. As of December 31, 2025, our principal sources of liquidity were cash and cash equivalents and marketable securities totaling $219.1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future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capital expenditures consist primarily of internal-use software costs, manufacturing equipment, computers and peripheral equipment, furniture and fixtures and leasehold improvements and patents.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Convertible Notes due 2030</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June 2025, we issued $250.0 million aggregate principal amount of 2030 Notes pursuant to an indenture dated June 12, 2025, including the exercise in full of the initial purchasers’ option to purchase up to an additional $25.0 million principal amount of the 2030 Notes.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any calendar quarter commencing after the calendar quarter ending on September 30, 2025 (and only during such calendar quarter), 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2030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five business day period after any ten consecutive trading day period in which the trading price per $1,000 principal amount of the 2030 Notes for each day of such ten consecutive trading day period was less than 98% of the product of the last reported sale price of our Class A common stock and the applicable conversion rate of the 2030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or after March 15, 2030, the 2030 Notes are convertible at any time until the close of business on the second scheduled trading day immediately preceding the maturity date.</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2030 Notes as a single liability measured at its amortized cost, as no embedded features require bifurcation and recognition as derivatives.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Convertible Notes due 2027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other embedded features require bifurcation and recognition as derivatives.</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sz w:val="20"/>
        </w:rPr>
      </w:pPr>
      <w:r>
        <w:rPr>
          <w:rFonts w:ascii="Times New Roman" w:hAnsi="Times New Roman"/>
          <w:b/>
          <w:i/>
          <w:color w:val="000000"/>
          <w:sz w:val="20"/>
        </w:rPr>
        <w:t>Partial Repurchase of 2027 Notes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Consolidated Statements of Operations and Comprehensive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Following this partial repurchase, approximately $85.8 million aggregate principal amount of the 2027 Notes remain outstanding on our Consolidated Balance Sheet. The original terms and conditions continue to apply to the remaining notes, and the unamortized debt discount and issuance costs related to these notes will continue to be deferred and accreted.</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Capped Call Transactions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the issuance of the 2030 Notes, we entered into capped call transactions (the “Capped Calls”) with respect to our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used approximately $17.5 million of the net proceeds from the 2030 Notes to pay the cost of the Capped Calls. These instruments are classified as equity and recorded as a reduction of additional paid-in capital in the Consolidated Statements of Changes in Stockholders’ Equity. The Capped Call are not accounted for as derivatives and will not be remeasured; they will remain in stockholders’ equity until expiration or settlement.</w:t>
      </w:r>
    </w:p>
    <w:p>
      <w:pPr>
        <w:pStyle w:val="TextBody"/>
        <w:bidi w:val="0"/>
        <w:spacing w:before="0" w:after="200"/>
        <w:jc w:val="left"/>
        <w:rPr>
          <w:rFonts w:ascii="Times New Roman" w:hAnsi="Times New Roman"/>
          <w:sz w:val="20"/>
        </w:rPr>
      </w:pPr>
      <w:r>
        <w:rPr>
          <w:rFonts w:ascii="Times New Roman" w:hAnsi="Times New Roman"/>
          <w:b/>
          <w:i/>
          <w:color w:val="000000"/>
          <w:sz w:val="20"/>
        </w:rPr>
        <w:t>Purchase of Treasury Stock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conjunction with the issuance of the 2030 Notes,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Consolidated Statements of Changes in Stockholders’ Equity.</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material cash requirements as of December 31, 2025 include contractual obligations consisting of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$335.8 million in aggregate principal amount of indebtedness for our convertible notes due on February 1, 2027 and June 15, 2030.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$14.4 million in total minimum lease payments remaining, of which $3.0 million is due in the succeeding twelve months.</w:t>
      </w:r>
    </w:p>
    <w:p>
      <w:pPr>
        <w:pStyle w:val="TextBody"/>
        <w:bidi w:val="0"/>
        <w:spacing w:before="200" w:after="20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tbl>
      <w:tblPr>
        <w:tblW w:w="6779"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year ended December 31, 2025, net cash provided by operating activities was $6.1 million, primarily due to a net loss of $(61.7) million adjusted for non-cash charges of $81.4 million and a net $(13.6) million adjustment from changes in operating assets and liabilities. The non-cash adjustments primarily relate to stock-based compensation of $36.4 million, depreciation and amortization of $18.8 million, loss on debt extinguishment of $16.4 million and a $4.6 million reduction to our right of use lease assets. The net decrease in operating assets and liabilities is primarily driven by changes in accounts receivable of $21.8 million resulting from our continued growth, a reduction in lease liabilities of $6.9 million, and a reduction of prepaid expenses of $2.3 million, offset by changes in accounts payable and accrued cost of revenue of $9.2 million due to the timing of payments to vendors and suppliers, other accrued expenses of $7.4 million and contract liabilities of $2.2 million.</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the year ended December 31, 2024, net cash used in operating activities was $15.4 million, primarily due to a net loss of $(50.4) million adjusted for non-cash charges of $50.5 million and a net $(15.5) million adjustment from changes in operating assets and liabilities. The non-cash adjustments primarily relate to stock-based compensation of $29.3 million, depreciation and amortization of $13.0 million and a $4.5 million reduction to our right of use lease assets. The net decrease in operating assets and liabilities is primarily driven by changes in accounts payable and accrued cost of revenue of $8.7 million due to the timing of payments to vendors and suppliers, accounts receivable of $5.7 million resulting from our continued growth and a reduction in lease liabilities of $6.9 million, offset by changes in other assets of $4.2 million primarily due to a decrease in deferred commissions and other accrued expenses of $2.7 million. </w:t>
      </w:r>
    </w:p>
    <w:p>
      <w:pPr>
        <w:pStyle w:val="TextBody"/>
        <w:bidi w:val="0"/>
        <w:spacing w:before="0" w:after="200"/>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Cash used in investing activities was $16.6 million during the year ended December 31, 2025, primarily due to the purchase of property and equipment (which includes the internal-use software development costs) of $30.2 million and the purchase of marketable securities of $8.5 million offset by the sale of marketable securities of $22.0 million.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Cash used in investing activities was $20.2 million during the year ended December 31, 2024, primarily due to the purchase of marketable securities of $18.8 million and the purchase of property and equipment (which includes internal-use software development costs) of $18.1 million, offset by the proceeds from the sale of marketable securities of $16.5 million. </w:t>
      </w:r>
    </w:p>
    <w:p>
      <w:pPr>
        <w:pStyle w:val="TextBody"/>
        <w:bidi w:val="0"/>
        <w:spacing w:before="0" w:after="200"/>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Cash provided by financing activities was $2.9 million during the year ended December 31, 2025, primarily resulting from $250.0 million in net proceeds from the issuance of the 2030 Notes (net of issuance costs) and approximately $3.1 million from the exercise of stock options largely offset by outflows of $216.0 million to repurchase a portion of the 2027 Notes, the purchase capped calls related to the 2030 Notes of $17.5 million, costs incurred in connection with issuance of the 2030 Notes of $8.7 million and $8.1 million to purchase treasury stock.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Cash provided by financing activities was $4.6 million during the year ended December 31, 2024, primarily resulting from $5.1 million of proceeds from the exercise of stock options offset by the payment of contingent considerations related to acquisitions in 2021. </w:t>
      </w:r>
    </w:p>
    <w:p>
      <w:pPr>
        <w:pStyle w:val="TextBody"/>
        <w:bidi w:val="0"/>
        <w:spacing w:before="0" w:after="200"/>
        <w:jc w:val="center"/>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discussion and analysis of financial condition and results of operations are based upon our financial statements included elsewhere in this Annual Report on Form 10-K.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critical accounting estimates are those that materially affect our financial statements and involve difficult, subjective or complex judgments by management. A thorough understanding of these critical accounting estimates is essential when reviewing our financial statements. We believe that the critical accounting estimates listed below are the most difficult management decisions as they involve the use of significant estimates and assumptions as described above. Historically, our assumptions, judgments and estimates relative to our critical accounting estimates have not differed materially from actual results.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Valuation of Goodwill and Intangible Assets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Goodwill has indefinite useful life and is not amortized. Goodwill is tested for impairment at least annually on the first day of the fourth quarter, or more frequently if impairment indicators are present. Intangible assets with finite lives are amortized over their estimated useful lives and tested for impairment if indicators are present.</w:t>
      </w:r>
    </w:p>
    <w:p>
      <w:pPr>
        <w:pStyle w:val="TextBody"/>
        <w:bidi w:val="0"/>
        <w:spacing w:before="0" w:after="200"/>
        <w:jc w:val="both"/>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annual impairment assessment of goodwill is generally performed using a qualitative approach to determine whether it is more likely than not that the fair value of a reporting unit is less than its carrying amount. Performance of the qualitative impairment assessment requires judgment in identifying and considering the significance of relevant events and circumstances including external factors such as macroeconomic and industry conditions and the legal and regulatory environment, as well as entity-specific factors such as market capitalization, actual and planned financial performance, that could impact the fair value of our reporting units.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If the results of the annual qualitative assessment conclude that it is not more likely than not that the fair value of a reporting unit exceeds its carrying value, or if interim indicators of impairment are identified, a quantitative impairment test is performed. As permitted in the accounting standards, the Company has the unconditional option to bypass the qualitative assessment for any reporting unit and proceed directly to performing the quantitative assessment.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quantitative impairment test involves comparing the fair value of a reporting unit with its carrying value. If the fair value is less than the carrying value, an impairment loss is recorded for an amount equal to the excess of the carrying value over the fair value. For goodwill, the impairment loss is limited to the amount of the respective reporting unit’s allocated goodwill. Determination of the fair value of a reporting unit is subjective in nature and involves the use of significant estimates and assumptions including consideration of external factors such as macroeconomic and industry conditions and the legal and regulatory environment, as well as entity-specific factors such as actual and planned financial performance. These estimates and assumptions could have a significant impact on whether an impairment charge is recognized and the amount of any such charge. Estimates of fair value are primarily determined using discounted cash flows and recent transactions. These approaches use significant estimates and assumptions, including projected future cash flows, growth rates, margins, discount rates, working capital requirements and capital expenditures. It is possible that our conclusions regarding impairment of goodwill could change in future periods if, for example, our businesses do not perform as projected or overall economic conditions in future periods vary from current assumptions.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During the year ended December 31, 2025, the Company performed its qualitative assessment and determined that it was more likely than not that the fair value of our reporting units exceeded their carrying values. </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Most of our identifiable intangible assets were recognized as part of business combinations we executed in prior years. Our identifiable intangible assets are considered definite life intangible assets and are primarily comprised of customer and vendor relationships, database, developed technology, trade names, and patents. Definite life intangible assets are amortized using the straight-line method over their estimated period of useful life.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determination of the fair value of the intangible assets acquired involves the use of significant estimates and assumptions. Refer to our “Business Combinations” disclosure below. We believe that the fair value assigned to the assets acquired and liabilities assumed are based on reasonable assumptions and estimates that a market participant would use. Should current conditions differ from management’s estimates at the time of the acquisition, including changes in future revenue, growth rates and margins, or changes in market factors outside of our control, such as discount rates, could result in a material write-downs of our intangible assets, which would adversely affect our operating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monitor events and changes in circumstances that could indicate carrying amounts of intangible assets may not be recoverable. We review the carrying amounts of our intangible assets for potential impairment when events or changes in circumstances indicate that the carrying amount of an asset may not be recoverable. Impairment indicators may include any significant changes in the manner of our use of the assets or the strategy of our overall business, certain restructuring initiatives, significant negative industry or economic trends and significant decline in our share price for a sustained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such events or changes in circumstances occur, we compare the carrying amounts of the asset or asset groups with their respective estimated undiscounted future cash flows. If the asset or assets group are determined to be impaired, an impairment charge is recorded in the amount by which the carrying amount of the asset or assets group exceed their fair value.</w:t>
      </w:r>
    </w:p>
    <w:p>
      <w:pPr>
        <w:pStyle w:val="TextBody"/>
        <w:bidi w:val="0"/>
        <w:spacing w:before="0" w:after="200"/>
        <w:jc w:val="center"/>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information on recently issued accounting pronouncements, see Note 2 to our Consolidated Financial Statements under Part II, Item 8 of this Annual Report on Form 10-K.</w:t>
      </w:r>
    </w:p>
    <w:p>
      <w:pPr>
        <w:pStyle w:val="TextBody"/>
        <w:bidi w:val="0"/>
        <w:spacing w:before="0" w:after="200"/>
        <w:jc w:val="left"/>
        <w:rPr>
          <w:rFonts w:ascii="Times New Roman" w:hAnsi="Times New Roman"/>
          <w:b/>
          <w:color w:val="000000"/>
          <w:sz w:val="20"/>
        </w:rPr>
      </w:pPr>
      <w:bookmarkStart w:id="14" w:name="item_7a_quantitative_and_qualitative"/>
      <w:bookmarkEnd w:id="14"/>
      <w:r>
        <w:rPr>
          <w:rFonts w:ascii="Times New Roman" w:hAnsi="Times New Roman"/>
          <w:b/>
          <w:color w:val="000000"/>
          <w:sz w:val="20"/>
        </w:rPr>
        <w:t>Item 7A. Quantitative and Qualitative Disclosures About Market Risk.</w:t>
      </w:r>
    </w:p>
    <w:p>
      <w:pPr>
        <w:pStyle w:val="TextBody"/>
        <w:bidi w:val="0"/>
        <w:spacing w:before="0" w:after="200"/>
        <w:jc w:val="center"/>
        <w:rPr>
          <w:rFonts w:ascii="Times New Roman" w:hAnsi="Times New Roman"/>
          <w:sz w:val="20"/>
        </w:rPr>
      </w:pPr>
      <w:bookmarkStart w:id="15" w:name="tx120843_23"/>
      <w:bookmarkStart w:id="16" w:name="toc1"/>
      <w:bookmarkEnd w:id="15"/>
      <w:bookmarkEnd w:id="16"/>
      <w:r>
        <w:rPr>
          <w:rFonts w:ascii="Times New Roman" w:hAnsi="Times New Roman"/>
          <w:b/>
          <w:color w:val="000000"/>
          <w:sz w:val="20"/>
        </w:rPr>
        <w:t>Quantitative</w:t>
      </w:r>
      <w:r>
        <w:rPr>
          <w:rFonts w:ascii="Times New Roman" w:hAnsi="Times New Roman"/>
          <w:color w:val="000000"/>
          <w:sz w:val="20"/>
        </w:rPr>
        <w:t xml:space="preserve"> </w:t>
      </w:r>
      <w:r>
        <w:rPr>
          <w:rFonts w:ascii="Times New Roman" w:hAnsi="Times New Roman"/>
          <w:b/>
          <w:color w:val="000000"/>
          <w:sz w:val="20"/>
        </w:rPr>
        <w:t>and Qualitative Disclosures About Market Risk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 </w:t>
      </w:r>
    </w:p>
    <w:p>
      <w:pPr>
        <w:pStyle w:val="TextBody"/>
        <w:bidi w:val="0"/>
        <w:spacing w:before="0" w:after="200"/>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 approximately 16% of our revenues, of which a majority is generated in Euros. If the average exchange rate of Euros changed unfavorably by 10%, our revenues for the year ended December 31, 2025 would have decreased by 1.3%. During the year ended December 31, 2025, our revenues were slightly impacted as the average exchange rate experienced modest fluctuations during the annual periods ending December 31, 2025 and December 31, 2024.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7" w:name="fsa"/>
      <w:bookmarkEnd w:id="17"/>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r>
        <w:rPr>
          <w:rFonts w:ascii="Times New Roman" w:hAnsi="Times New Roman"/>
          <w:color w:val="000000"/>
          <w:sz w:val="20"/>
        </w:rPr>
        <w:t>Consolidated Financial Statements</w:t>
      </w:r>
    </w:p>
    <w:p>
      <w:pPr>
        <w:pStyle w:val="TextBody"/>
        <w:bidi w:val="0"/>
        <w:spacing w:before="36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7422" w:type="dxa"/>
        <w:jc w:val="left"/>
        <w:tblInd w:w="0" w:type="dxa"/>
        <w:tblLayout w:type="fixed"/>
        <w:tblCellMar>
          <w:top w:w="28" w:type="dxa"/>
          <w:left w:w="28" w:type="dxa"/>
          <w:bottom w:w="28" w:type="dxa"/>
          <w:right w:w="28" w:type="dxa"/>
        </w:tblCellMar>
      </w:tblPr>
      <w:tblGrid>
        <w:gridCol w:w="6571"/>
        <w:gridCol w:w="851"/>
      </w:tblGrid>
      <w:tr>
        <w:trPr/>
        <w:tc>
          <w:tcPr>
            <w:tcW w:w="65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Page(s)</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fs_icf_reports">
              <w:r>
                <w:rPr>
                  <w:rStyle w:val="InternetLink"/>
                  <w:rFonts w:ascii="Times New Roman" w:hAnsi="Times New Roman"/>
                  <w:color w:val="0000FF"/>
                  <w:sz w:val="20"/>
                  <w:u w:val="single"/>
                </w:rPr>
                <w:t>Reports of Independent Registered Public Accounting Firm</w:t>
              </w:r>
            </w:hyperlink>
            <w:r>
              <w:rPr>
                <w:rFonts w:ascii="Times New Roman" w:hAnsi="Times New Roman"/>
                <w:color w:val="000000"/>
                <w:sz w:val="20"/>
              </w:rPr>
              <w:t> (PCAOB ID: 34)</w:t>
            </w:r>
          </w:p>
        </w:tc>
        <w:tc>
          <w:tcPr>
            <w:tcW w:w="8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67</w:t>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kpmg_fs_opinion">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185)</w:t>
            </w:r>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70</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Consolidated Financial Statements:</w:t>
            </w:r>
          </w:p>
        </w:tc>
        <w:tc>
          <w:tcPr>
            <w:tcW w:w="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solidated_balance_sheet">
              <w:r>
                <w:rPr>
                  <w:rStyle w:val="InternetLink"/>
                  <w:rFonts w:ascii="Times New Roman" w:hAnsi="Times New Roman"/>
                  <w:color w:val="0000FF"/>
                  <w:sz w:val="20"/>
                  <w:u w:val="single"/>
                </w:rPr>
                <w:t>Consolidated Balance Sheets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71</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fin120843_3">
              <w:r>
                <w:rPr>
                  <w:rStyle w:val="InternetLink"/>
                  <w:rFonts w:ascii="Times New Roman" w:hAnsi="Times New Roman"/>
                  <w:color w:val="0000FF"/>
                  <w:sz w:val="20"/>
                  <w:u w:val="single"/>
                </w:rPr>
                <w:t>Consolidated Statements of Operations and Comprehensive Loss</w:t>
              </w:r>
            </w:hyperlink>
            <w:hyperlink w:anchor="fin120843_3">
              <w:r>
                <w:rPr>
                  <w:rStyle w:val="InternetLink"/>
                  <w:rFonts w:ascii="Times New Roman" w:hAnsi="Times New Roman"/>
                  <w:color w:val="0000FF"/>
                  <w:sz w:val="20"/>
                </w:rPr>
                <w:t xml:space="preserve"> </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72</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fin120843_4">
              <w:r>
                <w:rPr>
                  <w:rStyle w:val="InternetLink"/>
                  <w:rFonts w:ascii="Times New Roman" w:hAnsi="Times New Roman"/>
                  <w:color w:val="0000FF"/>
                  <w:sz w:val="20"/>
                  <w:u w:val="single"/>
                </w:rPr>
                <w:t>Consolidated Statements of Changes in Stockholders’ Equity</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73</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fin120843_5">
              <w:r>
                <w:rPr>
                  <w:rStyle w:val="InternetLink"/>
                  <w:rFonts w:ascii="Times New Roman" w:hAnsi="Times New Roman"/>
                  <w:color w:val="0000FF"/>
                  <w:sz w:val="20"/>
                  <w:u w:val="single"/>
                </w:rPr>
                <w:t>Consolidated Statements of Cash Flows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74</w:t>
            </w:r>
          </w:p>
        </w:tc>
      </w:tr>
      <w:tr>
        <w:trPr/>
        <w:tc>
          <w:tcPr>
            <w:tcW w:w="6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57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fin120843_6">
              <w:r>
                <w:rPr>
                  <w:rStyle w:val="InternetLink"/>
                  <w:rFonts w:ascii="Times New Roman" w:hAnsi="Times New Roman"/>
                  <w:color w:val="0000FF"/>
                  <w:sz w:val="20"/>
                  <w:u w:val="single"/>
                </w:rPr>
                <w:t>Notes to Consolidated Financial Statements</w:t>
              </w:r>
            </w:hyperlink>
          </w:p>
        </w:tc>
        <w:tc>
          <w:tcPr>
            <w:tcW w:w="8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fs_icf_reports"/>
      <w:bookmarkEnd w:id="18"/>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Stockholders and the Board of Directors of Xometry, Inc. </w:t>
      </w:r>
    </w:p>
    <w:p>
      <w:pPr>
        <w:pStyle w:val="TextBody"/>
        <w:bidi w:val="0"/>
        <w:jc w:val="left"/>
        <w:rPr/>
      </w:pPr>
      <w:r>
        <w:rPr/>
        <w:t> </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audited the accompanying consolidated balance sheet of Xometry, Inc. and subsidiaries (the “Company”) as of December 31, 2025, the related consolidated statements of operations and comprehensive loss, changes in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ended December 31, 2025, in conformity with accounting principles generally accepted in the United States of America.</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24, 2026, expressed an unqualified opinion on the Company's internal control over financial reporting.</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Revenue — Other Agreed Upon Terms — Refer to Notes 2 and 13 to the financial statements</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derives the majority of its U.S. and International marketplace revenue from the sale of parts and assemblies fulfilled using a network of suppliers. Certain contracts with customers contain other agreed upon terms that may differ from the Company’s standard terms and conditions. Judgment is required in evaluating other agreed upon terms in certain contracts for the purposes of revenue recognition.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identified the evaluation of the Company’s revenue recognition conclusions over certain contracts containing agreed upon terms that differ from the Company’s standard terms and conditions as a critical audit matter because of management’s significant judgment in the amount and timing of revenue recognized for such contracts. This required extensive audit effort and a high degree of auditor judgment when performing audit procedures over these significant judgments.</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Our audit procedures related to the Company’s evaluation of other agreed upon terms in certain contracts included the following, among others: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evaluated the reasonableness of management’s significant accounting policies related to revenue recognition and compliance with generally accepted accounting principles.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tested the effectiveness of internal controls related to management’s process of identifying and reviewing accounting policies and revenue contracts.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tested the completeness of the Company’s listing of contracts containing other agreed upon terms with customers.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identified certain of these contracts containing other agreed upon terms with customers and performed the following:</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Obtained and read contract source documents.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management’s application of generally accepted accounting principles in determining the appropriate revenue recognition based upon the terms and conditions contained in the contract source documents.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Developed specific procedures tailored to the non-standard terms and accounting treatment, including developing an expectation for revenue recognized based on the terms of the contract and comparing our expectation to the amount recorded by the Company.</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McLean, Virginia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February 24,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Xometry, Inc.</w:t>
      </w:r>
    </w:p>
    <w:p>
      <w:pPr>
        <w:pStyle w:val="TextBody"/>
        <w:bidi w:val="0"/>
        <w:jc w:val="left"/>
        <w:rPr/>
      </w:pPr>
      <w:r>
        <w:rPr/>
        <w:t> </w:t>
      </w:r>
    </w:p>
    <w:p>
      <w:pPr>
        <w:pStyle w:val="TextBody"/>
        <w:bidi w:val="0"/>
        <w:jc w:val="both"/>
        <w:rPr/>
      </w:pPr>
      <w:r>
        <w:rPr/>
        <w:t> </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We have audited the internal control over financial reporting of Xometry, Inc. and subsidiaries (the "Company")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McLean, Virginia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February 24,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kpmg_fs_opinion"/>
      <w:bookmarkEnd w:id="19"/>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Stockholders and the Board of Directors </w:t>
      </w:r>
    </w:p>
    <w:p>
      <w:pPr>
        <w:pStyle w:val="TextBody"/>
        <w:bidi w:val="0"/>
        <w:jc w:val="both"/>
        <w:rPr>
          <w:rFonts w:ascii="Times New Roman" w:hAnsi="Times New Roman"/>
          <w:color w:val="000000"/>
          <w:sz w:val="20"/>
        </w:rPr>
      </w:pPr>
      <w:r>
        <w:rPr>
          <w:rFonts w:ascii="Times New Roman" w:hAnsi="Times New Roman"/>
          <w:color w:val="000000"/>
          <w:sz w:val="20"/>
        </w:rPr>
        <w:t xml:space="preserve">Xometry, Inc.: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jc w:val="both"/>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audited the accompanying consolidated balance sheet of Xometry, Inc. and subsidiaries (the Company) as of December 31, 2024, the related consolidated statements of operations and comprehensive loss, changes in stockholders’ equity, and cash flows for each of the years in the two-year period ended December 31, 2024,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each of the years in the two-year period ended December 31, 2024, in conformity with U.S. generally accepted accounting principles.</w:t>
      </w:r>
    </w:p>
    <w:p>
      <w:pPr>
        <w:pStyle w:val="TextBody"/>
        <w:bidi w:val="0"/>
        <w:jc w:val="both"/>
        <w:rPr>
          <w:rFonts w:ascii="Times New Roman" w:hAnsi="Times New Roman"/>
          <w:i/>
          <w:color w:val="000000"/>
          <w:sz w:val="20"/>
        </w:rPr>
      </w:pPr>
      <w:r>
        <w:rPr>
          <w:rFonts w:ascii="Times New Roman" w:hAnsi="Times New Roman"/>
          <w:i/>
          <w:color w:val="000000"/>
          <w:sz w:val="20"/>
        </w:rPr>
        <w:t>Basis for Opinion</w:t>
      </w:r>
    </w:p>
    <w:p>
      <w:pPr>
        <w:pStyle w:val="TextBody"/>
        <w:bidi w:val="0"/>
        <w:jc w:val="both"/>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 KPMG LLP</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served as the Company’s auditor from 2015 to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McLean, Virginia </w:t>
      </w:r>
    </w:p>
    <w:p>
      <w:pPr>
        <w:pStyle w:val="TextBody"/>
        <w:bidi w:val="0"/>
        <w:jc w:val="both"/>
        <w:rPr>
          <w:rFonts w:ascii="Times New Roman" w:hAnsi="Times New Roman"/>
          <w:color w:val="000000"/>
          <w:sz w:val="20"/>
        </w:rPr>
      </w:pPr>
      <w:r>
        <w:rPr>
          <w:rFonts w:ascii="Times New Roman" w:hAnsi="Times New Roman"/>
          <w:color w:val="000000"/>
          <w:sz w:val="20"/>
        </w:rPr>
        <w:t>February 25,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consolidated_balance_sheet"/>
      <w:bookmarkEnd w:id="20"/>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r>
        <w:rPr>
          <w:rFonts w:ascii="Times New Roman" w:hAnsi="Times New Roman"/>
          <w:color w:val="000000"/>
          <w:sz w:val="20"/>
        </w:rPr>
        <w:t>Consolidated Balance Sheets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7377"/>
        <w:gridCol w:w="146"/>
        <w:gridCol w:w="222"/>
        <w:gridCol w:w="856"/>
        <w:gridCol w:w="166"/>
        <w:gridCol w:w="146"/>
        <w:gridCol w:w="222"/>
        <w:gridCol w:w="856"/>
        <w:gridCol w:w="214"/>
      </w:tblGrid>
      <w:tr>
        <w:trPr/>
        <w:tc>
          <w:tcPr>
            <w:tcW w:w="7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Accounts receivable, less allowance for credit losses of $8.0</w:t>
            </w:r>
            <w:r>
              <w:rPr>
                <w:rFonts w:ascii="Times New Roman" w:hAnsi="Times New Roman"/>
                <w:color w:val="000000"/>
                <w:sz w:val="20"/>
              </w:rPr>
              <w:t> </w:t>
            </w:r>
            <w:r>
              <w:rPr>
                <w:rFonts w:ascii="Times New Roman" w:hAnsi="Times New Roman"/>
                <w:color w:val="000000"/>
                <w:sz w:val="16"/>
              </w:rPr>
              <w:t>million and $4.9</w:t>
            </w:r>
            <w:r>
              <w:rPr>
                <w:rFonts w:ascii="Times New Roman" w:hAnsi="Times New Roman"/>
                <w:color w:val="000000"/>
                <w:sz w:val="20"/>
              </w:rPr>
              <w:t> </w:t>
            </w:r>
            <w:r>
              <w:rPr>
                <w:rFonts w:ascii="Times New Roman" w:hAnsi="Times New Roman"/>
                <w:color w:val="000000"/>
                <w:sz w:val="16"/>
              </w:rPr>
              <w:t xml:space="preserve">million as of December 31, 2025 </w:t>
              <w:br/>
              <w:t>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73,962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Investment in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262,686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680,129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payable and accrued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88,936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74,787</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364,533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Preferred stock, $0.000001</w:t>
            </w:r>
            <w:r>
              <w:rPr>
                <w:rFonts w:ascii="Times New Roman" w:hAnsi="Times New Roman"/>
                <w:color w:val="000000"/>
                <w:sz w:val="20"/>
              </w:rPr>
              <w:t> </w:t>
            </w:r>
            <w:r>
              <w:rPr>
                <w:rFonts w:ascii="Times New Roman" w:hAnsi="Times New Roman"/>
                <w:color w:val="000000"/>
                <w:sz w:val="16"/>
              </w:rPr>
              <w:t>par value. Authorized; 50,000,000</w:t>
            </w:r>
            <w:r>
              <w:rPr>
                <w:rFonts w:ascii="Times New Roman" w:hAnsi="Times New Roman"/>
                <w:color w:val="000000"/>
                <w:sz w:val="20"/>
              </w:rPr>
              <w:t> </w:t>
            </w:r>
            <w:r>
              <w:rPr>
                <w:rFonts w:ascii="Times New Roman" w:hAnsi="Times New Roman"/>
                <w:color w:val="000000"/>
                <w:sz w:val="16"/>
              </w:rPr>
              <w:t>shares; zero</w:t>
            </w:r>
            <w:r>
              <w:rPr>
                <w:rFonts w:ascii="Times New Roman" w:hAnsi="Times New Roman"/>
                <w:color w:val="000000"/>
                <w:sz w:val="20"/>
              </w:rPr>
              <w:t> </w:t>
            </w:r>
            <w:r>
              <w:rPr>
                <w:rFonts w:ascii="Times New Roman" w:hAnsi="Times New Roman"/>
                <w:color w:val="000000"/>
                <w:sz w:val="16"/>
              </w:rPr>
              <w:t xml:space="preserve">shares issued and outstanding as of </w:t>
              <w:br/>
              <w:t>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Class A Common stock, $0.000001</w:t>
            </w:r>
            <w:r>
              <w:rPr>
                <w:rFonts w:ascii="Times New Roman" w:hAnsi="Times New Roman"/>
                <w:color w:val="000000"/>
                <w:sz w:val="20"/>
              </w:rPr>
              <w:t> </w:t>
            </w:r>
            <w:r>
              <w:rPr>
                <w:rFonts w:ascii="Times New Roman" w:hAnsi="Times New Roman"/>
                <w:color w:val="000000"/>
                <w:sz w:val="16"/>
              </w:rPr>
              <w:t>par value. Authorized; 750,000,000</w:t>
            </w:r>
            <w:r>
              <w:rPr>
                <w:rFonts w:ascii="Times New Roman" w:hAnsi="Times New Roman"/>
                <w:color w:val="000000"/>
                <w:sz w:val="20"/>
              </w:rPr>
              <w:t> </w:t>
            </w:r>
            <w:r>
              <w:rPr>
                <w:rFonts w:ascii="Times New Roman" w:hAnsi="Times New Roman"/>
                <w:color w:val="000000"/>
                <w:sz w:val="16"/>
              </w:rPr>
              <w:t>shares; 49,842,220</w:t>
            </w:r>
            <w:r>
              <w:rPr>
                <w:rFonts w:ascii="Times New Roman" w:hAnsi="Times New Roman"/>
                <w:color w:val="000000"/>
                <w:sz w:val="20"/>
              </w:rPr>
              <w:t> </w:t>
            </w:r>
            <w:r>
              <w:rPr>
                <w:rFonts w:ascii="Times New Roman" w:hAnsi="Times New Roman"/>
                <w:color w:val="000000"/>
                <w:sz w:val="16"/>
              </w:rPr>
              <w:t xml:space="preserve">shares and </w:t>
              <w:br/>
              <w:t>   48,289,274</w:t>
            </w:r>
            <w:r>
              <w:rPr>
                <w:rFonts w:ascii="Times New Roman" w:hAnsi="Times New Roman"/>
                <w:color w:val="000000"/>
                <w:sz w:val="20"/>
              </w:rPr>
              <w:t> </w:t>
            </w:r>
            <w:r>
              <w:rPr>
                <w:rFonts w:ascii="Times New Roman" w:hAnsi="Times New Roman"/>
                <w:color w:val="000000"/>
                <w:sz w:val="16"/>
              </w:rPr>
              <w:t>shares issued and outstanding 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Class B Common stock, $0.000001</w:t>
            </w:r>
            <w:r>
              <w:rPr>
                <w:rFonts w:ascii="Times New Roman" w:hAnsi="Times New Roman"/>
                <w:color w:val="000000"/>
                <w:sz w:val="20"/>
              </w:rPr>
              <w:t> </w:t>
            </w:r>
            <w:r>
              <w:rPr>
                <w:rFonts w:ascii="Times New Roman" w:hAnsi="Times New Roman"/>
                <w:color w:val="000000"/>
                <w:sz w:val="16"/>
              </w:rPr>
              <w:t>par value. Authorized; 5,000,000</w:t>
            </w:r>
            <w:r>
              <w:rPr>
                <w:rFonts w:ascii="Times New Roman" w:hAnsi="Times New Roman"/>
                <w:color w:val="000000"/>
                <w:sz w:val="20"/>
              </w:rPr>
              <w:t> </w:t>
            </w:r>
            <w:r>
              <w:rPr>
                <w:rFonts w:ascii="Times New Roman" w:hAnsi="Times New Roman"/>
                <w:color w:val="000000"/>
                <w:sz w:val="16"/>
              </w:rPr>
              <w:t>shares; 1,475,311</w:t>
            </w:r>
            <w:r>
              <w:rPr>
                <w:rFonts w:ascii="Times New Roman" w:hAnsi="Times New Roman"/>
                <w:color w:val="000000"/>
                <w:sz w:val="20"/>
              </w:rPr>
              <w:t> </w:t>
            </w:r>
            <w:r>
              <w:rPr>
                <w:rFonts w:ascii="Times New Roman" w:hAnsi="Times New Roman"/>
                <w:color w:val="000000"/>
                <w:sz w:val="16"/>
              </w:rPr>
              <w:t xml:space="preserve">shares issued and </w:t>
              <w:br/>
              <w:t>   outstanding as of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685,054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Treasury stock, at cost, 220,994</w:t>
            </w:r>
            <w:r>
              <w:rPr>
                <w:rFonts w:ascii="Times New Roman" w:hAnsi="Times New Roman"/>
                <w:color w:val="000000"/>
                <w:sz w:val="20"/>
              </w:rPr>
              <w:t> </w:t>
            </w:r>
            <w:r>
              <w:rPr>
                <w:rFonts w:ascii="Times New Roman" w:hAnsi="Times New Roman"/>
                <w:color w:val="000000"/>
                <w:sz w:val="16"/>
              </w:rPr>
              <w:t>and zero</w:t>
            </w:r>
            <w:r>
              <w:rPr>
                <w:rFonts w:ascii="Times New Roman" w:hAnsi="Times New Roman"/>
                <w:color w:val="000000"/>
                <w:sz w:val="20"/>
              </w:rPr>
              <w:t> </w:t>
            </w:r>
            <w:r>
              <w:rPr>
                <w:rFonts w:ascii="Times New Roman" w:hAnsi="Times New Roman"/>
                <w:color w:val="000000"/>
                <w:sz w:val="16"/>
              </w:rPr>
              <w:t>shares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314,453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315,596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680,129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See accompanying notes to the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21" w:name="fin120843_3"/>
      <w:bookmarkEnd w:id="21"/>
      <w:r>
        <w:rPr>
          <w:rFonts w:ascii="Times New Roman" w:hAnsi="Times New Roman"/>
          <w:color w:val="000000"/>
          <w:sz w:val="20"/>
        </w:rPr>
        <w:t xml:space="preserve">Consolidated Statements of Operations and Comprehensive Loss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5888"/>
        <w:gridCol w:w="146"/>
        <w:gridCol w:w="196"/>
        <w:gridCol w:w="916"/>
        <w:gridCol w:w="166"/>
        <w:gridCol w:w="146"/>
        <w:gridCol w:w="196"/>
        <w:gridCol w:w="916"/>
        <w:gridCol w:w="166"/>
        <w:gridCol w:w="146"/>
        <w:gridCol w:w="196"/>
        <w:gridCol w:w="916"/>
        <w:gridCol w:w="211"/>
      </w:tblGrid>
      <w:tr>
        <w:trPr/>
        <w:tc>
          <w:tcPr>
            <w:tcW w:w="5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463,406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Impairment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shares outstanding used to compute net loss per share, basic and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50,812,072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49,082,722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47,914,039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See accompanying 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fin120843_4"/>
      <w:bookmarkEnd w:id="22"/>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Consolidated Statements of Changes in Stockholders’ Equity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 xml:space="preserve">(In thousands, except share data) </w:t>
      </w:r>
    </w:p>
    <w:tbl>
      <w:tblPr>
        <w:tblW w:w="16288" w:type="dxa"/>
        <w:jc w:val="left"/>
        <w:tblInd w:w="0" w:type="dxa"/>
        <w:tblLayout w:type="fixed"/>
        <w:tblCellMar>
          <w:top w:w="28" w:type="dxa"/>
          <w:left w:w="28" w:type="dxa"/>
          <w:bottom w:w="28" w:type="dxa"/>
          <w:right w:w="28" w:type="dxa"/>
        </w:tblCellMar>
      </w:tblPr>
      <w:tblGrid>
        <w:gridCol w:w="1201"/>
        <w:gridCol w:w="146"/>
        <w:gridCol w:w="146"/>
        <w:gridCol w:w="916"/>
        <w:gridCol w:w="166"/>
        <w:gridCol w:w="146"/>
        <w:gridCol w:w="249"/>
        <w:gridCol w:w="442"/>
        <w:gridCol w:w="146"/>
        <w:gridCol w:w="146"/>
        <w:gridCol w:w="146"/>
        <w:gridCol w:w="886"/>
        <w:gridCol w:w="166"/>
        <w:gridCol w:w="146"/>
        <w:gridCol w:w="249"/>
        <w:gridCol w:w="442"/>
        <w:gridCol w:w="146"/>
        <w:gridCol w:w="146"/>
        <w:gridCol w:w="196"/>
        <w:gridCol w:w="691"/>
        <w:gridCol w:w="166"/>
        <w:gridCol w:w="146"/>
        <w:gridCol w:w="146"/>
        <w:gridCol w:w="691"/>
        <w:gridCol w:w="146"/>
        <w:gridCol w:w="146"/>
        <w:gridCol w:w="196"/>
        <w:gridCol w:w="571"/>
        <w:gridCol w:w="166"/>
        <w:gridCol w:w="146"/>
        <w:gridCol w:w="310"/>
        <w:gridCol w:w="906"/>
        <w:gridCol w:w="166"/>
        <w:gridCol w:w="146"/>
        <w:gridCol w:w="217"/>
        <w:gridCol w:w="834"/>
        <w:gridCol w:w="166"/>
        <w:gridCol w:w="146"/>
        <w:gridCol w:w="228"/>
        <w:gridCol w:w="808"/>
        <w:gridCol w:w="166"/>
        <w:gridCol w:w="146"/>
        <w:gridCol w:w="332"/>
        <w:gridCol w:w="869"/>
        <w:gridCol w:w="166"/>
        <w:gridCol w:w="146"/>
        <w:gridCol w:w="196"/>
        <w:gridCol w:w="691"/>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44,822,264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623,081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(252,400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370,709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33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371,799</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45,489,379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48,289,274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See accompanying notes to the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23" w:name="fin120843_5"/>
      <w:bookmarkEnd w:id="23"/>
      <w:r>
        <w:rPr>
          <w:rFonts w:ascii="Times New Roman" w:hAnsi="Times New Roman"/>
          <w:color w:val="000000"/>
          <w:sz w:val="20"/>
        </w:rPr>
        <w:t xml:space="preserve">Consolidated Statements of Cash Flows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 xml:space="preserve">(In thousands) </w:t>
      </w:r>
    </w:p>
    <w:tbl>
      <w:tblPr>
        <w:tblW w:w="8743" w:type="dxa"/>
        <w:jc w:val="left"/>
        <w:tblInd w:w="0" w:type="dxa"/>
        <w:tblLayout w:type="fixed"/>
        <w:tblCellMar>
          <w:top w:w="28" w:type="dxa"/>
          <w:left w:w="28" w:type="dxa"/>
          <w:bottom w:w="28" w:type="dxa"/>
          <w:right w:w="28" w:type="dxa"/>
        </w:tblCellMar>
      </w:tblPr>
      <w:tblGrid>
        <w:gridCol w:w="5101"/>
        <w:gridCol w:w="146"/>
        <w:gridCol w:w="196"/>
        <w:gridCol w:w="751"/>
        <w:gridCol w:w="166"/>
        <w:gridCol w:w="146"/>
        <w:gridCol w:w="196"/>
        <w:gridCol w:w="661"/>
        <w:gridCol w:w="166"/>
        <w:gridCol w:w="146"/>
        <w:gridCol w:w="196"/>
        <w:gridCol w:w="661"/>
        <w:gridCol w:w="21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Impairment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Reduction in carrying amount of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Revaluation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Donation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Inventory write-off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Amortization of deferred costs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Deferred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payable and accrued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Distributions in excess of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paid for business combination,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Costs incurred in connection with issuance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Payments for repurchase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 of capped calls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Payment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foreign currency translation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Non-cash 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Non-cash consideration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See accompanying notes to the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spacing w:before="0" w:after="200"/>
        <w:jc w:val="center"/>
        <w:rPr>
          <w:rFonts w:ascii="Times New Roman" w:hAnsi="Times New Roman"/>
          <w:color w:val="000000"/>
          <w:sz w:val="20"/>
        </w:rPr>
      </w:pPr>
      <w:bookmarkStart w:id="24" w:name="fin120843_6"/>
      <w:bookmarkEnd w:id="24"/>
      <w:r>
        <w:rPr>
          <w:rFonts w:ascii="Times New Roman" w:hAnsi="Times New Roman"/>
          <w:color w:val="000000"/>
          <w:sz w:val="20"/>
        </w:rPr>
        <w:t xml:space="preserve">Notes to Consolidated Financial Statements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 Organization and Description of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Xometry, Inc. (“Xometry”, the “Company”, “we”, or “our”) was incorporated in the State of Delaware in May 2013 and our corporate headquarters is located in North Bethesda, Maryland. Xometry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pStyle w:val="TextBody"/>
        <w:bidi w:val="0"/>
        <w:spacing w:before="0" w:after="20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 and Basis of Presentation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reportable segments which are referred to as: (1) the United States (“U.S.”) and (2) International. </w:t>
      </w:r>
    </w:p>
    <w:p>
      <w:pPr>
        <w:pStyle w:val="TextBody"/>
        <w:bidi w:val="0"/>
        <w:spacing w:before="0" w:after="200"/>
        <w:jc w:val="left"/>
        <w:rPr>
          <w:rFonts w:ascii="Times New Roman" w:hAnsi="Times New Roman"/>
          <w:sz w:val="20"/>
        </w:rPr>
      </w:pPr>
      <w:r>
        <w:rPr>
          <w:rFonts w:ascii="Times New Roman" w:hAnsi="Times New Roman"/>
          <w:i/>
          <w:color w:val="000000"/>
          <w:sz w:val="20"/>
        </w:rPr>
        <w:t>Foreign Operations and Comprehensive Loss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U.S. dollar (“USD”) is the functional currency for Xometry’s consolidated subsidiary operating in the U.S. The primary functional currency for the Company’s consolidated subsidiaries operating in Germany, United Kingdom, Turkey, China, Japan and India, is the Euro, British Pound Sterling, Turkish Lira, Yuan, Yen and the Indian Rupee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Foreign currency remeasurement and transaction gains and losses are recorded in other expenses, in the Consolidated Statements of Operations and Comprehensive Loss. Gains and losses resulting from translation are included in accumulated other comprehensive income (loss), as a separate component of equity.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Noncontrolling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 66.67% ownership in Incom Co., LTD. As we have a controlling interest in Incom Co., LTD, we have consolidated Incom Co., LTD into our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Consolidated Balance Sheets. We include net (loss) income attributable to the noncontrolling interest in Net loss in our Consolidated Statements of Operations and Comprehensive Loss.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preparation of the Company’s consolidated financial statements in conformity with GAAP requires management to make estimates and assumptions, which affect the reported amounts in the financial statements and accompanying notes. Actual results could differ from those estimates.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Business Combinations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adjustments are reflected in the Consolidated Statements of Operations and Comprehensive Loss. Acquisition costs, such as legal and consulting fees, are expensed as incurred.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w:t>
      </w:r>
    </w:p>
    <w:p>
      <w:pPr>
        <w:pStyle w:val="TextBody"/>
        <w:bidi w:val="0"/>
        <w:jc w:val="left"/>
        <w:rPr>
          <w:rFonts w:ascii="Times New Roman" w:hAnsi="Times New Roman"/>
          <w:sz w:val="20"/>
        </w:rPr>
      </w:pPr>
      <w:r>
        <w:rPr>
          <w:rFonts w:ascii="Times New Roman" w:hAnsi="Times New Roman"/>
          <w:b/>
          <w:i/>
          <w:color w:val="000000"/>
          <w:sz w:val="20"/>
        </w:rPr>
        <w:t>Fair Value Measurements and Financial Instruments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1 - Observable inputs that reflect quoted prices (unadjusted) for identical assets or liabilities in active markets.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3 - Unobservable inputs reflecting the Company’s own assumptions incorporated in valuation techniques used to determine fair value. These assumptions are required to be consistent with market participant assumptions that are reasonably available.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 As of December 31, 2025, we have no assets or liabilities that we measure on a recurring basis using Level 2 or Level 3 inputs.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(e)</w:t>
      </w:r>
    </w:p>
    <w:p>
      <w:pPr>
        <w:pStyle w:val="TextBody"/>
        <w:bidi w:val="0"/>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Cash and cash equivalents consist of cash on hand with various financial institutions. These accounts are stated at cost, which approximates fair value.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w:t>
      </w:r>
    </w:p>
    <w:p>
      <w:pPr>
        <w:pStyle w:val="TextBody"/>
        <w:bidi w:val="0"/>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measures its marketable securities at fair value and recognizes any changes in fair value in other expenses on the Consolidated Statements of Operations and Comprehensive Loss. Our marketable securities represent our investments in a short term money market fund. These marketable securities have maturities of three months or less. As of December 31, 2025 and 2024, the Company’s marketable securities of $204.1 million and $217.6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No losses or gains were recorded during the years ended December 31, 2025, 2024 or 2023.</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(g)</w:t>
      </w:r>
    </w:p>
    <w:p>
      <w:pPr>
        <w:pStyle w:val="TextBody"/>
        <w:bidi w:val="0"/>
        <w:jc w:val="left"/>
        <w:rPr/>
      </w:pPr>
      <w:r>
        <w:rPr>
          <w:rFonts w:ascii="Times New Roman" w:hAnsi="Times New Roman"/>
          <w:b/>
          <w:i/>
          <w:color w:val="000000"/>
          <w:sz w:val="20"/>
        </w:rPr>
        <w:t>Accounts Receivable</w:t>
      </w:r>
      <w:r>
        <w:rPr>
          <w:color w:val="00000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Accounts receivable are stated at the amount the Company expects to collect from outstanding balances. The Company’s accounts receivable do not bear interest. Amounts collected on accounts receivable are included in net cash used in operating activities in the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allowance for credit losses related to accounts receivable and changes were as follows (in thousands):</w:t>
      </w:r>
    </w:p>
    <w:tbl>
      <w:tblPr>
        <w:tblW w:w="7633" w:type="dxa"/>
        <w:jc w:val="left"/>
        <w:tblInd w:w="0" w:type="dxa"/>
        <w:tblLayout w:type="fixed"/>
        <w:tblCellMar>
          <w:top w:w="28" w:type="dxa"/>
          <w:left w:w="28" w:type="dxa"/>
          <w:bottom w:w="28" w:type="dxa"/>
          <w:right w:w="28" w:type="dxa"/>
        </w:tblCellMar>
      </w:tblPr>
      <w:tblGrid>
        <w:gridCol w:w="4126"/>
        <w:gridCol w:w="146"/>
        <w:gridCol w:w="211"/>
        <w:gridCol w:w="631"/>
        <w:gridCol w:w="166"/>
        <w:gridCol w:w="146"/>
        <w:gridCol w:w="211"/>
        <w:gridCol w:w="631"/>
        <w:gridCol w:w="166"/>
        <w:gridCol w:w="146"/>
        <w:gridCol w:w="211"/>
        <w:gridCol w:w="63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to provision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or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period end, December 31,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Inventory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Inventory consists primarily of work-in-progress, raw materials and finished goods. Inventory is stated at the lower of cost or net realizable value. Cost is determined using the first-in, first-out method. The Company periodically reviews its inventory for slow-moving, damaged and discontinued items and provides allowances to reduce such items identified to their recoverable amounts, if needed.</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w:t>
      </w:r>
    </w:p>
    <w:p>
      <w:pPr>
        <w:pStyle w:val="TextBody"/>
        <w:bidi w:val="0"/>
        <w:jc w:val="left"/>
        <w:rPr>
          <w:rFonts w:ascii="Times New Roman" w:hAnsi="Times New Roman"/>
          <w:sz w:val="20"/>
        </w:rPr>
      </w:pPr>
      <w:r>
        <w:rPr>
          <w:rFonts w:ascii="Times New Roman" w:hAnsi="Times New Roman"/>
          <w:b/>
          <w:i/>
          <w:color w:val="000000"/>
          <w:sz w:val="20"/>
        </w:rPr>
        <w:t>Property and Equipment and Long-Lived Assets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$28.5 million and $17.0 million for the years ended December 31, 2025 and 2024, respectively.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(j)</w:t>
      </w:r>
    </w:p>
    <w:p>
      <w:pPr>
        <w:pStyle w:val="TextBody"/>
        <w:bidi w:val="0"/>
        <w:jc w:val="left"/>
        <w:rPr>
          <w:rFonts w:ascii="Times New Roman" w:hAnsi="Times New Roman"/>
          <w:b/>
          <w:i/>
          <w:color w:val="000000"/>
          <w:sz w:val="20"/>
        </w:rPr>
      </w:pPr>
      <w:r>
        <w:rPr>
          <w:rFonts w:ascii="Times New Roman" w:hAnsi="Times New Roman"/>
          <w:b/>
          <w:i/>
          <w:color w:val="000000"/>
          <w:sz w:val="20"/>
        </w:rPr>
        <w:t>Investment In Unconsolidated Joint Venture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The Company’s initial ownership interest in the net assets of IM, LLC approximated $5.2 million. We estimated the fair value of the net assets using a market approach which considered market multiples and revenue assumptions based on historical operating results (Level 3 inputs). The Company estimated an inital basis difference of approximately $4.2 million which is accounted for as equity method goodwill which is not subject to amortization.</w:t>
      </w:r>
    </w:p>
    <w:p>
      <w:pPr>
        <w:pStyle w:val="TextBody"/>
        <w:bidi w:val="0"/>
        <w:jc w:val="both"/>
        <w:rPr>
          <w:rFonts w:ascii="Times New Roman" w:hAnsi="Times New Roman"/>
          <w:color w:val="000000"/>
          <w:sz w:val="20"/>
        </w:rPr>
      </w:pPr>
      <w:r>
        <w:rPr>
          <w:rFonts w:ascii="Times New Roman" w:hAnsi="Times New Roman"/>
          <w:color w:val="000000"/>
          <w:sz w:val="20"/>
        </w:rPr>
        <w:t xml:space="preserve">We account for our investment in IM, LLC using the equity method of accounting as we exercise significant influence, but do not control the entity. Under the equity method of accounting, our net equity investments in IM, LLC is reflected in the accompanying Consolidated Balance Sheets and the Company’s share of net income from IM, LLC is included in the accompanying Consolidated Statements of Operations and Comprehensive Loss.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a periodic basis, management assesses whether there are any indicators that the value of the Company’s investment in IM, LLC may be other-than-temporarily-impaired. An investment is impaired only if management’s estimate of the value of the investment is less than the carrying value of the investment, and such a decline in value is deemed to be other than-temporary. To the extent an impairment has occurred, the loss is measured as the excess of the carrying amount of the investment over the estimated fair value of the investment. Evidence of a loss in value might include, but would not necessarily be limited to, absence of an ability to recover the carrying amount of the investment or inability of the investee to sustain an earnings capacity that would justify the carrying amount of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investment. This evaluation consists of several qualitative and quantitative factors including recent financial results and operating trends of the investee and available information that may affect the value of our investment.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No impairment loss on our investment in IM, LLC was recognized during the years ended December 31, 2025, 2024 and 2023.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(k)</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The Company derives the majority of its U.S. and International marketplace revenue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hAnsi="Times New Roman"/>
          <w:i/>
          <w:color w:val="000000"/>
          <w:sz w:val="20"/>
        </w:rPr>
        <w:t>Topic 606, Revenue from Contracts with Customers</w:t>
      </w:r>
      <w:r>
        <w:rPr>
          <w:rFonts w:ascii="Times New Roman" w:hAnsi="Times New Roman"/>
          <w:color w:val="000000"/>
          <w:sz w:val="20"/>
        </w:rPr>
        <w:t xml:space="preserve"> (“ASC 606”).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determines that a contract exists between the Company and the customer when the customer accepts a quote and places an order. The process is governed by the Company’s standard terms and conditions or other agreed upon terms with Xometry’s buyers. Upon receiving an order through Xometry’s platform, the Company identifies the underlying performance obligation(s) necessary for revenue recognition. Using Xometry’s in-house technology, the Company determines the transaction price for the manufactured part(s) or assembly on a stand-alone basis at order initiation. The Company recognizes revenue as control is transferred to the customer, either at a point in time or over time.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Marketplace revenue is primarily recognized from sales to Xometry’s customers upon shipment, at which point control over the part(s) or assembly has transferred. The Company has elected to treat shipping and handling as a fulfillment activity and not as a separate performance obligation.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certain contracts, when we create or enhance an asset that the customer controls, marketplace revenue is recognized over time. Marketplace revenue is recognized over time using the cost-to-cost input method as this measure most accurately depicts the progress of our work and transfer of control to our customers. Changes in estimates affecting sales, costs and profits are recognized in the period in which the change becomes known using the cumulative catch-up method of accounting, resulting in the cumulative effect of changes reflected in the current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has concluded that it’s the principal in the sale of part(s) and assemblies that use the Xometry marketplace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margin risk from the price the Company pays the suppliers, (iii) the Company has discretion in determining how to fulfill each order, including selecting the supplier and (iv) Xometry bears certain risk for product quality to the extent the customer is not satisfied with the final product.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Xometry also derives revenue from its services (previously referred to as “supplier services”) which is a suite of services offered to our suppliers. Service revenues include the sale of marketing services including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as applicable. Consideration is typically determined based on a fixed unit price for the service or product provided. For purchase orders involving multiple performance obligations, the transaction price is allocated to each performance obligation based on the relative standalone selling price, and recognized as revenue when each individual product or service is transferred to the customer. </w:t>
      </w:r>
    </w:p>
    <w:p>
      <w:pPr>
        <w:pStyle w:val="TextBody"/>
        <w:bidi w:val="0"/>
        <w:spacing w:before="0" w:after="200"/>
        <w:jc w:val="both"/>
        <w:rPr>
          <w:rFonts w:ascii="Times New Roman" w:hAnsi="Times New Roman"/>
          <w:sz w:val="20"/>
        </w:rPr>
      </w:pPr>
      <w:r>
        <w:rPr>
          <w:rFonts w:ascii="Times New Roman" w:hAnsi="Times New Roman"/>
          <w:color w:val="000000"/>
          <w:sz w:val="20"/>
        </w:rPr>
        <w:t>The Company has certain contracts with variable consideration in form of returns, refunds and allowances, which may affect the transaction price used as the basis for revenue recognition. As of December 31, 2025 and 2024, the Company had a provision for estimated returns, refunds and allowances of $0.2 million and</w:t>
      </w:r>
      <w:r>
        <w:rPr>
          <w:rFonts w:ascii="Times New Roman" w:hAnsi="Times New Roman"/>
          <w:color w:val="FFFF00"/>
          <w:sz w:val="20"/>
        </w:rPr>
        <w:t xml:space="preserve"> </w:t>
      </w:r>
      <w:r>
        <w:rPr>
          <w:rFonts w:ascii="Times New Roman" w:hAnsi="Times New Roman"/>
          <w:color w:val="000000"/>
          <w:sz w:val="20"/>
        </w:rPr>
        <w:t xml:space="preserve">$0.1 million, respectively.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Sales tax collected from customers and remitted to governmental authorities is excluded from revenue. </w:t>
      </w:r>
    </w:p>
    <w:p>
      <w:pPr>
        <w:pStyle w:val="TextBody"/>
        <w:bidi w:val="0"/>
        <w:spacing w:before="0" w:after="200"/>
        <w:jc w:val="left"/>
        <w:rPr>
          <w:rFonts w:ascii="Times New Roman" w:hAnsi="Times New Roman"/>
          <w:sz w:val="20"/>
        </w:rPr>
      </w:pPr>
      <w:r>
        <w:rPr>
          <w:rFonts w:ascii="Times New Roman" w:hAnsi="Times New Roman"/>
          <w:i/>
          <w:color w:val="000000"/>
          <w:sz w:val="20"/>
        </w:rPr>
        <w:t>Contract Liabilities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Contract liabilities are derived from payments received at the time an order is placed, for which the associated performance obligations have not been satisfied and revenue has not been recognized based on the Company’s revenue recognition criteria described above.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 is a summary of the contract liabilities (in thousands): </w:t>
      </w:r>
    </w:p>
    <w:tbl>
      <w:tblPr>
        <w:tblW w:w="4875" w:type="dxa"/>
        <w:jc w:val="left"/>
        <w:tblInd w:w="0" w:type="dxa"/>
        <w:tblLayout w:type="fixed"/>
        <w:tblCellMar>
          <w:top w:w="28" w:type="dxa"/>
          <w:left w:w="28" w:type="dxa"/>
          <w:bottom w:w="28" w:type="dxa"/>
          <w:right w:w="28" w:type="dxa"/>
        </w:tblCellMar>
      </w:tblPr>
      <w:tblGrid>
        <w:gridCol w:w="3466"/>
        <w:gridCol w:w="146"/>
        <w:gridCol w:w="211"/>
        <w:gridCol w:w="84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Rollforward of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received in advance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received in advance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Times New Roman" w:hAnsi="Times New Roman"/>
          <w:i/>
          <w:color w:val="000000"/>
          <w:sz w:val="20"/>
        </w:rPr>
        <w:t>Sales Contract Acquisition Costs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Company’s incremental costs to obtain a contract may include a sales commission which is generally determined on a per order basis. For marketplace contracts, the Company recognizes costs over a period of one year or less. For service contracts in excess of one year, the Company amortizes such costs on a straight-line basis over the average customer life of two years for new customers and over the renewal period for existing customers which is generally one year. Sales commissions are included in sales and marketing expenses in the Consolidated Statements of Operations and Comprehensive Loss. For the years ended December 31, 2025, 2024 and 2023, the Company recognized approximately $3.0 million, $6.3 million and $8.1 million, respectively of amortization related to deferred sales commissions. The Company had deferred sales contract acquisition costs of $0.4 million as of December 31, 2025 and 2024, which is classified in other current assets on the Consolidated Balance Sheets.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Cost of Revenue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revenue for services primarily consists of internal and external production costs and website hosting.</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(m)</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Leases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Consolidated Balance Sheets. For leases with terms of twelve months or less, the Company does not recognize ROU assets or lease liabilities on the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Consolidated Balance Sheets.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Lease expense for lease payments is recognized on a straight-line basis over the term of the lease.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w:t>
      </w:r>
    </w:p>
    <w:p>
      <w:pPr>
        <w:pStyle w:val="TextBody"/>
        <w:bidi w:val="0"/>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years ended December 31, 2025, 2024 and 2023, the Company’s advertising costs were $35.8 million, $35.1 million and $31.7 million, respectively.</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w:t>
      </w:r>
    </w:p>
    <w:p>
      <w:pPr>
        <w:pStyle w:val="TextBody"/>
        <w:bidi w:val="0"/>
        <w:jc w:val="left"/>
        <w:rPr>
          <w:rFonts w:ascii="Times New Roman" w:hAnsi="Times New Roman"/>
          <w:b/>
          <w:i/>
          <w:color w:val="000000"/>
          <w:sz w:val="20"/>
        </w:rPr>
      </w:pPr>
      <w:r>
        <w:rPr>
          <w:rFonts w:ascii="Times New Roman" w:hAnsi="Times New Roman"/>
          <w:b/>
          <w:i/>
          <w:color w:val="000000"/>
          <w:sz w:val="20"/>
        </w:rPr>
        <w:t>Operations and Support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Operations and support expenses are the costs the Company incurs in support of the customers and suppliers on Xometry’s platforms which are provided by phone, email and chat for purposes of resolving customer and supplier related matters. These costs primarily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consist of compensation expenses of the support staff, including stock-based compensation, certain depreciation and amortization expense and software costs used in delivering customer and services.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w:t>
      </w:r>
    </w:p>
    <w:p>
      <w:pPr>
        <w:pStyle w:val="TextBody"/>
        <w:bidi w:val="0"/>
        <w:jc w:val="left"/>
        <w:rPr>
          <w:rFonts w:ascii="Times New Roman" w:hAnsi="Times New Roman"/>
          <w:b/>
          <w:i/>
          <w:color w:val="000000"/>
          <w:sz w:val="20"/>
        </w:rPr>
      </w:pPr>
      <w:r>
        <w:rPr>
          <w:rFonts w:ascii="Times New Roman" w:hAnsi="Times New Roman"/>
          <w:b/>
          <w:i/>
          <w:color w:val="000000"/>
          <w:sz w:val="20"/>
        </w:rPr>
        <w:t>Product Development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Product development costs which are not eligible for capitalization are expensed as incurred. This account also includes compensation expenses, including stock-based compensation to the Company’s employees performing routine improvements and maintenance on our platforms not related to a specific capitalizable project, software costs and certain depreciation and amortization expense.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(q)</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All stock-based compensation, including stock options, restricted stock units (“RSUs”) and performance restricted stock units (“PRSUs”), are measured at the grant date fair value of the award. The fair value of the RSUs and PRSUs is determined using the fair value of the Company’s Class A common stock on the date of grant. The Company estimates grant date fair value of stock options using the Black-Scholes option-pricing model. The fair value of stock options, RSUs and PRSUs are recognized as compensation expense on a straight-line basis over the requisite service period, which is typically three to four years. Forfeitures are recorded in the period in which they occur.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Black-Scholes model considers several variables and assumptions in estimating the fair value of stock-based awards. These variables include: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expected annual dividend yield;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expected volatility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 free interest rate;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 share value of the underlying common stock; and </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exercise price.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w:t>
      </w:r>
    </w:p>
    <w:p>
      <w:pPr>
        <w:pStyle w:val="TextBody"/>
        <w:bidi w:val="0"/>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computes net loss per share using the two-class method required for multiple classes of common stock and participating securities. The two-class method requires income available to common stockholders for the year to be allocated between common stock and participating securities based upon their respective rights to receive dividends as if all income for the year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 the extent that it is not considered to be more likely than not that a deferred tax asset will be realized, a valuation allowance is established.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recognizes the effect of income tax positions only if those positions are more likely than not of being sustained and are measured at the largest amount that is greater than 50% likely of being realized. The Company’s policy is to recognize interest and penalties related to income tax matters in income tax expense. Changes in recognition or measurement are reflected in the year in which the change in judgment occurs.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(u)</w:t>
      </w:r>
    </w:p>
    <w:p>
      <w:pPr>
        <w:pStyle w:val="TextBody"/>
        <w:bidi w:val="0"/>
        <w:jc w:val="left"/>
        <w:rPr>
          <w:rFonts w:ascii="Times New Roman" w:hAnsi="Times New Roman"/>
          <w:b/>
          <w:i/>
          <w:color w:val="000000"/>
          <w:sz w:val="20"/>
        </w:rPr>
      </w:pPr>
      <w:r>
        <w:rPr>
          <w:rFonts w:ascii="Times New Roman" w:hAnsi="Times New Roman"/>
          <w:b/>
          <w:i/>
          <w:color w:val="000000"/>
          <w:sz w:val="20"/>
        </w:rPr>
        <w:t>Commitments and Contingencies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(v)</w:t>
      </w:r>
    </w:p>
    <w:p>
      <w:pPr>
        <w:pStyle w:val="TextBody"/>
        <w:bidi w:val="0"/>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Intangible assets are carried at cost and amortized on a straight-line basis over their estimated useful lives, which range from one to 17 years. Xometry reviews definite-lived intangible assets for impairment under the long-lived asset model described in Property and Equipment and Long-Lived Assets above.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(w)</w:t>
      </w:r>
    </w:p>
    <w:p>
      <w:pPr>
        <w:pStyle w:val="TextBody"/>
        <w:bidi w:val="0"/>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Goodwill represents the excess purchase price over the estimated fair value of net assets acquired in a business combination. Goodwill is not amortized. The Company tests goodwill for impairment annually in the fourth quarter, or more frequently, if events or changes in circumstances indicate that the carrying value of a reporting unit, including goodwill, might be impaired.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Xometry determines the fair value of each reporting unit using a weighted income-based and market-based approach.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Under the income approach, the Company based its fair value on estimated discounted future cash flows of each reporting unit. Determining the fair value of each reporting unit is judgmental in nature and requires the use of significant estimates and assumptions, including projected future cash flows, growth rates, margins, discount rates, working capital requirements and capital expenditures, among others (Level 3).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Under the market-based approach, the value of a reporting unit using the market-based approach is estimated by comparing the reporting unit to other publicly-traded companies and/or to publicly-disclosed business mergers and acquisitions in similar lines of business. The value of a reporting unit is based on pricing multiples of certain financial parameters observed in the comparable companies. We also make estimates and assumptions for market values to determine a reporting unit’s estimated fair value. Changes in these estimates and assumptions could materially affect the determination of fair value and the goodwill impairment test result.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During the year ended December 31, 2025, the Company performed its qualitative assessment and determined that it was more likely than not that the fair value of our reporting units exceeded their carrying values.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During the year ended December 31, 2024, the Company elected to bypass the qualitative assessment and performed a quantitative assessment to evaluate the goodwill of the U.S. reporting unit. The results of our quantitative assessment indicated that the fair value of our U.S. reporting unit exceeded its carrying value.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December 31, 2024, the Company performed a qualitative assessment to evaluate the goodwill of the International reporting unit, the results of which indicated that it is more likely than not that the fair value of our International reporting unit exceeded its carrying value.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December 31, 2023, the Company performed its qualitative assessment and determined that it was more likely than not that the fair value of our reporting units exceeded their carrying values.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(x)</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new standard became effective for the Company in December 2025. The Company adopted the amendments in this ASU prospectively. We have reflected the adoption of this ASU in Note 9 -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(y)</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Recently Issued Accounting Standards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November 2024, FASB issued ASU No. 2024-03, Income Statement—Reporting Comprehensive Income—Expense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our consolidated financial statements and related disclosures.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November 2024, FASB issued ASU No. 2024-04, Debt with Conversion and Other Options (Subtopic 470-20): Induced Conversions of Convertible Debt Instruments (“ASU 2024-04”),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The Company is currently assessing the impact of ASU 2024-04, but does not expect the adoption of this accounting standard to have a material impact on our consolidated financial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May 2025, the FASB issued ASU No. 2025-03, Business Combinations (Topic 805) and Consolidation (Topic 810): Determining the Accounting Acquirer in the Acquisition of a Variable Interest Entity (“ASU 2025-03”), which requires that in a business combination involving a variable interest entity (“VIE”) where equity interests are issued as consideration, the determination of the accounting acquirer should follow the general guidance under ASC 805-10-25 rather than default to the conclusion that the acquirer is primary beneficiary of the VIE. The amendments are intended to improve consistency in applying the acquisition method to business combinations. The new guidance is effective for annual reporting periods beginning after December 15, 2026, and interim periods within those annual periods. The Company is currently assessing the impact of ASU 2025-03 on our consolidated financial statements and related disclosures, including the potential impact on the accounting for any future business combinations involving VIEs.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July 2025, the FASB issued ASU No. 2025-05, Financial Instruments—Credit Losses (Topic 326): Measurement of Credit Losses for Accounts Receivable and Contract Assets, which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new guidance is effective for annual reporting periods beginning after December 15, 2025, and interim periods within those annual periods. The Company is currently assessing the impact of ASU 2025-05 on our consolidated financial statements and related disclosures.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September 2025, the FASB issued ASU No. 2025-06, Intangibles—Goodwill and Other—Internal-Use Software (Subtopic 350-40): Targeted Improvements to the Accounting for Internal-Use Software, which improves the operability of the guidance by removing all references to software development project stages so that the guidance is neutral to different software development methods. The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new guidance is effective for annual periods beginning after December 15, 2027, and interim periods within those annual periods. The Company is currently assessing the impact of ASU 2025-06 on our consolidated financial statements and related disclosures.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There are currently no other accounting standards that have been issued, but not yet adopted, that are expected to have a significant impact on the Company’s consolidated financial position, results of operations or cash flows upon adoption. </w:t>
      </w:r>
    </w:p>
    <w:p>
      <w:pPr>
        <w:pStyle w:val="TextBody"/>
        <w:bidi w:val="0"/>
        <w:spacing w:before="0" w:after="200"/>
        <w:jc w:val="left"/>
        <w:rPr>
          <w:rFonts w:ascii="Times New Roman" w:hAnsi="Times New Roman"/>
          <w:sz w:val="20"/>
        </w:rPr>
      </w:pPr>
      <w:r>
        <w:rPr>
          <w:rFonts w:ascii="Times New Roman" w:hAnsi="Times New Roman"/>
          <w:b/>
          <w:color w:val="000000"/>
          <w:sz w:val="20"/>
        </w:rPr>
        <w:t>(3) Credit Concentrations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2025, 2024, and 2023, no one customer accounted for more than 10% of the Company’s revenues. As of December 31, 2025 and 2024, no single customer accounted for more than 10% of the Company’s accounts receivable. </w:t>
      </w:r>
    </w:p>
    <w:p>
      <w:pPr>
        <w:pStyle w:val="TextBody"/>
        <w:bidi w:val="0"/>
        <w:spacing w:before="0" w:after="200"/>
        <w:jc w:val="left"/>
        <w:rPr>
          <w:rFonts w:ascii="Times New Roman" w:hAnsi="Times New Roman"/>
          <w:sz w:val="20"/>
        </w:rPr>
      </w:pPr>
      <w:r>
        <w:rPr>
          <w:rFonts w:ascii="Times New Roman" w:hAnsi="Times New Roman"/>
          <w:b/>
          <w:color w:val="000000"/>
          <w:sz w:val="20"/>
        </w:rPr>
        <w:t>(4) Inventory</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Inventory consists of raw materials, work-in-process and finished goods. Raw materials (plastics and metals) become manufactured products in the additive and subtractive manufacturing processes. Work-in-progress represents manufacturing costs associated with customer orders that are not yet complete. Finished goods represents product awaiting shipment. Inventory consists of the following as of December 31, 2025 and 2024 (in thousands): </w:t>
      </w:r>
    </w:p>
    <w:tbl>
      <w:tblPr>
        <w:tblW w:w="4350" w:type="dxa"/>
        <w:jc w:val="left"/>
        <w:tblInd w:w="0" w:type="dxa"/>
        <w:tblLayout w:type="fixed"/>
        <w:tblCellMar>
          <w:top w:w="28" w:type="dxa"/>
          <w:left w:w="28" w:type="dxa"/>
          <w:bottom w:w="28" w:type="dxa"/>
          <w:right w:w="28" w:type="dxa"/>
        </w:tblCellMar>
      </w:tblPr>
      <w:tblGrid>
        <w:gridCol w:w="1531"/>
        <w:gridCol w:w="146"/>
        <w:gridCol w:w="294"/>
        <w:gridCol w:w="801"/>
        <w:gridCol w:w="146"/>
        <w:gridCol w:w="146"/>
        <w:gridCol w:w="294"/>
        <w:gridCol w:w="80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0"/>
        </w:rPr>
        <w:t>(5) Property and Equipment, net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Property and equipment, net consist of the following as of December 31, 2025 and 2024 (in thousands): </w:t>
      </w:r>
    </w:p>
    <w:tbl>
      <w:tblPr>
        <w:tblW w:w="8722" w:type="dxa"/>
        <w:jc w:val="left"/>
        <w:tblInd w:w="0" w:type="dxa"/>
        <w:tblLayout w:type="fixed"/>
        <w:tblCellMar>
          <w:top w:w="28" w:type="dxa"/>
          <w:left w:w="28" w:type="dxa"/>
          <w:bottom w:w="28" w:type="dxa"/>
          <w:right w:w="28" w:type="dxa"/>
        </w:tblCellMar>
      </w:tblPr>
      <w:tblGrid>
        <w:gridCol w:w="2896"/>
        <w:gridCol w:w="146"/>
        <w:gridCol w:w="2821"/>
        <w:gridCol w:w="146"/>
        <w:gridCol w:w="233"/>
        <w:gridCol w:w="862"/>
        <w:gridCol w:w="166"/>
        <w:gridCol w:w="146"/>
        <w:gridCol w:w="244"/>
        <w:gridCol w:w="85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hardware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useful life or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Depreciation expense for the years ended December 31, 2025, 2024 and 2023 was as follows (in thousands): </w:t>
      </w:r>
    </w:p>
    <w:tbl>
      <w:tblPr>
        <w:tblW w:w="6977" w:type="dxa"/>
        <w:jc w:val="left"/>
        <w:tblInd w:w="0" w:type="dxa"/>
        <w:tblLayout w:type="fixed"/>
        <w:tblCellMar>
          <w:top w:w="28" w:type="dxa"/>
          <w:left w:w="28" w:type="dxa"/>
          <w:bottom w:w="28" w:type="dxa"/>
          <w:right w:w="28" w:type="dxa"/>
        </w:tblCellMar>
      </w:tblPr>
      <w:tblGrid>
        <w:gridCol w:w="3751"/>
        <w:gridCol w:w="211"/>
        <w:gridCol w:w="676"/>
        <w:gridCol w:w="146"/>
        <w:gridCol w:w="146"/>
        <w:gridCol w:w="211"/>
        <w:gridCol w:w="571"/>
        <w:gridCol w:w="146"/>
        <w:gridCol w:w="146"/>
        <w:gridCol w:w="211"/>
        <w:gridCol w:w="571"/>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and amortization expense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leases its offices under non-cancelable lease agreements which expire between 2026 and 2032. Certain of these arrangements have free rent, escalating rent payment provisions, lease renewal options and tenant allowances. Because the Company is not reasonably certain to exercise these renewal options, the options are not considered in determining the lease term, and the associated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potential option payments are excluded from the lease payments. Under such arrangements, the Company recognizes an ROU asset and lease liability on the Consolidated Balance Sheets. Variable rent may include items such as common area maintenance and real estate taxes.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From December 2021, through December 2025, the Company subleased a portion of its office in New York City to three other companies (the “Sublessees”). The Sublessees paid the Company a portion of the rent under the existing lease with the landlord (the “Head Lease”), the Company was not relieved from its legal obligation to the landlord under the Head Lease. Accordingly, an operating lease liability and an operating lease ROU asset is reflected on the Company’s Consolidated Balance Sheets related to the Head Lease. The Head Lease terminated on December 31, 2025 and therefore no remaining operating lease liability and operating lease ROU asset exist on the balance sheet related to the Head Lease as of this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periodically assesses its lease portfolio. During 2023, the Company abandoned certain leases and/or portions of its leases in New York, NY, Horsham, PA, Culver City, CA, Doraville, GA and Gaithersburg, MD. As a result of abandoning these leases, the Company ceased its use of these locations and accelerated the amortization of the ROU assets to reduce the ROU assets carrying values to zero. The Company recognized a one-time charge of $8.7 million of additional operating lease expense during 2023 in general and administrative expense on our Consolidated Statements of Operations and Comprehensive Loss. The Company will continue to pay the rent owed under the existing lease agreements. No additional lease abandonments were identified in 2024 or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Operating lease expense for the years ended December 31, 2025, 2024 and 2023 was as follows (in thousands):</w:t>
      </w:r>
    </w:p>
    <w:tbl>
      <w:tblPr>
        <w:tblW w:w="5908" w:type="dxa"/>
        <w:jc w:val="left"/>
        <w:tblInd w:w="0" w:type="dxa"/>
        <w:tblLayout w:type="fixed"/>
        <w:tblCellMar>
          <w:top w:w="28" w:type="dxa"/>
          <w:left w:w="28" w:type="dxa"/>
          <w:bottom w:w="28" w:type="dxa"/>
          <w:right w:w="28" w:type="dxa"/>
        </w:tblCellMar>
      </w:tblPr>
      <w:tblGrid>
        <w:gridCol w:w="2536"/>
        <w:gridCol w:w="146"/>
        <w:gridCol w:w="211"/>
        <w:gridCol w:w="571"/>
        <w:gridCol w:w="146"/>
        <w:gridCol w:w="146"/>
        <w:gridCol w:w="211"/>
        <w:gridCol w:w="571"/>
        <w:gridCol w:w="146"/>
        <w:gridCol w:w="146"/>
        <w:gridCol w:w="211"/>
        <w:gridCol w:w="67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lease costs for the years ended December 31, 2025, 2024 and 2023 was as follows (in thousands):</w:t>
      </w:r>
    </w:p>
    <w:tbl>
      <w:tblPr>
        <w:tblW w:w="7963" w:type="dxa"/>
        <w:jc w:val="left"/>
        <w:tblInd w:w="0" w:type="dxa"/>
        <w:tblLayout w:type="fixed"/>
        <w:tblCellMar>
          <w:top w:w="28" w:type="dxa"/>
          <w:left w:w="28" w:type="dxa"/>
          <w:bottom w:w="28" w:type="dxa"/>
          <w:right w:w="28" w:type="dxa"/>
        </w:tblCellMar>
      </w:tblPr>
      <w:tblGrid>
        <w:gridCol w:w="4411"/>
        <w:gridCol w:w="146"/>
        <w:gridCol w:w="211"/>
        <w:gridCol w:w="631"/>
        <w:gridCol w:w="166"/>
        <w:gridCol w:w="146"/>
        <w:gridCol w:w="211"/>
        <w:gridCol w:w="631"/>
        <w:gridCol w:w="166"/>
        <w:gridCol w:w="146"/>
        <w:gridCol w:w="211"/>
        <w:gridCol w:w="676"/>
        <w:gridCol w:w="2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Short-term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in-place lease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in place lease asset - below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Lease abandonment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 includes supplemental cash and non-cash information related to the Company’s leases during 2025, 2024 and 2023 (in thousands): </w:t>
      </w:r>
    </w:p>
    <w:tbl>
      <w:tblPr>
        <w:tblW w:w="9843" w:type="dxa"/>
        <w:jc w:val="left"/>
        <w:tblInd w:w="0" w:type="dxa"/>
        <w:tblLayout w:type="fixed"/>
        <w:tblCellMar>
          <w:top w:w="28" w:type="dxa"/>
          <w:left w:w="28" w:type="dxa"/>
          <w:bottom w:w="28" w:type="dxa"/>
          <w:right w:w="28" w:type="dxa"/>
        </w:tblCellMar>
      </w:tblPr>
      <w:tblGrid>
        <w:gridCol w:w="6556"/>
        <w:gridCol w:w="146"/>
        <w:gridCol w:w="211"/>
        <w:gridCol w:w="571"/>
        <w:gridCol w:w="146"/>
        <w:gridCol w:w="146"/>
        <w:gridCol w:w="211"/>
        <w:gridCol w:w="571"/>
        <w:gridCol w:w="146"/>
        <w:gridCol w:w="146"/>
        <w:gridCol w:w="211"/>
        <w:gridCol w:w="571"/>
        <w:gridCol w:w="211"/>
      </w:tblGrid>
      <w:tr>
        <w:trPr/>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Right of 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Reduction to right of use assets resulting from reductions to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Company’s aggregate annual lease obligations at December 31, 2025 are as follows (in thousands): </w:t>
      </w:r>
    </w:p>
    <w:tbl>
      <w:tblPr>
        <w:tblW w:w="4858" w:type="dxa"/>
        <w:jc w:val="left"/>
        <w:tblInd w:w="0" w:type="dxa"/>
        <w:tblLayout w:type="fixed"/>
        <w:tblCellMar>
          <w:top w:w="28" w:type="dxa"/>
          <w:left w:w="28" w:type="dxa"/>
          <w:bottom w:w="28" w:type="dxa"/>
          <w:right w:w="28" w:type="dxa"/>
        </w:tblCellMar>
      </w:tblPr>
      <w:tblGrid>
        <w:gridCol w:w="3136"/>
        <w:gridCol w:w="146"/>
        <w:gridCol w:w="324"/>
        <w:gridCol w:w="1041"/>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are the remaining weighted average lease terms and discount rates for the Company’s leases as of December 31, 2025 and 2024:</w:t>
      </w:r>
    </w:p>
    <w:tbl>
      <w:tblPr>
        <w:tblW w:w="6565" w:type="dxa"/>
        <w:jc w:val="left"/>
        <w:tblInd w:w="0" w:type="dxa"/>
        <w:tblLayout w:type="fixed"/>
        <w:tblCellMar>
          <w:top w:w="28" w:type="dxa"/>
          <w:left w:w="28" w:type="dxa"/>
          <w:bottom w:w="28" w:type="dxa"/>
          <w:right w:w="28" w:type="dxa"/>
        </w:tblCellMar>
      </w:tblPr>
      <w:tblGrid>
        <w:gridCol w:w="4111"/>
        <w:gridCol w:w="146"/>
        <w:gridCol w:w="177"/>
        <w:gridCol w:w="566"/>
        <w:gridCol w:w="329"/>
        <w:gridCol w:w="177"/>
        <w:gridCol w:w="177"/>
        <w:gridCol w:w="56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Common Stock</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Company’s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750,000,000 are designated Class A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5,000,000 are designated Class B common stock; and </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50,000,000 are designated preferred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 Class B common stock may be converted to Class A common stock, at any time or from time to time as provided for in the certificate of incorporation. During 2024, 1,200,843 shares of Class B common stock were converted to Class A common stock. No Class B common stock was converted to Class A common stock during 2023 or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Holders of our Class A common stock are entitled to one vote per share on any matter that is submitted to a vote of our stockholders. Holders of our Class B common stock are entitled to 20 votes per share on any matter submitted to a vote of our stockholders.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December 31, 2025, no dividends have been declared or paid by the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reserved 402,658 shares of its Class A common stock, representing 1% of the Company’s fully diluted capitalization as of the date of approval by our board of directors, for charitable contributions to non-profit organizations. These shares will be issued over a five year period which began in July 2021, in an amount not to exceed 20% of the initial reserve amount per calendar year. During 2025, 2024 and 2023, the Company donated 80,532, 80,532 and 60,399 shares of its Class A common stock, respectively, to a donor advised fund and recognized an expense associated with the charitable contribution of approximately $3.3 million, $1.7 million and $1.0 million which is recorded in general and administrative expense in the Consolidated Statements of Operations and Comprehensive Loss.</w:t>
      </w:r>
    </w:p>
    <w:p>
      <w:pPr>
        <w:pStyle w:val="TextBody"/>
        <w:bidi w:val="0"/>
        <w:spacing w:before="0" w:after="200"/>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and no additional awards were granted. As of December 31, 2025, there were no outstanding awards under the 2014 Equity Incentive Plan.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2016, the Company adopted a stock compensation plan (the “2016 Equity Incentive Plan”) pursuant to which the Company may grant stock options, stock purchase rights, restricted stock awards, or stock awards to employees, directors and consultants (including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prospective employees, directors, and consultants). No additional awards may be granted under the 2016 Equity Incentive Plan, however, outstanding awards continue in full effect in accordance with their existing terms.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July 2021, the Company’s board of directors adopted the 2021 Equity Incentive Plan (the “2021 Equity Incentive Plan”). The 2021 Equity Incentive Plan provides for the grant of incentive stock options (“ISOs”), non-statutory stock options, stock appreciation rights, restricted stock awards, RSU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of December 31, 2025, there were 7,300,649 shares available for the Company to grant under the 2021 Equity Incentive Plan.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 stock options were granted during the years ended December 31, 2025 and 2024. The fair value of the stock option grant for the year ended December 31, 2023 was estimated on the date of the grant using the Black-Scholes option pricing model with the following assumptions and fair value per share:</w:t>
      </w:r>
    </w:p>
    <w:tbl>
      <w:tblPr>
        <w:tblW w:w="4588" w:type="dxa"/>
        <w:jc w:val="left"/>
        <w:tblInd w:w="0" w:type="dxa"/>
        <w:tblLayout w:type="fixed"/>
        <w:tblCellMar>
          <w:top w:w="28" w:type="dxa"/>
          <w:left w:w="28" w:type="dxa"/>
          <w:bottom w:w="28" w:type="dxa"/>
          <w:right w:w="28" w:type="dxa"/>
        </w:tblCellMar>
      </w:tblPr>
      <w:tblGrid>
        <w:gridCol w:w="2131"/>
        <w:gridCol w:w="146"/>
        <w:gridCol w:w="536"/>
        <w:gridCol w:w="145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assumptions: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 summary of the status of the Company’s stock option activity and the changes during the years then ended are as follows (in millions, except share, per share amounts and contractual term): </w:t>
      </w:r>
    </w:p>
    <w:tbl>
      <w:tblPr>
        <w:tblW w:w="8358" w:type="dxa"/>
        <w:jc w:val="left"/>
        <w:tblInd w:w="0" w:type="dxa"/>
        <w:tblLayout w:type="fixed"/>
        <w:tblCellMar>
          <w:top w:w="28" w:type="dxa"/>
          <w:left w:w="28" w:type="dxa"/>
          <w:bottom w:w="28" w:type="dxa"/>
          <w:right w:w="28" w:type="dxa"/>
        </w:tblCellMar>
      </w:tblPr>
      <w:tblGrid>
        <w:gridCol w:w="3061"/>
        <w:gridCol w:w="146"/>
        <w:gridCol w:w="146"/>
        <w:gridCol w:w="931"/>
        <w:gridCol w:w="166"/>
        <w:gridCol w:w="146"/>
        <w:gridCol w:w="302"/>
        <w:gridCol w:w="823"/>
        <w:gridCol w:w="146"/>
        <w:gridCol w:w="146"/>
        <w:gridCol w:w="285"/>
        <w:gridCol w:w="706"/>
        <w:gridCol w:w="146"/>
        <w:gridCol w:w="146"/>
        <w:gridCol w:w="271"/>
        <w:gridCol w:w="600"/>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1,640,638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weighted average grant date fair value of options granted during the year ended December 31, 2023 was $11.55.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total intrinsic value of options exercised during the years ended December 31, 2025, 2024 and 2023 was $11.9 million, $10.1 million and $3.9 million, respectively.</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At December 31, 2025, there was $0.9 million of total unrecognized compensation cost related to unvested stock options granted under the 2021 and 2016 Equity Incentive Plans. That cost is expected to be recognized over a weighted average period of approximately one year as of December 31,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currently uses authorized and unissued shares to satisfy share award exercises.</w:t>
      </w:r>
    </w:p>
    <w:p>
      <w:pPr>
        <w:pStyle w:val="TextBody"/>
        <w:bidi w:val="0"/>
        <w:jc w:val="left"/>
        <w:rPr>
          <w:rFonts w:ascii="Times New Roman" w:hAnsi="Times New Roman"/>
          <w:b/>
          <w:color w:val="000000"/>
          <w:sz w:val="20"/>
        </w:rPr>
      </w:pPr>
      <w:r>
        <w:rPr>
          <w:rFonts w:ascii="Times New Roman" w:hAnsi="Times New Roman"/>
          <w:b/>
          <w:color w:val="000000"/>
          <w:sz w:val="20"/>
        </w:rPr>
        <w:t>RSUs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 summary of the status of the Company’s RSU activity and the changes during the years then ended are as follows (in millions, except share and per share amounts): </w:t>
      </w:r>
    </w:p>
    <w:tbl>
      <w:tblPr>
        <w:tblW w:w="8905" w:type="dxa"/>
        <w:jc w:val="left"/>
        <w:tblInd w:w="0" w:type="dxa"/>
        <w:tblLayout w:type="fixed"/>
        <w:tblCellMar>
          <w:top w:w="28" w:type="dxa"/>
          <w:left w:w="28" w:type="dxa"/>
          <w:bottom w:w="28" w:type="dxa"/>
          <w:right w:w="28" w:type="dxa"/>
        </w:tblCellMar>
      </w:tblPr>
      <w:tblGrid>
        <w:gridCol w:w="3421"/>
        <w:gridCol w:w="146"/>
        <w:gridCol w:w="146"/>
        <w:gridCol w:w="991"/>
        <w:gridCol w:w="166"/>
        <w:gridCol w:w="146"/>
        <w:gridCol w:w="681"/>
        <w:gridCol w:w="1854"/>
        <w:gridCol w:w="146"/>
        <w:gridCol w:w="146"/>
        <w:gridCol w:w="235"/>
        <w:gridCol w:w="63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At December 31, 2025, there was approximately $60.6 million of total unrecognized compensation cost related to unvested RSUs granted under the 2021 Equity Incentive Plan. That cost is expected to be recognized over a weighted average period of approximately three years as of December 31, 2025.</w:t>
      </w:r>
    </w:p>
    <w:p>
      <w:pPr>
        <w:pStyle w:val="TextBody"/>
        <w:bidi w:val="0"/>
        <w:jc w:val="left"/>
        <w:rPr>
          <w:rFonts w:ascii="Times New Roman" w:hAnsi="Times New Roman"/>
          <w:b/>
          <w:color w:val="000000"/>
          <w:sz w:val="20"/>
        </w:rPr>
      </w:pPr>
      <w:r>
        <w:rPr>
          <w:rFonts w:ascii="Times New Roman" w:hAnsi="Times New Roman"/>
          <w:b/>
          <w:color w:val="000000"/>
          <w:sz w:val="20"/>
        </w:rPr>
        <w:t>PRSUs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summary of the status of the Company’s PRSU activity and the changes during the years then ended are as follows (in millions, except share and per share amounts):</w:t>
      </w:r>
    </w:p>
    <w:tbl>
      <w:tblPr>
        <w:tblW w:w="8800" w:type="dxa"/>
        <w:jc w:val="left"/>
        <w:tblInd w:w="0" w:type="dxa"/>
        <w:tblLayout w:type="fixed"/>
        <w:tblCellMar>
          <w:top w:w="28" w:type="dxa"/>
          <w:left w:w="28" w:type="dxa"/>
          <w:bottom w:w="28" w:type="dxa"/>
          <w:right w:w="28" w:type="dxa"/>
        </w:tblCellMar>
      </w:tblPr>
      <w:tblGrid>
        <w:gridCol w:w="3526"/>
        <w:gridCol w:w="146"/>
        <w:gridCol w:w="146"/>
        <w:gridCol w:w="781"/>
        <w:gridCol w:w="166"/>
        <w:gridCol w:w="146"/>
        <w:gridCol w:w="681"/>
        <w:gridCol w:w="1854"/>
        <w:gridCol w:w="146"/>
        <w:gridCol w:w="146"/>
        <w:gridCol w:w="271"/>
        <w:gridCol w:w="600"/>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At December 31, 2025, there was approximately $8.5 million of total unrecognized compensation cost related to unvested PRSUs granted under the 2021 Equity Incentive Plan. That cost is expected to be recognized over a weighted average period of approximately two years as of December 31, 2025.</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Total stock-based compensation cost for the years ended December 31, 2025, 2024 and 2023 were as follows (in thousands): </w:t>
      </w:r>
    </w:p>
    <w:tbl>
      <w:tblPr>
        <w:tblW w:w="6508"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211"/>
        <w:gridCol w:w="676"/>
        <w:gridCol w:w="146"/>
        <w:gridCol w:w="146"/>
        <w:gridCol w:w="211"/>
        <w:gridCol w:w="67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2024, the Company modified certain RSU awards to accelerate the vesting dates for 517 grantees. As a result of this acceleration, the Company recognized additional stock-based compensation expense of $0.7 million during 2024.</w:t>
      </w:r>
    </w:p>
    <w:p>
      <w:pPr>
        <w:pStyle w:val="TextBody"/>
        <w:bidi w:val="0"/>
        <w:spacing w:before="0" w:after="200"/>
        <w:jc w:val="left"/>
        <w:rPr>
          <w:rFonts w:ascii="Times New Roman" w:hAnsi="Times New Roman"/>
          <w:sz w:val="20"/>
        </w:rPr>
      </w:pPr>
      <w:r>
        <w:rPr>
          <w:rFonts w:ascii="Times New Roman" w:hAnsi="Times New Roman"/>
          <w:b/>
          <w:color w:val="000000"/>
          <w:sz w:val="20"/>
        </w:rPr>
        <w:t>(9) Income Taxes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year ended December 31, 2025, the Company had an income tax expense of $0.6 million. For the years ended December 31, 2024 and 2023, the Company had an income tax benefit of approximately $0.1 million and $0.4 million, respectively. The Company's tax expense is comprised of a current (provision) and a deferred state tax benefit of $(0.7) million and $0.1 million, respectively for the year ended December 31, 2025, and a current (provision) and a deferred state tax benefit of $(0.1) million and $0.1 million, respectively for the year ended December 31, 2024. This estimated annual effective tax rate of (1.0)% differs from the U.S. federal statutory rate primarily due to the effects of certain permanent items, foreign tax rate differences, and increases in the valuation allowance against deferred tax assets.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adopted ASU 2023-09 prospectively on January 1, 2025 to provide more transparency about income tax information through improvements to income tax disclosures primarily related to the rate reconciliation disclosure.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components of loss before income taxes were as follows (in thousands):</w:t>
      </w:r>
    </w:p>
    <w:tbl>
      <w:tblPr>
        <w:tblW w:w="4513" w:type="dxa"/>
        <w:jc w:val="left"/>
        <w:tblInd w:w="0" w:type="dxa"/>
        <w:tblLayout w:type="fixed"/>
        <w:tblCellMar>
          <w:top w:w="28" w:type="dxa"/>
          <w:left w:w="28" w:type="dxa"/>
          <w:bottom w:w="28" w:type="dxa"/>
          <w:right w:w="28" w:type="dxa"/>
        </w:tblCellMar>
      </w:tblPr>
      <w:tblGrid>
        <w:gridCol w:w="2161"/>
        <w:gridCol w:w="146"/>
        <w:gridCol w:w="444"/>
        <w:gridCol w:w="155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differences between income taxes expected at the U.S. federal statutory income tax rate and income taxes reported were as follows (in thousands):</w:t>
      </w:r>
    </w:p>
    <w:tbl>
      <w:tblPr>
        <w:tblW w:w="10205" w:type="dxa"/>
        <w:jc w:val="left"/>
        <w:tblInd w:w="0" w:type="dxa"/>
        <w:tblLayout w:type="fixed"/>
        <w:tblCellMar>
          <w:top w:w="28" w:type="dxa"/>
          <w:left w:w="28" w:type="dxa"/>
          <w:bottom w:w="28" w:type="dxa"/>
          <w:right w:w="28" w:type="dxa"/>
        </w:tblCellMar>
      </w:tblPr>
      <w:tblGrid>
        <w:gridCol w:w="6330"/>
        <w:gridCol w:w="253"/>
        <w:gridCol w:w="882"/>
        <w:gridCol w:w="166"/>
        <w:gridCol w:w="146"/>
        <w:gridCol w:w="211"/>
        <w:gridCol w:w="736"/>
        <w:gridCol w:w="166"/>
        <w:gridCol w:w="146"/>
        <w:gridCol w:w="155"/>
        <w:gridCol w:w="674"/>
        <w:gridCol w:w="340"/>
      </w:tblGrid>
      <w:tr>
        <w:trPr/>
        <w:tc>
          <w:tcPr>
            <w:tcW w:w="63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 Book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 Effect</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statutory rate</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 and Local Income Taxes, Net of Federal Income Tax Effect</w:t>
            </w:r>
            <w:r>
              <w:rPr>
                <w:rFonts w:ascii="Times New Roman" w:hAnsi="Times New Roman"/>
                <w:color w:val="000000"/>
                <w:sz w:val="13"/>
              </w:rPr>
              <w:t>(1)</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 Tax Effects</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Germany</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Valuation Allowance</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Statutory tax rate difference between Germany and U.S.</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Other foreign jurisdictions</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 of Changes in Tax Law</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 of Cross-Border Tax Laws</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Credits</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Valuation Allowances</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Nontaxable or Nondeductible:</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based compensation</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Non-Deductible Interest</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Non-Deductible Officers' Compensation</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Unrecognized Tax Benefits</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Adjustments</w:t>
            </w:r>
          </w:p>
        </w:tc>
        <w:tc>
          <w:tcPr>
            <w:tcW w:w="11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states that contribute to the majority (greater than 50%) of the tax effect in this category include New York State and City, California, Pennsylvania, Illinois and Massachusetts</w:t>
            </w:r>
          </w:p>
        </w:tc>
        <w:tc>
          <w:tcPr>
            <w:tcW w:w="3535" w:type="dxa"/>
            <w:gridSpan w:val="10"/>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reconciliation of the statutory federal income tax rate to the Company's effective tax rate before the adoption of ASU 2023-09 for the years ended December 31, 2024 and 2023 were as follows:</w:t>
      </w:r>
    </w:p>
    <w:tbl>
      <w:tblPr>
        <w:tblW w:w="6450" w:type="dxa"/>
        <w:jc w:val="left"/>
        <w:tblInd w:w="0" w:type="dxa"/>
        <w:tblLayout w:type="fixed"/>
        <w:tblCellMar>
          <w:top w:w="28" w:type="dxa"/>
          <w:left w:w="28" w:type="dxa"/>
          <w:bottom w:w="28" w:type="dxa"/>
          <w:right w:w="28" w:type="dxa"/>
        </w:tblCellMar>
      </w:tblPr>
      <w:tblGrid>
        <w:gridCol w:w="4081"/>
        <w:gridCol w:w="191"/>
        <w:gridCol w:w="493"/>
        <w:gridCol w:w="434"/>
        <w:gridCol w:w="191"/>
        <w:gridCol w:w="191"/>
        <w:gridCol w:w="493"/>
        <w:gridCol w:w="376"/>
      </w:tblGrid>
      <w:tr>
        <w:trPr/>
        <w:tc>
          <w:tcPr>
            <w:tcW w:w="40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statutory rate</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rate, net of federal benefit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difference</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 stock-based compensation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state tax rate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2025 and 2024 are presented below (in thousands): </w:t>
      </w:r>
    </w:p>
    <w:tbl>
      <w:tblPr>
        <w:tblW w:w="6404" w:type="dxa"/>
        <w:jc w:val="left"/>
        <w:tblInd w:w="0" w:type="dxa"/>
        <w:tblLayout w:type="fixed"/>
        <w:tblCellMar>
          <w:top w:w="28" w:type="dxa"/>
          <w:left w:w="28" w:type="dxa"/>
          <w:bottom w:w="28" w:type="dxa"/>
          <w:right w:w="28" w:type="dxa"/>
        </w:tblCellMar>
      </w:tblPr>
      <w:tblGrid>
        <w:gridCol w:w="3736"/>
        <w:gridCol w:w="146"/>
        <w:gridCol w:w="211"/>
        <w:gridCol w:w="841"/>
        <w:gridCol w:w="166"/>
        <w:gridCol w:w="146"/>
        <w:gridCol w:w="211"/>
        <w:gridCol w:w="736"/>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Sec. 163(j) interest limitation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Charitable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Unrealized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costs and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i/>
          <w:color w:val="000000"/>
          <w:sz w:val="20"/>
        </w:rPr>
        <w:t>Tax Valuation Allowance</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of December 31, 2025, and 2024, the Company had a valuation allowance of $105.4 million and $85.2 million, respectively, against certain deferred tax assets. The valuation allowance relates to the deferred tax assets of the Company’s U.S. entities, including federal and state tax attributes and timing differences, as well as the deferred tax assets of its foreign subsidiaries. The increase in the valuation allowance during 2025 is primarily related to the pre-tax losses generated in the U.S. and non-U.S. operations. </w:t>
      </w:r>
    </w:p>
    <w:p>
      <w:pPr>
        <w:pStyle w:val="TextBody"/>
        <w:bidi w:val="0"/>
        <w:jc w:val="left"/>
        <w:rPr>
          <w:rFonts w:ascii="Times New Roman" w:hAnsi="Times New Roman"/>
          <w:sz w:val="20"/>
        </w:rPr>
      </w:pPr>
      <w:r>
        <w:rPr>
          <w:rFonts w:ascii="Times New Roman" w:hAnsi="Times New Roman"/>
          <w:i/>
          <w:color w:val="000000"/>
          <w:sz w:val="20"/>
        </w:rPr>
        <w:t>Net Operating Loss and Credit Carryforwards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As of December 31, 2025, the Company has net operating loss (“NOL”) carryforwards for U.S. federal income tax purposes, and similar state amounts, of approximately $291.3 million available to reduce future income subject to income taxes before limitations. As of December 31, 2025, the Company had a net operating loss carryforward for tax purposes related to its foreign subsidiaries of $79.0 million. U.S. federal net operating carryforwards generated prior to 2018 in the approximate amount of $48.7 million will begin to expire, if not utilized, in 2026.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Of the total loss carryforward available, approximately $44.4 million of net operating losses were attributable to the acquisition of Thomas Publishing Company and its subsidiaries (collectively, “Thomas”). In 2022, management completed its evaluation of any limitations on the ability of the Company to utilize the Thomas net operating loss carryforward.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Uncertain Tax Positions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Our gross unrecognized tax benefits related to uncertain tax positions were not material to the Company’s financial position or operations for all periods presented.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federal and state income tax returns are subject to examination by income taxing authorities, generally for three years after the returns are filed. However, tax attribute carryforwards may still be adjusted upon examination by tax authorities. The Company is not currently under examination by any tax jurisdiction for federal or state income taxation.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amount of cash income taxes paid by the Company were as follows (in thousands):</w:t>
      </w:r>
    </w:p>
    <w:tbl>
      <w:tblPr>
        <w:tblW w:w="4977" w:type="dxa"/>
        <w:jc w:val="left"/>
        <w:tblInd w:w="0" w:type="dxa"/>
        <w:tblLayout w:type="fixed"/>
        <w:tblCellMar>
          <w:top w:w="28" w:type="dxa"/>
          <w:left w:w="28" w:type="dxa"/>
          <w:bottom w:w="28" w:type="dxa"/>
          <w:right w:w="28" w:type="dxa"/>
        </w:tblCellMar>
      </w:tblPr>
      <w:tblGrid>
        <w:gridCol w:w="2791"/>
        <w:gridCol w:w="536"/>
        <w:gridCol w:w="1459"/>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Georgia</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All other States</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China</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UK</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All other foreign</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 net of refunds</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0"/>
        </w:rPr>
        <w:t>(10) Net Loss Per Share Attributable to Common Stockholders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computes net loss per share of Class A common stock, Class B common stock and participating securities using the two-class method. Basic and diluted earnings per share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5483"/>
        <w:gridCol w:w="146"/>
        <w:gridCol w:w="211"/>
        <w:gridCol w:w="1036"/>
        <w:gridCol w:w="166"/>
        <w:gridCol w:w="146"/>
        <w:gridCol w:w="211"/>
        <w:gridCol w:w="1036"/>
        <w:gridCol w:w="166"/>
        <w:gridCol w:w="146"/>
        <w:gridCol w:w="211"/>
        <w:gridCol w:w="1036"/>
        <w:gridCol w:w="211"/>
      </w:tblGrid>
      <w:tr>
        <w:trPr/>
        <w:tc>
          <w:tcPr>
            <w:tcW w:w="5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 used to compute net loss per share attributable to common stockholders, basic and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50,812,072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49,082,722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47,914,039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tbl>
      <w:tblPr>
        <w:tblW w:w="7918" w:type="dxa"/>
        <w:jc w:val="left"/>
        <w:tblInd w:w="0" w:type="dxa"/>
        <w:tblLayout w:type="fixed"/>
        <w:tblCellMar>
          <w:top w:w="28" w:type="dxa"/>
          <w:left w:w="28" w:type="dxa"/>
          <w:bottom w:w="28" w:type="dxa"/>
          <w:right w:w="28" w:type="dxa"/>
        </w:tblCellMar>
      </w:tblPr>
      <w:tblGrid>
        <w:gridCol w:w="3556"/>
        <w:gridCol w:w="146"/>
        <w:gridCol w:w="146"/>
        <w:gridCol w:w="1036"/>
        <w:gridCol w:w="146"/>
        <w:gridCol w:w="146"/>
        <w:gridCol w:w="146"/>
        <w:gridCol w:w="931"/>
        <w:gridCol w:w="146"/>
        <w:gridCol w:w="146"/>
        <w:gridCol w:w="146"/>
        <w:gridCol w:w="1036"/>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charitable contribution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11,782,680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10,104,084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w:t>
      </w:r>
    </w:p>
    <w:p>
      <w:pPr>
        <w:pStyle w:val="TextBody"/>
        <w:bidi w:val="0"/>
        <w:jc w:val="left"/>
        <w:rPr>
          <w:rFonts w:ascii="Times New Roman" w:hAnsi="Times New Roman"/>
          <w:b/>
          <w:color w:val="000000"/>
          <w:sz w:val="20"/>
        </w:rPr>
      </w:pPr>
      <w:r>
        <w:rPr>
          <w:rFonts w:ascii="Times New Roman" w:hAnsi="Times New Roman"/>
          <w:b/>
          <w:color w:val="000000"/>
          <w:sz w:val="20"/>
        </w:rPr>
        <w:t xml:space="preserve">Debt and Commitments and Contingencies </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2030 Convertible Notes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June 2025, we issued $250.0 million aggregate principal amount of 0.75% convertible senior notes due in 2030 (the “2030 Notes”), including the exercise in full of the initial purchasers’ option to purchase up to an additional $25.0 million principal amount of the 2030 Notes, pursuant to an indenture dated June 12, 2025.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during any calendar quarter commencing after the calendar quarter ending on September 30, 2025 (and only during such calendar quarter), 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2030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2030 Notes for each day of such ten consecutive trading day period was less than 98% of the product of the last reported sale price of our Class A common stock and the applicable conversion rate of the 2030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or after March 15, 2030, the 2030 Notes are convertible at any time until the close of business on the second scheduled trading day immediately preceding the maturity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2030 Notes as a single liability measured at its amortized cost, as no embedded features require bifurcation and recognition as derivatives.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February 2022, we issued $287.5 million aggregate principal amount of convertible senior notes due in 2027 (the “2027 Notes”) pursuant to an indenture dated February 4, 2022. The 2027 Notes were sold in a private offering to qualified institutional buyers pursuant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to Rule 144A under the Securities Act. The net proceeds from the issuance of the 2027 Notes were $278.2 million, net of debt issuance costs. The debt issuance costs are amortized to interest expense using the effective interest rate method.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Partial Repurchase of 2027 Notes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Consolidated Statements of Operations and Comprehensive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Following this partial repurchase, approximately $85.8 million aggregate principal amount of the 2027 Notes remain outstanding on our Consolidated Balance Sheet. The original terms and conditions continue to apply to the remaining 2027 Notes, and the unamortized debt discount and issuance costs related to these notes will continue to accrete to interest expense.</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outstanding principal amount and carrying value of Convertible Notes as of the dates indicated (in thousands):</w:t>
      </w:r>
    </w:p>
    <w:tbl>
      <w:tblPr>
        <w:tblW w:w="9176" w:type="dxa"/>
        <w:jc w:val="left"/>
        <w:tblInd w:w="0" w:type="dxa"/>
        <w:tblLayout w:type="fixed"/>
        <w:tblCellMar>
          <w:top w:w="28" w:type="dxa"/>
          <w:left w:w="28" w:type="dxa"/>
          <w:bottom w:w="28" w:type="dxa"/>
          <w:right w:w="28" w:type="dxa"/>
        </w:tblCellMar>
      </w:tblPr>
      <w:tblGrid>
        <w:gridCol w:w="1051"/>
        <w:gridCol w:w="146"/>
        <w:gridCol w:w="211"/>
        <w:gridCol w:w="781"/>
        <w:gridCol w:w="146"/>
        <w:gridCol w:w="146"/>
        <w:gridCol w:w="529"/>
        <w:gridCol w:w="1586"/>
        <w:gridCol w:w="166"/>
        <w:gridCol w:w="146"/>
        <w:gridCol w:w="630"/>
        <w:gridCol w:w="1890"/>
        <w:gridCol w:w="166"/>
        <w:gridCol w:w="146"/>
        <w:gridCol w:w="265"/>
        <w:gridCol w:w="980"/>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annual effective interest rate for the 2027 Notes and the 2030 Notes were approximately 1.6% and 1.4%,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related to the Convertible Notes for the periods presented below was as follows (in thousands):</w:t>
      </w:r>
    </w:p>
    <w:tbl>
      <w:tblPr>
        <w:tblW w:w="6073" w:type="dxa"/>
        <w:jc w:val="left"/>
        <w:tblInd w:w="0" w:type="dxa"/>
        <w:tblLayout w:type="fixed"/>
        <w:tblCellMar>
          <w:top w:w="28" w:type="dxa"/>
          <w:left w:w="28" w:type="dxa"/>
          <w:bottom w:w="28" w:type="dxa"/>
          <w:right w:w="28" w:type="dxa"/>
        </w:tblCellMar>
      </w:tblPr>
      <w:tblGrid>
        <w:gridCol w:w="2806"/>
        <w:gridCol w:w="146"/>
        <w:gridCol w:w="211"/>
        <w:gridCol w:w="571"/>
        <w:gridCol w:w="146"/>
        <w:gridCol w:w="146"/>
        <w:gridCol w:w="211"/>
        <w:gridCol w:w="571"/>
        <w:gridCol w:w="146"/>
        <w:gridCol w:w="146"/>
        <w:gridCol w:w="211"/>
        <w:gridCol w:w="57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Coupon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estimates the fair value of the Convertible Notes with inputs that are unobservable. The following table presents the carrying value and estimated fair value of the 2027 Notes as of the date indicated (in thousands):</w:t>
      </w:r>
    </w:p>
    <w:tbl>
      <w:tblPr>
        <w:tblW w:w="7773" w:type="dxa"/>
        <w:jc w:val="left"/>
        <w:tblInd w:w="0" w:type="dxa"/>
        <w:tblLayout w:type="fixed"/>
        <w:tblCellMar>
          <w:top w:w="28" w:type="dxa"/>
          <w:left w:w="28" w:type="dxa"/>
          <w:bottom w:w="28" w:type="dxa"/>
          <w:right w:w="28" w:type="dxa"/>
        </w:tblCellMar>
      </w:tblPr>
      <w:tblGrid>
        <w:gridCol w:w="2086"/>
        <w:gridCol w:w="146"/>
        <w:gridCol w:w="265"/>
        <w:gridCol w:w="980"/>
        <w:gridCol w:w="146"/>
        <w:gridCol w:w="146"/>
        <w:gridCol w:w="211"/>
        <w:gridCol w:w="781"/>
        <w:gridCol w:w="146"/>
        <w:gridCol w:w="146"/>
        <w:gridCol w:w="265"/>
        <w:gridCol w:w="980"/>
        <w:gridCol w:w="146"/>
        <w:gridCol w:w="146"/>
        <w:gridCol w:w="211"/>
        <w:gridCol w:w="78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2027 Notes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2030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7"/>
        </w:rPr>
        <w:t>As of December 31, 2025 and 2024, the fair value of the Convertible Notes, as applicable, were measured using Level 2 inputs based on the frequency of trading on our debt at the end of the year.</w:t>
      </w:r>
      <w:r>
        <w:rPr>
          <w:rFonts w:ascii="Times New Roman" w:hAnsi="Times New Roman"/>
          <w:color w:val="000000"/>
          <w:sz w:val="20"/>
        </w:rPr>
        <w:t xml:space="preserve"> </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connection with the issuance of the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used approximately $17.5 million of the net proceeds from the 2030 Notes to pay the cost of the Capped Calls. These instruments are classified as equity and recorded as a reduction of additional paid-in capital in the Consolidated Statements of Changes in Stockholders’ Equity. The Capped Calls are not accounted for as derivatives and will not be remeasured; they will remain in stockholder’s equity until expiration or settlement.</w:t>
      </w:r>
    </w:p>
    <w:p>
      <w:pPr>
        <w:pStyle w:val="TextBody"/>
        <w:bidi w:val="0"/>
        <w:spacing w:before="0" w:after="200"/>
        <w:jc w:val="left"/>
        <w:rPr>
          <w:rFonts w:ascii="Times New Roman" w:hAnsi="Times New Roman"/>
          <w:sz w:val="20"/>
        </w:rPr>
      </w:pPr>
      <w:r>
        <w:rPr>
          <w:rFonts w:ascii="Times New Roman" w:hAnsi="Times New Roman"/>
          <w:i/>
          <w:color w:val="000000"/>
          <w:sz w:val="20"/>
        </w:rPr>
        <w:t>Purchase of Treasury Stock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200"/>
        <w:jc w:val="left"/>
        <w:rPr>
          <w:rFonts w:ascii="Times New Roman" w:hAnsi="Times New Roman"/>
          <w:sz w:val="20"/>
        </w:rPr>
      </w:pPr>
      <w:r>
        <w:rPr>
          <w:rFonts w:ascii="Times New Roman" w:hAnsi="Times New Roman"/>
          <w:b w:val="false"/>
          <w:i/>
          <w:color w:val="000000"/>
          <w:sz w:val="20"/>
        </w:rPr>
        <w:t>Contingencies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may, from time to time,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 </w:t>
      </w:r>
    </w:p>
    <w:p>
      <w:pPr>
        <w:pStyle w:val="Heading2"/>
        <w:bidi w:val="0"/>
        <w:spacing w:before="0" w:after="200"/>
        <w:jc w:val="left"/>
        <w:rPr>
          <w:rFonts w:ascii="Times New Roman" w:hAnsi="Times New Roman"/>
          <w:b w:val="false"/>
          <w:i/>
          <w:color w:val="000000"/>
          <w:sz w:val="20"/>
        </w:rPr>
      </w:pPr>
      <w:r>
        <w:rPr>
          <w:rFonts w:ascii="Times New Roman" w:hAnsi="Times New Roman"/>
          <w:b w:val="false"/>
          <w:i/>
          <w:color w:val="000000"/>
          <w:sz w:val="20"/>
        </w:rPr>
        <w:t>Restructuring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2023 and 2025, the Company initiated separate restructuring actions to help manage our operating expenses, improve our efficiency and align resources by reducing our workforce. For the years ended December 31, 2023 and December 31, 2025, the Company incurred $0.7 million and $1.3 million, respectively for employee termination costs related to the restructurings. Amounts payable as of December 31, 2025 related to the restructuring were not material.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did not incur any restructuring costs for the year ended December 31, 2024. The following table shows the total restructuring costs incurred during the year ended December 31, 2025 and 2023 (in thousands):</w:t>
      </w:r>
    </w:p>
    <w:tbl>
      <w:tblPr>
        <w:tblW w:w="5225" w:type="dxa"/>
        <w:jc w:val="left"/>
        <w:tblInd w:w="0" w:type="dxa"/>
        <w:tblLayout w:type="fixed"/>
        <w:tblCellMar>
          <w:top w:w="28" w:type="dxa"/>
          <w:left w:w="28" w:type="dxa"/>
          <w:bottom w:w="28" w:type="dxa"/>
          <w:right w:w="28" w:type="dxa"/>
        </w:tblCellMar>
      </w:tblPr>
      <w:tblGrid>
        <w:gridCol w:w="2311"/>
        <w:gridCol w:w="146"/>
        <w:gridCol w:w="319"/>
        <w:gridCol w:w="863"/>
        <w:gridCol w:w="220"/>
        <w:gridCol w:w="220"/>
        <w:gridCol w:w="319"/>
        <w:gridCol w:w="63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Exit from the Tools and Materials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previously provided suppliers with access to competitively priced tools and material and supplies in the U.S. As a result of exiting the tools and materials business (our “tools and materials business”, which we previously referred to as our “supplies business”) during 2023, the Company recognized $0.6 million of costs associated with its closure, of which $0.2 million is recognized in cost of revenue and $0.4 million is recognized in operations and support on the Consolidated Statements of Operations and Comprehensive Loss.</w:t>
      </w:r>
    </w:p>
    <w:p>
      <w:pPr>
        <w:pStyle w:val="Heading2"/>
        <w:bidi w:val="0"/>
        <w:spacing w:before="0" w:after="200"/>
        <w:jc w:val="left"/>
        <w:rPr>
          <w:rFonts w:ascii="Times New Roman" w:hAnsi="Times New Roman"/>
          <w:b w:val="false"/>
          <w:i/>
          <w:color w:val="000000"/>
          <w:sz w:val="20"/>
        </w:rPr>
      </w:pPr>
      <w:r>
        <w:rPr>
          <w:rFonts w:ascii="Times New Roman" w:hAnsi="Times New Roman"/>
          <w:b w:val="false"/>
          <w:i/>
          <w:color w:val="000000"/>
          <w:sz w:val="20"/>
        </w:rPr>
        <w:t>Defined Contribution Plans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sponsors a defined contribution plan for qualifying employees, including a 401(k) Plan in the United States to which we make matching contributions of 50% of participating employee contributions up to 6% of eligible income. Our total matching contribution to the 401(k) Plan was $2.5 million, $2.2 million and $2.1 million for the years ending December 31, 2025, 2024 and 2023, respectively.</w:t>
      </w:r>
    </w:p>
    <w:p>
      <w:pPr>
        <w:pStyle w:val="TextBody"/>
        <w:bidi w:val="0"/>
        <w:spacing w:before="0" w:after="200"/>
        <w:jc w:val="left"/>
        <w:rPr>
          <w:rFonts w:ascii="Times New Roman" w:hAnsi="Times New Roman"/>
          <w:sz w:val="20"/>
        </w:rPr>
      </w:pPr>
      <w:r>
        <w:rPr>
          <w:rFonts w:ascii="Times New Roman" w:hAnsi="Times New Roman"/>
          <w:b/>
          <w:color w:val="000000"/>
          <w:sz w:val="20"/>
        </w:rPr>
        <w:t>(12) Segments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Xometry is organized in two segments referred to as: (1) the U.S. and (2) International. Xometry’s operating segments are also the Company’s reportable segments. Xometry’s reportable segments are managed separately based on geography. The Company’s U.S. revenues primarily result from the sales of parts and assemblies and the sale of advertising and marketing services. The Company’s International revenues primarily result from the sale of parts and assemblies. Xometry’s two segments are defined based on the reporting and review process used by the CODM, the Chief Executive Officer.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Segment Adjusted EBITDA excludes interest expense, interest and dividend income, other expenses, benefit (provision)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an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CODM monitors assets of the consolidated Company, but does not use assets, by operating segment when assessing performance or making operating segment resource decisions.</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reflect certain segment information for the years ended December 31, 2025, 2024 and 2023 (in thousands): </w:t>
      </w:r>
    </w:p>
    <w:tbl>
      <w:tblPr>
        <w:tblW w:w="9433" w:type="dxa"/>
        <w:jc w:val="left"/>
        <w:tblInd w:w="0" w:type="dxa"/>
        <w:tblLayout w:type="fixed"/>
        <w:tblCellMar>
          <w:top w:w="28" w:type="dxa"/>
          <w:left w:w="28" w:type="dxa"/>
          <w:bottom w:w="28" w:type="dxa"/>
          <w:right w:w="28" w:type="dxa"/>
        </w:tblCellMar>
      </w:tblPr>
      <w:tblGrid>
        <w:gridCol w:w="5476"/>
        <w:gridCol w:w="146"/>
        <w:gridCol w:w="211"/>
        <w:gridCol w:w="781"/>
        <w:gridCol w:w="166"/>
        <w:gridCol w:w="146"/>
        <w:gridCol w:w="211"/>
        <w:gridCol w:w="781"/>
        <w:gridCol w:w="166"/>
        <w:gridCol w:w="146"/>
        <w:gridCol w:w="211"/>
        <w:gridCol w:w="781"/>
        <w:gridCol w:w="21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Adjusted Operating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interest and dividend income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abandonment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exit the tools and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7"/>
        </w:rPr>
        <w:t>Amount excludes stock-based compensation and the related payroll taxes, depreciation and amortization, restructuring charges, acquisition and other costs, amortization of lease intangible, lease abandonment, charitable contributions of common stock, and costs to exit the tools and materials business.</w:t>
      </w:r>
    </w:p>
    <w:p>
      <w:pPr>
        <w:pStyle w:val="TextBody"/>
        <w:bidi w:val="0"/>
        <w:jc w:val="both"/>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7"/>
        </w:rPr>
        <w:t>Addback to Segment Cost of Revenue to calculate Segment Adjusted EBITDA.</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Company’s International revenues are primarily generated in Germany. The Company’s revenues from Germany for the years ended December 31, 2025, 2024 and 2023 were approximately $89.9 million, $73.2 million and $52.4, respectively.</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reflect long-lived asset information for the years ended December 31, 2025 and 2024 (in thousands): </w:t>
      </w:r>
    </w:p>
    <w:tbl>
      <w:tblPr>
        <w:tblW w:w="5985" w:type="dxa"/>
        <w:jc w:val="left"/>
        <w:tblInd w:w="0" w:type="dxa"/>
        <w:tblLayout w:type="fixed"/>
        <w:tblCellMar>
          <w:top w:w="28" w:type="dxa"/>
          <w:left w:w="28" w:type="dxa"/>
          <w:bottom w:w="28" w:type="dxa"/>
          <w:right w:w="28" w:type="dxa"/>
        </w:tblCellMar>
      </w:tblPr>
      <w:tblGrid>
        <w:gridCol w:w="3166"/>
        <w:gridCol w:w="146"/>
        <w:gridCol w:w="260"/>
        <w:gridCol w:w="835"/>
        <w:gridCol w:w="146"/>
        <w:gridCol w:w="146"/>
        <w:gridCol w:w="260"/>
        <w:gridCol w:w="835"/>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majority of the Company’s International property and equipment, net assets are located in Germany.</w:t>
      </w:r>
    </w:p>
    <w:p>
      <w:pPr>
        <w:pStyle w:val="TextBody"/>
        <w:bidi w:val="0"/>
        <w:spacing w:before="0" w:after="200"/>
        <w:jc w:val="left"/>
        <w:rPr>
          <w:rFonts w:ascii="Times New Roman" w:hAnsi="Times New Roman"/>
          <w:sz w:val="20"/>
        </w:rPr>
      </w:pPr>
      <w:r>
        <w:rPr>
          <w:rFonts w:ascii="Times New Roman" w:hAnsi="Times New Roman"/>
          <w:b/>
          <w:color w:val="000000"/>
          <w:sz w:val="20"/>
        </w:rPr>
        <w:t>(13) Disaggregated Revenue and Cost of Revenue Information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tables present our revenues disaggregated by line of business. Revenue from our marketplace primarily reflects the sales of parts and assemblies on our platform. Revenue from services primarily includes the sale of digital advertising and marketing services, and to a lesser extent financial service products and SaaS products.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Revenue and cost of revenue is presented in the following tables for the years ended December 31, 2025, 2024 and 2023 (in thousands):</w:t>
      </w:r>
    </w:p>
    <w:tbl>
      <w:tblPr>
        <w:tblW w:w="5293" w:type="dxa"/>
        <w:jc w:val="left"/>
        <w:tblInd w:w="0" w:type="dxa"/>
        <w:tblLayout w:type="fixed"/>
        <w:tblCellMar>
          <w:top w:w="28" w:type="dxa"/>
          <w:left w:w="28" w:type="dxa"/>
          <w:bottom w:w="28" w:type="dxa"/>
          <w:right w:w="28" w:type="dxa"/>
        </w:tblCellMar>
      </w:tblPr>
      <w:tblGrid>
        <w:gridCol w:w="1396"/>
        <w:gridCol w:w="146"/>
        <w:gridCol w:w="211"/>
        <w:gridCol w:w="781"/>
        <w:gridCol w:w="146"/>
        <w:gridCol w:w="146"/>
        <w:gridCol w:w="211"/>
        <w:gridCol w:w="781"/>
        <w:gridCol w:w="146"/>
        <w:gridCol w:w="146"/>
        <w:gridCol w:w="211"/>
        <w:gridCol w:w="781"/>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0"/>
        </w:rPr>
        <w:t>(14) Goodwill and Intangible Assets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tables summarize the Company’s intangible assets (dollars in thousands): </w:t>
      </w:r>
    </w:p>
    <w:tbl>
      <w:tblPr>
        <w:tblW w:w="8255" w:type="dxa"/>
        <w:jc w:val="left"/>
        <w:tblInd w:w="0" w:type="dxa"/>
        <w:tblLayout w:type="fixed"/>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50"/>
        <w:gridCol w:w="801"/>
        <w:gridCol w:w="146"/>
        <w:gridCol w:w="146"/>
        <w:gridCol w:w="211"/>
        <w:gridCol w:w="67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55" w:type="dxa"/>
        <w:jc w:val="left"/>
        <w:tblInd w:w="0" w:type="dxa"/>
        <w:tblLayout w:type="fixed"/>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50"/>
        <w:gridCol w:w="801"/>
        <w:gridCol w:w="146"/>
        <w:gridCol w:w="146"/>
        <w:gridCol w:w="211"/>
        <w:gridCol w:w="67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During 2025, 2024 and 2023, no impairments were recorded on the Company’s intangible long-lived assets.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Amortization expense for the year ended December 31, 2025, 2024 and 2023 was as follows (in thousands):</w:t>
      </w:r>
    </w:p>
    <w:tbl>
      <w:tblPr>
        <w:tblW w:w="5788" w:type="dxa"/>
        <w:jc w:val="left"/>
        <w:tblInd w:w="0" w:type="dxa"/>
        <w:tblLayout w:type="fixed"/>
        <w:tblCellMar>
          <w:top w:w="28" w:type="dxa"/>
          <w:left w:w="28" w:type="dxa"/>
          <w:bottom w:w="28" w:type="dxa"/>
          <w:right w:w="28" w:type="dxa"/>
        </w:tblCellMar>
      </w:tblPr>
      <w:tblGrid>
        <w:gridCol w:w="2521"/>
        <w:gridCol w:w="146"/>
        <w:gridCol w:w="211"/>
        <w:gridCol w:w="571"/>
        <w:gridCol w:w="146"/>
        <w:gridCol w:w="146"/>
        <w:gridCol w:w="211"/>
        <w:gridCol w:w="571"/>
        <w:gridCol w:w="146"/>
        <w:gridCol w:w="146"/>
        <w:gridCol w:w="211"/>
        <w:gridCol w:w="57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17"/>
        </w:rPr>
        <w:t>Amortization of the lease related intangible assets is recorded as operating lease expense in 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of December 31, 2025, estimated amortization expense for intangible assets and lease intangible assets for the next five years is: $3.2 million in 2026, $2.6 million in 2027, $2.6 million in 2028, $2.6 million in 2029, $2.6 million in 2030 and $14.9 million thereafter.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tables provide a roll forward of the carrying amount of goodwill (in thousands):</w:t>
      </w:r>
    </w:p>
    <w:tbl>
      <w:tblPr>
        <w:tblW w:w="7904" w:type="dxa"/>
        <w:jc w:val="left"/>
        <w:tblInd w:w="0" w:type="dxa"/>
        <w:tblLayout w:type="fixed"/>
        <w:tblCellMar>
          <w:top w:w="28" w:type="dxa"/>
          <w:left w:w="28" w:type="dxa"/>
          <w:bottom w:w="28" w:type="dxa"/>
          <w:right w:w="28" w:type="dxa"/>
        </w:tblCellMar>
      </w:tblPr>
      <w:tblGrid>
        <w:gridCol w:w="5251"/>
        <w:gridCol w:w="146"/>
        <w:gridCol w:w="211"/>
        <w:gridCol w:w="781"/>
        <w:gridCol w:w="166"/>
        <w:gridCol w:w="146"/>
        <w:gridCol w:w="211"/>
        <w:gridCol w:w="781"/>
        <w:gridCol w:w="21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impairments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goodwill as of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goodwill as of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2025 and 2024, the Company had $263.8 million and $262.7 million, respectively of goodwill. As of December 31, 2025 and 2024, $258.0 million is part of the Company’s U.S. reporting unit, and $5.8 million and $4.7 million, respectively, is part of the Company’s International reporting unit.</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bookmarkStart w:id="25" w:name="item_9_changes_in_and_disagreements"/>
      <w:bookmarkEnd w:id="25"/>
      <w:r>
        <w:rPr>
          <w:rFonts w:ascii="Times New Roman" w:hAnsi="Times New Roman"/>
          <w:b/>
          <w:color w:val="000000"/>
          <w:sz w:val="20"/>
        </w:rPr>
        <w:t>Item 9. Changes in and Disagreements With Accountants on Accounting and Financial Disclosure.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left"/>
        <w:rPr>
          <w:rFonts w:ascii="Times New Roman" w:hAnsi="Times New Roman"/>
          <w:b/>
          <w:color w:val="000000"/>
          <w:sz w:val="20"/>
        </w:rPr>
      </w:pPr>
      <w:bookmarkStart w:id="26" w:name="item_9a_controls_and_procedures"/>
      <w:bookmarkEnd w:id="26"/>
      <w:r>
        <w:rPr>
          <w:rFonts w:ascii="Times New Roman" w:hAnsi="Times New Roman"/>
          <w:b/>
          <w:color w:val="000000"/>
          <w:sz w:val="20"/>
        </w:rPr>
        <w:t>Item 9A. Controls and Procedures.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00"/>
        <w:jc w:val="both"/>
        <w:rPr>
          <w:rFonts w:ascii="Times New Roman" w:hAnsi="Times New Roman"/>
          <w:sz w:val="20"/>
        </w:rPr>
      </w:pPr>
      <w:r>
        <w:rPr>
          <w:rFonts w:ascii="Times New Roman" w:hAnsi="Times New Roman"/>
          <w:color w:val="222222"/>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w:t>
      </w:r>
      <w:r>
        <w:rPr>
          <w:rFonts w:ascii="Times New Roman" w:hAnsi="Times New Roman"/>
          <w:color w:val="000000"/>
          <w:sz w:val="20"/>
        </w:rPr>
        <w:t>’</w:t>
      </w:r>
      <w:r>
        <w:rPr>
          <w:rFonts w:ascii="Times New Roman" w:hAnsi="Times New Roman"/>
          <w:color w:val="222222"/>
          <w:sz w:val="20"/>
        </w:rPr>
        <w:t>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200"/>
        <w:jc w:val="both"/>
        <w:rPr>
          <w:rFonts w:ascii="Times New Roman" w:hAnsi="Times New Roman"/>
          <w:color w:val="222222"/>
          <w:sz w:val="20"/>
        </w:rPr>
      </w:pPr>
      <w:r>
        <w:rPr>
          <w:rFonts w:ascii="Times New Roman" w:hAnsi="Times New Roman"/>
          <w:color w:val="222222"/>
          <w:sz w:val="20"/>
        </w:rPr>
        <w:t>Pursuant to Rules 13a-15(e) and 15d-15(e) under the Exchange Act, our management, with the participation of our Chief Executive Officer and Chief Financial Officer, performed an evaluation of the effectiveness of our disclosure controls and procedures as of December 31, 2025. Based on such evaluation, our Chief Executive Officer and Chief Financial Officer concluded that our disclosure controls and procedures were effective at a reasonable assurance level as of December 31, 2025.</w:t>
      </w:r>
    </w:p>
    <w:p>
      <w:pPr>
        <w:pStyle w:val="TextBody"/>
        <w:bidi w:val="0"/>
        <w:spacing w:before="0" w:after="200"/>
        <w:jc w:val="left"/>
        <w:rPr>
          <w:rFonts w:ascii="Times New Roman" w:hAnsi="Times New Roman"/>
          <w:sz w:val="20"/>
        </w:rPr>
      </w:pPr>
      <w:r>
        <w:rPr>
          <w:rFonts w:ascii="Times New Roman" w:hAnsi="Times New Roman"/>
          <w:b/>
          <w:i/>
          <w:color w:val="000000"/>
          <w:sz w:val="20"/>
        </w:rPr>
        <w:t>Management</w:t>
      </w:r>
      <w:r>
        <w:rPr>
          <w:rFonts w:ascii="Times New Roman" w:hAnsi="Times New Roman"/>
          <w:color w:val="000000"/>
          <w:sz w:val="20"/>
        </w:rPr>
        <w:t>’</w:t>
      </w:r>
      <w:r>
        <w:rPr>
          <w:rFonts w:ascii="Times New Roman" w:hAnsi="Times New Roman"/>
          <w:b/>
          <w:i/>
          <w:color w:val="000000"/>
          <w:sz w:val="20"/>
        </w:rPr>
        <w:t>s Report on Internal Control over Financial Reporting</w:t>
      </w:r>
    </w:p>
    <w:p>
      <w:pPr>
        <w:pStyle w:val="TextBody"/>
        <w:bidi w:val="0"/>
        <w:spacing w:before="0" w:after="200"/>
        <w:jc w:val="both"/>
        <w:rPr>
          <w:rFonts w:ascii="Times New Roman" w:hAnsi="Times New Roman"/>
          <w:color w:val="222222"/>
          <w:sz w:val="20"/>
        </w:rPr>
      </w:pPr>
      <w:r>
        <w:rPr>
          <w:rFonts w:ascii="Times New Roman" w:hAnsi="Times New Roman"/>
          <w:color w:val="222222"/>
          <w:sz w:val="20"/>
        </w:rPr>
        <w:t>Our management is responsible for establishing and maintaining adequate “internal control over financial reporting,” as defined in Rule 13a-15(f) and Rule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purposes in accordance with U.S. generally accepted accounting principles. Our management conducted an evaluation of the effectiveness of our internal control over financial reporting as of December 31, 2025 based on the criteria established in Internal Control - Integrated Framework (2013) issued by the Committee of Sponsoring Organizations of the Treadway Commission, and has concluded that our internal control over financial reporting was effective as of December 31, 2025.</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Attestation Report of the Registered Public Accounting Firm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independent registered public accounting firm, Deloitte &amp; Touche LLP, has issued an audit report with respect to our internal control over financial reporting, which appears in Part II, Item 8 of this Form 10-K.</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13a-15(d) and 15d-15(d) under the Exchange Act) that occurred during the three months ended December 31, 2025 that has materially affected, or is reasonably likely to materially affect, our internal control over financial reporting.</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bookmarkStart w:id="27" w:name="item_9b_other_information"/>
      <w:bookmarkEnd w:id="27"/>
      <w:r>
        <w:rPr>
          <w:rFonts w:ascii="Times New Roman" w:hAnsi="Times New Roman"/>
          <w:b/>
          <w:color w:val="000000"/>
          <w:sz w:val="20"/>
        </w:rPr>
        <w:t>Item 9B. Other Information.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three months ended December 31, 2025, none of our directors and officers (as defined in Rule 16a-1(f) under the Securities and Exchange Act of 1934, as amended) adopted or terminated a "Rule 10b5-1 trading arrangement" or "non-Rule 10b5-1 trading arrangement" (as defined in Item 408 of Regulation S-K).</w:t>
      </w:r>
    </w:p>
    <w:p>
      <w:pPr>
        <w:pStyle w:val="TextBody"/>
        <w:bidi w:val="0"/>
        <w:spacing w:before="0" w:after="200"/>
        <w:jc w:val="left"/>
        <w:rPr>
          <w:rFonts w:ascii="Times New Roman" w:hAnsi="Times New Roman"/>
          <w:b/>
          <w:color w:val="000000"/>
          <w:sz w:val="20"/>
        </w:rPr>
      </w:pPr>
      <w:bookmarkStart w:id="28" w:name="item_9c_disclosure_regarding_foreign"/>
      <w:bookmarkEnd w:id="28"/>
      <w:r>
        <w:rPr>
          <w:rFonts w:ascii="Times New Roman" w:hAnsi="Times New Roman"/>
          <w:b/>
          <w:color w:val="000000"/>
          <w:sz w:val="20"/>
        </w:rPr>
        <w:t>Item 9C. Disclosure Regarding Foreign Jurisdictions that Prevent Inspections.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9" w:name="part_iii_"/>
      <w:bookmarkEnd w:id="29"/>
      <w:r>
        <w:rPr>
          <w:rFonts w:ascii="Times New Roman" w:hAnsi="Times New Roman"/>
          <w:b/>
          <w:color w:val="000000"/>
          <w:sz w:val="20"/>
        </w:rPr>
        <w:t>PART III</w:t>
      </w:r>
    </w:p>
    <w:p>
      <w:pPr>
        <w:pStyle w:val="TextBody"/>
        <w:bidi w:val="0"/>
        <w:spacing w:before="200" w:after="200"/>
        <w:jc w:val="left"/>
        <w:rPr>
          <w:rFonts w:ascii="Times New Roman" w:hAnsi="Times New Roman"/>
          <w:b/>
          <w:color w:val="000000"/>
          <w:sz w:val="20"/>
        </w:rPr>
      </w:pPr>
      <w:bookmarkStart w:id="30" w:name="item_10_directors_executive_officers"/>
      <w:bookmarkEnd w:id="30"/>
      <w:r>
        <w:rPr>
          <w:rFonts w:ascii="Times New Roman" w:hAnsi="Times New Roman"/>
          <w:b/>
          <w:color w:val="000000"/>
          <w:sz w:val="20"/>
        </w:rPr>
        <w:t>Item 10. Directors, Executive Officers and Corporate Governance.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information required by this item, including information about our directors, executive officers and audit committee, is incorporated by reference to the definitive Proxy Statement for our 2026 Annual Meeting of Stockholders under the captions “Information about our Director Nominees and Current Directors”, “Executive Officers,” “Information Regarding the Board and Corporate Governance” and “Delinquent Section 16(a) Reports”, which will be filed with the SEC, no later than 120 days after December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www.xometry.com.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Annual Report on Form 10-K.</w:t>
      </w:r>
    </w:p>
    <w:p>
      <w:pPr>
        <w:pStyle w:val="TextBody"/>
        <w:bidi w:val="0"/>
        <w:spacing w:before="0" w:after="200"/>
        <w:jc w:val="left"/>
        <w:rPr>
          <w:rFonts w:ascii="Times New Roman" w:hAnsi="Times New Roman"/>
          <w:b/>
          <w:color w:val="000000"/>
          <w:sz w:val="20"/>
        </w:rPr>
      </w:pPr>
      <w:bookmarkStart w:id="31" w:name="item_11_executive_compensation"/>
      <w:bookmarkEnd w:id="31"/>
      <w:r>
        <w:rPr>
          <w:rFonts w:ascii="Times New Roman" w:hAnsi="Times New Roman"/>
          <w:b/>
          <w:color w:val="000000"/>
          <w:sz w:val="20"/>
        </w:rPr>
        <w:t>Item 11. Executive Compensation.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under the captions “Executive Compensation” and “Non-Employee Director Compensation”, which will be filed with the SEC no later than 120 days after December 31, 2025.</w:t>
      </w:r>
    </w:p>
    <w:p>
      <w:pPr>
        <w:pStyle w:val="TextBody"/>
        <w:bidi w:val="0"/>
        <w:spacing w:before="0" w:after="200"/>
        <w:jc w:val="left"/>
        <w:rPr>
          <w:rFonts w:ascii="Times New Roman" w:hAnsi="Times New Roman"/>
          <w:b/>
          <w:color w:val="000000"/>
          <w:sz w:val="20"/>
        </w:rPr>
      </w:pPr>
      <w:bookmarkStart w:id="32" w:name="item_12_security_ownership"/>
      <w:bookmarkEnd w:id="32"/>
      <w:r>
        <w:rPr>
          <w:rFonts w:ascii="Times New Roman" w:hAnsi="Times New Roman"/>
          <w:b/>
          <w:color w:val="000000"/>
          <w:sz w:val="20"/>
        </w:rPr>
        <w:t>Item 12. Security Ownership of Certain Beneficial Owners and Management and Related Stockholder Matters.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under the captions “Security Ownership of Certain Beneficial Owners and Management” and “Equity Compensation Plan Information”, which will be filed with the SEC no later than 120 days after December 31, 2025.</w:t>
      </w:r>
    </w:p>
    <w:p>
      <w:pPr>
        <w:pStyle w:val="TextBody"/>
        <w:bidi w:val="0"/>
        <w:spacing w:before="0" w:after="200"/>
        <w:jc w:val="left"/>
        <w:rPr>
          <w:rFonts w:ascii="Times New Roman" w:hAnsi="Times New Roman"/>
          <w:b/>
          <w:color w:val="000000"/>
          <w:sz w:val="20"/>
        </w:rPr>
      </w:pPr>
      <w:bookmarkStart w:id="33" w:name="item_13_certain_relationships"/>
      <w:bookmarkEnd w:id="33"/>
      <w:r>
        <w:rPr>
          <w:rFonts w:ascii="Times New Roman" w:hAnsi="Times New Roman"/>
          <w:b/>
          <w:color w:val="000000"/>
          <w:sz w:val="20"/>
        </w:rPr>
        <w:t>Item 13. Certain Relationships and Related Transactions, and Director Independence.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under the caption “Transactions with Related Persons”, which will be filed with the SEC no later than 120 days after December 31, 2025.</w:t>
      </w:r>
    </w:p>
    <w:p>
      <w:pPr>
        <w:pStyle w:val="TextBody"/>
        <w:bidi w:val="0"/>
        <w:spacing w:before="0" w:after="200"/>
        <w:jc w:val="left"/>
        <w:rPr>
          <w:rFonts w:ascii="Times New Roman" w:hAnsi="Times New Roman"/>
          <w:b/>
          <w:color w:val="000000"/>
          <w:sz w:val="20"/>
        </w:rPr>
      </w:pPr>
      <w:bookmarkStart w:id="34" w:name="item_14_principal_accounting_fees"/>
      <w:bookmarkEnd w:id="34"/>
      <w:r>
        <w:rPr>
          <w:rFonts w:ascii="Times New Roman" w:hAnsi="Times New Roman"/>
          <w:b/>
          <w:color w:val="000000"/>
          <w:sz w:val="20"/>
        </w:rPr>
        <w:t>Item 14. Principal Accounting Fees and Services.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under the caption “Ratification of the Selection of Deloitte &amp; Touche LLP as our Independent Registered Public Accounting Firm”, which will be filed with the SEC no later than 120 days after December 31, 2025.</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part_iv_"/>
      <w:bookmarkEnd w:id="35"/>
      <w:r>
        <w:rPr>
          <w:rFonts w:ascii="Times New Roman" w:hAnsi="Times New Roman"/>
          <w:b/>
          <w:color w:val="000000"/>
          <w:sz w:val="20"/>
        </w:rPr>
        <w:t>PART IV</w:t>
      </w:r>
    </w:p>
    <w:p>
      <w:pPr>
        <w:pStyle w:val="TextBody"/>
        <w:bidi w:val="0"/>
        <w:spacing w:before="200" w:after="200"/>
        <w:jc w:val="left"/>
        <w:rPr>
          <w:rFonts w:ascii="Times New Roman" w:hAnsi="Times New Roman"/>
          <w:b/>
          <w:color w:val="000000"/>
          <w:sz w:val="20"/>
        </w:rPr>
      </w:pPr>
      <w:bookmarkStart w:id="36" w:name="item_15_exhibits_financial_statement"/>
      <w:bookmarkEnd w:id="36"/>
      <w:r>
        <w:rPr>
          <w:rFonts w:ascii="Times New Roman" w:hAnsi="Times New Roman"/>
          <w:b/>
          <w:color w:val="000000"/>
          <w:sz w:val="20"/>
        </w:rPr>
        <w:t>Item 15. Exhibits, Financial Statement Schedules.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documents are filed as a part of this Annual Report on Form 10-K:</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 Financial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Consolidated Financial Statements are listed in the “Index to Consolidated Financial Statements” under Part II, Item 8 of this Annual Report on Form 10-K.</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(b) Financial Statement Schedules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financial statement schedules are omitted because the information called for is not required or is shown either in the consolidated financial statements or in the notes thereto.</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 Exhibits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exhibits listed below are filed as part of this Annual Report on Form 10-K, or are incorporated herein by reference, in each case as indicated below.</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Xometry, Inc., (incorporated herein by reference to Exhibit 3.2 to the Company’s Current Report on Form 8-K (File No. 001-40546), filed with the SEC on July 2,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Indenture, date as of June 12, 2025, by and between Xometry, Inc. and U.S. Bank Trust Company, National Association as Trustee, (incorporated herein by reference to Exhibit 4.1 to the Company's Current Report on Form 8-K (File No. 001-40546), filed with the SEC on June 12,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Global Note representing Xometry, Inc.'s 0.75% Convertible Notes due 2030 (included as Exhibit A to the Indenture filed as Exhibit 4.1) (incorporated herein by reference to Exhibit 4.2 to the Company's Current Report on Form 8-K (File No. 001-40546), filed with the SEC on June 12,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Indenture, dated as of February 4, 2022, by and between Xometry, Inc. and U.S. Bank Trust Company, National Association as Trustee (incorporated herein by reference to Exhibit 4.1 to the Company’s Current Report on Form 8-K (File No. 001-40546), filed with the SEC on February 4,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"https://www.sec.gov/Archives/edgar/data/0001657573/000119312522028542/d278632dex41.htm" \l "exa"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Global Note representing Xometry, Inc.’s 1.00% Convertible Senior Notes due 2027 (included as Exhibit A to the Indenture filed as Exhibit 4.1) (incorporated herein by reference to Exhibit 4.2 to the Company’s Current Report on Form 8-K (File No. 001-40546), filed with the SEC on February 4, 2022).</w:t>
            </w:r>
            <w:r>
              <w:rPr>
                <w:rStyle w:val="InternetLink"/>
                <w:sz w:val="20"/>
                <w:u w:val="single"/>
                <w:rFonts w:ascii="Times New Roman" w:hAnsi="Times New Roman"/>
                <w:color w:val="0000FF"/>
              </w:rPr>
              <w:fldChar w:fldCharType="end"/>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Description of Registered Securities (incorporated herein by reference to Exhibit 4.3 to the Company’s Annual Report on Form 10-K (File No. 001-40546), filed with the SEC on March 18, 2022).</w:t>
              </w:r>
            </w:hyperlink>
            <w:hyperlink r:id="rId12">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Class A Common Stock Certificate (incorporated herein by reference to Exhibit 4.1 to the Company’s Registration Statement on Form S-1/A (File No. 333-256769), filed with the SEC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Xometry, Inc. 2021 Equity Incentive Plan (incorporated herein by reference to Exhibit 10.9 to the Company’s Registration Statement on Form S-1/A (File No. 333-256769), filed with the SEC on June 21,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Forms of grant notice, stock option agreement and notice of exercise under the Xometry, Inc. 2021 Equity Incentive Plan (incorporated herein by reference to Exhibit 10.10 to the Company’s Registration Statement on Form S-1/A (File No. 333-256769), filed with the SEC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Forms of restricted stock unit grant notice and award agreement under the Xometry, Inc. 2021 Equity Incentive Plan (incorporated herein by reference to Exhibit 10.11 to the Company’s Registration Statement on Form S-1/A (File No. 333-256769), filed with the SEC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Amended and Restated Employment Agreement by and between Xometry, Inc. and Randolph Altschuler, (incorporated herein by reference to Exhibit 10.12 to the Company’s Registration Statement on Form S-1/A (File No. 333-256769), filed with the SEC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Employment Agreement by and between Xometry, Inc. and James Miln, (incorporated herein by reference to Exhibit 10.20 to the Company’s Quarterly Report on Form 10-Q (File No. 001-40546), filed with the SEC on May 9,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Amended and Restated Employment Agreement by and between Xometry, Inc. and Peter Goguen, (incorporated herein by reference to Exhibit 10.14 to the Company’s Registration Statement on Form S-1/A (File No. 333-256769), filed with the SEC on June 25,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Indemnification Agreement entered into by and between Xometry, Inc. and each director and executive officer (incorporated herein by reference to Exhibit 10.15 to the Company’s Registration Statement on Form S-1/A (File No. 333-256769), filed with the SEC on June 21,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Seventh Amended and Restated Investor Rights Agreement, dated July 20, 2020 (incorporated herein by reference to Exhibit 10.1 to the Company’s Registration Statement on Form S-1 (File No. 333-256769), filed with the SEC on June 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Xometry, Inc. 2016 Equity Incentive Plan (incorporated herein by reference to Exhibit 10.2 to the Company’s Registration Statement on Form S-1 (File No. 333-256769), filed with the SEC on June 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Xometry, Inc. Amendment No. 1 to 2016 Equity Incentive Plan (incorporated herein by reference to Exhibit 10.3 to the Company’s Registration Statement on Form S-1 (File No. 333-256769), filed with the SEC on June 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Xometry, Inc. Amendment No. 2 to 2016 Equity Incentive Plan (incorporated herein by reference to Exhibit 10.4 to the Company’s Registration Statement on Form S-1 (File No. 333-256769), filed with the SEC on June 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Xometry, Inc. Amendment No. 3 to 2016 Equity Incentive Plan (incorporated herein by reference to Exhibit 10.5 to the Company’s Registration Statement on Form S-1 (File No. 333-256769), filed with the SEC on June 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Xometry, Inc. Amendment No. 4 to 2016 Equity Incentive Plan (incorporated herein by reference to Exhibit 10.6 to the Company’s Registration Statement on Form S-1 (File No. 333-256769), filed with the SEC on June 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Xometry, Inc. Amendment No. 5 to 2016 Equity Incentive Plan (incorporated herein by reference to Exhibit 10.7 to the Company’s Registration Statement on Form S-1 (File No. 333-256769), filed with the SEC on June 4, 2021).</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
        <w:gridCol w:w="146"/>
        <w:gridCol w:w="9375"/>
      </w:tblGrid>
      <w:tr>
        <w:trPr/>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5" w:type="dxa"/>
            <w:tcBorders/>
            <w:vAlign w:val="center"/>
          </w:tcPr>
          <w:p>
            <w:pPr>
              <w:pStyle w:val="TableContents"/>
              <w:bidi w:val="0"/>
              <w:spacing w:before="0" w:after="283"/>
              <w:jc w:val="left"/>
              <w:rPr>
                <w:sz w:val="4"/>
                <w:szCs w:val="4"/>
              </w:rPr>
            </w:pPr>
            <w:r>
              <w:rPr>
                <w:sz w:val="4"/>
                <w:szCs w:val="4"/>
              </w:rPr>
            </w:r>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Forms of grant notice, stock option agreement, and notice of exercise under the Xometry, Inc. 2016 Equity Incentive Plan (incorporated herein by reference to Exhibit 10.8 to the Company’s Registration Statement on Form S-1 (File No. 333-256769), filed with the SEC on June 4, 2021).</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Amendment to Employment Agreement by and between Xometry, Inc. and Randolph Altschuler (incorporated herein by reference to Exhibit 10.1 to the Company’s Quarterly Report on Form 10-Q (File No. 001-40546), filed with the SEC on August 8, 2024.</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Amendment to Employment Agreement by and between Xometry, Inc. and Peter Goguen (incorporated herein by reference to Exhibit 10.2 to the Company’s Quarterly Report on Form 10-Q (File No. 001-40546), filed with the SEC on August 8, 2024).</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Amended and Restated Employment Agreement by and between Xometry, Inc. and Matthew Leibel (incorporated herein by reference to Exhibit 10.3 to the Company’s Quarterly Report on Form 10-Q (File No. 001-40546), filed with the SEC on August 8, 2024).</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Employment Agreement by and between Xometry, Inc. and Subir Dutt (incorporated herein by reference to Exhibit 10.4 to the Company’s Quarterly Report on Form 10-Q (File No. 001-40546), filed with the SEC on August 8, 2024).</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Employment Agreement by and between Xometry, Inc. and Sanjeev Singh Sahni (incorporated herein by reference to Exhibit 10.22 to the Company's Annual Report on Form 10-K (File No. 00140546), filed with the SEC on February 25, 2025).</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Employment Agreement by and between Xometry, Inc. and Vaidyanathan Raghavan (incorporated herein by reference to Exhibit 10.23 to the Company's Annual Report on Form 10-K (File No. 001-40546), filed with the SEC on February 25, 2025).</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performance restricted stock unit award agreement under the Xometry, Inc. 2021 Equity Incentive Plan (incorporated herein by reference to Exhibit 10.24 to the Company's Annual Report on Form 10-K (File No. 001-40546), filed with the SEC on February 25, 2025).</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Confirmation for Capped Call Transactions (incorporated herein by reference to Exhibit 10.1 to the Company's Current Report on Form 8-K (File No. 001-40546), filed with the SEC on June 12, 2025).</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Letter Dated March 7, 2025 from KPMG LLP (incorporated herein by reference to Exhibit 16.1 to the Company's Current Report on Form 8-K (File No. 001-40546), filed with the SEC on March 7, 2025).</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Insider Trading Policy (incorporated herein by reference to Exhibit 19.1 to the Company's Annual Report on Form 10-K (File No. 001-40546), filed with the SEC on February 25, 2025).</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21_1.htm">
              <w:r>
                <w:rPr>
                  <w:rStyle w:val="InternetLink"/>
                  <w:rFonts w:ascii="Times New Roman" w:hAnsi="Times New Roman"/>
                  <w:color w:val="0000FF"/>
                  <w:sz w:val="20"/>
                  <w:u w:val="single"/>
                </w:rPr>
                <w:t>List of Subsidiaries of Xometry, Inc.</w:t>
              </w:r>
            </w:hyperlink>
            <w:hyperlink w:anchor="xmtr-ex21_1.htm">
              <w:r>
                <w:rPr>
                  <w:rStyle w:val="InternetLink"/>
                  <w:rFonts w:ascii="Times New Roman" w:hAnsi="Times New Roman"/>
                  <w:color w:val="0000FF"/>
                  <w:sz w:val="20"/>
                </w:rPr>
                <w:t xml:space="preserve"> </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23_1.htm">
              <w:r>
                <w:rPr>
                  <w:rStyle w:val="InternetLink"/>
                  <w:rFonts w:ascii="Times New Roman" w:hAnsi="Times New Roman"/>
                  <w:color w:val="0000FF"/>
                  <w:sz w:val="20"/>
                  <w:u w:val="single"/>
                </w:rPr>
                <w:t>Consent of Deloitte &amp; Touche LLP, independent registered public accounting firm.</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23_2.htm">
              <w:r>
                <w:rPr>
                  <w:rStyle w:val="InternetLink"/>
                  <w:rFonts w:ascii="Times New Roman" w:hAnsi="Times New Roman"/>
                  <w:color w:val="0000FF"/>
                  <w:sz w:val="20"/>
                  <w:u w:val="single"/>
                </w:rPr>
                <w:t>Consent of KPMG LLP, independent registered public accounting firm</w:t>
              </w:r>
            </w:hyperlink>
            <w:r>
              <w:rPr>
                <w:rFonts w:ascii="Times New Roman" w:hAnsi="Times New Roman"/>
                <w:color w:val="000000"/>
                <w:sz w:val="20"/>
              </w:rPr>
              <w:t xml:space="preserve"> </w:t>
            </w:r>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Xometry, Inc. Incentive Compensation Recoupment Policy (incorporated herein by reference to Exhibit 97.1 to the Company’s Annual Report on Form 10-K (File No. 001-40546), filed with the SEC on February 29, 2024).</w:t>
              </w:r>
            </w:hyperlink>
            <w:hyperlink r:id="rId40">
              <w:r>
                <w:rPr>
                  <w:rStyle w:val="InternetLink"/>
                  <w:rFonts w:ascii="Times New Roman" w:hAnsi="Times New Roman"/>
                  <w:color w:val="0000FF"/>
                  <w:sz w:val="20"/>
                </w:rPr>
                <w:t xml:space="preserve"> </w:t>
              </w:r>
            </w:hyperlink>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jc w:val="both"/>
        <w:rPr>
          <w:rFonts w:ascii="Times New Roman" w:hAnsi="Times New Roman"/>
          <w:color w:val="000000"/>
          <w:sz w:val="17"/>
        </w:rPr>
      </w:pPr>
      <w:r>
        <w:rPr>
          <w:rFonts w:ascii="Times New Roman" w:hAnsi="Times New Roman"/>
          <w:color w:val="000000"/>
          <w:sz w:val="17"/>
        </w:rPr>
        <w:t>* Filed herewith.</w:t>
      </w:r>
    </w:p>
    <w:p>
      <w:pPr>
        <w:pStyle w:val="TextBody"/>
        <w:bidi w:val="0"/>
        <w:jc w:val="both"/>
        <w:rPr>
          <w:rFonts w:ascii="Times New Roman" w:hAnsi="Times New Roman"/>
          <w:color w:val="000000"/>
          <w:sz w:val="17"/>
        </w:rPr>
      </w:pPr>
      <w:r>
        <w:rPr>
          <w:rFonts w:ascii="Times New Roman" w:hAnsi="Times New Roman"/>
          <w:color w:val="000000"/>
          <w:sz w:val="17"/>
        </w:rPr>
        <w:t>** 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pStyle w:val="TextBody"/>
        <w:bidi w:val="0"/>
        <w:jc w:val="both"/>
        <w:rPr>
          <w:rFonts w:ascii="Times New Roman" w:hAnsi="Times New Roman"/>
          <w:color w:val="000000"/>
          <w:sz w:val="17"/>
        </w:rPr>
      </w:pPr>
      <w:r>
        <w:rPr>
          <w:rFonts w:ascii="Times New Roman" w:hAnsi="Times New Roman"/>
          <w:color w:val="000000"/>
          <w:sz w:val="17"/>
        </w:rPr>
        <w:t>+ Management contract or compensatory plan, contract or arrangement.</w:t>
      </w:r>
    </w:p>
    <w:p>
      <w:pPr>
        <w:pStyle w:val="TextBody"/>
        <w:bidi w:val="0"/>
        <w:spacing w:before="200" w:after="200"/>
        <w:jc w:val="left"/>
        <w:rPr>
          <w:rFonts w:ascii="Times New Roman" w:hAnsi="Times New Roman"/>
          <w:b/>
          <w:color w:val="000000"/>
          <w:sz w:val="20"/>
        </w:rPr>
      </w:pPr>
      <w:bookmarkStart w:id="37" w:name="item_16_form_10_k_summary"/>
      <w:bookmarkEnd w:id="37"/>
      <w:r>
        <w:rPr>
          <w:rFonts w:ascii="Times New Roman" w:hAnsi="Times New Roman"/>
          <w:b/>
          <w:color w:val="000000"/>
          <w:sz w:val="20"/>
        </w:rPr>
        <w:t>Item 16. Form 10-K Summary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8" w:name="signatures"/>
      <w:bookmarkEnd w:id="38"/>
      <w:r>
        <w:rPr>
          <w:rFonts w:ascii="Times New Roman" w:hAnsi="Times New Roman"/>
          <w:b/>
          <w:color w:val="000000"/>
          <w:sz w:val="20"/>
        </w:rPr>
        <w:t>SIGNATURES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Pursuant to the requirements of Section 13 or 15(d) the Securities Exchange Act of 1934, as amended, the registrant has duly caused this Annual Report on Form 10-K to be signed on its behalf by the undersigned, thereunto duly authorized, in the City of North Bethesda, State of Maryland, on February 24, 2026.</w:t>
      </w:r>
    </w:p>
    <w:tbl>
      <w:tblPr>
        <w:tblW w:w="6232" w:type="dxa"/>
        <w:jc w:val="left"/>
        <w:tblInd w:w="0" w:type="dxa"/>
        <w:tblLayout w:type="fixed"/>
        <w:tblCellMar>
          <w:top w:w="28" w:type="dxa"/>
          <w:left w:w="28" w:type="dxa"/>
          <w:bottom w:w="28" w:type="dxa"/>
          <w:right w:w="28" w:type="dxa"/>
        </w:tblCellMar>
      </w:tblPr>
      <w:tblGrid>
        <w:gridCol w:w="2086"/>
        <w:gridCol w:w="109"/>
        <w:gridCol w:w="406"/>
        <w:gridCol w:w="36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Xometry,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Name: </w:t>
            </w:r>
            <w:r>
              <w:rPr>
                <w:rFonts w:ascii="Times New Roman" w:hAnsi="Times New Roman"/>
                <w:color w:val="000000"/>
                <w:sz w:val="20"/>
              </w:rPr>
              <w:t>Randolph Altschuler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Title: </w:t>
            </w:r>
            <w:r>
              <w:rPr>
                <w:rFonts w:ascii="Times New Roman" w:hAnsi="Times New Roman"/>
                <w:color w:val="000000"/>
                <w:sz w:val="20"/>
              </w:rPr>
              <w:t>Chief Executive Officer and Director</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tbl>
      <w:tblPr>
        <w:tblW w:w="8170" w:type="dxa"/>
        <w:jc w:val="left"/>
        <w:tblInd w:w="0" w:type="dxa"/>
        <w:tblLayout w:type="fixed"/>
        <w:tblCellMar>
          <w:top w:w="28" w:type="dxa"/>
          <w:left w:w="28" w:type="dxa"/>
          <w:bottom w:w="28" w:type="dxa"/>
          <w:right w:w="28" w:type="dxa"/>
        </w:tblCellMar>
      </w:tblPr>
      <w:tblGrid>
        <w:gridCol w:w="2101"/>
        <w:gridCol w:w="326"/>
        <w:gridCol w:w="3961"/>
        <w:gridCol w:w="146"/>
        <w:gridCol w:w="1636"/>
      </w:tblGrid>
      <w:tr>
        <w:trPr/>
        <w:tc>
          <w:tcPr>
            <w:tcW w:w="21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c>
          <w:tcPr>
            <w:tcW w:w="326"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Randolph Altschuler</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c>
          <w:tcPr>
            <w:tcW w:w="326"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Miln</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Fabio Rosati</w:t>
            </w:r>
          </w:p>
        </w:tc>
        <w:tc>
          <w:tcPr>
            <w:tcW w:w="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Chairman of the Board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Fabio Rosati</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Emily Rollins</w:t>
            </w:r>
          </w:p>
        </w:tc>
        <w:tc>
          <w:tcPr>
            <w:tcW w:w="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Emily Rollins</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Katharine Weymouth</w:t>
            </w:r>
          </w:p>
        </w:tc>
        <w:tc>
          <w:tcPr>
            <w:tcW w:w="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10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Katharine Weymouth</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Ranjana Clark</w:t>
            </w:r>
          </w:p>
        </w:tc>
        <w:tc>
          <w:tcPr>
            <w:tcW w:w="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Ranjana Clark</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Roy Azevedo</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Roy Azevedo</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bookmarkStart w:id="39" w:name="xmtr-ex21_1.htm"/>
      <w:bookmarkStart w:id="40" w:name="ksxmtrex21_1"/>
      <w:bookmarkEnd w:id="39"/>
      <w:bookmarkEnd w:id="40"/>
      <w:r>
        <w:rPr/>
        <w:t> </w:t>
      </w:r>
      <w:r>
        <w:br w:type="page"/>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List of Subsidiaries Exhibit 21.1</w:t>
      </w:r>
    </w:p>
    <w:tbl>
      <w:tblPr>
        <w:tblW w:w="7138" w:type="dxa"/>
        <w:jc w:val="left"/>
        <w:tblInd w:w="0" w:type="dxa"/>
        <w:tblLayout w:type="fixed"/>
        <w:tblCellMar>
          <w:top w:w="28" w:type="dxa"/>
          <w:left w:w="28" w:type="dxa"/>
          <w:bottom w:w="28" w:type="dxa"/>
          <w:right w:w="28" w:type="dxa"/>
        </w:tblCellMar>
      </w:tblPr>
      <w:tblGrid>
        <w:gridCol w:w="5161"/>
        <w:gridCol w:w="146"/>
        <w:gridCol w:w="183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Jurisdiction</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Thomas Publishing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NY,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Xometry UK Ltd.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United Kingdom</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Xometry Europe GmbH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Germany</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Xometry TR Teknoloji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Turkey</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Xometry India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India</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Xometry (Shanghai) Technology Co., Ltd.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China</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Xometry Singapore Pte. Ltd.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Singapore</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Thomas Publishing Company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Thomas Industrial Network,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Thomas Marketing Services,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Thomas Global Register,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Tarkmomas European Publishing Co,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Tarkpapas European Publishing Co,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Thomas International Publishing Co. de Mexico – CV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Mexico</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Product Information Network,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ThomComp, Inc.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Thomas International Publishing Company,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Incom Co., Ltd.</w:t>
            </w:r>
            <w:r>
              <w:rPr>
                <w:rFonts w:ascii="Times New Roman" w:hAnsi="Times New Roman"/>
                <w:color w:val="000000"/>
                <w:sz w:val="15"/>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Japan</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Incom/TIPCo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Industrial Media, LLC</w:t>
            </w:r>
            <w:r>
              <w:rPr>
                <w:rFonts w:ascii="Times New Roman" w:hAnsi="Times New Roman"/>
                <w:color w:val="000000"/>
                <w:sz w:val="15"/>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 United States</w:t>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The Company holds a 66.67% ownership interest. </w:t>
      </w:r>
    </w:p>
    <w:p>
      <w:pPr>
        <w:pStyle w:val="TextBody"/>
        <w:bidi w:val="0"/>
        <w:jc w:val="left"/>
        <w:rPr>
          <w:rFonts w:ascii="Times New Roman" w:hAnsi="Times New Roman"/>
          <w:color w:val="000000"/>
          <w:sz w:val="20"/>
        </w:rPr>
      </w:pPr>
      <w:r>
        <w:rPr>
          <w:rFonts w:ascii="Times New Roman" w:hAnsi="Times New Roman"/>
          <w:color w:val="000000"/>
          <w:sz w:val="20"/>
        </w:rPr>
        <w:t xml:space="preserve">(2) The Company holds a 50% ownership interest.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41" w:name="xmtr-ex23_1.htm"/>
      <w:bookmarkStart w:id="42" w:name="ksxmtrex23_1"/>
      <w:bookmarkEnd w:id="41"/>
      <w:bookmarkEnd w:id="42"/>
      <w:r>
        <w:rPr>
          <w:rFonts w:ascii="Arial" w:hAnsi="Arial"/>
          <w:b/>
          <w:color w:val="000000"/>
          <w:sz w:val="20"/>
        </w:rPr>
        <w:t>Exhibit 23.1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consent to the incorporation by reference in Registration Statement Nos. 333-257671, No. 333-258432</w:t>
      </w:r>
      <w:r>
        <w:rPr>
          <w:rFonts w:ascii="Times New Roman" w:hAnsi="Times New Roman"/>
          <w:color w:val="222222"/>
          <w:sz w:val="20"/>
        </w:rPr>
        <w:t xml:space="preserve">, </w:t>
      </w:r>
      <w:r>
        <w:rPr>
          <w:rFonts w:ascii="Times New Roman" w:hAnsi="Times New Roman"/>
          <w:color w:val="000000"/>
          <w:sz w:val="20"/>
        </w:rPr>
        <w:t>No. 333-263716, No. 333-270663, 333-277546 and 333-285213 on Form S-8 of our reports dated February 24, 2026, relating to the financial statements of Xometry, Inc. and the effectiveness of Xometry, Inc.'s internal control over financial reporting, appearing in this Annual Report on Form 10-K for the year ended December 31, 2025.</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McLean,Virginia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February 24,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43" w:name="xmtr-ex23_2.htm"/>
      <w:bookmarkStart w:id="44" w:name="ksxmtrex23_2"/>
      <w:bookmarkEnd w:id="43"/>
      <w:bookmarkEnd w:id="44"/>
      <w:r>
        <w:rPr>
          <w:rFonts w:ascii="Arial" w:hAnsi="Arial"/>
          <w:b/>
          <w:color w:val="000000"/>
          <w:sz w:val="20"/>
        </w:rPr>
        <w:t>Exhibit 23.2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 333-257671, No. 333-258432, No. 333-263716, No. 333-270663, No. 333-277546, and No. 333-285213) on Form S-8 of our report dated February 25, 2025, with respect to the consolidated financial statements of Xometry, Inc.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McLean,Virginia</w:t>
      </w:r>
    </w:p>
    <w:p>
      <w:pPr>
        <w:pStyle w:val="TextBody"/>
        <w:bidi w:val="0"/>
        <w:jc w:val="left"/>
        <w:rPr>
          <w:rFonts w:ascii="Times New Roman" w:hAnsi="Times New Roman"/>
          <w:color w:val="000000"/>
          <w:sz w:val="20"/>
        </w:rPr>
      </w:pPr>
      <w:r>
        <w:rPr>
          <w:rFonts w:ascii="Times New Roman" w:hAnsi="Times New Roman"/>
          <w:color w:val="000000"/>
          <w:sz w:val="20"/>
        </w:rPr>
        <w:t>February 24,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xmtr-ex31_1.htm"/>
      <w:bookmarkStart w:id="46" w:name="ksxmtrex31_1"/>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Randolph Altschuler,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94" w:type="dxa"/>
        <w:jc w:val="left"/>
        <w:tblInd w:w="0" w:type="dxa"/>
        <w:tblLayout w:type="fixed"/>
        <w:tblCellMar>
          <w:top w:w="28" w:type="dxa"/>
          <w:left w:w="28" w:type="dxa"/>
          <w:bottom w:w="28" w:type="dxa"/>
          <w:right w:w="28" w:type="dxa"/>
        </w:tblCellMar>
      </w:tblPr>
      <w:tblGrid>
        <w:gridCol w:w="2086"/>
        <w:gridCol w:w="146"/>
        <w:gridCol w:w="406"/>
        <w:gridCol w:w="325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xmtr-ex31_2.htm"/>
      <w:bookmarkStart w:id="48" w:name="ksxmtrex31_2"/>
      <w:bookmarkEnd w:id="47"/>
      <w:bookmarkEnd w:id="4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Miln,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2086"/>
        <w:gridCol w:w="146"/>
        <w:gridCol w:w="406"/>
        <w:gridCol w:w="39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xmtr-ex32_1.htm"/>
      <w:bookmarkStart w:id="50" w:name="ksxmtrex32_1"/>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Xometry, Inc. (the “Company”) on Form 10-K for the year ended December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894" w:type="dxa"/>
        <w:jc w:val="left"/>
        <w:tblInd w:w="0" w:type="dxa"/>
        <w:tblLayout w:type="fixed"/>
        <w:tblCellMar>
          <w:top w:w="28" w:type="dxa"/>
          <w:left w:w="28" w:type="dxa"/>
          <w:bottom w:w="28" w:type="dxa"/>
          <w:right w:w="28" w:type="dxa"/>
        </w:tblCellMar>
      </w:tblPr>
      <w:tblGrid>
        <w:gridCol w:w="2086"/>
        <w:gridCol w:w="146"/>
        <w:gridCol w:w="406"/>
        <w:gridCol w:w="325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xmtr-ex32_2.htm"/>
      <w:bookmarkStart w:id="52" w:name="ksxmtrex32_2"/>
      <w:bookmarkEnd w:id="51"/>
      <w:bookmarkEnd w:id="5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Xometry, Inc. (the “Company”) on Form 10-K for the year ended December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2086"/>
        <w:gridCol w:w="146"/>
        <w:gridCol w:w="406"/>
        <w:gridCol w:w="39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0001657573/000119312521207643/d184650dex31.htm" TargetMode="External"/><Relationship Id="rId7" Type="http://schemas.openxmlformats.org/officeDocument/2006/relationships/hyperlink" Target="https://www.sec.gov/Archives/edgar/data/0001657573/000119312521207643/d184650dex32.htm" TargetMode="External"/><Relationship Id="rId8" Type="http://schemas.openxmlformats.org/officeDocument/2006/relationships/hyperlink" Target="https://www.sec.gov/Archives/edgar/data/0001657573/000119312525139895/d936959dex41.htm" TargetMode="External"/><Relationship Id="rId9" Type="http://schemas.openxmlformats.org/officeDocument/2006/relationships/hyperlink" Target="https://www.sec.gov/Archives/edgar/data/0001657573/000119312525139895/d936959dex41.htm" TargetMode="External"/><Relationship Id="rId10" Type="http://schemas.openxmlformats.org/officeDocument/2006/relationships/hyperlink" Target="https://www.sec.gov/Archives/edgar/data/0001657573/000119312522028542/d278632dex41.htm" TargetMode="External"/><Relationship Id="rId11" Type="http://schemas.openxmlformats.org/officeDocument/2006/relationships/hyperlink" Target="https://www.sec.gov/Archives/edgar/data/1657573/000095017022004158/xmtr-ex4_3.htm" TargetMode="External"/><Relationship Id="rId12" Type="http://schemas.openxmlformats.org/officeDocument/2006/relationships/hyperlink" Target="https://www.sec.gov/Archives/edgar/data/1657573/000095017022004158/xmtr-ex4_3.htm" TargetMode="External"/><Relationship Id="rId13" Type="http://schemas.openxmlformats.org/officeDocument/2006/relationships/hyperlink" Target="https://www.sec.gov/Archives/edgar/data/0001657573/000119312521200359/d120843dex41.htm" TargetMode="External"/><Relationship Id="rId14" Type="http://schemas.openxmlformats.org/officeDocument/2006/relationships/hyperlink" Target="https://www.sec.gov/Archives/edgar/data/0001657573/000119312521194064/d120843dex109.htm" TargetMode="External"/><Relationship Id="rId15" Type="http://schemas.openxmlformats.org/officeDocument/2006/relationships/hyperlink" Target="https://www.sec.gov/Archives/edgar/data/0001657573/000119312521200359/d120843dex1010.htm" TargetMode="External"/><Relationship Id="rId16" Type="http://schemas.openxmlformats.org/officeDocument/2006/relationships/hyperlink" Target="https://www.sec.gov/Archives/edgar/data/0001657573/000119312521200359/d120843dex1011.htm" TargetMode="External"/><Relationship Id="rId17" Type="http://schemas.openxmlformats.org/officeDocument/2006/relationships/hyperlink" Target="https://www.sec.gov/Archives/edgar/data/0001657573/000119312521200359/d120843dex1012.htm" TargetMode="External"/><Relationship Id="rId18" Type="http://schemas.openxmlformats.org/officeDocument/2006/relationships/hyperlink" Target="https://www.sec.gov/Archives/edgar/data/1657573/000095017024057097/xmtr-ex10_20.htm" TargetMode="External"/><Relationship Id="rId19" Type="http://schemas.openxmlformats.org/officeDocument/2006/relationships/hyperlink" Target="https://www.sec.gov/Archives/edgar/data/0001657573/000119312521200359/d120843dex1014.htm" TargetMode="External"/><Relationship Id="rId20" Type="http://schemas.openxmlformats.org/officeDocument/2006/relationships/hyperlink" Target="https://www.sec.gov/Archives/edgar/data/0001657573/000119312521194064/d120843dex1015.htm" TargetMode="External"/><Relationship Id="rId21" Type="http://schemas.openxmlformats.org/officeDocument/2006/relationships/hyperlink" Target="https://www.sec.gov/Archives/edgar/data/0001657573/000119312521181945/d120843dex101.htm" TargetMode="External"/><Relationship Id="rId22" Type="http://schemas.openxmlformats.org/officeDocument/2006/relationships/hyperlink" Target="https://www.sec.gov/Archives/edgar/data/0001657573/000119312521181945/d120843dex102.htm" TargetMode="External"/><Relationship Id="rId23" Type="http://schemas.openxmlformats.org/officeDocument/2006/relationships/hyperlink" Target="https://www.sec.gov/Archives/edgar/data/0001657573/000119312521181945/d120843dex103.htm" TargetMode="External"/><Relationship Id="rId24" Type="http://schemas.openxmlformats.org/officeDocument/2006/relationships/hyperlink" Target="https://www.sec.gov/Archives/edgar/data/0001657573/000119312521181945/d120843dex104.htm" TargetMode="External"/><Relationship Id="rId25" Type="http://schemas.openxmlformats.org/officeDocument/2006/relationships/hyperlink" Target="https://www.sec.gov/Archives/edgar/data/0001657573/000119312521181945/d120843dex105.htm" TargetMode="External"/><Relationship Id="rId26" Type="http://schemas.openxmlformats.org/officeDocument/2006/relationships/hyperlink" Target="https://www.sec.gov/Archives/edgar/data/0001657573/000119312521181945/d120843dex106.htm" TargetMode="External"/><Relationship Id="rId27" Type="http://schemas.openxmlformats.org/officeDocument/2006/relationships/hyperlink" Target="https://www.sec.gov/Archives/edgar/data/0001657573/000119312521181945/d120843dex107.htm" TargetMode="External"/><Relationship Id="rId28" Type="http://schemas.openxmlformats.org/officeDocument/2006/relationships/hyperlink" Target="https://www.sec.gov/Archives/edgar/data/0001657573/000119312521181945/d120843dex108.htm" TargetMode="External"/><Relationship Id="rId29" Type="http://schemas.openxmlformats.org/officeDocument/2006/relationships/hyperlink" Target="https://www.sec.gov/Archives/edgar/data/1657573/000095017024094003/xmtr-ex10_1.htm" TargetMode="External"/><Relationship Id="rId30" Type="http://schemas.openxmlformats.org/officeDocument/2006/relationships/hyperlink" Target="https://www.sec.gov/Archives/edgar/data/1657573/000095017024094003/xmtr-ex10_2.htm" TargetMode="External"/><Relationship Id="rId31" Type="http://schemas.openxmlformats.org/officeDocument/2006/relationships/hyperlink" Target="https://www.sec.gov/Archives/edgar/data/1657573/000095017024094003/xmtr-ex10_3.htm" TargetMode="External"/><Relationship Id="rId32" Type="http://schemas.openxmlformats.org/officeDocument/2006/relationships/hyperlink" Target="https://www.sec.gov/Archives/edgar/data/1657573/000095017024094003/xmtr-ex10_4.htm" TargetMode="External"/><Relationship Id="rId33" Type="http://schemas.openxmlformats.org/officeDocument/2006/relationships/hyperlink" Target="https://www.sec.gov/Archives/edgar/data/0001657573/000095017025026655/xmtr-ex10_22.htm" TargetMode="External"/><Relationship Id="rId34" Type="http://schemas.openxmlformats.org/officeDocument/2006/relationships/hyperlink" Target="https://www.sec.gov/Archives/edgar/data/0001657573/000095017025026655/xmtr-ex10_23.htm" TargetMode="External"/><Relationship Id="rId35" Type="http://schemas.openxmlformats.org/officeDocument/2006/relationships/hyperlink" Target="https://www.sec.gov/Archives/edgar/data/0001657573/000095017025026655/xmtr-ex10_24.htm" TargetMode="External"/><Relationship Id="rId36" Type="http://schemas.openxmlformats.org/officeDocument/2006/relationships/hyperlink" Target="https://www.sec.gov/Archives/edgar/data/0001657573/000119312525139895/d936959dex101.htm" TargetMode="External"/><Relationship Id="rId37" Type="http://schemas.openxmlformats.org/officeDocument/2006/relationships/hyperlink" Target="https://www.sec.gov/Archives/edgar/data/1657573/000095017025035147/xmtr-ex16_1.htm" TargetMode="External"/><Relationship Id="rId38" Type="http://schemas.openxmlformats.org/officeDocument/2006/relationships/hyperlink" Target="https://www.sec.gov/Archives/edgar/data/1657573/000095017025026655/xmtr-ex19_1.htm" TargetMode="External"/><Relationship Id="rId39" Type="http://schemas.openxmlformats.org/officeDocument/2006/relationships/hyperlink" Target="https://www.sec.gov/Archives/edgar/data/1657573/000095017024023214/xmtr-ex97_1.htm" TargetMode="External"/><Relationship Id="rId40" Type="http://schemas.openxmlformats.org/officeDocument/2006/relationships/hyperlink" Target="https://www.sec.gov/Archives/edgar/data/1657573/000095017024023214/xmtr-ex97_1.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71079</Words>
  <Characters>396479</Characters>
  <CharactersWithSpaces>469417</CharactersWithSpaces>
  <Paragraphs>10142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