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096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90170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113030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 w:lineRule="exact"/>
        <w:rPr>
          <w:sz w:val="24"/>
          <w:szCs w:val="24"/>
          <w:color w:val="auto"/>
        </w:rPr>
      </w:pPr>
    </w:p>
    <w:p>
      <w:pPr>
        <w:ind w:left="3660" w:right="1620" w:hanging="3639"/>
        <w:spacing w:after="0" w:line="333" w:lineRule="auto"/>
        <w:tabs>
          <w:tab w:leader="none" w:pos="482"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2024</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ind w:left="480" w:hanging="459"/>
        <w:spacing w:after="0" w:line="231" w:lineRule="auto"/>
        <w:tabs>
          <w:tab w:leader="none" w:pos="480" w:val="left"/>
        </w:tabs>
        <w:numPr>
          <w:ilvl w:val="0"/>
          <w:numId w:val="2"/>
        </w:numPr>
        <w:rPr>
          <w:rFonts w:ascii="MS PGothic" w:cs="MS PGothic" w:eastAsia="MS PGothic" w:hAnsi="MS PGothic"/>
          <w:sz w:val="34"/>
          <w:szCs w:val="34"/>
          <w:color w:val="auto"/>
          <w:highlight w:val="black"/>
          <w:vertAlign w:val="subscript"/>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00"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 to __________</w:t>
      </w:r>
    </w:p>
    <w:p>
      <w:pPr>
        <w:spacing w:after="0" w:line="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001-40546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113665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p>
      <w:pPr>
        <w:spacing w:after="0" w:line="249" w:lineRule="exact"/>
        <w:rPr>
          <w:sz w:val="24"/>
          <w:szCs w:val="24"/>
          <w:color w:val="auto"/>
        </w:rPr>
      </w:pPr>
    </w:p>
    <w:p>
      <w:pPr>
        <w:jc w:val="center"/>
        <w:ind w:left="3560"/>
        <w:spacing w:after="0"/>
        <w:rPr>
          <w:sz w:val="20"/>
          <w:szCs w:val="20"/>
          <w:color w:val="auto"/>
        </w:rPr>
      </w:pPr>
      <w:r>
        <w:rPr>
          <w:rFonts w:ascii="Times New Roman" w:cs="Times New Roman" w:eastAsia="Times New Roman" w:hAnsi="Times New Roman"/>
          <w:sz w:val="43"/>
          <w:szCs w:val="43"/>
          <w:b w:val="1"/>
          <w:bCs w:val="1"/>
          <w:color w:val="auto"/>
        </w:rPr>
        <w:t>XOMETRY, INC.</w:t>
      </w:r>
    </w:p>
    <w:p>
      <w:pPr>
        <w:spacing w:after="0" w:line="5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90170</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54"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41"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spacing w:after="0" w:line="1"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6"/>
          <w:szCs w:val="16"/>
          <w:b w:val="1"/>
          <w:bCs w:val="1"/>
          <w:color w:val="auto"/>
        </w:rPr>
        <w:t>32-0415449</w:t>
      </w:r>
    </w:p>
    <w:p>
      <w:pPr>
        <w:spacing w:after="0" w:line="5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61" w:lineRule="exact"/>
        <w:rPr>
          <w:sz w:val="24"/>
          <w:szCs w:val="24"/>
          <w:color w:val="auto"/>
        </w:rPr>
      </w:pPr>
    </w:p>
    <w:p>
      <w:pPr>
        <w:sectPr>
          <w:pgSz w:w="11900" w:h="16838" w:orient="portrait"/>
          <w:cols w:equalWidth="0" w:num="2">
            <w:col w:w="7700" w:space="240"/>
            <w:col w:w="3300"/>
          </w:cols>
          <w:pgMar w:left="320" w:top="876" w:right="339" w:bottom="1440" w:gutter="0" w:footer="0" w:header="0"/>
          <w:type w:val="continuous"/>
        </w:sectPr>
      </w:pPr>
    </w:p>
    <w:tbl>
      <w:tblPr>
        <w:tblLayout w:type="fixed"/>
        <w:tblInd w:w="1780" w:type="dxa"/>
        <w:tblCellMar>
          <w:top w:w="0" w:type="dxa"/>
          <w:left w:w="0" w:type="dxa"/>
          <w:bottom w:w="0" w:type="dxa"/>
          <w:right w:w="0" w:type="dxa"/>
        </w:tblCellMar>
      </w:tblPr>
      <w:tr>
        <w:trPr>
          <w:trHeight w:val="202"/>
        </w:trPr>
        <w:tc>
          <w:tcPr>
            <w:tcW w:w="4220" w:type="dxa"/>
            <w:vAlign w:val="bottom"/>
          </w:tcPr>
          <w:p>
            <w:pPr>
              <w:jc w:val="center"/>
              <w:ind w:right="2104"/>
              <w:spacing w:after="0"/>
              <w:rPr>
                <w:sz w:val="20"/>
                <w:szCs w:val="20"/>
                <w:color w:val="auto"/>
              </w:rPr>
            </w:pPr>
            <w:r>
              <w:rPr>
                <w:rFonts w:ascii="Times New Roman" w:cs="Times New Roman" w:eastAsia="Times New Roman" w:hAnsi="Times New Roman"/>
                <w:sz w:val="16"/>
                <w:szCs w:val="16"/>
                <w:b w:val="1"/>
                <w:bCs w:val="1"/>
                <w:color w:val="auto"/>
              </w:rPr>
              <w:t>6116 Executive Blvd</w:t>
            </w:r>
          </w:p>
        </w:tc>
        <w:tc>
          <w:tcPr>
            <w:tcW w:w="2720" w:type="dxa"/>
            <w:vAlign w:val="bottom"/>
          </w:tcPr>
          <w:p>
            <w:pPr>
              <w:spacing w:after="0"/>
              <w:rPr>
                <w:sz w:val="17"/>
                <w:szCs w:val="17"/>
                <w:color w:val="auto"/>
              </w:rPr>
            </w:pPr>
          </w:p>
        </w:tc>
      </w:tr>
      <w:tr>
        <w:trPr>
          <w:trHeight w:val="202"/>
        </w:trPr>
        <w:tc>
          <w:tcPr>
            <w:tcW w:w="4220" w:type="dxa"/>
            <w:vAlign w:val="bottom"/>
          </w:tcPr>
          <w:p>
            <w:pPr>
              <w:jc w:val="center"/>
              <w:ind w:right="2104"/>
              <w:spacing w:after="0"/>
              <w:rPr>
                <w:sz w:val="20"/>
                <w:szCs w:val="20"/>
                <w:color w:val="auto"/>
              </w:rPr>
            </w:pPr>
            <w:r>
              <w:rPr>
                <w:rFonts w:ascii="Times New Roman" w:cs="Times New Roman" w:eastAsia="Times New Roman" w:hAnsi="Times New Roman"/>
                <w:sz w:val="16"/>
                <w:szCs w:val="16"/>
                <w:b w:val="1"/>
                <w:bCs w:val="1"/>
                <w:color w:val="auto"/>
              </w:rPr>
              <w:t>Suite 800</w:t>
            </w:r>
          </w:p>
        </w:tc>
        <w:tc>
          <w:tcPr>
            <w:tcW w:w="2720" w:type="dxa"/>
            <w:vAlign w:val="bottom"/>
          </w:tcPr>
          <w:p>
            <w:pPr>
              <w:spacing w:after="0"/>
              <w:rPr>
                <w:sz w:val="17"/>
                <w:szCs w:val="17"/>
                <w:color w:val="auto"/>
              </w:rPr>
            </w:pPr>
          </w:p>
        </w:tc>
      </w:tr>
      <w:tr>
        <w:trPr>
          <w:trHeight w:val="212"/>
        </w:trPr>
        <w:tc>
          <w:tcPr>
            <w:tcW w:w="4220" w:type="dxa"/>
            <w:vAlign w:val="bottom"/>
          </w:tcPr>
          <w:p>
            <w:pPr>
              <w:jc w:val="center"/>
              <w:ind w:right="2104"/>
              <w:spacing w:after="0"/>
              <w:rPr>
                <w:sz w:val="20"/>
                <w:szCs w:val="20"/>
                <w:color w:val="auto"/>
              </w:rPr>
            </w:pPr>
            <w:r>
              <w:rPr>
                <w:rFonts w:ascii="Times New Roman" w:cs="Times New Roman" w:eastAsia="Times New Roman" w:hAnsi="Times New Roman"/>
                <w:sz w:val="16"/>
                <w:szCs w:val="16"/>
                <w:b w:val="1"/>
                <w:bCs w:val="1"/>
                <w:color w:val="auto"/>
              </w:rPr>
              <w:t>North Bethesda, MD</w:t>
            </w:r>
          </w:p>
        </w:tc>
        <w:tc>
          <w:tcPr>
            <w:tcW w:w="2720" w:type="dxa"/>
            <w:vAlign w:val="bottom"/>
          </w:tcPr>
          <w:p>
            <w:pPr>
              <w:jc w:val="right"/>
              <w:ind w:right="8"/>
              <w:spacing w:after="0"/>
              <w:rPr>
                <w:sz w:val="20"/>
                <w:szCs w:val="20"/>
                <w:color w:val="auto"/>
              </w:rPr>
            </w:pPr>
            <w:r>
              <w:rPr>
                <w:rFonts w:ascii="Times New Roman" w:cs="Times New Roman" w:eastAsia="Times New Roman" w:hAnsi="Times New Roman"/>
                <w:sz w:val="16"/>
                <w:szCs w:val="16"/>
                <w:b w:val="1"/>
                <w:bCs w:val="1"/>
                <w:color w:val="auto"/>
              </w:rPr>
              <w:t>20852</w:t>
            </w:r>
          </w:p>
        </w:tc>
      </w:tr>
      <w:tr>
        <w:trPr>
          <w:trHeight w:val="179"/>
        </w:trPr>
        <w:tc>
          <w:tcPr>
            <w:tcW w:w="4220" w:type="dxa"/>
            <w:vAlign w:val="bottom"/>
          </w:tcPr>
          <w:p>
            <w:pPr>
              <w:jc w:val="center"/>
              <w:ind w:right="206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720" w:type="dxa"/>
            <w:vAlign w:val="bottom"/>
          </w:tcPr>
          <w:p>
            <w:pPr>
              <w:jc w:val="center"/>
              <w:ind w:left="2068"/>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48"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(240) 335-7914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113665</wp:posOffset>
            </wp:positionV>
            <wp:extent cx="1430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26"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Class A common stock, par value $0.000001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XMTR</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c>
          <w:tcPr>
            <w:tcW w:w="0" w:type="dxa"/>
            <w:vAlign w:val="bottom"/>
          </w:tcPr>
          <w:p>
            <w:pPr>
              <w:spacing w:after="0"/>
              <w:rPr>
                <w:sz w:val="1"/>
                <w:szCs w:val="1"/>
                <w:color w:val="auto"/>
              </w:rPr>
            </w:pPr>
          </w:p>
        </w:tc>
      </w:tr>
    </w:tbl>
    <w:p>
      <w:pPr>
        <w:spacing w:after="0" w:line="167" w:lineRule="exact"/>
        <w:rPr>
          <w:sz w:val="24"/>
          <w:szCs w:val="24"/>
          <w:color w:val="auto"/>
        </w:rPr>
      </w:pPr>
    </w:p>
    <w:p>
      <w:pPr>
        <w:jc w:val="both"/>
        <w:ind w:right="2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70" w:lineRule="exact"/>
        <w:rPr>
          <w:sz w:val="24"/>
          <w:szCs w:val="24"/>
          <w:color w:val="auto"/>
        </w:rPr>
      </w:pPr>
    </w:p>
    <w:p>
      <w:pPr>
        <w:ind w:right="420"/>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70" w:lineRule="exact"/>
        <w:rPr>
          <w:sz w:val="24"/>
          <w:szCs w:val="24"/>
          <w:color w:val="auto"/>
        </w:rPr>
      </w:pPr>
    </w:p>
    <w:p>
      <w:pPr>
        <w:ind w:right="14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2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tcPr>
          <w:p>
            <w:pPr>
              <w:ind w:left="300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1"/>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2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tcPr>
          <w:p>
            <w:pPr>
              <w:ind w:left="30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2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60" w:lineRule="exact"/>
        <w:rPr>
          <w:sz w:val="24"/>
          <w:szCs w:val="24"/>
          <w:color w:val="auto"/>
        </w:rPr>
      </w:pPr>
    </w:p>
    <w:p>
      <w:pPr>
        <w:ind w:right="600"/>
        <w:spacing w:after="0" w:line="21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7540" w:val="left"/>
          <w:tab w:leader="none" w:pos="812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33" w:lineRule="exact"/>
        <w:rPr>
          <w:sz w:val="24"/>
          <w:szCs w:val="24"/>
          <w:color w:val="auto"/>
        </w:rPr>
      </w:pPr>
    </w:p>
    <w:p>
      <w:pPr>
        <w:ind w:right="320"/>
        <w:spacing w:after="0" w:line="297" w:lineRule="auto"/>
        <w:rPr>
          <w:sz w:val="20"/>
          <w:szCs w:val="20"/>
          <w:color w:val="auto"/>
        </w:rPr>
      </w:pPr>
      <w:r>
        <w:rPr>
          <w:rFonts w:ascii="Times New Roman" w:cs="Times New Roman" w:eastAsia="Times New Roman" w:hAnsi="Times New Roman"/>
          <w:sz w:val="16"/>
          <w:szCs w:val="16"/>
          <w:color w:val="auto"/>
        </w:rPr>
        <w:t>As of October 28, 2024, the registrant had 46,888,079 shares of Class A common stock, $0.000001 par value per share, and 2,676,154 shares of Class B common stock, $0.000001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1008380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420" w:type="dxa"/>
            <w:vAlign w:val="bottom"/>
            <w:gridSpan w:val="24"/>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60" w:type="dxa"/>
            <w:vAlign w:val="bottom"/>
            <w:gridSpan w:val="2"/>
            <w:vMerge w:val="continue"/>
          </w:tcPr>
          <w:p>
            <w:pPr>
              <w:spacing w:after="0"/>
              <w:rPr>
                <w:sz w:val="14"/>
                <w:szCs w:val="14"/>
                <w:color w:val="auto"/>
              </w:rPr>
            </w:pPr>
          </w:p>
        </w:tc>
        <w:tc>
          <w:tcPr>
            <w:tcW w:w="9420" w:type="dxa"/>
            <w:vAlign w:val="bottom"/>
            <w:gridSpan w:val="24"/>
            <w:vMerge w:val="continue"/>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4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(Unaudited)</w:t>
            </w:r>
          </w:p>
        </w:tc>
        <w:tc>
          <w:tcPr>
            <w:tcW w:w="20" w:type="dxa"/>
            <w:vAlign w:val="bottom"/>
            <w:tcBorders>
              <w:bottom w:val="single" w:sz="8" w:color="0000EE"/>
            </w:tcBorders>
          </w:tcPr>
          <w:p>
            <w:pPr>
              <w:spacing w:after="0"/>
              <w:rPr>
                <w:sz w:val="18"/>
                <w:szCs w:val="18"/>
                <w:color w:val="auto"/>
              </w:rPr>
            </w:pPr>
          </w:p>
        </w:tc>
        <w:tc>
          <w:tcPr>
            <w:tcW w:w="5560" w:type="dxa"/>
            <w:vAlign w:val="bottom"/>
            <w:gridSpan w:val="9"/>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Loss (Unaudited)</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120" w:type="dxa"/>
            <w:vAlign w:val="bottom"/>
            <w:tcBorders>
              <w:top w:val="single" w:sz="8" w:color="0000FF"/>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Changes in Stockholders' Equity (Unaudited)</w:t>
            </w:r>
          </w:p>
        </w:tc>
        <w:tc>
          <w:tcPr>
            <w:tcW w:w="300" w:type="dxa"/>
            <w:vAlign w:val="bottom"/>
            <w:tcBorders>
              <w:top w:val="single" w:sz="8" w:color="0000FF"/>
            </w:tcBorders>
          </w:tcPr>
          <w:p>
            <w:pPr>
              <w:spacing w:after="0"/>
              <w:rPr>
                <w:sz w:val="18"/>
                <w:szCs w:val="18"/>
                <w:color w:val="auto"/>
              </w:rPr>
            </w:pPr>
          </w:p>
        </w:tc>
        <w:tc>
          <w:tcPr>
            <w:tcW w:w="3000" w:type="dxa"/>
            <w:vAlign w:val="bottom"/>
            <w:gridSpan w:val="2"/>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9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 (Unaudited)</w:t>
            </w:r>
          </w:p>
        </w:tc>
        <w:tc>
          <w:tcPr>
            <w:tcW w:w="20" w:type="dxa"/>
            <w:vAlign w:val="bottom"/>
            <w:tcBorders>
              <w:bottom w:val="single" w:sz="8" w:color="0000EE"/>
            </w:tcBorders>
          </w:tcPr>
          <w:p>
            <w:pPr>
              <w:spacing w:after="0"/>
              <w:rPr>
                <w:sz w:val="18"/>
                <w:szCs w:val="18"/>
                <w:color w:val="auto"/>
              </w:rPr>
            </w:pPr>
          </w:p>
        </w:tc>
        <w:tc>
          <w:tcPr>
            <w:tcW w:w="4500" w:type="dxa"/>
            <w:vAlign w:val="bottom"/>
            <w:gridSpan w:val="4"/>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9"/>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4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9"/>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6"/>
          </w:tcPr>
          <w:p>
            <w:pPr>
              <w:spacing w:after="0"/>
              <w:rPr>
                <w:sz w:val="18"/>
                <w:szCs w:val="18"/>
                <w:color w:val="auto"/>
              </w:rPr>
            </w:pPr>
          </w:p>
        </w:tc>
        <w:tc>
          <w:tcPr>
            <w:tcW w:w="29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9"/>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20" w:type="dxa"/>
            <w:vAlign w:val="bottom"/>
            <w:tcBorders>
              <w:bottom w:val="single" w:sz="8" w:color="0000EE"/>
            </w:tcBorders>
          </w:tcPr>
          <w:p>
            <w:pPr>
              <w:spacing w:after="0"/>
              <w:rPr>
                <w:sz w:val="18"/>
                <w:szCs w:val="18"/>
                <w:color w:val="auto"/>
              </w:rPr>
            </w:pPr>
          </w:p>
        </w:tc>
        <w:tc>
          <w:tcPr>
            <w:tcW w:w="7640" w:type="dxa"/>
            <w:vAlign w:val="bottom"/>
            <w:gridSpan w:val="17"/>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9"/>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8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7540" w:type="dxa"/>
            <w:vAlign w:val="bottom"/>
            <w:gridSpan w:val="16"/>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4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9"/>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top w:val="single" w:sz="8" w:color="0000FF"/>
              <w:bottom w:val="single" w:sz="8" w:color="0000EE"/>
            </w:tcBorders>
          </w:tcPr>
          <w:p>
            <w:pPr>
              <w:spacing w:after="0"/>
              <w:rPr>
                <w:sz w:val="18"/>
                <w:szCs w:val="18"/>
                <w:color w:val="auto"/>
              </w:rPr>
            </w:pPr>
          </w:p>
        </w:tc>
        <w:tc>
          <w:tcPr>
            <w:tcW w:w="400" w:type="dxa"/>
            <w:vAlign w:val="bottom"/>
            <w:tcBorders>
              <w:top w:val="single" w:sz="8" w:color="0000FF"/>
            </w:tcBorders>
            <w:gridSpan w:val="2"/>
          </w:tcPr>
          <w:p>
            <w:pPr>
              <w:spacing w:after="0"/>
              <w:rPr>
                <w:sz w:val="18"/>
                <w:szCs w:val="18"/>
                <w:color w:val="auto"/>
              </w:rPr>
            </w:pPr>
          </w:p>
        </w:tc>
        <w:tc>
          <w:tcPr>
            <w:tcW w:w="8100" w:type="dxa"/>
            <w:vAlign w:val="bottom"/>
            <w:gridSpan w:val="19"/>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9"/>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080" w:type="dxa"/>
            <w:vAlign w:val="bottom"/>
            <w:gridSpan w:val="8"/>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9"/>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7100" w:type="dxa"/>
            <w:vAlign w:val="bottom"/>
            <w:gridSpan w:val="14"/>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9"/>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Mine Safety Disclosures</w:t>
            </w:r>
          </w:p>
        </w:tc>
        <w:tc>
          <w:tcPr>
            <w:tcW w:w="7660" w:type="dxa"/>
            <w:vAlign w:val="bottom"/>
            <w:gridSpan w:val="18"/>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9"/>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4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9"/>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8120" w:type="dxa"/>
            <w:vAlign w:val="bottom"/>
            <w:gridSpan w:val="20"/>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9"/>
        </w:trPr>
        <w:tc>
          <w:tcPr>
            <w:tcW w:w="7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300" w:type="dxa"/>
            <w:vAlign w:val="bottom"/>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42" w:lineRule="exact"/>
        <w:rPr>
          <w:sz w:val="20"/>
          <w:szCs w:val="20"/>
          <w:color w:val="auto"/>
        </w:rPr>
      </w:pPr>
    </w:p>
    <w:p>
      <w:pPr>
        <w:ind w:right="200" w:firstLine="644"/>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risks and uncertainties. Forward-looking statements generally relate to future events or our future financial or operating performance. In some cases, you can identify forward-looking statements because they contain words such as “may,” “can,” “will,” “would,” “should,” “expects,” “plans,” “anticipates,” “could,” “intends,” “target,” “projects,” “contemplates,” “believes,” “estimates,” “predicts,” “forecasts,”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19" w:lineRule="exact"/>
        <w:rPr>
          <w:sz w:val="20"/>
          <w:szCs w:val="20"/>
          <w:color w:val="auto"/>
        </w:rPr>
      </w:pPr>
    </w:p>
    <w:p>
      <w:pPr>
        <w:ind w:left="800" w:hanging="226"/>
        <w:spacing w:after="0"/>
        <w:tabs>
          <w:tab w:leader="none" w:pos="800" w:val="left"/>
        </w:tabs>
        <w:numPr>
          <w:ilvl w:val="3"/>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revenue, expenses and other operating results;</w:t>
      </w:r>
    </w:p>
    <w:p>
      <w:pPr>
        <w:spacing w:after="0" w:line="170" w:lineRule="exact"/>
        <w:rPr>
          <w:rFonts w:ascii="Times New Roman" w:cs="Times New Roman" w:eastAsia="Times New Roman" w:hAnsi="Times New Roman"/>
          <w:sz w:val="18"/>
          <w:szCs w:val="18"/>
          <w:color w:val="auto"/>
        </w:rPr>
      </w:pPr>
    </w:p>
    <w:p>
      <w:pPr>
        <w:ind w:left="800" w:hanging="239"/>
        <w:spacing w:after="0"/>
        <w:tabs>
          <w:tab w:leader="none" w:pos="80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growth of our business, including our ability to effectively manage or sustain our growth and to achieve or sustain profitability;</w:t>
      </w:r>
    </w:p>
    <w:p>
      <w:pPr>
        <w:spacing w:after="0" w:line="170" w:lineRule="exact"/>
        <w:rPr>
          <w:rFonts w:ascii="Times New Roman" w:cs="Times New Roman" w:eastAsia="Times New Roman" w:hAnsi="Times New Roman"/>
          <w:sz w:val="18"/>
          <w:szCs w:val="18"/>
          <w:color w:val="auto"/>
        </w:rPr>
      </w:pPr>
    </w:p>
    <w:p>
      <w:pPr>
        <w:ind w:left="780" w:right="560" w:hanging="233"/>
        <w:spacing w:after="0" w:line="281" w:lineRule="auto"/>
        <w:tabs>
          <w:tab w:leader="none" w:pos="7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public health crises or other macroeconomic factors and geopolitical tension, which may lead to periods of global economic uncertainty;</w:t>
      </w:r>
    </w:p>
    <w:p>
      <w:pPr>
        <w:spacing w:after="0" w:line="108" w:lineRule="exact"/>
        <w:rPr>
          <w:rFonts w:ascii="Times New Roman" w:cs="Times New Roman" w:eastAsia="Times New Roman" w:hAnsi="Times New Roman"/>
          <w:sz w:val="18"/>
          <w:szCs w:val="18"/>
          <w:color w:val="auto"/>
        </w:rPr>
      </w:pPr>
    </w:p>
    <w:p>
      <w:pPr>
        <w:ind w:left="780" w:hanging="233"/>
        <w:spacing w:after="0"/>
        <w:tabs>
          <w:tab w:leader="none" w:pos="7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investments in our business, our anticipated capital expenditures and our estimates regarding our capital requirements;</w:t>
      </w:r>
    </w:p>
    <w:p>
      <w:pPr>
        <w:spacing w:after="0" w:line="170" w:lineRule="exact"/>
        <w:rPr>
          <w:rFonts w:ascii="Times New Roman" w:cs="Times New Roman" w:eastAsia="Times New Roman" w:hAnsi="Times New Roman"/>
          <w:sz w:val="18"/>
          <w:szCs w:val="18"/>
          <w:color w:val="auto"/>
        </w:rPr>
      </w:pPr>
    </w:p>
    <w:p>
      <w:pPr>
        <w:ind w:left="760" w:hanging="226"/>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buyers and suppliers and successfully engage new and existing buyers and suppliers;</w:t>
      </w:r>
    </w:p>
    <w:p>
      <w:pPr>
        <w:spacing w:after="0" w:line="170" w:lineRule="exact"/>
        <w:rPr>
          <w:rFonts w:ascii="Times New Roman" w:cs="Times New Roman" w:eastAsia="Times New Roman" w:hAnsi="Times New Roman"/>
          <w:sz w:val="18"/>
          <w:szCs w:val="18"/>
          <w:color w:val="auto"/>
        </w:rPr>
      </w:pPr>
    </w:p>
    <w:p>
      <w:pPr>
        <w:ind w:left="800" w:hanging="226"/>
        <w:spacing w:after="0"/>
        <w:tabs>
          <w:tab w:leader="none" w:pos="800" w:val="left"/>
        </w:tabs>
        <w:numPr>
          <w:ilvl w:val="3"/>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success of our sales and marketing efforts, and our ability to promote our brand;</w:t>
      </w:r>
    </w:p>
    <w:p>
      <w:pPr>
        <w:spacing w:after="0" w:line="170" w:lineRule="exact"/>
        <w:rPr>
          <w:rFonts w:ascii="Times New Roman" w:cs="Times New Roman" w:eastAsia="Times New Roman" w:hAnsi="Times New Roman"/>
          <w:sz w:val="18"/>
          <w:szCs w:val="18"/>
          <w:color w:val="auto"/>
        </w:rPr>
      </w:pPr>
    </w:p>
    <w:p>
      <w:pPr>
        <w:ind w:left="760" w:hanging="226"/>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key personnel and our ability to identify, recruit and retain skilled personnel;</w:t>
      </w:r>
    </w:p>
    <w:p>
      <w:pPr>
        <w:spacing w:after="0" w:line="170" w:lineRule="exact"/>
        <w:rPr>
          <w:rFonts w:ascii="Times New Roman" w:cs="Times New Roman" w:eastAsia="Times New Roman" w:hAnsi="Times New Roman"/>
          <w:sz w:val="18"/>
          <w:szCs w:val="18"/>
          <w:color w:val="auto"/>
        </w:rPr>
      </w:pPr>
    </w:p>
    <w:p>
      <w:pPr>
        <w:ind w:left="800" w:hanging="239"/>
        <w:spacing w:after="0"/>
        <w:tabs>
          <w:tab w:leader="none" w:pos="80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 including any international expansion;</w:t>
      </w:r>
    </w:p>
    <w:p>
      <w:pPr>
        <w:spacing w:after="0" w:line="170" w:lineRule="exact"/>
        <w:rPr>
          <w:rFonts w:ascii="Times New Roman" w:cs="Times New Roman" w:eastAsia="Times New Roman" w:hAnsi="Times New Roman"/>
          <w:sz w:val="18"/>
          <w:szCs w:val="18"/>
          <w:color w:val="auto"/>
        </w:rPr>
      </w:pPr>
    </w:p>
    <w:p>
      <w:pPr>
        <w:ind w:left="800" w:hanging="226"/>
        <w:spacing w:after="0"/>
        <w:tabs>
          <w:tab w:leader="none" w:pos="800" w:val="left"/>
        </w:tabs>
        <w:numPr>
          <w:ilvl w:val="3"/>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protect and enforce our intellectual property or other proprietary rights and any costs associated therewith;</w:t>
      </w:r>
    </w:p>
    <w:p>
      <w:pPr>
        <w:spacing w:after="0" w:line="170" w:lineRule="exact"/>
        <w:rPr>
          <w:rFonts w:ascii="Times New Roman" w:cs="Times New Roman" w:eastAsia="Times New Roman" w:hAnsi="Times New Roman"/>
          <w:sz w:val="18"/>
          <w:szCs w:val="18"/>
          <w:color w:val="auto"/>
        </w:rPr>
      </w:pPr>
    </w:p>
    <w:p>
      <w:pPr>
        <w:ind w:left="800" w:hanging="226"/>
        <w:spacing w:after="0"/>
        <w:tabs>
          <w:tab w:leader="none" w:pos="800" w:val="left"/>
        </w:tabs>
        <w:numPr>
          <w:ilvl w:val="3"/>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costs and expenses, which may be impacted by inflationary pressures;</w:t>
      </w:r>
    </w:p>
    <w:p>
      <w:pPr>
        <w:spacing w:after="0" w:line="170" w:lineRule="exact"/>
        <w:rPr>
          <w:rFonts w:ascii="Times New Roman" w:cs="Times New Roman" w:eastAsia="Times New Roman" w:hAnsi="Times New Roman"/>
          <w:sz w:val="18"/>
          <w:szCs w:val="18"/>
          <w:color w:val="auto"/>
        </w:rPr>
      </w:pPr>
    </w:p>
    <w:p>
      <w:pPr>
        <w:ind w:left="760" w:hanging="226"/>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with existing competitors and new market entrants; and</w:t>
      </w:r>
    </w:p>
    <w:p>
      <w:pPr>
        <w:spacing w:after="0" w:line="170" w:lineRule="exact"/>
        <w:rPr>
          <w:rFonts w:ascii="Times New Roman" w:cs="Times New Roman" w:eastAsia="Times New Roman" w:hAnsi="Times New Roman"/>
          <w:sz w:val="18"/>
          <w:szCs w:val="18"/>
          <w:color w:val="auto"/>
        </w:rPr>
      </w:pPr>
    </w:p>
    <w:p>
      <w:pPr>
        <w:ind w:left="800" w:hanging="226"/>
        <w:spacing w:after="0"/>
        <w:tabs>
          <w:tab w:leader="none" w:pos="800" w:val="left"/>
        </w:tabs>
        <w:numPr>
          <w:ilvl w:val="3"/>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rates of the markets in which we compete.</w:t>
      </w:r>
    </w:p>
    <w:p>
      <w:pPr>
        <w:spacing w:after="0" w:line="130" w:lineRule="exact"/>
        <w:rPr>
          <w:sz w:val="20"/>
          <w:szCs w:val="20"/>
          <w:color w:val="auto"/>
        </w:rPr>
      </w:pPr>
    </w:p>
    <w:p>
      <w:pPr>
        <w:ind w:firstLine="644"/>
        <w:spacing w:after="0" w:line="272" w:lineRule="auto"/>
        <w:rPr>
          <w:sz w:val="20"/>
          <w:szCs w:val="20"/>
          <w:color w:val="auto"/>
        </w:rPr>
      </w:pPr>
      <w:r>
        <w:rPr>
          <w:rFonts w:ascii="Times New Roman" w:cs="Times New Roman" w:eastAsia="Times New Roman" w:hAnsi="Times New Roman"/>
          <w:sz w:val="17"/>
          <w:szCs w:val="17"/>
          <w:color w:val="auto"/>
        </w:rPr>
        <w:t>You should not rely on forward-looking statements as predictions of future events. We have based the forward-looking statements contained in this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Part II, Item 1A, and elsewhere in this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Form 10-Q. The results, events and circumstances reflected in the forward-looking statements may not be achieved or occur, and actual results, events or circumstances could differ materially from those described in the forward-looking statements.</w:t>
      </w:r>
    </w:p>
    <w:p>
      <w:pPr>
        <w:spacing w:after="0" w:line="67" w:lineRule="exact"/>
        <w:rPr>
          <w:sz w:val="20"/>
          <w:szCs w:val="20"/>
          <w:color w:val="auto"/>
        </w:rPr>
      </w:pPr>
    </w:p>
    <w:p>
      <w:pPr>
        <w:ind w:firstLine="644"/>
        <w:spacing w:after="0" w:line="260"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Form 10-Q.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74"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The forward-looking statements made in this Form 10-Q relate only to events as of the date on which the statements are made. We undertake no obligation to update any forward-looking statements made in this Form 10-Q to reflect events or circumstances after the date of this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XOMETRY,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85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8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17,430</w:t>
            </w:r>
          </w:p>
        </w:tc>
        <w:tc>
          <w:tcPr>
            <w:tcW w:w="120" w:type="dxa"/>
            <w:vAlign w:val="bottom"/>
            <w:shd w:val="clear" w:color="auto" w:fill="CFF0FC"/>
          </w:tcPr>
          <w:p>
            <w:pPr>
              <w:spacing w:after="0"/>
              <w:rPr>
                <w:sz w:val="15"/>
                <w:szCs w:val="15"/>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53,424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5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Marketable securities</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216,605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215,352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Accounts receivable, less allowance for credit losses of $3.4 million and $2.4 million as of September 30, 2024 and December 31, 2023</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78,530</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70,102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5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Inventory</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Prepaid expenses</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4,789</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5,571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5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current assets</w:t>
            </w: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4,855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8,897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325,709</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356,231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5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42,323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35,637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9,607</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12,251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5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Investment in unconsolidated joint venture</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Intangible assets, net</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33,039</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35,768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5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Goodwill</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262,955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262,915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5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assets</w:t>
            </w:r>
          </w:p>
        </w:tc>
        <w:tc>
          <w:tcPr>
            <w:tcW w:w="1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5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678,208</w:t>
            </w:r>
          </w:p>
        </w:tc>
        <w:tc>
          <w:tcPr>
            <w:tcW w:w="120" w:type="dxa"/>
            <w:vAlign w:val="bottom"/>
          </w:tcPr>
          <w:p>
            <w:pPr>
              <w:spacing w:after="0"/>
              <w:rPr>
                <w:sz w:val="14"/>
                <w:szCs w:val="1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707,387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56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Accounts payable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6,368</w:t>
            </w:r>
          </w:p>
        </w:tc>
        <w:tc>
          <w:tcPr>
            <w:tcW w:w="120" w:type="dxa"/>
            <w:vAlign w:val="bottom"/>
            <w:shd w:val="clear" w:color="auto" w:fill="CFF0FC"/>
          </w:tcPr>
          <w:p>
            <w:pPr>
              <w:spacing w:after="0"/>
              <w:rPr>
                <w:sz w:val="15"/>
                <w:szCs w:val="15"/>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24,710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5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Accrued expenses</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48,719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41,845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Contract liabilities</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8,303</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7,357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5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Income taxes payable</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5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Operating lease liabilities, current portion</w:t>
            </w:r>
          </w:p>
        </w:tc>
        <w:tc>
          <w:tcPr>
            <w:tcW w:w="1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6,638</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6,799</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5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70,892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83,195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Convertible notes</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283,163</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281,769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5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10,951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Deferred income taxes</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5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liabilities</w:t>
            </w: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5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0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361,848</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376,968</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 and contingencies (Note 13)</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856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Preferred stock, $0.000001 par value. Authorized; 50,000,000 shares; zero shares issued and outstanding as of September 30, 2024 and</w:t>
            </w:r>
          </w:p>
        </w:tc>
        <w:tc>
          <w:tcPr>
            <w:tcW w:w="100" w:type="dxa"/>
            <w:vAlign w:val="bottom"/>
          </w:tcPr>
          <w:p>
            <w:pPr>
              <w:spacing w:after="0"/>
              <w:rPr>
                <w:sz w:val="12"/>
                <w:szCs w:val="12"/>
                <w:color w:val="auto"/>
              </w:rPr>
            </w:pP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85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December 31, 2023, respectively</w:t>
            </w:r>
          </w:p>
        </w:tc>
        <w:tc>
          <w:tcPr>
            <w:tcW w:w="1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856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Class A Common stock, $0.000001 par value. Authorized; 750,000,000 shares; 46,768,801 shares and 45,489,379 shares issued and</w:t>
            </w:r>
          </w:p>
        </w:tc>
        <w:tc>
          <w:tcPr>
            <w:tcW w:w="100" w:type="dxa"/>
            <w:vAlign w:val="bottom"/>
            <w:shd w:val="clear" w:color="auto" w:fill="CFF0FC"/>
          </w:tcPr>
          <w:p>
            <w:pPr>
              <w:spacing w:after="0"/>
              <w:rPr>
                <w:sz w:val="12"/>
                <w:szCs w:val="12"/>
                <w:color w:val="auto"/>
              </w:rPr>
            </w:pPr>
          </w:p>
        </w:tc>
        <w:tc>
          <w:tcPr>
            <w:tcW w:w="11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8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outstanding as of September 30, 2024 and December 31, 2023, respectively</w:t>
            </w:r>
          </w:p>
        </w:tc>
        <w:tc>
          <w:tcPr>
            <w:tcW w:w="100" w:type="dxa"/>
            <w:vAlign w:val="bottom"/>
            <w:shd w:val="clear" w:color="auto" w:fill="CFF0FC"/>
          </w:tcPr>
          <w:p>
            <w:pPr>
              <w:spacing w:after="0"/>
              <w:rPr>
                <w:sz w:val="16"/>
                <w:szCs w:val="16"/>
                <w:color w:val="auto"/>
              </w:rPr>
            </w:pPr>
          </w:p>
        </w:tc>
        <w:tc>
          <w:tcPr>
            <w:tcW w:w="11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8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856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Class B Common stock, $0.000001 par value. Authorized; 5,000,000 shares; 2,676,154 shares issued and outstanding as of September 30,</w:t>
            </w:r>
          </w:p>
        </w:tc>
        <w:tc>
          <w:tcPr>
            <w:tcW w:w="100" w:type="dxa"/>
            <w:vAlign w:val="bottom"/>
          </w:tcPr>
          <w:p>
            <w:pPr>
              <w:spacing w:after="0"/>
              <w:rPr>
                <w:sz w:val="12"/>
                <w:szCs w:val="12"/>
                <w:color w:val="auto"/>
              </w:rPr>
            </w:pP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85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2024 and December 31, 2023, respectively</w:t>
            </w:r>
          </w:p>
        </w:tc>
        <w:tc>
          <w:tcPr>
            <w:tcW w:w="1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674,335</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648,317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5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Accumulated deficit</w:t>
            </w:r>
          </w:p>
        </w:tc>
        <w:tc>
          <w:tcPr>
            <w:tcW w:w="1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(360,384 )</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(319,872 )</w:t>
            </w:r>
          </w:p>
        </w:tc>
        <w:tc>
          <w:tcPr>
            <w:tcW w:w="0" w:type="dxa"/>
            <w:vAlign w:val="bottom"/>
          </w:tcPr>
          <w:p>
            <w:pPr>
              <w:spacing w:after="0"/>
              <w:rPr>
                <w:sz w:val="1"/>
                <w:szCs w:val="1"/>
                <w:color w:val="auto"/>
              </w:rPr>
            </w:pPr>
          </w:p>
        </w:tc>
      </w:tr>
      <w:tr>
        <w:trPr>
          <w:trHeight w:val="169"/>
        </w:trPr>
        <w:tc>
          <w:tcPr>
            <w:tcW w:w="85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315,233</w:t>
            </w:r>
          </w:p>
        </w:tc>
        <w:tc>
          <w:tcPr>
            <w:tcW w:w="12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329,300</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5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b w:val="1"/>
                <w:bCs w:val="1"/>
                <w:color w:val="auto"/>
              </w:rPr>
              <w:t>Noncontrolling interest</w:t>
            </w:r>
          </w:p>
        </w:tc>
        <w:tc>
          <w:tcPr>
            <w:tcW w:w="1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1,127</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1,119</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5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316,360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330,419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678,208</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707,387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6161405</wp:posOffset>
            </wp:positionH>
            <wp:positionV relativeFrom="paragraph">
              <wp:posOffset>-3287395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-3287395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-2362835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-2362835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-1677670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-1677670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-495935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-495935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-264795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-24765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-7620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See accompanying notes to the unaudited condensed consolidated financial statements.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XOMETRY, INC. AND SUBSIDIARIES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4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7"/>
        </w:trPr>
        <w:tc>
          <w:tcPr>
            <w:tcW w:w="5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4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320" w:type="dxa"/>
            <w:vAlign w:val="bottom"/>
            <w:tcBorders>
              <w:bottom w:val="single" w:sz="8" w:color="CFF0FC"/>
            </w:tcBorders>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141,698</w:t>
            </w:r>
          </w:p>
        </w:tc>
        <w:tc>
          <w:tcPr>
            <w:tcW w:w="24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118,927</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396,983</w:t>
            </w:r>
          </w:p>
        </w:tc>
        <w:tc>
          <w:tcPr>
            <w:tcW w:w="2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335,261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3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85,873</w:t>
            </w: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72,678</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240,379</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206,087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54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vMerge w:val="continue"/>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vMerge w:val="continue"/>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vMerge w:val="continue"/>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54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32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55,825</w:t>
            </w:r>
          </w:p>
        </w:tc>
        <w:tc>
          <w:tcPr>
            <w:tcW w:w="24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46,249</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156,604</w:t>
            </w:r>
          </w:p>
        </w:tc>
        <w:tc>
          <w:tcPr>
            <w:tcW w:w="2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129,174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54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3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27,204</w:t>
            </w:r>
          </w:p>
        </w:tc>
        <w:tc>
          <w:tcPr>
            <w:tcW w:w="240" w:type="dxa"/>
            <w:vAlign w:val="bottom"/>
            <w:tcBorders>
              <w:top w:val="single" w:sz="8" w:color="CFF0FC"/>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23,210</w:t>
            </w:r>
          </w:p>
        </w:tc>
        <w:tc>
          <w:tcPr>
            <w:tcW w:w="220" w:type="dxa"/>
            <w:vAlign w:val="bottom"/>
            <w:tcBorders>
              <w:top w:val="single" w:sz="8" w:color="CFF0FC"/>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81,891</w:t>
            </w:r>
          </w:p>
        </w:tc>
        <w:tc>
          <w:tcPr>
            <w:tcW w:w="220" w:type="dxa"/>
            <w:vAlign w:val="bottom"/>
            <w:tcBorders>
              <w:top w:val="single" w:sz="8" w:color="CFF0FC"/>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68,315</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57"/>
        </w:trPr>
        <w:tc>
          <w:tcPr>
            <w:tcW w:w="5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Operations and support</w:t>
            </w:r>
          </w:p>
        </w:tc>
        <w:tc>
          <w:tcPr>
            <w:tcW w:w="32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14,698</w:t>
            </w:r>
          </w:p>
        </w:tc>
        <w:tc>
          <w:tcPr>
            <w:tcW w:w="24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12,622</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42,918</w:t>
            </w:r>
          </w:p>
        </w:tc>
        <w:tc>
          <w:tcPr>
            <w:tcW w:w="2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39,450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Product development</w:t>
            </w:r>
          </w:p>
        </w:tc>
        <w:tc>
          <w:tcPr>
            <w:tcW w:w="3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9,344</w:t>
            </w: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8,523</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28,952</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25,570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7"/>
        </w:trPr>
        <w:tc>
          <w:tcPr>
            <w:tcW w:w="5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2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16,060</w:t>
            </w:r>
          </w:p>
        </w:tc>
        <w:tc>
          <w:tcPr>
            <w:tcW w:w="24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14,940</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47,470</w:t>
            </w:r>
          </w:p>
        </w:tc>
        <w:tc>
          <w:tcPr>
            <w:tcW w:w="2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56,479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Impairment of assets</w:t>
            </w:r>
          </w:p>
        </w:tc>
        <w:tc>
          <w:tcPr>
            <w:tcW w:w="320" w:type="dxa"/>
            <w:vAlign w:val="bottom"/>
          </w:tcPr>
          <w:p>
            <w:pPr>
              <w:spacing w:after="0"/>
              <w:rPr>
                <w:sz w:val="16"/>
                <w:szCs w:val="16"/>
                <w:color w:val="auto"/>
              </w:rPr>
            </w:pPr>
          </w:p>
        </w:tc>
        <w:tc>
          <w:tcPr>
            <w:tcW w:w="13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5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20" w:type="dxa"/>
            <w:vAlign w:val="bottom"/>
            <w:tcBorders>
              <w:top w:val="single" w:sz="8" w:color="auto"/>
              <w:bottom w:val="single" w:sz="8" w:color="CFF0FC"/>
            </w:tcBorders>
            <w:shd w:val="clear" w:color="auto" w:fill="CFF0FC"/>
          </w:tcPr>
          <w:p>
            <w:pPr>
              <w:spacing w:after="0"/>
              <w:rPr>
                <w:sz w:val="17"/>
                <w:szCs w:val="17"/>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67,306</w:t>
            </w:r>
          </w:p>
        </w:tc>
        <w:tc>
          <w:tcPr>
            <w:tcW w:w="24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top w:val="single" w:sz="8" w:color="auto"/>
              <w:bottom w:val="single" w:sz="8" w:color="CFF0FC"/>
            </w:tcBorders>
            <w:shd w:val="clear" w:color="auto" w:fill="CFF0FC"/>
          </w:tcPr>
          <w:p>
            <w:pPr>
              <w:spacing w:after="0"/>
              <w:rPr>
                <w:sz w:val="17"/>
                <w:szCs w:val="17"/>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59,446</w:t>
            </w:r>
          </w:p>
        </w:tc>
        <w:tc>
          <w:tcPr>
            <w:tcW w:w="2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CFF0FC"/>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201,231</w:t>
            </w:r>
          </w:p>
        </w:tc>
        <w:tc>
          <w:tcPr>
            <w:tcW w:w="22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top w:val="single" w:sz="8" w:color="auto"/>
              <w:bottom w:val="single" w:sz="8" w:color="CFF0FC"/>
            </w:tcBorders>
            <w:shd w:val="clear" w:color="auto" w:fill="CFF0FC"/>
          </w:tcPr>
          <w:p>
            <w:pPr>
              <w:spacing w:after="0"/>
              <w:rPr>
                <w:sz w:val="17"/>
                <w:szCs w:val="17"/>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190,211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4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Loss from operations</w:t>
            </w:r>
          </w:p>
        </w:tc>
        <w:tc>
          <w:tcPr>
            <w:tcW w:w="320" w:type="dxa"/>
            <w:vAlign w:val="bottom"/>
          </w:tcPr>
          <w:p>
            <w:pPr>
              <w:spacing w:after="0"/>
              <w:rPr>
                <w:sz w:val="15"/>
                <w:szCs w:val="15"/>
                <w:color w:val="auto"/>
              </w:rPr>
            </w:pPr>
          </w:p>
        </w:tc>
        <w:tc>
          <w:tcPr>
            <w:tcW w:w="13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(11,481 )</w:t>
            </w:r>
          </w:p>
        </w:tc>
        <w:tc>
          <w:tcPr>
            <w:tcW w:w="46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(13,197 )</w:t>
            </w:r>
          </w:p>
        </w:tc>
        <w:tc>
          <w:tcPr>
            <w:tcW w:w="280" w:type="dxa"/>
            <w:vAlign w:val="bottom"/>
          </w:tcPr>
          <w:p>
            <w:pPr>
              <w:spacing w:after="0"/>
              <w:rPr>
                <w:sz w:val="15"/>
                <w:szCs w:val="15"/>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(44,627 )</w:t>
            </w:r>
          </w:p>
        </w:tc>
        <w:tc>
          <w:tcPr>
            <w:tcW w:w="400" w:type="dxa"/>
            <w:vAlign w:val="bottom"/>
          </w:tcPr>
          <w:p>
            <w:pPr>
              <w:spacing w:after="0"/>
              <w:rPr>
                <w:sz w:val="15"/>
                <w:szCs w:val="15"/>
                <w:color w:val="auto"/>
              </w:rPr>
            </w:pPr>
          </w:p>
        </w:tc>
        <w:tc>
          <w:tcPr>
            <w:tcW w:w="9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(61,037 )</w:t>
            </w:r>
          </w:p>
        </w:tc>
        <w:tc>
          <w:tcPr>
            <w:tcW w:w="0" w:type="dxa"/>
            <w:vAlign w:val="bottom"/>
          </w:tcPr>
          <w:p>
            <w:pPr>
              <w:spacing w:after="0"/>
              <w:rPr>
                <w:sz w:val="1"/>
                <w:szCs w:val="1"/>
                <w:color w:val="auto"/>
              </w:rPr>
            </w:pPr>
          </w:p>
        </w:tc>
      </w:tr>
      <w:tr>
        <w:trPr>
          <w:trHeight w:val="55"/>
        </w:trPr>
        <w:tc>
          <w:tcPr>
            <w:tcW w:w="5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46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40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 (expenses)</w:t>
            </w:r>
          </w:p>
        </w:tc>
        <w:tc>
          <w:tcPr>
            <w:tcW w:w="32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20" w:type="dxa"/>
            <w:vAlign w:val="bottom"/>
          </w:tcPr>
          <w:p>
            <w:pPr>
              <w:spacing w:after="0"/>
              <w:rPr>
                <w:sz w:val="16"/>
                <w:szCs w:val="16"/>
                <w:color w:val="auto"/>
              </w:rPr>
            </w:pPr>
          </w:p>
        </w:tc>
        <w:tc>
          <w:tcPr>
            <w:tcW w:w="13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(1,187 )</w:t>
            </w:r>
          </w:p>
        </w:tc>
        <w:tc>
          <w:tcPr>
            <w:tcW w:w="460" w:type="dxa"/>
            <w:vAlign w:val="bottom"/>
          </w:tcPr>
          <w:p>
            <w:pPr>
              <w:spacing w:after="0"/>
              <w:rPr>
                <w:sz w:val="16"/>
                <w:szCs w:val="16"/>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(1,205 )</w:t>
            </w:r>
          </w:p>
        </w:tc>
        <w:tc>
          <w:tcPr>
            <w:tcW w:w="280" w:type="dxa"/>
            <w:vAlign w:val="bottom"/>
          </w:tcPr>
          <w:p>
            <w:pPr>
              <w:spacing w:after="0"/>
              <w:rPr>
                <w:sz w:val="16"/>
                <w:szCs w:val="16"/>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(3,564 )</w:t>
            </w:r>
          </w:p>
        </w:tc>
        <w:tc>
          <w:tcPr>
            <w:tcW w:w="400" w:type="dxa"/>
            <w:vAlign w:val="bottom"/>
          </w:tcPr>
          <w:p>
            <w:pPr>
              <w:spacing w:after="0"/>
              <w:rPr>
                <w:sz w:val="16"/>
                <w:szCs w:val="16"/>
                <w:color w:val="auto"/>
              </w:rPr>
            </w:pPr>
          </w:p>
        </w:tc>
        <w:tc>
          <w:tcPr>
            <w:tcW w:w="9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(3,596 )</w:t>
            </w:r>
          </w:p>
        </w:tc>
        <w:tc>
          <w:tcPr>
            <w:tcW w:w="0" w:type="dxa"/>
            <w:vAlign w:val="bottom"/>
          </w:tcPr>
          <w:p>
            <w:pPr>
              <w:spacing w:after="0"/>
              <w:rPr>
                <w:sz w:val="1"/>
                <w:szCs w:val="1"/>
                <w:color w:val="auto"/>
              </w:rPr>
            </w:pPr>
          </w:p>
        </w:tc>
      </w:tr>
      <w:tr>
        <w:trPr>
          <w:trHeight w:val="57"/>
        </w:trPr>
        <w:tc>
          <w:tcPr>
            <w:tcW w:w="5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46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40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and dividend income</w:t>
            </w:r>
          </w:p>
        </w:tc>
        <w:tc>
          <w:tcPr>
            <w:tcW w:w="32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2,781</w:t>
            </w:r>
          </w:p>
        </w:tc>
        <w:tc>
          <w:tcPr>
            <w:tcW w:w="24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2,994</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8,275</w:t>
            </w:r>
          </w:p>
        </w:tc>
        <w:tc>
          <w:tcPr>
            <w:tcW w:w="2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8,648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expenses</w:t>
            </w:r>
          </w:p>
        </w:tc>
        <w:tc>
          <w:tcPr>
            <w:tcW w:w="320" w:type="dxa"/>
            <w:vAlign w:val="bottom"/>
          </w:tcPr>
          <w:p>
            <w:pPr>
              <w:spacing w:after="0"/>
              <w:rPr>
                <w:sz w:val="16"/>
                <w:szCs w:val="16"/>
                <w:color w:val="auto"/>
              </w:rPr>
            </w:pPr>
          </w:p>
        </w:tc>
        <w:tc>
          <w:tcPr>
            <w:tcW w:w="13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(444 )</w:t>
            </w:r>
          </w:p>
        </w:tc>
        <w:tc>
          <w:tcPr>
            <w:tcW w:w="460" w:type="dxa"/>
            <w:vAlign w:val="bottom"/>
          </w:tcPr>
          <w:p>
            <w:pPr>
              <w:spacing w:after="0"/>
              <w:rPr>
                <w:sz w:val="16"/>
                <w:szCs w:val="16"/>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(597 )</w:t>
            </w:r>
          </w:p>
        </w:tc>
        <w:tc>
          <w:tcPr>
            <w:tcW w:w="280" w:type="dxa"/>
            <w:vAlign w:val="bottom"/>
          </w:tcPr>
          <w:p>
            <w:pPr>
              <w:spacing w:after="0"/>
              <w:rPr>
                <w:sz w:val="16"/>
                <w:szCs w:val="16"/>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(1,064 )</w:t>
            </w:r>
          </w:p>
        </w:tc>
        <w:tc>
          <w:tcPr>
            <w:tcW w:w="400" w:type="dxa"/>
            <w:vAlign w:val="bottom"/>
          </w:tcPr>
          <w:p>
            <w:pPr>
              <w:spacing w:after="0"/>
              <w:rPr>
                <w:sz w:val="16"/>
                <w:szCs w:val="16"/>
                <w:color w:val="auto"/>
              </w:rPr>
            </w:pPr>
          </w:p>
        </w:tc>
        <w:tc>
          <w:tcPr>
            <w:tcW w:w="9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(1,156 )</w:t>
            </w:r>
          </w:p>
        </w:tc>
        <w:tc>
          <w:tcPr>
            <w:tcW w:w="0" w:type="dxa"/>
            <w:vAlign w:val="bottom"/>
          </w:tcPr>
          <w:p>
            <w:pPr>
              <w:spacing w:after="0"/>
              <w:rPr>
                <w:sz w:val="1"/>
                <w:szCs w:val="1"/>
                <w:color w:val="auto"/>
              </w:rPr>
            </w:pPr>
          </w:p>
        </w:tc>
      </w:tr>
      <w:tr>
        <w:trPr>
          <w:trHeight w:val="57"/>
        </w:trPr>
        <w:tc>
          <w:tcPr>
            <w:tcW w:w="5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46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40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5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from unconsolidated joint venture</w:t>
            </w:r>
          </w:p>
        </w:tc>
        <w:tc>
          <w:tcPr>
            <w:tcW w:w="32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24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2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54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Total other income</w:t>
            </w:r>
          </w:p>
        </w:tc>
        <w:tc>
          <w:tcPr>
            <w:tcW w:w="3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1,312</w:t>
            </w:r>
          </w:p>
        </w:tc>
        <w:tc>
          <w:tcPr>
            <w:tcW w:w="240" w:type="dxa"/>
            <w:vAlign w:val="bottom"/>
            <w:tcBorders>
              <w:top w:val="single" w:sz="8" w:color="CFF0FC"/>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1,326</w:t>
            </w:r>
          </w:p>
        </w:tc>
        <w:tc>
          <w:tcPr>
            <w:tcW w:w="220" w:type="dxa"/>
            <w:vAlign w:val="bottom"/>
            <w:tcBorders>
              <w:top w:val="single" w:sz="8" w:color="CFF0FC"/>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4,140</w:t>
            </w:r>
          </w:p>
        </w:tc>
        <w:tc>
          <w:tcPr>
            <w:tcW w:w="220" w:type="dxa"/>
            <w:vAlign w:val="bottom"/>
            <w:tcBorders>
              <w:top w:val="single" w:sz="8" w:color="CFF0FC"/>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4,333</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54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vMerge w:val="continue"/>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vMerge w:val="continue"/>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vMerge w:val="continue"/>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54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32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(10,169 )</w:t>
            </w:r>
          </w:p>
        </w:tc>
        <w:tc>
          <w:tcPr>
            <w:tcW w:w="46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(11,871 )</w:t>
            </w:r>
          </w:p>
        </w:tc>
        <w:tc>
          <w:tcPr>
            <w:tcW w:w="28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(40,487 )</w:t>
            </w:r>
          </w:p>
        </w:tc>
        <w:tc>
          <w:tcPr>
            <w:tcW w:w="4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(56,704 )</w:t>
            </w:r>
          </w:p>
        </w:tc>
        <w:tc>
          <w:tcPr>
            <w:tcW w:w="0" w:type="dxa"/>
            <w:vAlign w:val="bottom"/>
          </w:tcPr>
          <w:p>
            <w:pPr>
              <w:spacing w:after="0"/>
              <w:rPr>
                <w:sz w:val="1"/>
                <w:szCs w:val="1"/>
                <w:color w:val="auto"/>
              </w:rPr>
            </w:pPr>
          </w:p>
        </w:tc>
      </w:tr>
      <w:tr>
        <w:trPr>
          <w:trHeight w:val="186"/>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320" w:type="dxa"/>
            <w:vAlign w:val="bottom"/>
          </w:tcPr>
          <w:p>
            <w:pPr>
              <w:spacing w:after="0"/>
              <w:rPr>
                <w:sz w:val="16"/>
                <w:szCs w:val="16"/>
                <w:color w:val="auto"/>
              </w:rPr>
            </w:pPr>
          </w:p>
        </w:tc>
        <w:tc>
          <w:tcPr>
            <w:tcW w:w="13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(30 )</w:t>
            </w:r>
          </w:p>
        </w:tc>
        <w:tc>
          <w:tcPr>
            <w:tcW w:w="460" w:type="dxa"/>
            <w:vAlign w:val="bottom"/>
          </w:tcPr>
          <w:p>
            <w:pPr>
              <w:spacing w:after="0"/>
              <w:rPr>
                <w:sz w:val="16"/>
                <w:szCs w:val="16"/>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(139 )</w:t>
            </w:r>
          </w:p>
        </w:tc>
        <w:tc>
          <w:tcPr>
            <w:tcW w:w="280" w:type="dxa"/>
            <w:vAlign w:val="bottom"/>
          </w:tcPr>
          <w:p>
            <w:pPr>
              <w:spacing w:after="0"/>
              <w:rPr>
                <w:sz w:val="16"/>
                <w:szCs w:val="16"/>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(20 )</w:t>
            </w:r>
          </w:p>
        </w:tc>
        <w:tc>
          <w:tcPr>
            <w:tcW w:w="400" w:type="dxa"/>
            <w:vAlign w:val="bottom"/>
          </w:tcPr>
          <w:p>
            <w:pPr>
              <w:spacing w:after="0"/>
              <w:rPr>
                <w:sz w:val="16"/>
                <w:szCs w:val="16"/>
                <w:color w:val="auto"/>
              </w:rPr>
            </w:pPr>
          </w:p>
        </w:tc>
        <w:tc>
          <w:tcPr>
            <w:tcW w:w="9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(208 )</w:t>
            </w:r>
          </w:p>
        </w:tc>
        <w:tc>
          <w:tcPr>
            <w:tcW w:w="0" w:type="dxa"/>
            <w:vAlign w:val="bottom"/>
          </w:tcPr>
          <w:p>
            <w:pPr>
              <w:spacing w:after="0"/>
              <w:rPr>
                <w:sz w:val="1"/>
                <w:szCs w:val="1"/>
                <w:color w:val="auto"/>
              </w:rPr>
            </w:pPr>
          </w:p>
        </w:tc>
      </w:tr>
      <w:tr>
        <w:trPr>
          <w:trHeight w:val="43"/>
        </w:trPr>
        <w:tc>
          <w:tcPr>
            <w:tcW w:w="5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46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40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4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32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(10,199 )</w:t>
            </w:r>
          </w:p>
        </w:tc>
        <w:tc>
          <w:tcPr>
            <w:tcW w:w="46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(12,010 )</w:t>
            </w:r>
          </w:p>
        </w:tc>
        <w:tc>
          <w:tcPr>
            <w:tcW w:w="28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(40,507 )</w:t>
            </w:r>
          </w:p>
        </w:tc>
        <w:tc>
          <w:tcPr>
            <w:tcW w:w="4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(56,912 )</w:t>
            </w:r>
          </w:p>
        </w:tc>
        <w:tc>
          <w:tcPr>
            <w:tcW w:w="0" w:type="dxa"/>
            <w:vAlign w:val="bottom"/>
          </w:tcPr>
          <w:p>
            <w:pPr>
              <w:spacing w:after="0"/>
              <w:rPr>
                <w:sz w:val="1"/>
                <w:szCs w:val="1"/>
                <w:color w:val="auto"/>
              </w:rPr>
            </w:pPr>
          </w:p>
        </w:tc>
      </w:tr>
      <w:tr>
        <w:trPr>
          <w:trHeight w:val="186"/>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attributable to noncontrolling interest</w:t>
            </w:r>
          </w:p>
        </w:tc>
        <w:tc>
          <w:tcPr>
            <w:tcW w:w="3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54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vMerge w:val="continue"/>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vMerge w:val="continue"/>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b w:val="1"/>
                <w:bCs w:val="1"/>
                <w:color w:val="auto"/>
              </w:rPr>
              <w:t>Net loss attributable to common stockholders</w:t>
            </w:r>
          </w:p>
        </w:tc>
        <w:tc>
          <w:tcPr>
            <w:tcW w:w="32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(10,199 )</w:t>
            </w:r>
          </w:p>
        </w:tc>
        <w:tc>
          <w:tcPr>
            <w:tcW w:w="460" w:type="dxa"/>
            <w:vAlign w:val="bottom"/>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(12,023 )</w:t>
            </w:r>
          </w:p>
        </w:tc>
        <w:tc>
          <w:tcPr>
            <w:tcW w:w="2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(40,512 )</w:t>
            </w:r>
          </w:p>
        </w:tc>
        <w:tc>
          <w:tcPr>
            <w:tcW w:w="400" w:type="dxa"/>
            <w:vAlign w:val="bottom"/>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(56,921 )</w:t>
            </w:r>
          </w:p>
        </w:tc>
        <w:tc>
          <w:tcPr>
            <w:tcW w:w="0" w:type="dxa"/>
            <w:vAlign w:val="bottom"/>
          </w:tcPr>
          <w:p>
            <w:pPr>
              <w:spacing w:after="0"/>
              <w:rPr>
                <w:sz w:val="1"/>
                <w:szCs w:val="1"/>
                <w:color w:val="auto"/>
              </w:rPr>
            </w:pPr>
          </w:p>
        </w:tc>
      </w:tr>
      <w:tr>
        <w:trPr>
          <w:trHeight w:val="20"/>
        </w:trPr>
        <w:tc>
          <w:tcPr>
            <w:tcW w:w="54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per share, basic and diluted, of Class A and Class B common stock</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(0.21 )</w:t>
            </w: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(0.25 )</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(0.83 )</w:t>
            </w: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(1.19 )</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5440" w:type="dxa"/>
            <w:vAlign w:val="bottom"/>
            <w:shd w:val="clear" w:color="auto" w:fill="CFF0FC"/>
          </w:tcPr>
          <w:p>
            <w:pPr>
              <w:ind w:left="20"/>
              <w:spacing w:after="0" w:line="119" w:lineRule="exact"/>
              <w:rPr>
                <w:sz w:val="20"/>
                <w:szCs w:val="20"/>
                <w:color w:val="auto"/>
              </w:rPr>
            </w:pPr>
            <w:r>
              <w:rPr>
                <w:rFonts w:ascii="Times New Roman" w:cs="Times New Roman" w:eastAsia="Times New Roman" w:hAnsi="Times New Roman"/>
                <w:sz w:val="13"/>
                <w:szCs w:val="13"/>
                <w:color w:val="auto"/>
              </w:rPr>
              <w:t>Weighted-average number of shares outstanding used to compute</w:t>
            </w:r>
          </w:p>
        </w:tc>
        <w:tc>
          <w:tcPr>
            <w:tcW w:w="32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49,282,164</w:t>
            </w: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47,989,277</w:t>
            </w: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48,901,475</w:t>
            </w:r>
          </w:p>
        </w:tc>
        <w:tc>
          <w:tcPr>
            <w:tcW w:w="2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47,852,671</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5440" w:type="dxa"/>
            <w:vAlign w:val="bottom"/>
            <w:tcBorders>
              <w:bottom w:val="single" w:sz="8" w:color="CFF0FC"/>
            </w:tcBorders>
            <w:shd w:val="clear" w:color="auto" w:fill="CFF0FC"/>
          </w:tcPr>
          <w:p>
            <w:pPr>
              <w:ind w:left="120"/>
              <w:spacing w:after="0" w:line="124" w:lineRule="exact"/>
              <w:rPr>
                <w:sz w:val="20"/>
                <w:szCs w:val="20"/>
                <w:color w:val="auto"/>
              </w:rPr>
            </w:pPr>
            <w:r>
              <w:rPr>
                <w:rFonts w:ascii="Times New Roman" w:cs="Times New Roman" w:eastAsia="Times New Roman" w:hAnsi="Times New Roman"/>
                <w:sz w:val="14"/>
                <w:szCs w:val="14"/>
                <w:color w:val="auto"/>
              </w:rPr>
              <w:t>net loss per share, basic and diluted, of Class A and Class B common stock</w:t>
            </w:r>
          </w:p>
        </w:tc>
        <w:tc>
          <w:tcPr>
            <w:tcW w:w="32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vMerge w:val="continue"/>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vMerge w:val="continue"/>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vMerge w:val="continue"/>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vMerge w:val="continue"/>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643"/>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3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(10,199 )</w:t>
            </w:r>
          </w:p>
        </w:tc>
        <w:tc>
          <w:tcPr>
            <w:tcW w:w="46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(12,010 )</w:t>
            </w:r>
          </w:p>
        </w:tc>
        <w:tc>
          <w:tcPr>
            <w:tcW w:w="2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(40,507 )</w:t>
            </w:r>
          </w:p>
        </w:tc>
        <w:tc>
          <w:tcPr>
            <w:tcW w:w="4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(56,912 )</w:t>
            </w:r>
          </w:p>
        </w:tc>
        <w:tc>
          <w:tcPr>
            <w:tcW w:w="0" w:type="dxa"/>
            <w:vAlign w:val="bottom"/>
          </w:tcPr>
          <w:p>
            <w:pPr>
              <w:spacing w:after="0"/>
              <w:rPr>
                <w:sz w:val="1"/>
                <w:szCs w:val="1"/>
                <w:color w:val="auto"/>
              </w:rPr>
            </w:pPr>
          </w:p>
        </w:tc>
      </w:tr>
      <w:tr>
        <w:trPr>
          <w:trHeight w:val="66"/>
        </w:trPr>
        <w:tc>
          <w:tcPr>
            <w:tcW w:w="544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400" w:type="dxa"/>
            <w:vAlign w:val="bottom"/>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32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5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3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795</w:t>
            </w: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54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vMerge w:val="continue"/>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vMerge w:val="continue"/>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vMerge w:val="continue"/>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4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Total other comprehensive income</w:t>
            </w:r>
          </w:p>
        </w:tc>
        <w:tc>
          <w:tcPr>
            <w:tcW w:w="32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795</w:t>
            </w:r>
          </w:p>
        </w:tc>
        <w:tc>
          <w:tcPr>
            <w:tcW w:w="24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2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22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320" w:type="dxa"/>
            <w:vAlign w:val="bottom"/>
          </w:tcPr>
          <w:p>
            <w:pPr>
              <w:spacing w:after="0"/>
              <w:rPr>
                <w:sz w:val="15"/>
                <w:szCs w:val="15"/>
                <w:color w:val="auto"/>
              </w:rPr>
            </w:pPr>
          </w:p>
        </w:tc>
        <w:tc>
          <w:tcPr>
            <w:tcW w:w="13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(9,404 )</w:t>
            </w:r>
          </w:p>
        </w:tc>
        <w:tc>
          <w:tcPr>
            <w:tcW w:w="46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(11,919 )</w:t>
            </w:r>
          </w:p>
        </w:tc>
        <w:tc>
          <w:tcPr>
            <w:tcW w:w="280" w:type="dxa"/>
            <w:vAlign w:val="bottom"/>
          </w:tcPr>
          <w:p>
            <w:pPr>
              <w:spacing w:after="0"/>
              <w:rPr>
                <w:sz w:val="15"/>
                <w:szCs w:val="15"/>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(40,077 )</w:t>
            </w:r>
          </w:p>
        </w:tc>
        <w:tc>
          <w:tcPr>
            <w:tcW w:w="400" w:type="dxa"/>
            <w:vAlign w:val="bottom"/>
          </w:tcPr>
          <w:p>
            <w:pPr>
              <w:spacing w:after="0"/>
              <w:rPr>
                <w:sz w:val="15"/>
                <w:szCs w:val="15"/>
                <w:color w:val="auto"/>
              </w:rPr>
            </w:pPr>
          </w:p>
        </w:tc>
        <w:tc>
          <w:tcPr>
            <w:tcW w:w="9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(56,462 )</w:t>
            </w:r>
          </w:p>
        </w:tc>
        <w:tc>
          <w:tcPr>
            <w:tcW w:w="0" w:type="dxa"/>
            <w:vAlign w:val="bottom"/>
          </w:tcPr>
          <w:p>
            <w:pPr>
              <w:spacing w:after="0"/>
              <w:rPr>
                <w:sz w:val="1"/>
                <w:szCs w:val="1"/>
                <w:color w:val="auto"/>
              </w:rPr>
            </w:pPr>
          </w:p>
        </w:tc>
      </w:tr>
      <w:tr>
        <w:trPr>
          <w:trHeight w:val="55"/>
        </w:trPr>
        <w:tc>
          <w:tcPr>
            <w:tcW w:w="5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46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40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5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Comprehensive (loss) income attributable to noncontrolling interest</w:t>
            </w:r>
          </w:p>
        </w:tc>
        <w:tc>
          <w:tcPr>
            <w:tcW w:w="32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(23 )</w:t>
            </w:r>
          </w:p>
        </w:tc>
        <w:tc>
          <w:tcPr>
            <w:tcW w:w="46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comprehensive loss attributable to common stockholders</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(9,381 )</w:t>
            </w: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(11,940 )</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(40,085 )</w:t>
            </w: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(56,507 )</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4337685</wp:posOffset>
            </wp:positionH>
            <wp:positionV relativeFrom="paragraph">
              <wp:posOffset>-4528820</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-4528820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-4528820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-4528820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4337685</wp:posOffset>
            </wp:positionH>
            <wp:positionV relativeFrom="paragraph">
              <wp:posOffset>-3604260</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-3604260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-3604260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-3604260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4337685</wp:posOffset>
            </wp:positionH>
            <wp:positionV relativeFrom="paragraph">
              <wp:posOffset>-2679700</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-2679700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-2679700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-2679700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4337685</wp:posOffset>
            </wp:positionH>
            <wp:positionV relativeFrom="paragraph">
              <wp:posOffset>-1771650</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4337685</wp:posOffset>
            </wp:positionH>
            <wp:positionV relativeFrom="paragraph">
              <wp:posOffset>-1754505</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-1771650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-1754505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-1771650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-1754505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-1771650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-1754505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4337685</wp:posOffset>
            </wp:positionH>
            <wp:positionV relativeFrom="paragraph">
              <wp:posOffset>-1412240</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4337685</wp:posOffset>
            </wp:positionH>
            <wp:positionV relativeFrom="paragraph">
              <wp:posOffset>-1395095</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-1412240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-1395095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-1412240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-1395095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-1412240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-1395095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4337685</wp:posOffset>
            </wp:positionH>
            <wp:positionV relativeFrom="paragraph">
              <wp:posOffset>-470535</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-470535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-470535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-470535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4337685</wp:posOffset>
            </wp:positionH>
            <wp:positionV relativeFrom="paragraph">
              <wp:posOffset>-161925</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-161925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-161925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See accompanying notes to the unaudited condensed consolidated financial statements.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XOMETRY,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Three months ended September 30,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center"/>
              <w:ind w:right="129"/>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4"/>
          </w:tcPr>
          <w:p>
            <w:pPr>
              <w:jc w:val="center"/>
              <w:ind w:left="7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Class B - Common</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109"/>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w:t>
            </w:r>
          </w:p>
        </w:tc>
        <w:tc>
          <w:tcPr>
            <w:tcW w:w="100" w:type="dxa"/>
            <w:vAlign w:val="bottom"/>
          </w:tcPr>
          <w:p>
            <w:pPr>
              <w:spacing w:after="0"/>
              <w:rPr>
                <w:sz w:val="11"/>
                <w:szCs w:val="11"/>
                <w:color w:val="auto"/>
              </w:rPr>
            </w:pPr>
          </w:p>
        </w:tc>
        <w:tc>
          <w:tcPr>
            <w:tcW w:w="1640" w:type="dxa"/>
            <w:vAlign w:val="bottom"/>
            <w:gridSpan w:val="6"/>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Accumulate   Stockholder</w:t>
            </w:r>
          </w:p>
        </w:tc>
        <w:tc>
          <w:tcPr>
            <w:tcW w:w="78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Noncontrol</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960" w:type="dxa"/>
            <w:vAlign w:val="bottom"/>
          </w:tcPr>
          <w:p>
            <w:pPr>
              <w:spacing w:after="0"/>
              <w:rPr>
                <w:sz w:val="14"/>
                <w:szCs w:val="14"/>
                <w:color w:val="auto"/>
              </w:rPr>
            </w:pPr>
          </w:p>
        </w:tc>
        <w:tc>
          <w:tcPr>
            <w:tcW w:w="140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w w:val="96"/>
              </w:rPr>
              <w:t>Class A - Common Stock</w:t>
            </w:r>
          </w:p>
        </w:tc>
        <w:tc>
          <w:tcPr>
            <w:tcW w:w="120" w:type="dxa"/>
            <w:vAlign w:val="bottom"/>
          </w:tcPr>
          <w:p>
            <w:pPr>
              <w:spacing w:after="0"/>
              <w:rPr>
                <w:sz w:val="14"/>
                <w:szCs w:val="14"/>
                <w:color w:val="auto"/>
              </w:rPr>
            </w:pPr>
          </w:p>
        </w:tc>
        <w:tc>
          <w:tcPr>
            <w:tcW w:w="820" w:type="dxa"/>
            <w:vAlign w:val="bottom"/>
            <w:gridSpan w:val="3"/>
          </w:tcPr>
          <w:p>
            <w:pPr>
              <w:jc w:val="center"/>
              <w:ind w:left="41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3"/>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d</w:t>
            </w: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w:t>
            </w:r>
          </w:p>
        </w:tc>
        <w:tc>
          <w:tcPr>
            <w:tcW w:w="120" w:type="dxa"/>
            <w:vAlign w:val="bottom"/>
          </w:tcPr>
          <w:p>
            <w:pPr>
              <w:spacing w:after="0"/>
              <w:rPr>
                <w:sz w:val="14"/>
                <w:szCs w:val="14"/>
                <w:color w:val="auto"/>
              </w:rPr>
            </w:pPr>
          </w:p>
        </w:tc>
        <w:tc>
          <w:tcPr>
            <w:tcW w:w="6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ling</w:t>
            </w:r>
          </w:p>
        </w:tc>
        <w:tc>
          <w:tcPr>
            <w:tcW w:w="16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7"/>
        </w:trPr>
        <w:tc>
          <w:tcPr>
            <w:tcW w:w="2960" w:type="dxa"/>
            <w:vAlign w:val="bottom"/>
          </w:tcPr>
          <w:p>
            <w:pPr>
              <w:spacing w:after="0"/>
              <w:rPr>
                <w:sz w:val="14"/>
                <w:szCs w:val="14"/>
                <w:color w:val="auto"/>
              </w:rPr>
            </w:pPr>
          </w:p>
        </w:tc>
        <w:tc>
          <w:tcPr>
            <w:tcW w:w="7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4"/>
                <w:szCs w:val="14"/>
                <w:color w:val="auto"/>
              </w:rPr>
            </w:pPr>
          </w:p>
        </w:tc>
        <w:tc>
          <w:tcPr>
            <w:tcW w:w="5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20" w:type="dxa"/>
            <w:vAlign w:val="bottom"/>
          </w:tcPr>
          <w:p>
            <w:pPr>
              <w:spacing w:after="0"/>
              <w:rPr>
                <w:sz w:val="14"/>
                <w:szCs w:val="14"/>
                <w:color w:val="auto"/>
              </w:rPr>
            </w:pPr>
          </w:p>
        </w:tc>
        <w:tc>
          <w:tcPr>
            <w:tcW w:w="6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w w:val="92"/>
              </w:rPr>
              <w:t>Interest</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9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June 30, 2024</w:t>
            </w:r>
          </w:p>
        </w:tc>
        <w:tc>
          <w:tcPr>
            <w:tcW w:w="780" w:type="dxa"/>
            <w:vAlign w:val="bottom"/>
            <w:shd w:val="clear" w:color="auto" w:fill="CFF0FC"/>
          </w:tcPr>
          <w:p>
            <w:pPr>
              <w:jc w:val="right"/>
              <w:spacing w:after="0" w:line="134" w:lineRule="exact"/>
              <w:rPr>
                <w:sz w:val="20"/>
                <w:szCs w:val="20"/>
                <w:color w:val="auto"/>
              </w:rPr>
            </w:pPr>
            <w:r>
              <w:rPr>
                <w:rFonts w:ascii="Times New Roman" w:cs="Times New Roman" w:eastAsia="Times New Roman" w:hAnsi="Times New Roman"/>
                <w:sz w:val="14"/>
                <w:szCs w:val="14"/>
                <w:color w:val="auto"/>
              </w:rPr>
              <w:t>46,322,81</w:t>
            </w:r>
          </w:p>
        </w:tc>
        <w:tc>
          <w:tcPr>
            <w:tcW w:w="340" w:type="dxa"/>
            <w:vAlign w:val="bottom"/>
            <w:gridSpan w:val="2"/>
            <w:vMerge w:val="restart"/>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gridSpan w:val="2"/>
            <w:shd w:val="clear" w:color="auto" w:fill="CFF0FC"/>
          </w:tcPr>
          <w:p>
            <w:pPr>
              <w:jc w:val="right"/>
              <w:spacing w:after="0" w:line="134" w:lineRule="exact"/>
              <w:rPr>
                <w:sz w:val="20"/>
                <w:szCs w:val="20"/>
                <w:color w:val="auto"/>
              </w:rPr>
            </w:pPr>
            <w:r>
              <w:rPr>
                <w:rFonts w:ascii="Times New Roman" w:cs="Times New Roman" w:eastAsia="Times New Roman" w:hAnsi="Times New Roman"/>
                <w:sz w:val="14"/>
                <w:szCs w:val="14"/>
                <w:color w:val="auto"/>
              </w:rPr>
              <w:t>2,676,15</w:t>
            </w:r>
          </w:p>
        </w:tc>
        <w:tc>
          <w:tcPr>
            <w:tcW w:w="1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3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665,555</w:t>
            </w:r>
          </w:p>
        </w:tc>
        <w:tc>
          <w:tcPr>
            <w:tcW w:w="26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(350,185 )</w:t>
            </w:r>
          </w:p>
        </w:tc>
        <w:tc>
          <w:tcPr>
            <w:tcW w:w="120" w:type="dxa"/>
            <w:vAlign w:val="bottom"/>
            <w:shd w:val="clear" w:color="auto" w:fill="CFF0FC"/>
          </w:tcPr>
          <w:p>
            <w:pPr>
              <w:spacing w:after="0"/>
              <w:rPr>
                <w:sz w:val="11"/>
                <w:szCs w:val="11"/>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315,834</w:t>
            </w:r>
          </w:p>
        </w:tc>
        <w:tc>
          <w:tcPr>
            <w:tcW w:w="100" w:type="dxa"/>
            <w:vAlign w:val="bottom"/>
            <w:shd w:val="clear" w:color="auto" w:fill="CFF0FC"/>
          </w:tcPr>
          <w:p>
            <w:pPr>
              <w:spacing w:after="0"/>
              <w:rPr>
                <w:sz w:val="11"/>
                <w:szCs w:val="11"/>
                <w:color w:val="auto"/>
              </w:rPr>
            </w:pPr>
          </w:p>
        </w:tc>
        <w:tc>
          <w:tcPr>
            <w:tcW w:w="12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1,150</w:t>
            </w:r>
          </w:p>
        </w:tc>
        <w:tc>
          <w:tcPr>
            <w:tcW w:w="120" w:type="dxa"/>
            <w:vAlign w:val="bottom"/>
            <w:shd w:val="clear" w:color="auto" w:fill="CFF0FC"/>
          </w:tcPr>
          <w:p>
            <w:pPr>
              <w:spacing w:after="0"/>
              <w:rPr>
                <w:sz w:val="11"/>
                <w:szCs w:val="11"/>
                <w:color w:val="auto"/>
              </w:rPr>
            </w:pPr>
          </w:p>
        </w:tc>
        <w:tc>
          <w:tcPr>
            <w:tcW w:w="16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316,984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960" w:type="dxa"/>
            <w:vAlign w:val="bottom"/>
            <w:vMerge w:val="continue"/>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340" w:type="dxa"/>
            <w:vAlign w:val="bottom"/>
            <w:gridSpan w:val="2"/>
            <w:vMerge w:val="continue"/>
            <w:shd w:val="clear" w:color="auto" w:fill="CFF0FC"/>
          </w:tcPr>
          <w:p>
            <w:pPr>
              <w:spacing w:after="0"/>
              <w:rPr>
                <w:sz w:val="16"/>
                <w:szCs w:val="16"/>
                <w:color w:val="auto"/>
              </w:rPr>
            </w:pPr>
          </w:p>
        </w:tc>
        <w:tc>
          <w:tcPr>
            <w:tcW w:w="280" w:type="dxa"/>
            <w:vAlign w:val="bottom"/>
            <w:vMerge w:val="continue"/>
            <w:shd w:val="clear" w:color="auto" w:fill="CFF0FC"/>
          </w:tcPr>
          <w:p>
            <w:pPr>
              <w:spacing w:after="0"/>
              <w:rPr>
                <w:sz w:val="16"/>
                <w:szCs w:val="16"/>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20" w:type="dxa"/>
            <w:vAlign w:val="bottom"/>
            <w:vMerge w:val="continue"/>
            <w:shd w:val="clear" w:color="auto" w:fill="CFF0FC"/>
          </w:tcPr>
          <w:p>
            <w:pPr>
              <w:spacing w:after="0"/>
              <w:rPr>
                <w:sz w:val="16"/>
                <w:szCs w:val="16"/>
                <w:color w:val="auto"/>
              </w:rPr>
            </w:pPr>
          </w:p>
        </w:tc>
        <w:tc>
          <w:tcPr>
            <w:tcW w:w="180" w:type="dxa"/>
            <w:vAlign w:val="bottom"/>
            <w:vMerge w:val="continue"/>
            <w:shd w:val="clear" w:color="auto" w:fill="CFF0FC"/>
          </w:tcPr>
          <w:p>
            <w:pPr>
              <w:spacing w:after="0"/>
              <w:rPr>
                <w:sz w:val="16"/>
                <w:szCs w:val="16"/>
                <w:color w:val="auto"/>
              </w:rPr>
            </w:pPr>
          </w:p>
        </w:tc>
        <w:tc>
          <w:tcPr>
            <w:tcW w:w="220" w:type="dxa"/>
            <w:vAlign w:val="bottom"/>
            <w:gridSpan w:val="2"/>
            <w:vMerge w:val="continue"/>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260" w:type="dxa"/>
            <w:vAlign w:val="bottom"/>
            <w:gridSpan w:val="2"/>
            <w:vMerge w:val="continue"/>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240" w:type="dxa"/>
            <w:vAlign w:val="bottom"/>
            <w:gridSpan w:val="2"/>
            <w:vMerge w:val="continue"/>
            <w:shd w:val="clear" w:color="auto" w:fill="CFF0FC"/>
          </w:tcPr>
          <w:p>
            <w:pPr>
              <w:spacing w:after="0"/>
              <w:rPr>
                <w:sz w:val="16"/>
                <w:szCs w:val="16"/>
                <w:color w:val="auto"/>
              </w:rPr>
            </w:pPr>
          </w:p>
        </w:tc>
        <w:tc>
          <w:tcPr>
            <w:tcW w:w="70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54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vMerge w:val="continue"/>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common stock options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277,829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5"/>
                <w:szCs w:val="15"/>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148,029</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5"/>
                <w:szCs w:val="15"/>
                <w:color w:val="auto"/>
              </w:rPr>
            </w:pPr>
          </w:p>
        </w:tc>
        <w:tc>
          <w:tcPr>
            <w:tcW w:w="8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5"/>
                <w:szCs w:val="15"/>
                <w:color w:val="auto"/>
              </w:rPr>
            </w:pP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Donated common stock</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20,133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5"/>
                <w:szCs w:val="15"/>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 based compensation</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5"/>
                <w:szCs w:val="15"/>
                <w:color w:val="auto"/>
              </w:rPr>
            </w:pPr>
          </w:p>
        </w:tc>
        <w:tc>
          <w:tcPr>
            <w:tcW w:w="8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5"/>
                <w:szCs w:val="15"/>
                <w:color w:val="auto"/>
              </w:rPr>
            </w:pP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6,954</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6,954</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6,954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5"/>
                <w:szCs w:val="15"/>
                <w:color w:val="auto"/>
              </w:rPr>
            </w:pPr>
          </w:p>
        </w:tc>
        <w:tc>
          <w:tcPr>
            <w:tcW w:w="8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5"/>
                <w:szCs w:val="15"/>
                <w:color w:val="auto"/>
              </w:rPr>
            </w:pP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818</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818</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(23 )</w:t>
            </w: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5"/>
                <w:szCs w:val="15"/>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(10,199 )</w:t>
            </w:r>
          </w:p>
        </w:tc>
        <w:tc>
          <w:tcPr>
            <w:tcW w:w="12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(10,199 )</w:t>
            </w:r>
          </w:p>
        </w:tc>
        <w:tc>
          <w:tcPr>
            <w:tcW w:w="12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(10,199 )</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comprehensive loss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(9,381 )</w:t>
            </w: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(23 )</w:t>
            </w:r>
          </w:p>
        </w:tc>
        <w:tc>
          <w:tcPr>
            <w:tcW w:w="1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(9,404 )</w:t>
            </w:r>
          </w:p>
        </w:tc>
        <w:tc>
          <w:tcPr>
            <w:tcW w:w="0" w:type="dxa"/>
            <w:vAlign w:val="bottom"/>
          </w:tcPr>
          <w:p>
            <w:pPr>
              <w:spacing w:after="0"/>
              <w:rPr>
                <w:sz w:val="1"/>
                <w:szCs w:val="1"/>
                <w:color w:val="auto"/>
              </w:rPr>
            </w:pPr>
          </w:p>
        </w:tc>
      </w:tr>
      <w:tr>
        <w:trPr>
          <w:trHeight w:val="133"/>
        </w:trPr>
        <w:tc>
          <w:tcPr>
            <w:tcW w:w="2960" w:type="dxa"/>
            <w:vAlign w:val="bottom"/>
            <w:tcBorders>
              <w:top w:val="single" w:sz="8" w:color="CFF0FC"/>
            </w:tcBorders>
          </w:tcPr>
          <w:p>
            <w:pPr>
              <w:spacing w:after="0"/>
              <w:rPr>
                <w:sz w:val="11"/>
                <w:szCs w:val="11"/>
                <w:color w:val="auto"/>
              </w:rPr>
            </w:pPr>
          </w:p>
        </w:tc>
        <w:tc>
          <w:tcPr>
            <w:tcW w:w="7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46,768,80</w:t>
            </w:r>
          </w:p>
        </w:tc>
        <w:tc>
          <w:tcPr>
            <w:tcW w:w="120" w:type="dxa"/>
            <w:vAlign w:val="bottom"/>
            <w:tcBorders>
              <w:top w:val="single" w:sz="8" w:color="CFF0FC"/>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6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2,676,15</w:t>
            </w:r>
          </w:p>
        </w:tc>
        <w:tc>
          <w:tcPr>
            <w:tcW w:w="120" w:type="dxa"/>
            <w:vAlign w:val="bottom"/>
            <w:tcBorders>
              <w:top w:val="single" w:sz="8" w:color="CFF0FC"/>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September 30, 2024</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674,335</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(360,384 ) $</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315,233</w:t>
            </w:r>
          </w:p>
        </w:tc>
        <w:tc>
          <w:tcPr>
            <w:tcW w:w="10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1,127</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316,360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9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June 30, 2023</w:t>
            </w:r>
          </w:p>
        </w:tc>
        <w:tc>
          <w:tcPr>
            <w:tcW w:w="78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45,243,44</w:t>
            </w:r>
          </w:p>
        </w:tc>
        <w:tc>
          <w:tcPr>
            <w:tcW w:w="340" w:type="dxa"/>
            <w:vAlign w:val="bottom"/>
            <w:gridSpan w:val="2"/>
            <w:vMerge w:val="restart"/>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2,676,15</w:t>
            </w: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635,267</w:t>
            </w:r>
          </w:p>
        </w:tc>
        <w:tc>
          <w:tcPr>
            <w:tcW w:w="26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(294,264 ) $</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341,362</w:t>
            </w:r>
          </w:p>
        </w:tc>
        <w:tc>
          <w:tcPr>
            <w:tcW w:w="100" w:type="dxa"/>
            <w:vAlign w:val="bottom"/>
            <w:shd w:val="clear" w:color="auto" w:fill="CFF0FC"/>
          </w:tcPr>
          <w:p>
            <w:pPr>
              <w:spacing w:after="0"/>
              <w:rPr>
                <w:sz w:val="12"/>
                <w:szCs w:val="12"/>
                <w:color w:val="auto"/>
              </w:rPr>
            </w:pPr>
          </w:p>
        </w:tc>
        <w:tc>
          <w:tcPr>
            <w:tcW w:w="12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1,114</w:t>
            </w:r>
          </w:p>
        </w:tc>
        <w:tc>
          <w:tcPr>
            <w:tcW w:w="120" w:type="dxa"/>
            <w:vAlign w:val="bottom"/>
            <w:shd w:val="clear" w:color="auto" w:fill="CFF0FC"/>
          </w:tcPr>
          <w:p>
            <w:pPr>
              <w:spacing w:after="0"/>
              <w:rPr>
                <w:sz w:val="12"/>
                <w:szCs w:val="12"/>
                <w:color w:val="auto"/>
              </w:rPr>
            </w:pPr>
          </w:p>
        </w:tc>
        <w:tc>
          <w:tcPr>
            <w:tcW w:w="16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342,476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960" w:type="dxa"/>
            <w:vAlign w:val="bottom"/>
            <w:vMerge w:val="continue"/>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340" w:type="dxa"/>
            <w:vAlign w:val="bottom"/>
            <w:gridSpan w:val="2"/>
            <w:vMerge w:val="continue"/>
            <w:shd w:val="clear" w:color="auto" w:fill="CFF0FC"/>
          </w:tcPr>
          <w:p>
            <w:pPr>
              <w:spacing w:after="0"/>
              <w:rPr>
                <w:sz w:val="16"/>
                <w:szCs w:val="16"/>
                <w:color w:val="auto"/>
              </w:rPr>
            </w:pPr>
          </w:p>
        </w:tc>
        <w:tc>
          <w:tcPr>
            <w:tcW w:w="280" w:type="dxa"/>
            <w:vAlign w:val="bottom"/>
            <w:vMerge w:val="continue"/>
            <w:shd w:val="clear" w:color="auto" w:fill="CFF0FC"/>
          </w:tcPr>
          <w:p>
            <w:pPr>
              <w:spacing w:after="0"/>
              <w:rPr>
                <w:sz w:val="16"/>
                <w:szCs w:val="16"/>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20" w:type="dxa"/>
            <w:vAlign w:val="bottom"/>
            <w:vMerge w:val="continue"/>
            <w:shd w:val="clear" w:color="auto" w:fill="CFF0FC"/>
          </w:tcPr>
          <w:p>
            <w:pPr>
              <w:spacing w:after="0"/>
              <w:rPr>
                <w:sz w:val="16"/>
                <w:szCs w:val="16"/>
                <w:color w:val="auto"/>
              </w:rPr>
            </w:pPr>
          </w:p>
        </w:tc>
        <w:tc>
          <w:tcPr>
            <w:tcW w:w="180" w:type="dxa"/>
            <w:vAlign w:val="bottom"/>
            <w:vMerge w:val="continue"/>
            <w:shd w:val="clear" w:color="auto" w:fill="CFF0FC"/>
          </w:tcPr>
          <w:p>
            <w:pPr>
              <w:spacing w:after="0"/>
              <w:rPr>
                <w:sz w:val="16"/>
                <w:szCs w:val="16"/>
                <w:color w:val="auto"/>
              </w:rPr>
            </w:pPr>
          </w:p>
        </w:tc>
        <w:tc>
          <w:tcPr>
            <w:tcW w:w="220" w:type="dxa"/>
            <w:vAlign w:val="bottom"/>
            <w:gridSpan w:val="2"/>
            <w:vMerge w:val="continue"/>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260" w:type="dxa"/>
            <w:vAlign w:val="bottom"/>
            <w:gridSpan w:val="2"/>
            <w:vMerge w:val="continue"/>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240" w:type="dxa"/>
            <w:vAlign w:val="bottom"/>
            <w:gridSpan w:val="2"/>
            <w:vMerge w:val="continue"/>
            <w:shd w:val="clear" w:color="auto" w:fill="CFF0FC"/>
          </w:tcPr>
          <w:p>
            <w:pPr>
              <w:spacing w:after="0"/>
              <w:rPr>
                <w:sz w:val="16"/>
                <w:szCs w:val="16"/>
                <w:color w:val="auto"/>
              </w:rPr>
            </w:pPr>
          </w:p>
        </w:tc>
        <w:tc>
          <w:tcPr>
            <w:tcW w:w="820" w:type="dxa"/>
            <w:vAlign w:val="bottom"/>
            <w:gridSpan w:val="3"/>
            <w:vMerge w:val="continue"/>
            <w:shd w:val="clear" w:color="auto" w:fill="CFF0FC"/>
          </w:tcPr>
          <w:p>
            <w:pPr>
              <w:spacing w:after="0"/>
              <w:rPr>
                <w:sz w:val="16"/>
                <w:szCs w:val="16"/>
                <w:color w:val="auto"/>
              </w:rPr>
            </w:pPr>
          </w:p>
        </w:tc>
        <w:tc>
          <w:tcPr>
            <w:tcW w:w="5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54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vMerge w:val="continue"/>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common stock options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33,516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5"/>
                <w:szCs w:val="15"/>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49,193</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5"/>
                <w:szCs w:val="15"/>
                <w:color w:val="auto"/>
              </w:rPr>
            </w:pPr>
          </w:p>
        </w:tc>
        <w:tc>
          <w:tcPr>
            <w:tcW w:w="8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5"/>
                <w:szCs w:val="15"/>
                <w:color w:val="auto"/>
              </w:rPr>
            </w:pP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Donated common stock</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20,133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5"/>
                <w:szCs w:val="15"/>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 based compensation</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5"/>
                <w:szCs w:val="15"/>
                <w:color w:val="auto"/>
              </w:rPr>
            </w:pPr>
          </w:p>
        </w:tc>
        <w:tc>
          <w:tcPr>
            <w:tcW w:w="8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5"/>
                <w:szCs w:val="15"/>
                <w:color w:val="auto"/>
              </w:rPr>
            </w:pP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5,730</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5,730</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5,730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5"/>
                <w:szCs w:val="15"/>
                <w:color w:val="auto"/>
              </w:rPr>
            </w:pPr>
          </w:p>
        </w:tc>
        <w:tc>
          <w:tcPr>
            <w:tcW w:w="8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5"/>
                <w:szCs w:val="15"/>
                <w:color w:val="auto"/>
              </w:rPr>
            </w:pP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(loss) income</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5"/>
                <w:szCs w:val="15"/>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(12,023 )</w:t>
            </w:r>
          </w:p>
        </w:tc>
        <w:tc>
          <w:tcPr>
            <w:tcW w:w="12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(12,023 )</w:t>
            </w: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(12,010 )</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comprehensive (loss) income</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(11,940 )</w:t>
            </w: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(11,919 )</w:t>
            </w:r>
          </w:p>
        </w:tc>
        <w:tc>
          <w:tcPr>
            <w:tcW w:w="0" w:type="dxa"/>
            <w:vAlign w:val="bottom"/>
          </w:tcPr>
          <w:p>
            <w:pPr>
              <w:spacing w:after="0"/>
              <w:rPr>
                <w:sz w:val="1"/>
                <w:szCs w:val="1"/>
                <w:color w:val="auto"/>
              </w:rPr>
            </w:pPr>
          </w:p>
        </w:tc>
      </w:tr>
      <w:tr>
        <w:trPr>
          <w:trHeight w:val="133"/>
        </w:trPr>
        <w:tc>
          <w:tcPr>
            <w:tcW w:w="2960" w:type="dxa"/>
            <w:vAlign w:val="bottom"/>
            <w:tcBorders>
              <w:top w:val="single" w:sz="8" w:color="CFF0FC"/>
            </w:tcBorders>
          </w:tcPr>
          <w:p>
            <w:pPr>
              <w:spacing w:after="0"/>
              <w:rPr>
                <w:sz w:val="11"/>
                <w:szCs w:val="11"/>
                <w:color w:val="auto"/>
              </w:rPr>
            </w:pPr>
          </w:p>
        </w:tc>
        <w:tc>
          <w:tcPr>
            <w:tcW w:w="7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45,346,28</w:t>
            </w:r>
          </w:p>
        </w:tc>
        <w:tc>
          <w:tcPr>
            <w:tcW w:w="120" w:type="dxa"/>
            <w:vAlign w:val="bottom"/>
            <w:tcBorders>
              <w:top w:val="single" w:sz="8" w:color="CFF0FC"/>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6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2,676,15</w:t>
            </w:r>
          </w:p>
        </w:tc>
        <w:tc>
          <w:tcPr>
            <w:tcW w:w="120" w:type="dxa"/>
            <w:vAlign w:val="bottom"/>
            <w:tcBorders>
              <w:top w:val="single" w:sz="8" w:color="CFF0FC"/>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September 30, 2023</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641,607</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(306,287 ) $</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335,762</w:t>
            </w:r>
          </w:p>
        </w:tc>
        <w:tc>
          <w:tcPr>
            <w:tcW w:w="10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1,135</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336,897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2376805</wp:posOffset>
            </wp:positionH>
            <wp:positionV relativeFrom="paragraph">
              <wp:posOffset>-1694815</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2770505</wp:posOffset>
            </wp:positionH>
            <wp:positionV relativeFrom="paragraph">
              <wp:posOffset>-1694815</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3275965</wp:posOffset>
            </wp:positionH>
            <wp:positionV relativeFrom="paragraph">
              <wp:posOffset>-1694815</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3678555</wp:posOffset>
            </wp:positionH>
            <wp:positionV relativeFrom="paragraph">
              <wp:posOffset>-1694815</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-1694815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4911090</wp:posOffset>
            </wp:positionH>
            <wp:positionV relativeFrom="paragraph">
              <wp:posOffset>-1694815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-1694815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-1694815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6443980</wp:posOffset>
            </wp:positionH>
            <wp:positionV relativeFrom="paragraph">
              <wp:posOffset>-1694815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-1694815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2376805</wp:posOffset>
            </wp:positionH>
            <wp:positionV relativeFrom="paragraph">
              <wp:posOffset>-239395</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2770505</wp:posOffset>
            </wp:positionH>
            <wp:positionV relativeFrom="paragraph">
              <wp:posOffset>-239395</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3275965</wp:posOffset>
            </wp:positionH>
            <wp:positionV relativeFrom="paragraph">
              <wp:posOffset>-239395</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3678555</wp:posOffset>
            </wp:positionH>
            <wp:positionV relativeFrom="paragraph">
              <wp:posOffset>-239395</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-239395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4911090</wp:posOffset>
            </wp:positionH>
            <wp:positionV relativeFrom="paragraph">
              <wp:posOffset>-239395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-239395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-239395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6443980</wp:posOffset>
            </wp:positionH>
            <wp:positionV relativeFrom="paragraph">
              <wp:posOffset>-239395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-239395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XOMETRY, INC. AND SUBSIDIARIES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Nine months ended September 30,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center"/>
              <w:ind w:right="129"/>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3"/>
          </w:tcPr>
          <w:p>
            <w:pPr>
              <w:jc w:val="center"/>
              <w:ind w:left="69"/>
              <w:spacing w:after="0" w:line="135" w:lineRule="exact"/>
              <w:rPr>
                <w:sz w:val="20"/>
                <w:szCs w:val="20"/>
                <w:color w:val="auto"/>
              </w:rPr>
            </w:pPr>
            <w:r>
              <w:rPr>
                <w:rFonts w:ascii="Times New Roman" w:cs="Times New Roman" w:eastAsia="Times New Roman" w:hAnsi="Times New Roman"/>
                <w:sz w:val="13"/>
                <w:szCs w:val="13"/>
                <w:b w:val="1"/>
                <w:bCs w:val="1"/>
                <w:color w:val="auto"/>
                <w:w w:val="96"/>
              </w:rPr>
              <w:t>Class B - Common</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109"/>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w:t>
            </w:r>
          </w:p>
        </w:tc>
        <w:tc>
          <w:tcPr>
            <w:tcW w:w="100" w:type="dxa"/>
            <w:vAlign w:val="bottom"/>
          </w:tcPr>
          <w:p>
            <w:pPr>
              <w:spacing w:after="0"/>
              <w:rPr>
                <w:sz w:val="11"/>
                <w:szCs w:val="11"/>
                <w:color w:val="auto"/>
              </w:rPr>
            </w:pPr>
          </w:p>
        </w:tc>
        <w:tc>
          <w:tcPr>
            <w:tcW w:w="1640" w:type="dxa"/>
            <w:vAlign w:val="bottom"/>
            <w:gridSpan w:val="6"/>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Accumulate   Stockholder</w:t>
            </w:r>
          </w:p>
        </w:tc>
        <w:tc>
          <w:tcPr>
            <w:tcW w:w="66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Noncontrol</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960" w:type="dxa"/>
            <w:vAlign w:val="bottom"/>
          </w:tcPr>
          <w:p>
            <w:pPr>
              <w:spacing w:after="0"/>
              <w:rPr>
                <w:sz w:val="14"/>
                <w:szCs w:val="14"/>
                <w:color w:val="auto"/>
              </w:rPr>
            </w:pPr>
          </w:p>
        </w:tc>
        <w:tc>
          <w:tcPr>
            <w:tcW w:w="140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w w:val="96"/>
              </w:rPr>
              <w:t>Class A - Common Stock</w:t>
            </w:r>
          </w:p>
        </w:tc>
        <w:tc>
          <w:tcPr>
            <w:tcW w:w="120" w:type="dxa"/>
            <w:vAlign w:val="bottom"/>
          </w:tcPr>
          <w:p>
            <w:pPr>
              <w:spacing w:after="0"/>
              <w:rPr>
                <w:sz w:val="14"/>
                <w:szCs w:val="14"/>
                <w:color w:val="auto"/>
              </w:rPr>
            </w:pPr>
          </w:p>
        </w:tc>
        <w:tc>
          <w:tcPr>
            <w:tcW w:w="820" w:type="dxa"/>
            <w:vAlign w:val="bottom"/>
            <w:gridSpan w:val="2"/>
          </w:tcPr>
          <w:p>
            <w:pPr>
              <w:jc w:val="center"/>
              <w:ind w:left="409"/>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3"/>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d</w:t>
            </w: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w:t>
            </w:r>
          </w:p>
        </w:tc>
        <w:tc>
          <w:tcPr>
            <w:tcW w:w="120" w:type="dxa"/>
            <w:vAlign w:val="bottom"/>
          </w:tcPr>
          <w:p>
            <w:pPr>
              <w:spacing w:after="0"/>
              <w:rPr>
                <w:sz w:val="14"/>
                <w:szCs w:val="14"/>
                <w:color w:val="auto"/>
              </w:rPr>
            </w:pPr>
          </w:p>
        </w:tc>
        <w:tc>
          <w:tcPr>
            <w:tcW w:w="540" w:type="dxa"/>
            <w:vAlign w:val="bottom"/>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ling</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7"/>
        </w:trPr>
        <w:tc>
          <w:tcPr>
            <w:tcW w:w="2960" w:type="dxa"/>
            <w:vAlign w:val="bottom"/>
          </w:tcPr>
          <w:p>
            <w:pPr>
              <w:spacing w:after="0"/>
              <w:rPr>
                <w:sz w:val="14"/>
                <w:szCs w:val="14"/>
                <w:color w:val="auto"/>
              </w:rPr>
            </w:pPr>
          </w:p>
        </w:tc>
        <w:tc>
          <w:tcPr>
            <w:tcW w:w="7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4"/>
                <w:szCs w:val="14"/>
                <w:color w:val="auto"/>
              </w:rPr>
            </w:pPr>
          </w:p>
        </w:tc>
        <w:tc>
          <w:tcPr>
            <w:tcW w:w="5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20" w:type="dxa"/>
            <w:vAlign w:val="bottom"/>
          </w:tcPr>
          <w:p>
            <w:pPr>
              <w:spacing w:after="0"/>
              <w:rPr>
                <w:sz w:val="14"/>
                <w:szCs w:val="14"/>
                <w:color w:val="auto"/>
              </w:rPr>
            </w:pPr>
          </w:p>
        </w:tc>
        <w:tc>
          <w:tcPr>
            <w:tcW w:w="6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4"/>
                <w:szCs w:val="14"/>
                <w:color w:val="auto"/>
              </w:rPr>
            </w:pPr>
          </w:p>
        </w:tc>
        <w:tc>
          <w:tcPr>
            <w:tcW w:w="5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w w:val="92"/>
              </w:rPr>
              <w:t>Interest</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9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December 31, 2023</w:t>
            </w:r>
          </w:p>
        </w:tc>
        <w:tc>
          <w:tcPr>
            <w:tcW w:w="780" w:type="dxa"/>
            <w:vAlign w:val="bottom"/>
            <w:shd w:val="clear" w:color="auto" w:fill="CFF0FC"/>
          </w:tcPr>
          <w:p>
            <w:pPr>
              <w:jc w:val="right"/>
              <w:spacing w:after="0" w:line="134" w:lineRule="exact"/>
              <w:rPr>
                <w:sz w:val="20"/>
                <w:szCs w:val="20"/>
                <w:color w:val="auto"/>
              </w:rPr>
            </w:pPr>
            <w:r>
              <w:rPr>
                <w:rFonts w:ascii="Times New Roman" w:cs="Times New Roman" w:eastAsia="Times New Roman" w:hAnsi="Times New Roman"/>
                <w:sz w:val="14"/>
                <w:szCs w:val="14"/>
                <w:color w:val="auto"/>
              </w:rPr>
              <w:t>45,489,37</w:t>
            </w:r>
          </w:p>
        </w:tc>
        <w:tc>
          <w:tcPr>
            <w:tcW w:w="340" w:type="dxa"/>
            <w:vAlign w:val="bottom"/>
            <w:gridSpan w:val="2"/>
            <w:vMerge w:val="restart"/>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gridSpan w:val="2"/>
            <w:shd w:val="clear" w:color="auto" w:fill="CFF0FC"/>
          </w:tcPr>
          <w:p>
            <w:pPr>
              <w:jc w:val="right"/>
              <w:spacing w:after="0" w:line="134" w:lineRule="exact"/>
              <w:rPr>
                <w:sz w:val="20"/>
                <w:szCs w:val="20"/>
                <w:color w:val="auto"/>
              </w:rPr>
            </w:pPr>
            <w:r>
              <w:rPr>
                <w:rFonts w:ascii="Times New Roman" w:cs="Times New Roman" w:eastAsia="Times New Roman" w:hAnsi="Times New Roman"/>
                <w:sz w:val="14"/>
                <w:szCs w:val="14"/>
                <w:color w:val="auto"/>
              </w:rPr>
              <w:t>2,676,15</w:t>
            </w:r>
          </w:p>
        </w:tc>
        <w:tc>
          <w:tcPr>
            <w:tcW w:w="140" w:type="dxa"/>
            <w:vAlign w:val="bottom"/>
            <w:tcBorders>
              <w:right w:val="single" w:sz="8" w:color="CFF0FC"/>
            </w:tcBorders>
            <w:shd w:val="clear" w:color="auto" w:fill="CFF0FC"/>
          </w:tcPr>
          <w:p>
            <w:pPr>
              <w:spacing w:after="0"/>
              <w:rPr>
                <w:sz w:val="11"/>
                <w:szCs w:val="11"/>
                <w:color w:val="auto"/>
              </w:rPr>
            </w:pPr>
          </w:p>
        </w:tc>
        <w:tc>
          <w:tcPr>
            <w:tcW w:w="3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648,317</w:t>
            </w:r>
          </w:p>
        </w:tc>
        <w:tc>
          <w:tcPr>
            <w:tcW w:w="26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855</w:t>
            </w:r>
          </w:p>
        </w:tc>
        <w:tc>
          <w:tcPr>
            <w:tcW w:w="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(319,872 )</w:t>
            </w:r>
          </w:p>
        </w:tc>
        <w:tc>
          <w:tcPr>
            <w:tcW w:w="120" w:type="dxa"/>
            <w:vAlign w:val="bottom"/>
            <w:shd w:val="clear" w:color="auto" w:fill="CFF0FC"/>
          </w:tcPr>
          <w:p>
            <w:pPr>
              <w:spacing w:after="0"/>
              <w:rPr>
                <w:sz w:val="11"/>
                <w:szCs w:val="11"/>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329,300</w:t>
            </w:r>
          </w:p>
        </w:tc>
        <w:tc>
          <w:tcPr>
            <w:tcW w:w="100" w:type="dxa"/>
            <w:vAlign w:val="bottom"/>
            <w:shd w:val="clear" w:color="auto" w:fill="CFF0FC"/>
          </w:tcPr>
          <w:p>
            <w:pPr>
              <w:spacing w:after="0"/>
              <w:rPr>
                <w:sz w:val="11"/>
                <w:szCs w:val="11"/>
                <w:color w:val="auto"/>
              </w:rPr>
            </w:pPr>
          </w:p>
        </w:tc>
        <w:tc>
          <w:tcPr>
            <w:tcW w:w="12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1,119</w:t>
            </w:r>
          </w:p>
        </w:tc>
        <w:tc>
          <w:tcPr>
            <w:tcW w:w="2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330,419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960" w:type="dxa"/>
            <w:vAlign w:val="bottom"/>
            <w:vMerge w:val="continue"/>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340" w:type="dxa"/>
            <w:vAlign w:val="bottom"/>
            <w:gridSpan w:val="2"/>
            <w:vMerge w:val="continue"/>
            <w:shd w:val="clear" w:color="auto" w:fill="CFF0FC"/>
          </w:tcPr>
          <w:p>
            <w:pPr>
              <w:spacing w:after="0"/>
              <w:rPr>
                <w:sz w:val="16"/>
                <w:szCs w:val="16"/>
                <w:color w:val="auto"/>
              </w:rPr>
            </w:pPr>
          </w:p>
        </w:tc>
        <w:tc>
          <w:tcPr>
            <w:tcW w:w="280" w:type="dxa"/>
            <w:vAlign w:val="bottom"/>
            <w:vMerge w:val="continue"/>
            <w:shd w:val="clear" w:color="auto" w:fill="CFF0FC"/>
          </w:tcPr>
          <w:p>
            <w:pPr>
              <w:spacing w:after="0"/>
              <w:rPr>
                <w:sz w:val="16"/>
                <w:szCs w:val="16"/>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tcBorders>
              <w:right w:val="single" w:sz="8" w:color="CFF0FC"/>
            </w:tcBorders>
            <w:shd w:val="clear" w:color="auto" w:fill="CFF0FC"/>
          </w:tcPr>
          <w:p>
            <w:pPr>
              <w:spacing w:after="0"/>
              <w:rPr>
                <w:sz w:val="16"/>
                <w:szCs w:val="16"/>
                <w:color w:val="auto"/>
              </w:rPr>
            </w:pPr>
          </w:p>
        </w:tc>
        <w:tc>
          <w:tcPr>
            <w:tcW w:w="320" w:type="dxa"/>
            <w:vAlign w:val="bottom"/>
            <w:vMerge w:val="continue"/>
            <w:shd w:val="clear" w:color="auto" w:fill="CFF0FC"/>
          </w:tcPr>
          <w:p>
            <w:pPr>
              <w:spacing w:after="0"/>
              <w:rPr>
                <w:sz w:val="16"/>
                <w:szCs w:val="16"/>
                <w:color w:val="auto"/>
              </w:rPr>
            </w:pPr>
          </w:p>
        </w:tc>
        <w:tc>
          <w:tcPr>
            <w:tcW w:w="180" w:type="dxa"/>
            <w:vAlign w:val="bottom"/>
            <w:vMerge w:val="continue"/>
            <w:shd w:val="clear" w:color="auto" w:fill="CFF0FC"/>
          </w:tcPr>
          <w:p>
            <w:pPr>
              <w:spacing w:after="0"/>
              <w:rPr>
                <w:sz w:val="16"/>
                <w:szCs w:val="16"/>
                <w:color w:val="auto"/>
              </w:rPr>
            </w:pPr>
          </w:p>
        </w:tc>
        <w:tc>
          <w:tcPr>
            <w:tcW w:w="220" w:type="dxa"/>
            <w:vAlign w:val="bottom"/>
            <w:gridSpan w:val="2"/>
            <w:vMerge w:val="continue"/>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260" w:type="dxa"/>
            <w:vAlign w:val="bottom"/>
            <w:gridSpan w:val="2"/>
            <w:vMerge w:val="continue"/>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240" w:type="dxa"/>
            <w:vAlign w:val="bottom"/>
            <w:gridSpan w:val="2"/>
            <w:vMerge w:val="continue"/>
            <w:shd w:val="clear" w:color="auto" w:fill="CFF0FC"/>
          </w:tcPr>
          <w:p>
            <w:pPr>
              <w:spacing w:after="0"/>
              <w:rPr>
                <w:sz w:val="16"/>
                <w:szCs w:val="16"/>
                <w:color w:val="auto"/>
              </w:rPr>
            </w:pPr>
          </w:p>
        </w:tc>
        <w:tc>
          <w:tcPr>
            <w:tcW w:w="70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540" w:type="dxa"/>
            <w:vAlign w:val="bottom"/>
            <w:vMerge w:val="continue"/>
            <w:shd w:val="clear" w:color="auto" w:fill="CFF0FC"/>
          </w:tcPr>
          <w:p>
            <w:pPr>
              <w:spacing w:after="0"/>
              <w:rPr>
                <w:sz w:val="16"/>
                <w:szCs w:val="16"/>
                <w:color w:val="auto"/>
              </w:rPr>
            </w:pPr>
          </w:p>
        </w:tc>
        <w:tc>
          <w:tcPr>
            <w:tcW w:w="280" w:type="dxa"/>
            <w:vAlign w:val="bottom"/>
            <w:gridSpan w:val="2"/>
            <w:vMerge w:val="continue"/>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common stock options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502,981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642,833</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5"/>
                <w:szCs w:val="15"/>
                <w:color w:val="auto"/>
              </w:rPr>
            </w:pPr>
          </w:p>
        </w:tc>
        <w:tc>
          <w:tcPr>
            <w:tcW w:w="8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5"/>
                <w:szCs w:val="15"/>
                <w:color w:val="auto"/>
              </w:rPr>
            </w:pP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warrants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52,126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Shared issued in business combination</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21,083</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5"/>
                <w:szCs w:val="15"/>
                <w:color w:val="auto"/>
              </w:rPr>
            </w:pPr>
          </w:p>
        </w:tc>
        <w:tc>
          <w:tcPr>
            <w:tcW w:w="8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5"/>
                <w:szCs w:val="15"/>
                <w:color w:val="auto"/>
              </w:rPr>
            </w:pP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Donated common stock</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60,399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 based compensation</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5"/>
                <w:szCs w:val="15"/>
                <w:color w:val="auto"/>
              </w:rPr>
            </w:pPr>
          </w:p>
        </w:tc>
        <w:tc>
          <w:tcPr>
            <w:tcW w:w="8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5"/>
                <w:szCs w:val="15"/>
                <w:color w:val="auto"/>
              </w:rPr>
            </w:pP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21,115</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21,115</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21,115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5"/>
                <w:szCs w:val="15"/>
                <w:color w:val="auto"/>
              </w:rPr>
            </w:pPr>
          </w:p>
        </w:tc>
        <w:tc>
          <w:tcPr>
            <w:tcW w:w="8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5"/>
                <w:szCs w:val="15"/>
                <w:color w:val="auto"/>
              </w:rPr>
            </w:pP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(loss) income</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(40,512 )</w:t>
            </w:r>
          </w:p>
        </w:tc>
        <w:tc>
          <w:tcPr>
            <w:tcW w:w="12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(40,512 )</w:t>
            </w: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(40,507 )</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comprehensive (loss) income</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CFF0FC"/>
            </w:tcBorders>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(40,085 )</w:t>
            </w: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(40,077 )</w:t>
            </w:r>
          </w:p>
        </w:tc>
        <w:tc>
          <w:tcPr>
            <w:tcW w:w="0" w:type="dxa"/>
            <w:vAlign w:val="bottom"/>
          </w:tcPr>
          <w:p>
            <w:pPr>
              <w:spacing w:after="0"/>
              <w:rPr>
                <w:sz w:val="1"/>
                <w:szCs w:val="1"/>
                <w:color w:val="auto"/>
              </w:rPr>
            </w:pPr>
          </w:p>
        </w:tc>
      </w:tr>
      <w:tr>
        <w:trPr>
          <w:trHeight w:val="133"/>
        </w:trPr>
        <w:tc>
          <w:tcPr>
            <w:tcW w:w="2960" w:type="dxa"/>
            <w:vAlign w:val="bottom"/>
            <w:tcBorders>
              <w:top w:val="single" w:sz="8" w:color="CFF0FC"/>
            </w:tcBorders>
          </w:tcPr>
          <w:p>
            <w:pPr>
              <w:spacing w:after="0"/>
              <w:rPr>
                <w:sz w:val="11"/>
                <w:szCs w:val="11"/>
                <w:color w:val="auto"/>
              </w:rPr>
            </w:pPr>
          </w:p>
        </w:tc>
        <w:tc>
          <w:tcPr>
            <w:tcW w:w="7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46,768,80</w:t>
            </w:r>
          </w:p>
        </w:tc>
        <w:tc>
          <w:tcPr>
            <w:tcW w:w="120" w:type="dxa"/>
            <w:vAlign w:val="bottom"/>
            <w:tcBorders>
              <w:top w:val="single" w:sz="8" w:color="CFF0FC"/>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6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2,676,15</w:t>
            </w:r>
          </w:p>
        </w:tc>
        <w:tc>
          <w:tcPr>
            <w:tcW w:w="140" w:type="dxa"/>
            <w:vAlign w:val="bottom"/>
            <w:tcBorders>
              <w:top w:val="single" w:sz="8" w:color="CFF0FC"/>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September 30, 2024</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tcPr>
          <w:p>
            <w:pPr>
              <w:spacing w:after="0"/>
              <w:rPr>
                <w:sz w:val="16"/>
                <w:szCs w:val="16"/>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674,335</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(360,384 ) $</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315,233</w:t>
            </w:r>
          </w:p>
        </w:tc>
        <w:tc>
          <w:tcPr>
            <w:tcW w:w="10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1,127</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316,360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9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December 31, 2022</w:t>
            </w:r>
          </w:p>
        </w:tc>
        <w:tc>
          <w:tcPr>
            <w:tcW w:w="78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44,822,26</w:t>
            </w:r>
          </w:p>
        </w:tc>
        <w:tc>
          <w:tcPr>
            <w:tcW w:w="340" w:type="dxa"/>
            <w:vAlign w:val="bottom"/>
            <w:gridSpan w:val="2"/>
            <w:vMerge w:val="restart"/>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2,676,15</w:t>
            </w:r>
          </w:p>
        </w:tc>
        <w:tc>
          <w:tcPr>
            <w:tcW w:w="140" w:type="dxa"/>
            <w:vAlign w:val="bottom"/>
            <w:tcBorders>
              <w:right w:val="single" w:sz="8" w:color="CFF0FC"/>
            </w:tcBorders>
            <w:shd w:val="clear" w:color="auto" w:fill="CFF0FC"/>
          </w:tcPr>
          <w:p>
            <w:pPr>
              <w:spacing w:after="0"/>
              <w:rPr>
                <w:sz w:val="12"/>
                <w:szCs w:val="12"/>
                <w:color w:val="auto"/>
              </w:rPr>
            </w:pPr>
          </w:p>
        </w:tc>
        <w:tc>
          <w:tcPr>
            <w:tcW w:w="3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623,081</w:t>
            </w:r>
          </w:p>
        </w:tc>
        <w:tc>
          <w:tcPr>
            <w:tcW w:w="26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(249,366 ) $</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373,743</w:t>
            </w:r>
          </w:p>
        </w:tc>
        <w:tc>
          <w:tcPr>
            <w:tcW w:w="100" w:type="dxa"/>
            <w:vAlign w:val="bottom"/>
            <w:shd w:val="clear" w:color="auto" w:fill="CFF0FC"/>
          </w:tcPr>
          <w:p>
            <w:pPr>
              <w:spacing w:after="0"/>
              <w:rPr>
                <w:sz w:val="12"/>
                <w:szCs w:val="12"/>
                <w:color w:val="auto"/>
              </w:rPr>
            </w:pPr>
          </w:p>
        </w:tc>
        <w:tc>
          <w:tcPr>
            <w:tcW w:w="12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1,090</w:t>
            </w:r>
          </w:p>
        </w:tc>
        <w:tc>
          <w:tcPr>
            <w:tcW w:w="2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374,833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960" w:type="dxa"/>
            <w:vAlign w:val="bottom"/>
            <w:vMerge w:val="continue"/>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340" w:type="dxa"/>
            <w:vAlign w:val="bottom"/>
            <w:gridSpan w:val="2"/>
            <w:vMerge w:val="continue"/>
            <w:shd w:val="clear" w:color="auto" w:fill="CFF0FC"/>
          </w:tcPr>
          <w:p>
            <w:pPr>
              <w:spacing w:after="0"/>
              <w:rPr>
                <w:sz w:val="16"/>
                <w:szCs w:val="16"/>
                <w:color w:val="auto"/>
              </w:rPr>
            </w:pPr>
          </w:p>
        </w:tc>
        <w:tc>
          <w:tcPr>
            <w:tcW w:w="280" w:type="dxa"/>
            <w:vAlign w:val="bottom"/>
            <w:vMerge w:val="continue"/>
            <w:shd w:val="clear" w:color="auto" w:fill="CFF0FC"/>
          </w:tcPr>
          <w:p>
            <w:pPr>
              <w:spacing w:after="0"/>
              <w:rPr>
                <w:sz w:val="16"/>
                <w:szCs w:val="16"/>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tcBorders>
              <w:right w:val="single" w:sz="8" w:color="CFF0FC"/>
            </w:tcBorders>
            <w:shd w:val="clear" w:color="auto" w:fill="CFF0FC"/>
          </w:tcPr>
          <w:p>
            <w:pPr>
              <w:spacing w:after="0"/>
              <w:rPr>
                <w:sz w:val="16"/>
                <w:szCs w:val="16"/>
                <w:color w:val="auto"/>
              </w:rPr>
            </w:pPr>
          </w:p>
        </w:tc>
        <w:tc>
          <w:tcPr>
            <w:tcW w:w="320" w:type="dxa"/>
            <w:vAlign w:val="bottom"/>
            <w:vMerge w:val="continue"/>
            <w:shd w:val="clear" w:color="auto" w:fill="CFF0FC"/>
          </w:tcPr>
          <w:p>
            <w:pPr>
              <w:spacing w:after="0"/>
              <w:rPr>
                <w:sz w:val="16"/>
                <w:szCs w:val="16"/>
                <w:color w:val="auto"/>
              </w:rPr>
            </w:pPr>
          </w:p>
        </w:tc>
        <w:tc>
          <w:tcPr>
            <w:tcW w:w="180" w:type="dxa"/>
            <w:vAlign w:val="bottom"/>
            <w:vMerge w:val="continue"/>
            <w:shd w:val="clear" w:color="auto" w:fill="CFF0FC"/>
          </w:tcPr>
          <w:p>
            <w:pPr>
              <w:spacing w:after="0"/>
              <w:rPr>
                <w:sz w:val="16"/>
                <w:szCs w:val="16"/>
                <w:color w:val="auto"/>
              </w:rPr>
            </w:pPr>
          </w:p>
        </w:tc>
        <w:tc>
          <w:tcPr>
            <w:tcW w:w="220" w:type="dxa"/>
            <w:vAlign w:val="bottom"/>
            <w:gridSpan w:val="2"/>
            <w:vMerge w:val="continue"/>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260" w:type="dxa"/>
            <w:vAlign w:val="bottom"/>
            <w:gridSpan w:val="2"/>
            <w:vMerge w:val="continue"/>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240" w:type="dxa"/>
            <w:vAlign w:val="bottom"/>
            <w:gridSpan w:val="2"/>
            <w:vMerge w:val="continue"/>
            <w:shd w:val="clear" w:color="auto" w:fill="CFF0FC"/>
          </w:tcPr>
          <w:p>
            <w:pPr>
              <w:spacing w:after="0"/>
              <w:rPr>
                <w:sz w:val="16"/>
                <w:szCs w:val="16"/>
                <w:color w:val="auto"/>
              </w:rPr>
            </w:pPr>
          </w:p>
        </w:tc>
        <w:tc>
          <w:tcPr>
            <w:tcW w:w="820" w:type="dxa"/>
            <w:vAlign w:val="bottom"/>
            <w:gridSpan w:val="3"/>
            <w:vMerge w:val="continue"/>
            <w:shd w:val="clear" w:color="auto" w:fill="CFF0FC"/>
          </w:tcPr>
          <w:p>
            <w:pPr>
              <w:spacing w:after="0"/>
              <w:rPr>
                <w:sz w:val="16"/>
                <w:szCs w:val="16"/>
                <w:color w:val="auto"/>
              </w:rPr>
            </w:pPr>
          </w:p>
        </w:tc>
        <w:tc>
          <w:tcPr>
            <w:tcW w:w="5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540" w:type="dxa"/>
            <w:vAlign w:val="bottom"/>
            <w:vMerge w:val="continue"/>
            <w:shd w:val="clear" w:color="auto" w:fill="CFF0FC"/>
          </w:tcPr>
          <w:p>
            <w:pPr>
              <w:spacing w:after="0"/>
              <w:rPr>
                <w:sz w:val="16"/>
                <w:szCs w:val="16"/>
                <w:color w:val="auto"/>
              </w:rPr>
            </w:pPr>
          </w:p>
        </w:tc>
        <w:tc>
          <w:tcPr>
            <w:tcW w:w="280" w:type="dxa"/>
            <w:vAlign w:val="bottom"/>
            <w:gridSpan w:val="2"/>
            <w:vMerge w:val="continue"/>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common stock options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202,423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277,774</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5"/>
                <w:szCs w:val="15"/>
                <w:color w:val="auto"/>
              </w:rPr>
            </w:pPr>
          </w:p>
        </w:tc>
        <w:tc>
          <w:tcPr>
            <w:tcW w:w="8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5"/>
                <w:szCs w:val="15"/>
                <w:color w:val="auto"/>
              </w:rPr>
            </w:pP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Shared issued in business combination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Donated common stock</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40,266</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5"/>
                <w:szCs w:val="15"/>
                <w:color w:val="auto"/>
              </w:rPr>
            </w:pPr>
          </w:p>
        </w:tc>
        <w:tc>
          <w:tcPr>
            <w:tcW w:w="8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5"/>
                <w:szCs w:val="15"/>
                <w:color w:val="auto"/>
              </w:rPr>
            </w:pP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based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16,222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7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40" w:type="dxa"/>
            <w:vAlign w:val="bottom"/>
            <w:tcBorders>
              <w:right w:val="single" w:sz="8" w:color="CFF0FC"/>
            </w:tcBorders>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(loss) income</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5"/>
                <w:szCs w:val="15"/>
                <w:color w:val="auto"/>
              </w:rPr>
            </w:pPr>
          </w:p>
        </w:tc>
        <w:tc>
          <w:tcPr>
            <w:tcW w:w="8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5"/>
                <w:szCs w:val="15"/>
                <w:color w:val="auto"/>
              </w:rPr>
            </w:pP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(56,921 )</w:t>
            </w:r>
          </w:p>
        </w:tc>
        <w:tc>
          <w:tcPr>
            <w:tcW w:w="1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(56,921 )</w:t>
            </w: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(56,912 )</w:t>
            </w:r>
          </w:p>
        </w:tc>
        <w:tc>
          <w:tcPr>
            <w:tcW w:w="0" w:type="dxa"/>
            <w:vAlign w:val="bottom"/>
          </w:tcPr>
          <w:p>
            <w:pPr>
              <w:spacing w:after="0"/>
              <w:rPr>
                <w:sz w:val="1"/>
                <w:szCs w:val="1"/>
                <w:color w:val="auto"/>
              </w:rPr>
            </w:pPr>
          </w:p>
        </w:tc>
      </w:tr>
      <w:tr>
        <w:trPr>
          <w:trHeight w:val="20"/>
        </w:trPr>
        <w:tc>
          <w:tcPr>
            <w:tcW w:w="296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(loss) income</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(56,507 )</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(56,462 )</w:t>
            </w:r>
          </w:p>
        </w:tc>
        <w:tc>
          <w:tcPr>
            <w:tcW w:w="0" w:type="dxa"/>
            <w:vAlign w:val="bottom"/>
          </w:tcPr>
          <w:p>
            <w:pPr>
              <w:spacing w:after="0"/>
              <w:rPr>
                <w:sz w:val="1"/>
                <w:szCs w:val="1"/>
                <w:color w:val="auto"/>
              </w:rPr>
            </w:pPr>
          </w:p>
        </w:tc>
      </w:tr>
      <w:tr>
        <w:trPr>
          <w:trHeight w:val="133"/>
        </w:trPr>
        <w:tc>
          <w:tcPr>
            <w:tcW w:w="2960" w:type="dxa"/>
            <w:vAlign w:val="bottom"/>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45,346,28</w:t>
            </w:r>
          </w:p>
        </w:tc>
        <w:tc>
          <w:tcPr>
            <w:tcW w:w="120" w:type="dxa"/>
            <w:vAlign w:val="bottom"/>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2,676,15</w:t>
            </w:r>
          </w:p>
        </w:tc>
        <w:tc>
          <w:tcPr>
            <w:tcW w:w="140" w:type="dxa"/>
            <w:vAlign w:val="bottom"/>
            <w:tcBorders>
              <w:right w:val="single" w:sz="8" w:color="CFF0FC"/>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September 30, 2023</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tcBorders>
              <w:right w:val="single" w:sz="8" w:color="CFF0FC"/>
            </w:tcBorders>
            <w:shd w:val="clear" w:color="auto" w:fill="CFF0FC"/>
          </w:tcPr>
          <w:p>
            <w:pPr>
              <w:spacing w:after="0"/>
              <w:rPr>
                <w:sz w:val="17"/>
                <w:szCs w:val="17"/>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641,607</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(306,287 ) $</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335,762</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1,135</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336,897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6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2376805</wp:posOffset>
            </wp:positionH>
            <wp:positionV relativeFrom="paragraph">
              <wp:posOffset>-1805940</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2770505</wp:posOffset>
            </wp:positionH>
            <wp:positionV relativeFrom="paragraph">
              <wp:posOffset>-1805940</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3275965</wp:posOffset>
            </wp:positionH>
            <wp:positionV relativeFrom="paragraph">
              <wp:posOffset>-1805940</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3678555</wp:posOffset>
            </wp:positionH>
            <wp:positionV relativeFrom="paragraph">
              <wp:posOffset>-1805940</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-1805940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4911090</wp:posOffset>
            </wp:positionH>
            <wp:positionV relativeFrom="paragraph">
              <wp:posOffset>-1805940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-1805940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-1805940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6443980</wp:posOffset>
            </wp:positionH>
            <wp:positionV relativeFrom="paragraph">
              <wp:posOffset>-1805940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-1805940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-358775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6443980</wp:posOffset>
            </wp:positionH>
            <wp:positionV relativeFrom="paragraph">
              <wp:posOffset>-358775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-358775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2376805</wp:posOffset>
            </wp:positionH>
            <wp:positionV relativeFrom="paragraph">
              <wp:posOffset>-24765</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2376805</wp:posOffset>
            </wp:positionH>
            <wp:positionV relativeFrom="paragraph">
              <wp:posOffset>-7620</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2770505</wp:posOffset>
            </wp:positionH>
            <wp:positionV relativeFrom="paragraph">
              <wp:posOffset>-24765</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2770505</wp:posOffset>
            </wp:positionH>
            <wp:positionV relativeFrom="paragraph">
              <wp:posOffset>-7620</wp:posOffset>
            </wp:positionV>
            <wp:extent cx="768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3275965</wp:posOffset>
            </wp:positionH>
            <wp:positionV relativeFrom="paragraph">
              <wp:posOffset>-24765</wp:posOffset>
            </wp:positionV>
            <wp:extent cx="76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3275965</wp:posOffset>
            </wp:positionH>
            <wp:positionV relativeFrom="paragraph">
              <wp:posOffset>-7620</wp:posOffset>
            </wp:positionV>
            <wp:extent cx="768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3678555</wp:posOffset>
            </wp:positionH>
            <wp:positionV relativeFrom="paragraph">
              <wp:posOffset>-24765</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3678555</wp:posOffset>
            </wp:positionH>
            <wp:positionV relativeFrom="paragraph">
              <wp:posOffset>-7620</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-24765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-7620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4911090</wp:posOffset>
            </wp:positionH>
            <wp:positionV relativeFrom="paragraph">
              <wp:posOffset>-24765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4911090</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-24765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-24765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-7620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6443980</wp:posOffset>
            </wp:positionH>
            <wp:positionV relativeFrom="paragraph">
              <wp:posOffset>-24765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6443980</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unaudited condensed consolidated financial statements.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XOMETRY, INC. AND SUBSIDIARIES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720" w:type="dxa"/>
            <w:vAlign w:val="bottom"/>
          </w:tcPr>
          <w:p>
            <w:pPr>
              <w:spacing w:after="0"/>
              <w:rPr>
                <w:sz w:val="15"/>
                <w:szCs w:val="15"/>
                <w:color w:val="auto"/>
              </w:rPr>
            </w:pPr>
          </w:p>
        </w:tc>
        <w:tc>
          <w:tcPr>
            <w:tcW w:w="2880" w:type="dxa"/>
            <w:vAlign w:val="bottom"/>
            <w:tcBorders>
              <w:bottom w:val="single" w:sz="8" w:color="auto"/>
            </w:tcBorders>
            <w:gridSpan w:val="5"/>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7720" w:type="dxa"/>
            <w:vAlign w:val="bottom"/>
          </w:tcPr>
          <w:p>
            <w:pPr>
              <w:spacing w:after="0"/>
              <w:rPr>
                <w:sz w:val="14"/>
                <w:szCs w:val="14"/>
                <w:color w:val="auto"/>
              </w:rPr>
            </w:pPr>
          </w:p>
        </w:tc>
        <w:tc>
          <w:tcPr>
            <w:tcW w:w="10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2024</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2023</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0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7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Net loss</w:t>
            </w:r>
          </w:p>
        </w:tc>
        <w:tc>
          <w:tcPr>
            <w:tcW w:w="1040" w:type="dxa"/>
            <w:vAlign w:val="bottom"/>
          </w:tcPr>
          <w:p>
            <w:pPr>
              <w:jc w:val="right"/>
              <w:ind w:right="893"/>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(40,507 )</w:t>
            </w:r>
          </w:p>
        </w:tc>
        <w:tc>
          <w:tcPr>
            <w:tcW w:w="120" w:type="dxa"/>
            <w:vAlign w:val="bottom"/>
          </w:tcPr>
          <w:p>
            <w:pPr>
              <w:spacing w:after="0"/>
              <w:rPr>
                <w:sz w:val="15"/>
                <w:szCs w:val="15"/>
                <w:color w:val="auto"/>
              </w:rPr>
            </w:pPr>
          </w:p>
        </w:tc>
        <w:tc>
          <w:tcPr>
            <w:tcW w:w="1040" w:type="dxa"/>
            <w:vAlign w:val="bottom"/>
          </w:tcPr>
          <w:p>
            <w:pPr>
              <w:jc w:val="right"/>
              <w:ind w:right="893"/>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(56,912 )</w:t>
            </w:r>
          </w:p>
        </w:tc>
      </w:tr>
      <w:tr>
        <w:trPr>
          <w:trHeight w:val="17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Adjustments to reconcile net loss to net cash used in operating activities:</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7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9,622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7,939</w:t>
            </w:r>
          </w:p>
        </w:tc>
        <w:tc>
          <w:tcPr>
            <w:tcW w:w="100" w:type="dxa"/>
            <w:vAlign w:val="bottom"/>
          </w:tcPr>
          <w:p>
            <w:pPr>
              <w:spacing w:after="0"/>
              <w:rPr>
                <w:sz w:val="15"/>
                <w:szCs w:val="15"/>
                <w:color w:val="auto"/>
              </w:rPr>
            </w:pPr>
          </w:p>
        </w:tc>
      </w:tr>
      <w:tr>
        <w:trPr>
          <w:trHeight w:val="17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Impairment of assets</w:t>
            </w:r>
          </w:p>
        </w:tc>
        <w:tc>
          <w:tcPr>
            <w:tcW w:w="1040" w:type="dxa"/>
            <w:vAlign w:val="bottom"/>
            <w:shd w:val="clear" w:color="auto" w:fill="CFF0FC"/>
          </w:tcPr>
          <w:p>
            <w:pPr>
              <w:spacing w:after="0"/>
              <w:rPr>
                <w:sz w:val="15"/>
                <w:szCs w:val="15"/>
                <w:color w:val="auto"/>
              </w:rPr>
            </w:pPr>
          </w:p>
        </w:tc>
        <w:tc>
          <w:tcPr>
            <w:tcW w:w="80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397</w:t>
            </w:r>
          </w:p>
        </w:tc>
        <w:tc>
          <w:tcPr>
            <w:tcW w:w="100" w:type="dxa"/>
            <w:vAlign w:val="bottom"/>
            <w:shd w:val="clear" w:color="auto" w:fill="CFF0FC"/>
          </w:tcPr>
          <w:p>
            <w:pPr>
              <w:spacing w:after="0"/>
              <w:rPr>
                <w:sz w:val="15"/>
                <w:szCs w:val="15"/>
                <w:color w:val="auto"/>
              </w:rPr>
            </w:pPr>
          </w:p>
        </w:tc>
      </w:tr>
      <w:tr>
        <w:trPr>
          <w:trHeight w:val="175"/>
        </w:trPr>
        <w:tc>
          <w:tcPr>
            <w:tcW w:w="77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Reduction in carrying amount of right-of-use asset</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13,257</w:t>
            </w:r>
          </w:p>
        </w:tc>
        <w:tc>
          <w:tcPr>
            <w:tcW w:w="100" w:type="dxa"/>
            <w:vAlign w:val="bottom"/>
          </w:tcPr>
          <w:p>
            <w:pPr>
              <w:spacing w:after="0"/>
              <w:rPr>
                <w:sz w:val="15"/>
                <w:szCs w:val="15"/>
                <w:color w:val="auto"/>
              </w:rPr>
            </w:pPr>
          </w:p>
        </w:tc>
      </w:tr>
      <w:tr>
        <w:trPr>
          <w:trHeight w:val="17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Stock based compensation</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21,115</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16,222</w:t>
            </w:r>
          </w:p>
        </w:tc>
        <w:tc>
          <w:tcPr>
            <w:tcW w:w="100" w:type="dxa"/>
            <w:vAlign w:val="bottom"/>
            <w:shd w:val="clear" w:color="auto" w:fill="CFF0FC"/>
          </w:tcPr>
          <w:p>
            <w:pPr>
              <w:spacing w:after="0"/>
              <w:rPr>
                <w:sz w:val="15"/>
                <w:szCs w:val="15"/>
                <w:color w:val="auto"/>
              </w:rPr>
            </w:pPr>
          </w:p>
        </w:tc>
      </w:tr>
      <w:tr>
        <w:trPr>
          <w:trHeight w:val="175"/>
        </w:trPr>
        <w:tc>
          <w:tcPr>
            <w:tcW w:w="77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Revaluation of contingent consideration</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w:t>
            </w:r>
          </w:p>
        </w:tc>
        <w:tc>
          <w:tcPr>
            <w:tcW w:w="100" w:type="dxa"/>
            <w:vAlign w:val="bottom"/>
          </w:tcPr>
          <w:p>
            <w:pPr>
              <w:spacing w:after="0"/>
              <w:rPr>
                <w:sz w:val="15"/>
                <w:szCs w:val="15"/>
                <w:color w:val="auto"/>
              </w:rPr>
            </w:pPr>
          </w:p>
        </w:tc>
      </w:tr>
      <w:tr>
        <w:trPr>
          <w:trHeight w:val="17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Income from unconsolidated joint venture</w:t>
            </w:r>
          </w:p>
        </w:tc>
        <w:tc>
          <w:tcPr>
            <w:tcW w:w="104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(93 )</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(137 )</w:t>
            </w:r>
          </w:p>
        </w:tc>
      </w:tr>
      <w:tr>
        <w:trPr>
          <w:trHeight w:val="175"/>
        </w:trPr>
        <w:tc>
          <w:tcPr>
            <w:tcW w:w="77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Donation of common stock</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696</w:t>
            </w:r>
          </w:p>
        </w:tc>
        <w:tc>
          <w:tcPr>
            <w:tcW w:w="100" w:type="dxa"/>
            <w:vAlign w:val="bottom"/>
          </w:tcPr>
          <w:p>
            <w:pPr>
              <w:spacing w:after="0"/>
              <w:rPr>
                <w:sz w:val="15"/>
                <w:szCs w:val="15"/>
                <w:color w:val="auto"/>
              </w:rPr>
            </w:pPr>
          </w:p>
        </w:tc>
      </w:tr>
      <w:tr>
        <w:trPr>
          <w:trHeight w:val="17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(Gain) loss on sale of property and equipment</w:t>
            </w:r>
          </w:p>
        </w:tc>
        <w:tc>
          <w:tcPr>
            <w:tcW w:w="104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(23 )</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100" w:type="dxa"/>
            <w:vAlign w:val="bottom"/>
            <w:shd w:val="clear" w:color="auto" w:fill="CFF0FC"/>
          </w:tcPr>
          <w:p>
            <w:pPr>
              <w:spacing w:after="0"/>
              <w:rPr>
                <w:sz w:val="15"/>
                <w:szCs w:val="15"/>
                <w:color w:val="auto"/>
              </w:rPr>
            </w:pPr>
          </w:p>
        </w:tc>
      </w:tr>
      <w:tr>
        <w:trPr>
          <w:trHeight w:val="175"/>
        </w:trPr>
        <w:tc>
          <w:tcPr>
            <w:tcW w:w="77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Inventory write-off</w:t>
            </w:r>
          </w:p>
        </w:tc>
        <w:tc>
          <w:tcPr>
            <w:tcW w:w="1040" w:type="dxa"/>
            <w:vAlign w:val="bottom"/>
          </w:tcPr>
          <w:p>
            <w:pPr>
              <w:spacing w:after="0"/>
              <w:rPr>
                <w:sz w:val="15"/>
                <w:szCs w:val="15"/>
                <w:color w:val="auto"/>
              </w:rPr>
            </w:pPr>
          </w:p>
        </w:tc>
        <w:tc>
          <w:tcPr>
            <w:tcW w:w="80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100" w:type="dxa"/>
            <w:vAlign w:val="bottom"/>
          </w:tcPr>
          <w:p>
            <w:pPr>
              <w:spacing w:after="0"/>
              <w:rPr>
                <w:sz w:val="15"/>
                <w:szCs w:val="15"/>
                <w:color w:val="auto"/>
              </w:rPr>
            </w:pPr>
          </w:p>
        </w:tc>
      </w:tr>
      <w:tr>
        <w:trPr>
          <w:trHeight w:val="17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Amortization of deferred costs on convertible notes</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1,394</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1,396</w:t>
            </w:r>
          </w:p>
        </w:tc>
        <w:tc>
          <w:tcPr>
            <w:tcW w:w="100" w:type="dxa"/>
            <w:vAlign w:val="bottom"/>
            <w:shd w:val="clear" w:color="auto" w:fill="CFF0FC"/>
          </w:tcPr>
          <w:p>
            <w:pPr>
              <w:spacing w:after="0"/>
              <w:rPr>
                <w:sz w:val="15"/>
                <w:szCs w:val="15"/>
                <w:color w:val="auto"/>
              </w:rPr>
            </w:pPr>
          </w:p>
        </w:tc>
      </w:tr>
      <w:tr>
        <w:trPr>
          <w:trHeight w:val="175"/>
        </w:trPr>
        <w:tc>
          <w:tcPr>
            <w:tcW w:w="77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Deferred taxes benefit</w:t>
            </w:r>
          </w:p>
        </w:tc>
        <w:tc>
          <w:tcPr>
            <w:tcW w:w="104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(30 )</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(66 )</w:t>
            </w:r>
          </w:p>
        </w:tc>
      </w:tr>
      <w:tr>
        <w:trPr>
          <w:trHeight w:val="17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Changes in other assets and liabilities:</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72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Accounts receivable, net</w:t>
            </w:r>
          </w:p>
        </w:tc>
        <w:tc>
          <w:tcPr>
            <w:tcW w:w="104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(8,263 )</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(14,873 )</w:t>
            </w:r>
          </w:p>
        </w:tc>
      </w:tr>
      <w:tr>
        <w:trPr>
          <w:trHeight w:val="176"/>
        </w:trPr>
        <w:tc>
          <w:tcPr>
            <w:tcW w:w="7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3"/>
                <w:szCs w:val="13"/>
                <w:color w:val="auto"/>
              </w:rPr>
              <w:t>Inventory</w:t>
            </w:r>
          </w:p>
        </w:tc>
        <w:tc>
          <w:tcPr>
            <w:tcW w:w="104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(598 )</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(17 )</w:t>
            </w:r>
          </w:p>
        </w:tc>
      </w:tr>
      <w:tr>
        <w:trPr>
          <w:trHeight w:val="175"/>
        </w:trPr>
        <w:tc>
          <w:tcPr>
            <w:tcW w:w="772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Prepaid expenses</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2,335</w:t>
            </w:r>
          </w:p>
        </w:tc>
        <w:tc>
          <w:tcPr>
            <w:tcW w:w="100" w:type="dxa"/>
            <w:vAlign w:val="bottom"/>
          </w:tcPr>
          <w:p>
            <w:pPr>
              <w:spacing w:after="0"/>
              <w:rPr>
                <w:sz w:val="15"/>
                <w:szCs w:val="15"/>
                <w:color w:val="auto"/>
              </w:rPr>
            </w:pPr>
          </w:p>
        </w:tc>
      </w:tr>
      <w:tr>
        <w:trPr>
          <w:trHeight w:val="176"/>
        </w:trPr>
        <w:tc>
          <w:tcPr>
            <w:tcW w:w="7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3"/>
                <w:szCs w:val="13"/>
                <w:color w:val="auto"/>
              </w:rPr>
              <w:t>Other assets</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4,354</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1,395</w:t>
            </w:r>
          </w:p>
        </w:tc>
        <w:tc>
          <w:tcPr>
            <w:tcW w:w="100" w:type="dxa"/>
            <w:vAlign w:val="bottom"/>
            <w:shd w:val="clear" w:color="auto" w:fill="CFF0FC"/>
          </w:tcPr>
          <w:p>
            <w:pPr>
              <w:spacing w:after="0"/>
              <w:rPr>
                <w:sz w:val="15"/>
                <w:szCs w:val="15"/>
                <w:color w:val="auto"/>
              </w:rPr>
            </w:pPr>
          </w:p>
        </w:tc>
      </w:tr>
      <w:tr>
        <w:trPr>
          <w:trHeight w:val="175"/>
        </w:trPr>
        <w:tc>
          <w:tcPr>
            <w:tcW w:w="772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Accounts payable</w:t>
            </w:r>
          </w:p>
        </w:tc>
        <w:tc>
          <w:tcPr>
            <w:tcW w:w="104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(18,293 )</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640</w:t>
            </w:r>
          </w:p>
        </w:tc>
        <w:tc>
          <w:tcPr>
            <w:tcW w:w="100" w:type="dxa"/>
            <w:vAlign w:val="bottom"/>
          </w:tcPr>
          <w:p>
            <w:pPr>
              <w:spacing w:after="0"/>
              <w:rPr>
                <w:sz w:val="15"/>
                <w:szCs w:val="15"/>
                <w:color w:val="auto"/>
              </w:rPr>
            </w:pPr>
          </w:p>
        </w:tc>
      </w:tr>
      <w:tr>
        <w:trPr>
          <w:trHeight w:val="176"/>
        </w:trPr>
        <w:tc>
          <w:tcPr>
            <w:tcW w:w="7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3"/>
                <w:szCs w:val="13"/>
                <w:color w:val="auto"/>
              </w:rPr>
              <w:t>Accrued expenses</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6,782</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1,032</w:t>
            </w:r>
          </w:p>
        </w:tc>
        <w:tc>
          <w:tcPr>
            <w:tcW w:w="100" w:type="dxa"/>
            <w:vAlign w:val="bottom"/>
            <w:shd w:val="clear" w:color="auto" w:fill="CFF0FC"/>
          </w:tcPr>
          <w:p>
            <w:pPr>
              <w:spacing w:after="0"/>
              <w:rPr>
                <w:sz w:val="15"/>
                <w:szCs w:val="15"/>
                <w:color w:val="auto"/>
              </w:rPr>
            </w:pPr>
          </w:p>
        </w:tc>
      </w:tr>
      <w:tr>
        <w:trPr>
          <w:trHeight w:val="175"/>
        </w:trPr>
        <w:tc>
          <w:tcPr>
            <w:tcW w:w="772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Contract liabilities</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1,178</w:t>
            </w:r>
          </w:p>
        </w:tc>
        <w:tc>
          <w:tcPr>
            <w:tcW w:w="100" w:type="dxa"/>
            <w:vAlign w:val="bottom"/>
          </w:tcPr>
          <w:p>
            <w:pPr>
              <w:spacing w:after="0"/>
              <w:rPr>
                <w:sz w:val="15"/>
                <w:szCs w:val="15"/>
                <w:color w:val="auto"/>
              </w:rPr>
            </w:pPr>
          </w:p>
        </w:tc>
      </w:tr>
      <w:tr>
        <w:trPr>
          <w:trHeight w:val="176"/>
        </w:trPr>
        <w:tc>
          <w:tcPr>
            <w:tcW w:w="7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3"/>
                <w:szCs w:val="13"/>
                <w:color w:val="auto"/>
              </w:rPr>
              <w:t>Lease liabilities</w:t>
            </w:r>
          </w:p>
        </w:tc>
        <w:tc>
          <w:tcPr>
            <w:tcW w:w="104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(5,068 )</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(3,845 )</w:t>
            </w:r>
          </w:p>
        </w:tc>
      </w:tr>
      <w:tr>
        <w:trPr>
          <w:trHeight w:val="175"/>
        </w:trPr>
        <w:tc>
          <w:tcPr>
            <w:tcW w:w="772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Other liabilities</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7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3"/>
                <w:szCs w:val="13"/>
                <w:color w:val="auto"/>
              </w:rPr>
              <w:t>Income taxes payable</w:t>
            </w:r>
          </w:p>
        </w:tc>
        <w:tc>
          <w:tcPr>
            <w:tcW w:w="104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(1,620 )</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100" w:type="dxa"/>
            <w:vAlign w:val="bottom"/>
            <w:shd w:val="clear" w:color="auto" w:fill="CFF0FC"/>
          </w:tcPr>
          <w:p>
            <w:pPr>
              <w:spacing w:after="0"/>
              <w:rPr>
                <w:sz w:val="15"/>
                <w:szCs w:val="15"/>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7720" w:type="dxa"/>
            <w:vAlign w:val="bottom"/>
          </w:tcPr>
          <w:p>
            <w:pPr>
              <w:ind w:left="380"/>
              <w:spacing w:after="0"/>
              <w:rPr>
                <w:sz w:val="20"/>
                <w:szCs w:val="20"/>
                <w:color w:val="auto"/>
              </w:rPr>
            </w:pPr>
            <w:r>
              <w:rPr>
                <w:rFonts w:ascii="Times New Roman" w:cs="Times New Roman" w:eastAsia="Times New Roman" w:hAnsi="Times New Roman"/>
                <w:sz w:val="13"/>
                <w:szCs w:val="13"/>
                <w:b w:val="1"/>
                <w:bCs w:val="1"/>
                <w:color w:val="auto"/>
              </w:rPr>
              <w:t>Net cash used in operating activities</w:t>
            </w:r>
          </w:p>
        </w:tc>
        <w:tc>
          <w:tcPr>
            <w:tcW w:w="104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(24,469 )</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(28,583 )</w:t>
            </w:r>
          </w:p>
        </w:tc>
      </w:tr>
      <w:tr>
        <w:trPr>
          <w:trHeight w:val="16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104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7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Purchases of marketable securities</w:t>
            </w:r>
          </w:p>
        </w:tc>
        <w:tc>
          <w:tcPr>
            <w:tcW w:w="104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(16,253 )</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(8,630 )</w:t>
            </w:r>
          </w:p>
        </w:tc>
      </w:tr>
      <w:tr>
        <w:trPr>
          <w:trHeight w:val="17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Proceeds from sale of marketable securities</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15,000</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30,000</w:t>
            </w:r>
          </w:p>
        </w:tc>
        <w:tc>
          <w:tcPr>
            <w:tcW w:w="100" w:type="dxa"/>
            <w:vAlign w:val="bottom"/>
            <w:shd w:val="clear" w:color="auto" w:fill="CFF0FC"/>
          </w:tcPr>
          <w:p>
            <w:pPr>
              <w:spacing w:after="0"/>
              <w:rPr>
                <w:sz w:val="15"/>
                <w:szCs w:val="15"/>
                <w:color w:val="auto"/>
              </w:rPr>
            </w:pPr>
          </w:p>
        </w:tc>
      </w:tr>
      <w:tr>
        <w:trPr>
          <w:trHeight w:val="175"/>
        </w:trPr>
        <w:tc>
          <w:tcPr>
            <w:tcW w:w="77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104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(13,560 )</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(12,063 )</w:t>
            </w:r>
          </w:p>
        </w:tc>
      </w:tr>
      <w:tr>
        <w:trPr>
          <w:trHeight w:val="17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Proceeds from sale of property and equipment</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100" w:type="dxa"/>
            <w:vAlign w:val="bottom"/>
            <w:shd w:val="clear" w:color="auto" w:fill="CFF0FC"/>
          </w:tcPr>
          <w:p>
            <w:pPr>
              <w:spacing w:after="0"/>
              <w:rPr>
                <w:sz w:val="15"/>
                <w:szCs w:val="15"/>
                <w:color w:val="auto"/>
              </w:rPr>
            </w:pPr>
          </w:p>
        </w:tc>
      </w:tr>
      <w:tr>
        <w:trPr>
          <w:trHeight w:val="175"/>
        </w:trPr>
        <w:tc>
          <w:tcPr>
            <w:tcW w:w="77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Cash paid for business combination, net of cash acquired</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(3,349 )</w:t>
            </w:r>
          </w:p>
        </w:tc>
      </w:tr>
      <w:tr>
        <w:trPr>
          <w:trHeight w:val="20"/>
        </w:trPr>
        <w:tc>
          <w:tcPr>
            <w:tcW w:w="77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b w:val="1"/>
                <w:bCs w:val="1"/>
                <w:color w:val="auto"/>
              </w:rPr>
              <w:t>Net cash (used in) provided by investing activities</w:t>
            </w:r>
          </w:p>
        </w:tc>
        <w:tc>
          <w:tcPr>
            <w:tcW w:w="10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(14,734 )</w:t>
            </w: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6,181</w:t>
            </w:r>
          </w:p>
        </w:tc>
        <w:tc>
          <w:tcPr>
            <w:tcW w:w="100" w:type="dxa"/>
            <w:vAlign w:val="bottom"/>
            <w:shd w:val="clear" w:color="auto" w:fill="CFF0FC"/>
          </w:tcPr>
          <w:p>
            <w:pPr>
              <w:spacing w:after="0"/>
              <w:rPr>
                <w:sz w:val="14"/>
                <w:szCs w:val="14"/>
                <w:color w:val="auto"/>
              </w:rPr>
            </w:pPr>
          </w:p>
        </w:tc>
      </w:tr>
      <w:tr>
        <w:trPr>
          <w:trHeight w:val="169"/>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0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r>
      <w:tr>
        <w:trPr>
          <w:trHeight w:val="175"/>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Proceeds from stock options exercised</w:t>
            </w:r>
          </w:p>
        </w:tc>
        <w:tc>
          <w:tcPr>
            <w:tcW w:w="104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3,215</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1,428</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720" w:type="dxa"/>
            <w:vAlign w:val="bottom"/>
          </w:tcPr>
          <w:p>
            <w:pPr>
              <w:ind w:left="380"/>
              <w:spacing w:after="0"/>
              <w:rPr>
                <w:sz w:val="20"/>
                <w:szCs w:val="20"/>
                <w:color w:val="auto"/>
              </w:rPr>
            </w:pPr>
            <w:r>
              <w:rPr>
                <w:rFonts w:ascii="Times New Roman" w:cs="Times New Roman" w:eastAsia="Times New Roman" w:hAnsi="Times New Roman"/>
                <w:sz w:val="13"/>
                <w:szCs w:val="13"/>
                <w:b w:val="1"/>
                <w:bCs w:val="1"/>
                <w:color w:val="auto"/>
              </w:rPr>
              <w:t>Net cash provided by financing activities</w:t>
            </w:r>
          </w:p>
        </w:tc>
        <w:tc>
          <w:tcPr>
            <w:tcW w:w="10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3,215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1,428</w:t>
            </w:r>
          </w:p>
        </w:tc>
        <w:tc>
          <w:tcPr>
            <w:tcW w:w="100" w:type="dxa"/>
            <w:vAlign w:val="bottom"/>
          </w:tcPr>
          <w:p>
            <w:pPr>
              <w:spacing w:after="0"/>
              <w:rPr>
                <w:sz w:val="14"/>
                <w:szCs w:val="14"/>
                <w:color w:val="auto"/>
              </w:rPr>
            </w:pPr>
          </w:p>
        </w:tc>
      </w:tr>
      <w:tr>
        <w:trPr>
          <w:trHeight w:val="16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Effect of foreign currency translation on cash and cash equivalents</w:t>
            </w:r>
          </w:p>
        </w:tc>
        <w:tc>
          <w:tcPr>
            <w:tcW w:w="10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(6 )</w:t>
            </w: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(315 )</w:t>
            </w:r>
          </w:p>
        </w:tc>
      </w:tr>
      <w:tr>
        <w:trPr>
          <w:trHeight w:val="20"/>
        </w:trPr>
        <w:tc>
          <w:tcPr>
            <w:tcW w:w="77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7720" w:type="dxa"/>
            <w:vAlign w:val="bottom"/>
          </w:tcPr>
          <w:p>
            <w:pPr>
              <w:ind w:left="380"/>
              <w:spacing w:after="0"/>
              <w:rPr>
                <w:sz w:val="20"/>
                <w:szCs w:val="20"/>
                <w:color w:val="auto"/>
              </w:rPr>
            </w:pPr>
            <w:r>
              <w:rPr>
                <w:rFonts w:ascii="Times New Roman" w:cs="Times New Roman" w:eastAsia="Times New Roman" w:hAnsi="Times New Roman"/>
                <w:sz w:val="13"/>
                <w:szCs w:val="13"/>
                <w:b w:val="1"/>
                <w:bCs w:val="1"/>
                <w:color w:val="auto"/>
              </w:rPr>
              <w:t>Net decrease in cash and cash equivalents</w:t>
            </w:r>
          </w:p>
        </w:tc>
        <w:tc>
          <w:tcPr>
            <w:tcW w:w="104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(35,994 )</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(21,289 )</w:t>
            </w:r>
          </w:p>
        </w:tc>
      </w:tr>
      <w:tr>
        <w:trPr>
          <w:trHeight w:val="175"/>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 at beginning of the period</w:t>
            </w:r>
          </w:p>
        </w:tc>
        <w:tc>
          <w:tcPr>
            <w:tcW w:w="104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53,424</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65,662</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7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 at end of the period</w:t>
            </w:r>
          </w:p>
        </w:tc>
        <w:tc>
          <w:tcPr>
            <w:tcW w:w="1040" w:type="dxa"/>
            <w:vAlign w:val="bottom"/>
            <w:tcBorders>
              <w:bottom w:val="single" w:sz="8" w:color="auto"/>
            </w:tcBorders>
          </w:tcPr>
          <w:p>
            <w:pPr>
              <w:jc w:val="right"/>
              <w:ind w:right="893"/>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17,430</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893"/>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44,373</w:t>
            </w:r>
          </w:p>
        </w:tc>
        <w:tc>
          <w:tcPr>
            <w:tcW w:w="100" w:type="dxa"/>
            <w:vAlign w:val="bottom"/>
          </w:tcPr>
          <w:p>
            <w:pPr>
              <w:spacing w:after="0"/>
              <w:rPr>
                <w:sz w:val="14"/>
                <w:szCs w:val="14"/>
                <w:color w:val="auto"/>
              </w:rPr>
            </w:pPr>
          </w:p>
        </w:tc>
      </w:tr>
      <w:tr>
        <w:trPr>
          <w:trHeight w:val="20"/>
        </w:trPr>
        <w:tc>
          <w:tcPr>
            <w:tcW w:w="7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cash flow information:</w:t>
            </w:r>
          </w:p>
        </w:tc>
        <w:tc>
          <w:tcPr>
            <w:tcW w:w="10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5"/>
        </w:trPr>
        <w:tc>
          <w:tcPr>
            <w:tcW w:w="7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paid for interest</w:t>
            </w:r>
          </w:p>
        </w:tc>
        <w:tc>
          <w:tcPr>
            <w:tcW w:w="1040" w:type="dxa"/>
            <w:vAlign w:val="bottom"/>
          </w:tcPr>
          <w:p>
            <w:pPr>
              <w:jc w:val="right"/>
              <w:ind w:right="893"/>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893"/>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2,875</w:t>
            </w:r>
          </w:p>
        </w:tc>
        <w:tc>
          <w:tcPr>
            <w:tcW w:w="100" w:type="dxa"/>
            <w:vAlign w:val="bottom"/>
          </w:tcPr>
          <w:p>
            <w:pPr>
              <w:spacing w:after="0"/>
              <w:rPr>
                <w:sz w:val="15"/>
                <w:szCs w:val="15"/>
                <w:color w:val="auto"/>
              </w:rPr>
            </w:pPr>
          </w:p>
        </w:tc>
      </w:tr>
      <w:tr>
        <w:trPr>
          <w:trHeight w:val="17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Non-cash investing and financing activities:</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Non-cash consideration in connection with business combination</w:t>
            </w:r>
          </w:p>
        </w:tc>
        <w:tc>
          <w:tcPr>
            <w:tcW w:w="1040" w:type="dxa"/>
            <w:vAlign w:val="bottom"/>
          </w:tcPr>
          <w:p>
            <w:pPr>
              <w:spacing w:after="0"/>
              <w:rPr>
                <w:sz w:val="15"/>
                <w:szCs w:val="15"/>
                <w:color w:val="auto"/>
              </w:rPr>
            </w:pPr>
          </w:p>
        </w:tc>
        <w:tc>
          <w:tcPr>
            <w:tcW w:w="80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1,593</w:t>
            </w:r>
          </w:p>
        </w:tc>
        <w:tc>
          <w:tcPr>
            <w:tcW w:w="1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-2207895</wp:posOffset>
            </wp:positionV>
            <wp:extent cx="768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-2207895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-1292225</wp:posOffset>
            </wp:positionV>
            <wp:extent cx="76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-1292225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-1061085</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-1061085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-821055</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-821055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-589915</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-589915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See accompanying notes to the unaudited condensed consolidated financial statements.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XOMETRY, INC. AND SUBSIDIARIES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spacing w:after="0" w:line="9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(1)</w:t>
        <w:tab/>
        <w:t>Organization and Description of Business</w:t>
      </w:r>
    </w:p>
    <w:p>
      <w:pPr>
        <w:spacing w:after="0" w:line="31" w:lineRule="exact"/>
        <w:rPr>
          <w:sz w:val="20"/>
          <w:szCs w:val="20"/>
          <w:color w:val="auto"/>
        </w:rPr>
      </w:pPr>
    </w:p>
    <w:p>
      <w:pPr>
        <w:ind w:right="20" w:firstLine="644"/>
        <w:spacing w:after="0" w:line="252" w:lineRule="auto"/>
        <w:rPr>
          <w:sz w:val="20"/>
          <w:szCs w:val="20"/>
          <w:color w:val="auto"/>
        </w:rPr>
      </w:pPr>
      <w:r>
        <w:rPr>
          <w:rFonts w:ascii="Times New Roman" w:cs="Times New Roman" w:eastAsia="Times New Roman" w:hAnsi="Times New Roman"/>
          <w:sz w:val="18"/>
          <w:szCs w:val="18"/>
          <w:color w:val="auto"/>
        </w:rPr>
        <w:t>Xometry, Inc. (“Xometry”, the “Company”, “we”, or “our”) was incorporated in the State of Delaware in May 2013. Xometry is a global artificial intelligence (“AI”) powered online marketplace connecting buyers with suppliers of manufacturing services, driving the digital transformation of one of the largest industries in the world. We use our proprietary AI, machine learning and cloud-based services, including our Thomasnet® platform, to help buyers efficiently source custom-manufactured parts and assemblies, and empower suppliers of manufacturing services to grow their businesses. Xometry's corporate headquarters is located in North Bethesda, Maryland.</w:t>
      </w:r>
    </w:p>
    <w:p>
      <w:pPr>
        <w:spacing w:after="0" w:line="189" w:lineRule="exact"/>
        <w:rPr>
          <w:sz w:val="20"/>
          <w:szCs w:val="20"/>
          <w:color w:val="auto"/>
        </w:rPr>
      </w:pPr>
    </w:p>
    <w:p>
      <w:pPr>
        <w:ind w:right="200" w:firstLine="644"/>
        <w:spacing w:after="0" w:line="258" w:lineRule="auto"/>
        <w:rPr>
          <w:sz w:val="20"/>
          <w:szCs w:val="20"/>
          <w:color w:val="auto"/>
        </w:rPr>
      </w:pPr>
      <w:r>
        <w:rPr>
          <w:rFonts w:ascii="Times New Roman" w:cs="Times New Roman" w:eastAsia="Times New Roman" w:hAnsi="Times New Roman"/>
          <w:sz w:val="18"/>
          <w:szCs w:val="18"/>
          <w:color w:val="auto"/>
        </w:rPr>
        <w:t>Our AI-enabled technology platform is powered by proprietary machine learning algorithms and datasets, resulting in a sophisticated two-sided marketplace that is rapidly digitizing the manufacturing industry. As a result, buyers can procure the products they want on demand, and suppliers can source new manufacturing opportunities that match their specific capabilities and capacity, ultimately resulting in locally resilient supply chains so goods can get to market faster. Every interaction on our marketplace provides rich data insights that allow us to continuously improve our AI models and create new products and services, fueling powerful network effects as we scale.</w:t>
      </w:r>
    </w:p>
    <w:p>
      <w:pPr>
        <w:spacing w:after="0" w:line="182" w:lineRule="exact"/>
        <w:rPr>
          <w:sz w:val="20"/>
          <w:szCs w:val="20"/>
          <w:color w:val="auto"/>
        </w:rPr>
      </w:pPr>
    </w:p>
    <w:p>
      <w:pPr>
        <w:ind w:right="120" w:firstLine="644"/>
        <w:spacing w:after="0" w:line="260" w:lineRule="auto"/>
        <w:rPr>
          <w:sz w:val="20"/>
          <w:szCs w:val="20"/>
          <w:color w:val="auto"/>
        </w:rPr>
      </w:pPr>
      <w:r>
        <w:rPr>
          <w:rFonts w:ascii="Times New Roman" w:cs="Times New Roman" w:eastAsia="Times New Roman" w:hAnsi="Times New Roman"/>
          <w:sz w:val="18"/>
          <w:szCs w:val="18"/>
          <w:color w:val="auto"/>
        </w:rPr>
        <w:t>We use proprietary technology to enable product designers, engineers, buyers, and supply chain professionals to instantly access the capacity of a global network of manufacturing facilities. The Company’s platform makes it possible for buyers to quickly receive pricing, expected lead times, manufacturability feedback and place orders on the Company’s platform. The network allows the Company to provide high volumes of unique parts, including custom components and assemblies for its buyers.</w:t>
      </w:r>
    </w:p>
    <w:p>
      <w:pPr>
        <w:spacing w:after="0" w:line="182" w:lineRule="exact"/>
        <w:rPr>
          <w:sz w:val="20"/>
          <w:szCs w:val="20"/>
          <w:color w:val="auto"/>
        </w:rPr>
      </w:pPr>
    </w:p>
    <w:p>
      <w:pPr>
        <w:ind w:right="100" w:firstLine="644"/>
        <w:spacing w:after="0" w:line="258" w:lineRule="auto"/>
        <w:rPr>
          <w:sz w:val="20"/>
          <w:szCs w:val="20"/>
          <w:color w:val="auto"/>
        </w:rPr>
      </w:pPr>
      <w:r>
        <w:rPr>
          <w:rFonts w:ascii="Times New Roman" w:cs="Times New Roman" w:eastAsia="Times New Roman" w:hAnsi="Times New Roman"/>
          <w:sz w:val="18"/>
          <w:szCs w:val="18"/>
          <w:color w:val="auto"/>
        </w:rPr>
        <w:t>Xometry’s suppliers’ capabilities include computer numerical control manufacturing, sheet metal forming, sheet cutting, 3D printing (including fused deposition modeling, direct metal laser sintering, PolyJet, stereolithography, selective laser sintering, binder jetting, carbon digital light synthesis, multi jet fusion and lubricant sublayer photo-curing), die casting, stamping, injection molding, urethane casting, tube cutting, tube bending, as well as finishing services, rapid prototyping and high-volume production. Xometry's extensible technology platform allows the Company to add new technologies and processes to gain more wallet share with our buyers.</w:t>
      </w:r>
    </w:p>
    <w:p>
      <w:pPr>
        <w:spacing w:after="0" w:line="182" w:lineRule="exact"/>
        <w:rPr>
          <w:sz w:val="20"/>
          <w:szCs w:val="20"/>
          <w:color w:val="auto"/>
        </w:rPr>
      </w:pPr>
    </w:p>
    <w:p>
      <w:pPr>
        <w:ind w:right="100" w:firstLine="644"/>
        <w:spacing w:after="0" w:line="258" w:lineRule="auto"/>
        <w:rPr>
          <w:sz w:val="20"/>
          <w:szCs w:val="20"/>
          <w:color w:val="auto"/>
        </w:rPr>
      </w:pPr>
      <w:r>
        <w:rPr>
          <w:rFonts w:ascii="Times New Roman" w:cs="Times New Roman" w:eastAsia="Times New Roman" w:hAnsi="Times New Roman"/>
          <w:sz w:val="18"/>
          <w:szCs w:val="18"/>
          <w:color w:val="auto"/>
        </w:rPr>
        <w:t>We empower suppliers to grow their manufacturing businesses and improve machine uptime by providing access to an extensive, diverse base of buyers. We also offer suppliers supporting products and services to meet their unique needs. Through Thomasnet, a leading industrial sourcing platform in North America, we offer suppliers an array of digital advertising and marketing services and data solutions. In addition, our suite of supplier services includes financial service products to stabilize and enhance cash flow and a cloud-based manufacturing execution system to help suppliers optimize their productivity.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80" w:right="5500" w:hanging="372"/>
        <w:spacing w:after="0" w:line="377" w:lineRule="auto"/>
        <w:tabs>
          <w:tab w:leader="none" w:pos="36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Basis of Presentation and Summary of Significant Accounting Policies </w:t>
      </w:r>
      <w:r>
        <w:rPr>
          <w:rFonts w:ascii="Times New Roman" w:cs="Times New Roman" w:eastAsia="Times New Roman" w:hAnsi="Times New Roman"/>
          <w:sz w:val="18"/>
          <w:szCs w:val="18"/>
          <w:b w:val="1"/>
          <w:bCs w:val="1"/>
          <w:i w:val="1"/>
          <w:iCs w:val="1"/>
          <w:color w:val="auto"/>
        </w:rPr>
        <w:t>(a)Basis of Presentation</w:t>
      </w:r>
    </w:p>
    <w:p>
      <w:pPr>
        <w:spacing w:after="0" w:line="1"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in the United States of America (“U.S. GAAP”) and applicable rules and regulations of the Securities and Exchange Commission (“SEC”) regarding interim financial reporting. Certain information and note disclosures normally included in the financial statements prepared in accordance with U.S. GAAP have been condensed or omitted pursuant to such rules and regulations. Therefore, these condensed consolidated financial statements should be read in conjunction with the consolidated financial statements and notes included in the Company's Annual Report on Form 10-K filed with the SEC on February 29, 2024.</w:t>
      </w:r>
    </w:p>
    <w:p>
      <w:pPr>
        <w:spacing w:after="0" w:line="78" w:lineRule="exact"/>
        <w:rPr>
          <w:sz w:val="20"/>
          <w:szCs w:val="20"/>
          <w:color w:val="auto"/>
        </w:rPr>
      </w:pPr>
    </w:p>
    <w:p>
      <w:pPr>
        <w:ind w:right="180" w:firstLine="644"/>
        <w:spacing w:after="0" w:line="256"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2023, included herein, was derived from the audited financial statements as of that date, but may not include all disclosures including certain notes required by U.S. GAAP on an annual reporting basis. In the opinion of management, the accompanying condensed consolidated financial statements reflect all normal recurring adjustments necessary to present fairly the financial position, results of operations, comprehensive loss, stockholders' equity and cash flows for the interim periods, but are not necessarily indicative of the results of operations to be anticipated for the full year 2024 or any future period. The Company has two reporting segments which are referred to as: (1) the United States (“U.S.”) and (2) International.</w:t>
      </w:r>
    </w:p>
    <w:p>
      <w:pPr>
        <w:spacing w:after="0" w:line="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Foreign Operations and Comprehensive Loss</w:t>
      </w:r>
    </w:p>
    <w:p>
      <w:pPr>
        <w:spacing w:after="0" w:line="119" w:lineRule="exact"/>
        <w:rPr>
          <w:sz w:val="20"/>
          <w:szCs w:val="20"/>
          <w:color w:val="auto"/>
        </w:rPr>
      </w:pPr>
    </w:p>
    <w:p>
      <w:pPr>
        <w:jc w:val="both"/>
        <w:ind w:right="120" w:firstLine="644"/>
        <w:spacing w:after="0" w:line="256" w:lineRule="auto"/>
        <w:rPr>
          <w:sz w:val="20"/>
          <w:szCs w:val="20"/>
          <w:color w:val="auto"/>
        </w:rPr>
      </w:pPr>
      <w:r>
        <w:rPr>
          <w:rFonts w:ascii="Times New Roman" w:cs="Times New Roman" w:eastAsia="Times New Roman" w:hAnsi="Times New Roman"/>
          <w:sz w:val="18"/>
          <w:szCs w:val="18"/>
          <w:color w:val="auto"/>
        </w:rPr>
        <w:t>The U.S. dollar (“USD”) is the functional currency for Xometry’s consolidated subsidiary operating in the U.S. The primary functional currency for the Company's consolidated subsidiaries operating in Germany and to a lesser extent, United Kingdom, Turkey, China and Japan, is the Euro, British Pound Sterling, Turkish Lira, Yuan and the Yen, respectively. For the Company’s consolidated subsidiaries whose functional currencies are not the USD, the Company translates their financial statements into USD. The Company translates assets and liabilities at the exchange rate in effect as of the financial statement date. Revenue and expense accounts are translated using an average exchange rate for the period. Gains and losses resulting from translation are included in accumulated other comprehensive income, as a separate component of equity.</w:t>
      </w:r>
    </w:p>
    <w:p>
      <w:pPr>
        <w:spacing w:after="0" w:line="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Noncontrolling Interest</w:t>
      </w:r>
    </w:p>
    <w:p>
      <w:pPr>
        <w:spacing w:after="0" w:line="119" w:lineRule="exact"/>
        <w:rPr>
          <w:sz w:val="20"/>
          <w:szCs w:val="20"/>
          <w:color w:val="auto"/>
        </w:rPr>
      </w:pPr>
    </w:p>
    <w:p>
      <w:pPr>
        <w:ind w:right="20" w:firstLine="644"/>
        <w:spacing w:after="0" w:line="258" w:lineRule="auto"/>
        <w:rPr>
          <w:sz w:val="20"/>
          <w:szCs w:val="20"/>
          <w:color w:val="auto"/>
        </w:rPr>
      </w:pPr>
      <w:r>
        <w:rPr>
          <w:rFonts w:ascii="Times New Roman" w:cs="Times New Roman" w:eastAsia="Times New Roman" w:hAnsi="Times New Roman"/>
          <w:sz w:val="18"/>
          <w:szCs w:val="18"/>
          <w:color w:val="auto"/>
        </w:rPr>
        <w:t>We have a 66.67% ownership in Incom Co., LTD. As we have a controlling interest in Incom Co., LTD, we have consolidated Incom Co., LTD into our unaudited condensed consolidated financial statements. The portion of equity in Incom Co., LTD not owned by the Company is accounted for as a noncontrolling interest. We present the portion of any equity that we do not own in a consolidated entity as noncontrolling interest and classify their interest as a component of total equity, separate from total stockholders’ equity on our Condensed Consolidated Balance Sheets. We include net (loss) income attributable to the noncontrolling interests in net loss in our Condensed Consolidated Statements of Operations and Comprehensive Loss.</w:t>
      </w:r>
    </w:p>
    <w:p>
      <w:pPr>
        <w:spacing w:after="0" w:line="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(b)Use of Estimates</w:t>
      </w:r>
    </w:p>
    <w:p>
      <w:pPr>
        <w:spacing w:after="0" w:line="121" w:lineRule="exact"/>
        <w:rPr>
          <w:sz w:val="20"/>
          <w:szCs w:val="20"/>
          <w:color w:val="auto"/>
        </w:rPr>
      </w:pPr>
    </w:p>
    <w:p>
      <w:pPr>
        <w:ind w:right="60" w:firstLine="644"/>
        <w:spacing w:after="0" w:line="265" w:lineRule="auto"/>
        <w:rPr>
          <w:sz w:val="20"/>
          <w:szCs w:val="20"/>
          <w:color w:val="auto"/>
        </w:rPr>
      </w:pPr>
      <w:r>
        <w:rPr>
          <w:rFonts w:ascii="Times New Roman" w:cs="Times New Roman" w:eastAsia="Times New Roman" w:hAnsi="Times New Roman"/>
          <w:sz w:val="18"/>
          <w:szCs w:val="18"/>
          <w:color w:val="auto"/>
        </w:rPr>
        <w:t>The preparation of the Company’s unaudited condensed consolidated financial statements in conformity with U.S. GAAP requires management to make estimates and assumptions, which affect the reported amounts in the financial statements and accompanying notes. Actual results could differ from those estimates.</w:t>
      </w:r>
    </w:p>
    <w:p>
      <w:pPr>
        <w:spacing w:after="0" w:line="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(c)Business Combinations</w:t>
      </w:r>
    </w:p>
    <w:p>
      <w:pPr>
        <w:spacing w:after="0" w:line="121" w:lineRule="exact"/>
        <w:rPr>
          <w:sz w:val="20"/>
          <w:szCs w:val="20"/>
          <w:color w:val="auto"/>
        </w:rPr>
      </w:pPr>
    </w:p>
    <w:p>
      <w:pPr>
        <w:ind w:right="20" w:firstLine="644"/>
        <w:spacing w:after="0" w:line="253" w:lineRule="auto"/>
        <w:rPr>
          <w:sz w:val="20"/>
          <w:szCs w:val="20"/>
          <w:color w:val="auto"/>
        </w:rPr>
      </w:pPr>
      <w:r>
        <w:rPr>
          <w:rFonts w:ascii="Times New Roman" w:cs="Times New Roman" w:eastAsia="Times New Roman" w:hAnsi="Times New Roman"/>
          <w:sz w:val="18"/>
          <w:szCs w:val="18"/>
          <w:color w:val="auto"/>
        </w:rPr>
        <w:t>The Company accounts for business combinations using the acquisition method of accounting, which requires, among other things, allocation of the fair value of purchase consideration to the tangible and intangible assets acquired and liabilities assumed at their estimated fair values on the acquisition date. The excess of the fair value of purchase consideration over the values of these identifiable assets and liabilities is recorded as goodwill. When determining the fair value of assets acquired and liabilities assumed, management makes significant estimates and assumptions, especially with respect to the valuation of intangible assets. Management’s estimates of fair value are based upon assumptions believed to be reasonable, but which are inherently uncertain and unpredictable and, as a result, actual results may differ from estimates. During the measurement period, not to exceed one year from the date of acquisition, the Company may record adjustments to the assets acquired and liabilities assumed, with a corresponding offset to goodwill if new information is obtained related to facts and circumstances that existed as of the acquisition date. Upon the conclusion of the measurement period or final determination of the fair value of assets acquired or liabilities assumed, whichever comes first, any subsequent adjustments are reflected in the consolidated statements of operations. Acquisition costs, such as legal and consulting fees, are expensed as incurred.</w:t>
      </w:r>
    </w:p>
    <w:p>
      <w:pPr>
        <w:spacing w:after="0" w:line="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(d)Fair Value Measurements and Financial Instruments</w:t>
      </w:r>
    </w:p>
    <w:p>
      <w:pPr>
        <w:spacing w:after="0" w:line="121" w:lineRule="exact"/>
        <w:rPr>
          <w:sz w:val="20"/>
          <w:szCs w:val="20"/>
          <w:color w:val="auto"/>
        </w:rPr>
      </w:pPr>
    </w:p>
    <w:p>
      <w:pPr>
        <w:jc w:val="both"/>
        <w:ind w:firstLine="644"/>
        <w:spacing w:after="0" w:line="265" w:lineRule="auto"/>
        <w:rPr>
          <w:sz w:val="20"/>
          <w:szCs w:val="20"/>
          <w:color w:val="auto"/>
        </w:rPr>
      </w:pPr>
      <w:r>
        <w:rPr>
          <w:rFonts w:ascii="Times New Roman" w:cs="Times New Roman" w:eastAsia="Times New Roman" w:hAnsi="Times New Roman"/>
          <w:sz w:val="18"/>
          <w:szCs w:val="18"/>
          <w:color w:val="auto"/>
        </w:rPr>
        <w:t>The Company measures certain assets and liabilities at fair value on a recurring basis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w:t>
      </w:r>
    </w:p>
    <w:p>
      <w:pPr>
        <w:spacing w:after="0" w:line="69" w:lineRule="exact"/>
        <w:rPr>
          <w:sz w:val="20"/>
          <w:szCs w:val="20"/>
          <w:color w:val="auto"/>
        </w:rPr>
      </w:pPr>
    </w:p>
    <w:p>
      <w:pPr>
        <w:ind w:right="360" w:firstLine="644"/>
        <w:spacing w:after="0" w:line="265" w:lineRule="auto"/>
        <w:rPr>
          <w:sz w:val="20"/>
          <w:szCs w:val="20"/>
          <w:color w:val="auto"/>
        </w:rPr>
      </w:pPr>
      <w:r>
        <w:rPr>
          <w:rFonts w:ascii="Times New Roman" w:cs="Times New Roman" w:eastAsia="Times New Roman" w:hAnsi="Times New Roman"/>
          <w:sz w:val="18"/>
          <w:szCs w:val="18"/>
          <w:color w:val="auto"/>
        </w:rPr>
        <w:t>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Observable inputs that reflect quoted prices (unadjusted) for identical assets or liabilities in active markets.</w:t>
      </w:r>
    </w:p>
    <w:p>
      <w:pPr>
        <w:spacing w:after="0" w:line="117" w:lineRule="exact"/>
        <w:rPr>
          <w:sz w:val="20"/>
          <w:szCs w:val="20"/>
          <w:color w:val="auto"/>
        </w:rPr>
      </w:pPr>
    </w:p>
    <w:p>
      <w:pPr>
        <w:jc w:val="both"/>
        <w:ind w:right="80" w:firstLine="644"/>
        <w:spacing w:after="0" w:line="265" w:lineRule="auto"/>
        <w:rPr>
          <w:sz w:val="20"/>
          <w:szCs w:val="20"/>
          <w:color w:val="auto"/>
        </w:rPr>
      </w:pPr>
      <w:r>
        <w:rPr>
          <w:rFonts w:ascii="Times New Roman" w:cs="Times New Roman" w:eastAsia="Times New Roman" w:hAnsi="Times New Roman"/>
          <w:sz w:val="18"/>
          <w:szCs w:val="18"/>
          <w:color w:val="auto"/>
        </w:rPr>
        <w:t>Level 2 -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p>
      <w:pPr>
        <w:spacing w:after="0" w:line="69" w:lineRule="exact"/>
        <w:rPr>
          <w:sz w:val="20"/>
          <w:szCs w:val="20"/>
          <w:color w:val="auto"/>
        </w:rPr>
      </w:pPr>
    </w:p>
    <w:p>
      <w:pPr>
        <w:ind w:firstLine="644"/>
        <w:spacing w:after="0" w:line="281" w:lineRule="auto"/>
        <w:rPr>
          <w:sz w:val="20"/>
          <w:szCs w:val="20"/>
          <w:color w:val="auto"/>
        </w:rPr>
      </w:pPr>
      <w:r>
        <w:rPr>
          <w:rFonts w:ascii="Times New Roman" w:cs="Times New Roman" w:eastAsia="Times New Roman" w:hAnsi="Times New Roman"/>
          <w:sz w:val="18"/>
          <w:szCs w:val="18"/>
          <w:color w:val="auto"/>
        </w:rPr>
        <w:t>Level 3 - Unobservable inputs reflecting the Company’s own assumptions incorporated in valuation techniques used to determine fair value. These assumptions are required to be consistent with market participant assumptions that are reasonably available.</w:t>
      </w:r>
    </w:p>
    <w:p>
      <w:pPr>
        <w:spacing w:after="0" w:line="55" w:lineRule="exact"/>
        <w:rPr>
          <w:sz w:val="20"/>
          <w:szCs w:val="20"/>
          <w:color w:val="auto"/>
        </w:rPr>
      </w:pPr>
    </w:p>
    <w:p>
      <w:pPr>
        <w:ind w:right="260" w:firstLine="644"/>
        <w:spacing w:after="0" w:line="265" w:lineRule="auto"/>
        <w:rPr>
          <w:sz w:val="20"/>
          <w:szCs w:val="20"/>
          <w:color w:val="auto"/>
        </w:rPr>
      </w:pPr>
      <w:r>
        <w:rPr>
          <w:rFonts w:ascii="Times New Roman" w:cs="Times New Roman" w:eastAsia="Times New Roman" w:hAnsi="Times New Roman"/>
          <w:sz w:val="18"/>
          <w:szCs w:val="18"/>
          <w:color w:val="auto"/>
        </w:rPr>
        <w:t>The carrying amounts of certain of the Company’s financial instruments, which include cash and cash equivalents, accounts receivable, prepaid expenses, other assets, accounts payable, accrued expenses and contract liabilities approximate their fair values due to their short maturities. The Company's marketable securities are recorded at fair value.</w:t>
      </w:r>
    </w:p>
    <w:p>
      <w:pPr>
        <w:spacing w:after="0" w:line="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(e)Cash and Cash Equivalents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Cash and cash equivalents consist of cash held in checking accounts. These investments are stated at cost, which approximates fair value.</w:t>
      </w:r>
    </w:p>
    <w:p>
      <w:pPr>
        <w:spacing w:after="0" w:line="1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(f)Marketable Securities</w:t>
      </w:r>
    </w:p>
    <w:p>
      <w:pPr>
        <w:spacing w:after="0" w:line="121" w:lineRule="exact"/>
        <w:rPr>
          <w:sz w:val="20"/>
          <w:szCs w:val="20"/>
          <w:color w:val="auto"/>
        </w:rPr>
      </w:pPr>
    </w:p>
    <w:p>
      <w:pPr>
        <w:ind w:right="20" w:firstLine="644"/>
        <w:spacing w:after="0" w:line="258" w:lineRule="auto"/>
        <w:rPr>
          <w:sz w:val="20"/>
          <w:szCs w:val="20"/>
          <w:color w:val="auto"/>
        </w:rPr>
      </w:pPr>
      <w:r>
        <w:rPr>
          <w:rFonts w:ascii="Times New Roman" w:cs="Times New Roman" w:eastAsia="Times New Roman" w:hAnsi="Times New Roman"/>
          <w:sz w:val="18"/>
          <w:szCs w:val="18"/>
          <w:color w:val="auto"/>
        </w:rPr>
        <w:t>The Company measures its marketable securities at fair value. The Company's marketable securities represent our investments in a short term money market fund. These marketable securities have maturities of three months or less. As of September 30, 2024 and December 31, 2023, the Company's marketable securities of $216.6 million and $215.4 million, respectively, were recorded at fair value, within Level 1 of the fair value hierarchy. The fair value of the Company’s Level 1 financial instruments is based on quoted prices in active markets, and total fair value is the published market price per unit multiplied by the number of units held without consideration of transaction costs, discounts or blockage factors.</w:t>
      </w:r>
    </w:p>
    <w:p>
      <w:pPr>
        <w:spacing w:after="0" w:line="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(g)Accounts Receivable</w:t>
      </w:r>
    </w:p>
    <w:p>
      <w:pPr>
        <w:spacing w:after="0" w:line="121" w:lineRule="exact"/>
        <w:rPr>
          <w:sz w:val="20"/>
          <w:szCs w:val="20"/>
          <w:color w:val="auto"/>
        </w:rPr>
      </w:pPr>
    </w:p>
    <w:p>
      <w:pPr>
        <w:ind w:right="80" w:firstLine="644"/>
        <w:spacing w:after="0" w:line="254" w:lineRule="auto"/>
        <w:rPr>
          <w:sz w:val="20"/>
          <w:szCs w:val="20"/>
          <w:color w:val="auto"/>
        </w:rPr>
      </w:pPr>
      <w:r>
        <w:rPr>
          <w:rFonts w:ascii="Times New Roman" w:cs="Times New Roman" w:eastAsia="Times New Roman" w:hAnsi="Times New Roman"/>
          <w:sz w:val="18"/>
          <w:szCs w:val="18"/>
          <w:color w:val="auto"/>
        </w:rPr>
        <w:t>Accounts receivable are stated at the amount the Company expects to collect from outstanding balances. The Company's accounts receivable do not bear interest. Amounts collected on accounts receivable are included in net cash used in operating activities in the Condensed Consolidated Statements of Cash Flows. For buyers for which the Company provides credit, the Company performs credit inquiries, including reference checks, and queries credit ratings services and other publicly available information. Management provides for probable uncollectible amounts through a provision for bad debt expense and an adjustment to a valuation allowance based on the age of the outstanding amounts, each customer’s expected ability to pay and collection history, current market conditions, and reasonable and supportable forecasts of future economic conditions to determine whether the allowance is appropriate. The Company reviews its valuation allowance monthly. Past due balances over 90 days and over a specified amount are reviewed individually for collectability. Balances that are still outstanding after management has used reasonable collection efforts are written off through a charge to the valuation allowance and a credit to accounts receivable.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allowance for credit losses related to accounts receivable and changes were as follows (in thousands):</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20" w:type="dxa"/>
            <w:vAlign w:val="bottom"/>
          </w:tcPr>
          <w:p>
            <w:pPr>
              <w:spacing w:after="0"/>
              <w:rPr>
                <w:sz w:val="16"/>
                <w:szCs w:val="16"/>
                <w:color w:val="auto"/>
              </w:rPr>
            </w:pPr>
          </w:p>
        </w:tc>
        <w:tc>
          <w:tcPr>
            <w:tcW w:w="13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169"/>
        </w:trPr>
        <w:tc>
          <w:tcPr>
            <w:tcW w:w="7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3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beginning of year, January 1</w:t>
            </w:r>
          </w:p>
        </w:tc>
        <w:tc>
          <w:tcPr>
            <w:tcW w:w="1300" w:type="dxa"/>
            <w:vAlign w:val="bottom"/>
          </w:tcPr>
          <w:p>
            <w:pPr>
              <w:jc w:val="right"/>
              <w:ind w:right="11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22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100" w:type="dxa"/>
            <w:vAlign w:val="bottom"/>
          </w:tcPr>
          <w:p>
            <w:pPr>
              <w:spacing w:after="0"/>
              <w:rPr>
                <w:sz w:val="20"/>
                <w:szCs w:val="20"/>
                <w:color w:val="auto"/>
              </w:rPr>
            </w:pPr>
          </w:p>
        </w:tc>
      </w:tr>
      <w:tr>
        <w:trPr>
          <w:trHeight w:val="247"/>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Charge to provision accounts</w:t>
            </w:r>
          </w:p>
        </w:tc>
        <w:tc>
          <w:tcPr>
            <w:tcW w:w="13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2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100" w:type="dxa"/>
            <w:vAlign w:val="bottom"/>
            <w:shd w:val="clear" w:color="auto" w:fill="CFF0FC"/>
          </w:tcPr>
          <w:p>
            <w:pPr>
              <w:spacing w:after="0"/>
              <w:rPr>
                <w:sz w:val="21"/>
                <w:szCs w:val="21"/>
                <w:color w:val="auto"/>
              </w:rPr>
            </w:pPr>
          </w:p>
        </w:tc>
      </w:tr>
      <w:tr>
        <w:trPr>
          <w:trHeight w:val="238"/>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Write-offs or other</w:t>
            </w:r>
          </w:p>
        </w:tc>
        <w:tc>
          <w:tcPr>
            <w:tcW w:w="13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(1,171 )</w:t>
            </w:r>
          </w:p>
        </w:tc>
        <w:tc>
          <w:tcPr>
            <w:tcW w:w="460" w:type="dxa"/>
            <w:vAlign w:val="bottom"/>
          </w:tcPr>
          <w:p>
            <w:pPr>
              <w:spacing w:after="0"/>
              <w:rPr>
                <w:sz w:val="20"/>
                <w:szCs w:val="20"/>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(1,730 )</w:t>
            </w:r>
          </w:p>
        </w:tc>
      </w:tr>
      <w:tr>
        <w:trPr>
          <w:trHeight w:val="276"/>
        </w:trPr>
        <w:tc>
          <w:tcPr>
            <w:tcW w:w="7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period end, September 30 and December 31, respectively</w:t>
            </w:r>
          </w:p>
        </w:tc>
        <w:tc>
          <w:tcPr>
            <w:tcW w:w="1300" w:type="dxa"/>
            <w:vAlign w:val="bottom"/>
            <w:tcBorders>
              <w:top w:val="single" w:sz="8" w:color="auto"/>
              <w:bottom w:val="single" w:sz="8" w:color="auto"/>
            </w:tcBorders>
            <w:shd w:val="clear" w:color="auto" w:fill="CFF0FC"/>
          </w:tcPr>
          <w:p>
            <w:pPr>
              <w:jc w:val="right"/>
              <w:ind w:right="11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22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5699125</wp:posOffset>
            </wp:positionH>
            <wp:positionV relativeFrom="paragraph">
              <wp:posOffset>-24765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-7620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(h)Property and Equipment and Long-Lived Assets</w:t>
      </w:r>
    </w:p>
    <w:p>
      <w:pPr>
        <w:spacing w:after="0" w:line="121" w:lineRule="exact"/>
        <w:rPr>
          <w:sz w:val="20"/>
          <w:szCs w:val="20"/>
          <w:color w:val="auto"/>
        </w:rPr>
      </w:pPr>
    </w:p>
    <w:p>
      <w:pPr>
        <w:ind w:right="100" w:firstLine="644"/>
        <w:spacing w:after="0" w:line="281" w:lineRule="auto"/>
        <w:rPr>
          <w:sz w:val="20"/>
          <w:szCs w:val="20"/>
          <w:color w:val="auto"/>
        </w:rPr>
      </w:pPr>
      <w:r>
        <w:rPr>
          <w:rFonts w:ascii="Times New Roman" w:cs="Times New Roman" w:eastAsia="Times New Roman" w:hAnsi="Times New Roman"/>
          <w:sz w:val="18"/>
          <w:szCs w:val="18"/>
          <w:color w:val="auto"/>
        </w:rPr>
        <w:t>Property and equipment are stated at cost. Depreciation is calculated on the straight-line method over the estimated useful life of the assets, which range from two to nine years, or in the case of leasehold improvements, over the shorter of the remaining lease term or the useful life of the asset.</w:t>
      </w:r>
    </w:p>
    <w:p>
      <w:pPr>
        <w:spacing w:after="0" w:line="55" w:lineRule="exact"/>
        <w:rPr>
          <w:sz w:val="20"/>
          <w:szCs w:val="20"/>
          <w:color w:val="auto"/>
        </w:rPr>
      </w:pPr>
    </w:p>
    <w:p>
      <w:pPr>
        <w:ind w:right="80" w:firstLine="644"/>
        <w:spacing w:after="0" w:line="256" w:lineRule="auto"/>
        <w:rPr>
          <w:sz w:val="20"/>
          <w:szCs w:val="20"/>
          <w:color w:val="auto"/>
        </w:rPr>
      </w:pPr>
      <w:r>
        <w:rPr>
          <w:rFonts w:ascii="Times New Roman" w:cs="Times New Roman" w:eastAsia="Times New Roman" w:hAnsi="Times New Roman"/>
          <w:sz w:val="18"/>
          <w:szCs w:val="18"/>
          <w:color w:val="auto"/>
        </w:rPr>
        <w:t>Property and equipment and intangible assets subject to amortization are reviewed for impairment whenever events or changes in circumstances indicate that the carrying amount of an asset may not be recoverable. If circumstances require a long-lived asset or asset group to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through various valuation techniques including discounted cash flow models, quoted market values and third-party independent appraisals, as considered necessary.</w:t>
      </w:r>
    </w:p>
    <w:p>
      <w:pPr>
        <w:spacing w:after="0" w:line="78" w:lineRule="exact"/>
        <w:rPr>
          <w:sz w:val="20"/>
          <w:szCs w:val="20"/>
          <w:color w:val="auto"/>
        </w:rPr>
      </w:pPr>
    </w:p>
    <w:p>
      <w:pPr>
        <w:ind w:right="180" w:firstLine="644"/>
        <w:spacing w:after="0" w:line="258" w:lineRule="auto"/>
        <w:rPr>
          <w:sz w:val="20"/>
          <w:szCs w:val="20"/>
          <w:color w:val="auto"/>
        </w:rPr>
      </w:pPr>
      <w:r>
        <w:rPr>
          <w:rFonts w:ascii="Times New Roman" w:cs="Times New Roman" w:eastAsia="Times New Roman" w:hAnsi="Times New Roman"/>
          <w:sz w:val="18"/>
          <w:szCs w:val="18"/>
          <w:color w:val="auto"/>
        </w:rPr>
        <w:t>Property and equipment includes capitalized internal-use software development costs. Eligible internal-use software development costs are capitalized subsequent to the completion of the preliminary project stage. Such costs include internal and external direct development costs totaling $12.7 million for the nine months ended September 30, 2024 and $19.7 million for the year ended December 31, 2023. After all substantial testing and deployment is completed and the software is ready for its intended use, capitalization is discontinued and the internal-use software costs are placed in service and amortized using the straight-line method over the estimated useful life of the software, generally three years.</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(i)Goodwill</w:t>
      </w:r>
    </w:p>
    <w:p>
      <w:pPr>
        <w:spacing w:after="0" w:line="121" w:lineRule="exact"/>
        <w:rPr>
          <w:sz w:val="20"/>
          <w:szCs w:val="20"/>
          <w:color w:val="auto"/>
        </w:rPr>
      </w:pPr>
    </w:p>
    <w:p>
      <w:pPr>
        <w:ind w:right="120" w:firstLine="644"/>
        <w:spacing w:after="0" w:line="260" w:lineRule="auto"/>
        <w:rPr>
          <w:sz w:val="20"/>
          <w:szCs w:val="20"/>
          <w:color w:val="auto"/>
        </w:rPr>
      </w:pPr>
      <w:r>
        <w:rPr>
          <w:rFonts w:ascii="Times New Roman" w:cs="Times New Roman" w:eastAsia="Times New Roman" w:hAnsi="Times New Roman"/>
          <w:sz w:val="18"/>
          <w:szCs w:val="18"/>
          <w:color w:val="auto"/>
        </w:rPr>
        <w:t>Goodwill represents the excess purchase price over the estimated fair value of net assets acquired in a business combination. As of September 30, 2024 and December 31, 2023, the Company's goodwill is attributable to both the U.S. and International reporting units. Goodwill is not amortized. The Company tests goodwill for impairment annually in the fourth quarter, or more frequently, if events or changes in circumstances indicate that the carrying value of a reporting unit, including goodwill, might be impaired.</w:t>
      </w:r>
    </w:p>
    <w:p>
      <w:pPr>
        <w:spacing w:after="0" w:line="74" w:lineRule="exact"/>
        <w:rPr>
          <w:sz w:val="20"/>
          <w:szCs w:val="20"/>
          <w:color w:val="auto"/>
        </w:rPr>
      </w:pPr>
    </w:p>
    <w:p>
      <w:pPr>
        <w:ind w:right="180" w:firstLine="644"/>
        <w:spacing w:after="0" w:line="256" w:lineRule="auto"/>
        <w:rPr>
          <w:sz w:val="20"/>
          <w:szCs w:val="20"/>
          <w:color w:val="auto"/>
        </w:rPr>
      </w:pPr>
      <w:r>
        <w:rPr>
          <w:rFonts w:ascii="Times New Roman" w:cs="Times New Roman" w:eastAsia="Times New Roman" w:hAnsi="Times New Roman"/>
          <w:sz w:val="18"/>
          <w:szCs w:val="18"/>
          <w:color w:val="auto"/>
        </w:rPr>
        <w:t>In testing for goodwill impairment, we first assess qualitative factors to determine whether the existence of events or circumstances leads to a determination that it is more likely than not that the fair value of a reporting unit is less than its carrying amount. These qualitative factors assessed may include the following: (i) significant changes in the manner of our use of the assets or the strategy of our overall business, (ii) certain restructuring initiatives, (iii) significant negative industry or economic trends and (iv) significant decline in our share price for a sustained period. If, after assessing the totality of events or circumstances, we determine it is not more likely than not that the fair value of a reporting unit is less than its carrying amount, then additional impairment testing is not required. However, if we conclude otherwise, we proceed to the quantitative assessment.</w:t>
      </w:r>
    </w:p>
    <w:p>
      <w:pPr>
        <w:spacing w:after="0" w:line="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(j)Revenue</w:t>
      </w:r>
    </w:p>
    <w:p>
      <w:pPr>
        <w:spacing w:after="0" w:line="121" w:lineRule="exact"/>
        <w:rPr>
          <w:sz w:val="20"/>
          <w:szCs w:val="20"/>
          <w:color w:val="auto"/>
        </w:rPr>
      </w:pPr>
    </w:p>
    <w:p>
      <w:pPr>
        <w:ind w:right="280" w:firstLine="644"/>
        <w:spacing w:after="0" w:line="265" w:lineRule="auto"/>
        <w:rPr>
          <w:sz w:val="20"/>
          <w:szCs w:val="20"/>
          <w:color w:val="auto"/>
        </w:rPr>
      </w:pPr>
      <w:r>
        <w:rPr>
          <w:rFonts w:ascii="Times New Roman" w:cs="Times New Roman" w:eastAsia="Times New Roman" w:hAnsi="Times New Roman"/>
          <w:sz w:val="18"/>
          <w:szCs w:val="18"/>
          <w:color w:val="auto"/>
        </w:rPr>
        <w:t xml:space="preserve">The Company derives the majority of its U.S. and International marketplace revenue from the sale of parts and assemblies fulfilled using a vast network of suppliers. The Company recognizes revenue from the sales to our customers pursuant to Financial Accounting Standard Board’s (“FASB”) Accounting Standards Codification (“ASC”) </w:t>
      </w:r>
      <w:r>
        <w:rPr>
          <w:rFonts w:ascii="Times New Roman" w:cs="Times New Roman" w:eastAsia="Times New Roman" w:hAnsi="Times New Roman"/>
          <w:sz w:val="18"/>
          <w:szCs w:val="18"/>
          <w:i w:val="1"/>
          <w:iCs w:val="1"/>
          <w:color w:val="auto"/>
        </w:rPr>
        <w:t>Topic 606, Revenue from Contracts with Customers</w:t>
      </w:r>
      <w:r>
        <w:rPr>
          <w:rFonts w:ascii="Times New Roman" w:cs="Times New Roman" w:eastAsia="Times New Roman" w:hAnsi="Times New Roman"/>
          <w:sz w:val="18"/>
          <w:szCs w:val="18"/>
          <w:color w:val="auto"/>
        </w:rPr>
        <w:t xml:space="preserve"> (“ASC 606”).</w:t>
      </w:r>
    </w:p>
    <w:p>
      <w:pPr>
        <w:spacing w:after="0" w:line="177"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The Company determines that a contract exists between the Company and the customer when the customer accepts the quote and places the order, all of which are governed by the Company’s standard terms and conditions or other agreed terms with Xometry’s buyers. Upon completion of an order through Xometry’s platform, the Company identifies the performance obligation(s) within that order to complete the sale of the manufactured part(s) or assembly. Using Xometry’s in-house technology, the Company determines the price for the manufactured part(s) or assembly on a stand-alone basis at order initiation. The Company recognizes revenue from sales to Xometry’s customers upon shipment, at which point control over the part(s) or assembly have transferred.</w:t>
      </w:r>
    </w:p>
    <w:p>
      <w:pPr>
        <w:spacing w:after="0" w:line="186" w:lineRule="exact"/>
        <w:rPr>
          <w:sz w:val="20"/>
          <w:szCs w:val="20"/>
          <w:color w:val="auto"/>
        </w:rPr>
      </w:pPr>
    </w:p>
    <w:p>
      <w:pPr>
        <w:ind w:right="80" w:firstLine="644"/>
        <w:spacing w:after="0" w:line="255" w:lineRule="auto"/>
        <w:rPr>
          <w:sz w:val="20"/>
          <w:szCs w:val="20"/>
          <w:color w:val="auto"/>
        </w:rPr>
      </w:pPr>
      <w:r>
        <w:rPr>
          <w:rFonts w:ascii="Times New Roman" w:cs="Times New Roman" w:eastAsia="Times New Roman" w:hAnsi="Times New Roman"/>
          <w:sz w:val="18"/>
          <w:szCs w:val="18"/>
          <w:color w:val="auto"/>
        </w:rPr>
        <w:t>The Company has concluded that the Company is principal in the sale of part(s) and assemblies that use the Company’s network of third-party manufacturers because the Company controls the manufacturing by obtaining a right to direct a third-party manufacturer to fulfill the performance obligation Xometry has with the Company’s customers on Xometry’s behalf. The Company has considered the following conditions of the sale: (i) the Company has the obligation of providing the specified product to the customer, (ii) the Company has discretion with respect to establishing the price of the product and the price the Company pays the suppliers and the Company has margin risk on all of Xometry’s sales, (iii) the Company has discretion in determining how to fulfill each order, including selecting the supplier and (iv) Xometry bears certain risk for product quality to the extent the customer is not satisfied with the final product.</w:t>
      </w:r>
    </w:p>
    <w:p>
      <w:pPr>
        <w:spacing w:after="0" w:line="187"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Xometry also derives revenue from its supplier services which is a suite of services offered to our suppliers. Revenue also includes the sale of marketing services which includes advertising. This revenue is generally recognized as control is transferred to the customer, in an amount reflecting the consideration we expect to be entitled to in exchange for such product or service. From time to time, a purchase order with a customer may involve multiple performance obligations, including a combination of some or all of our products. Judgment may be required in determining whether products are considered distinct performance obligations that should be accounted for separately or as one combined performance obligation. Revenue is recognized over the period or at the point in time in which the performance obligations are satisfied. Consideration is typically determined based on a fixed unit price for the quantity of product transferred. For purchase orders involving multiple performance obligations, the transaction price is allocated to each performance obligation based on relative standalone selling price, and recognized as revenue when each individual product or service is transferred to the customer.</w:t>
      </w:r>
    </w:p>
    <w:p>
      <w:pPr>
        <w:spacing w:after="0" w:line="74" w:lineRule="exact"/>
        <w:rPr>
          <w:sz w:val="20"/>
          <w:szCs w:val="20"/>
          <w:color w:val="auto"/>
        </w:rPr>
      </w:pPr>
    </w:p>
    <w:p>
      <w:pPr>
        <w:ind w:right="180" w:firstLine="644"/>
        <w:spacing w:after="0" w:line="281" w:lineRule="auto"/>
        <w:rPr>
          <w:sz w:val="20"/>
          <w:szCs w:val="20"/>
          <w:color w:val="auto"/>
        </w:rPr>
      </w:pPr>
      <w:r>
        <w:rPr>
          <w:rFonts w:ascii="Times New Roman" w:cs="Times New Roman" w:eastAsia="Times New Roman" w:hAnsi="Times New Roman"/>
          <w:sz w:val="18"/>
          <w:szCs w:val="18"/>
          <w:color w:val="auto"/>
        </w:rPr>
        <w:t>Revenue is shown net of estimated returns, refunds, and allowances. At each of September 30, 2024 and December 31, 2023, the Company has a provision for estimated returns, refunds or allowances of approximately $0.1 million.</w:t>
      </w:r>
    </w:p>
    <w:p>
      <w:pPr>
        <w:spacing w:after="0" w:line="55" w:lineRule="exact"/>
        <w:rPr>
          <w:sz w:val="20"/>
          <w:szCs w:val="20"/>
          <w:color w:val="auto"/>
        </w:rPr>
      </w:pPr>
    </w:p>
    <w:p>
      <w:pPr>
        <w:jc w:val="center"/>
        <w:ind w:left="560" w:right="420"/>
        <w:spacing w:after="0" w:line="406" w:lineRule="auto"/>
        <w:rPr>
          <w:sz w:val="20"/>
          <w:szCs w:val="20"/>
          <w:color w:val="auto"/>
        </w:rPr>
      </w:pPr>
      <w:r>
        <w:rPr>
          <w:rFonts w:ascii="Times New Roman" w:cs="Times New Roman" w:eastAsia="Times New Roman" w:hAnsi="Times New Roman"/>
          <w:sz w:val="18"/>
          <w:szCs w:val="18"/>
          <w:color w:val="auto"/>
        </w:rPr>
        <w:t>Sales tax and, if applicable, duties and/or tariffs collected from customers and remitted to governmental authorities is excluded from revenue.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376555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119" w:lineRule="exact"/>
        <w:rPr>
          <w:sz w:val="20"/>
          <w:szCs w:val="20"/>
          <w:color w:val="auto"/>
        </w:rPr>
      </w:pPr>
    </w:p>
    <w:p>
      <w:pPr>
        <w:ind w:firstLine="644"/>
        <w:spacing w:after="0" w:line="312" w:lineRule="auto"/>
        <w:rPr>
          <w:sz w:val="20"/>
          <w:szCs w:val="20"/>
          <w:color w:val="auto"/>
        </w:rPr>
      </w:pPr>
      <w:r>
        <w:rPr>
          <w:rFonts w:ascii="Times New Roman" w:cs="Times New Roman" w:eastAsia="Times New Roman" w:hAnsi="Times New Roman"/>
          <w:sz w:val="17"/>
          <w:szCs w:val="17"/>
          <w:color w:val="auto"/>
        </w:rPr>
        <w:t>Contract liabilities are primarily derived from payments received in advance or at the time an order is placed, for which the associated performance obligations have not been satisfied and revenue has not been recognized based on the Company’s revenue recognition criteria described above.</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contract liabilities as of December 31, 2023 and September 30, 2024 (in thousands):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Rollforward of contract liabilities:</w:t>
            </w:r>
          </w:p>
        </w:tc>
        <w:tc>
          <w:tcPr>
            <w:tcW w:w="6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at December 31, 2023</w:t>
            </w: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7,357</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6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(150,697 )</w:t>
            </w:r>
          </w:p>
        </w:tc>
      </w:tr>
      <w:tr>
        <w:trPr>
          <w:trHeight w:val="238"/>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received in advance</w:t>
            </w:r>
          </w:p>
        </w:tc>
        <w:tc>
          <w:tcPr>
            <w:tcW w:w="6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151,643</w:t>
            </w:r>
          </w:p>
        </w:tc>
        <w:tc>
          <w:tcPr>
            <w:tcW w:w="100" w:type="dxa"/>
            <w:vAlign w:val="bottom"/>
          </w:tcPr>
          <w:p>
            <w:pPr>
              <w:spacing w:after="0"/>
              <w:rPr>
                <w:sz w:val="20"/>
                <w:szCs w:val="20"/>
                <w:color w:val="auto"/>
              </w:rPr>
            </w:pPr>
          </w:p>
        </w:tc>
      </w:tr>
      <w:tr>
        <w:trPr>
          <w:trHeight w:val="276"/>
        </w:trPr>
        <w:tc>
          <w:tcPr>
            <w:tcW w:w="9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liabilities at September 30, 2024</w:t>
            </w: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3" w:lineRule="exact"/>
        <w:rPr>
          <w:sz w:val="20"/>
          <w:szCs w:val="20"/>
          <w:color w:val="auto"/>
        </w:rPr>
      </w:pPr>
    </w:p>
    <w:p>
      <w:pPr>
        <w:ind w:right="660" w:firstLine="644"/>
        <w:spacing w:after="0" w:line="281"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recognized approximately $6.5 million of revenue related to its contract liabilities as of December 31, 2023.</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Contract Acquisition Costs</w:t>
      </w:r>
    </w:p>
    <w:p>
      <w:pPr>
        <w:spacing w:after="0" w:line="227" w:lineRule="exact"/>
        <w:rPr>
          <w:sz w:val="20"/>
          <w:szCs w:val="20"/>
          <w:color w:val="auto"/>
        </w:rPr>
      </w:pPr>
    </w:p>
    <w:p>
      <w:pPr>
        <w:ind w:right="20" w:firstLine="644"/>
        <w:spacing w:after="0" w:line="258" w:lineRule="auto"/>
        <w:rPr>
          <w:sz w:val="20"/>
          <w:szCs w:val="20"/>
          <w:color w:val="auto"/>
        </w:rPr>
      </w:pPr>
      <w:r>
        <w:rPr>
          <w:rFonts w:ascii="Times New Roman" w:cs="Times New Roman" w:eastAsia="Times New Roman" w:hAnsi="Times New Roman"/>
          <w:sz w:val="18"/>
          <w:szCs w:val="18"/>
          <w:color w:val="auto"/>
        </w:rPr>
        <w:t>The Company’s incremental costs to obtain a contract may include a sales commission which is generally determined on a per order basis. For marketplace contracts, the Company recognizes costs over a period of one year or less. For supplier service contracts in excess of one year, the Company amortizes such costs on a straight-line basis over the average customer life of two years for new customers and over the renewal period for existing customers which is generally one year. Sales commissions are included in the Company's sales and marketing expenses in the Condensed Consolidated Statements of Operations and Comprehensive Loss. For the three and nine months ended September 30, 2024, the Company recognized approximately $1.3 million and $5.7 million, respectively, of amortization related to deferred sales commissions. For the three and nine months ended September 30, 2023 the Company recognized approximately $2.0 million and $6.0 million, respectively, of amortization related to deferred sales commissions. As of September 30, 2024 and December 31, 2023, the Company had deferred sales contract acquisition costs of $0.6 million and $3.1 million, respectively, which is classified in other current assets on the Condensed Consolidated Balance Sheets.</w:t>
      </w:r>
    </w:p>
    <w:p>
      <w:pPr>
        <w:spacing w:after="0" w:line="70" w:lineRule="exact"/>
        <w:rPr>
          <w:sz w:val="20"/>
          <w:szCs w:val="20"/>
          <w:color w:val="auto"/>
        </w:rPr>
      </w:pPr>
    </w:p>
    <w:p>
      <w:pPr>
        <w:ind w:left="1020" w:hanging="504"/>
        <w:spacing w:after="0"/>
        <w:tabs>
          <w:tab w:leader="none" w:pos="1020"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right="500" w:firstLine="360"/>
        <w:spacing w:after="0" w:line="281" w:lineRule="auto"/>
        <w:rPr>
          <w:sz w:val="20"/>
          <w:szCs w:val="20"/>
          <w:color w:val="auto"/>
        </w:rPr>
      </w:pPr>
      <w:r>
        <w:rPr>
          <w:rFonts w:ascii="Times New Roman" w:cs="Times New Roman" w:eastAsia="Times New Roman" w:hAnsi="Times New Roman"/>
          <w:sz w:val="18"/>
          <w:szCs w:val="18"/>
          <w:color w:val="auto"/>
        </w:rPr>
        <w:t>Cost of revenue for marketplace primarily consists of the cost of the products that are manufactured or produced by the Company’s suppliers for delivery to buyers on the Company's platform, internal and external production costs, shipping costs, and certain internal depreciation.</w:t>
      </w:r>
    </w:p>
    <w:p>
      <w:pPr>
        <w:spacing w:after="0" w:line="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Cost of revenue for supplier services primarily consists of internal and external production costs and website hosting.</w:t>
      </w:r>
    </w:p>
    <w:p>
      <w:pPr>
        <w:spacing w:after="0" w:line="113" w:lineRule="exact"/>
        <w:rPr>
          <w:sz w:val="20"/>
          <w:szCs w:val="20"/>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100" w:firstLine="644"/>
        <w:spacing w:after="0" w:line="256" w:lineRule="auto"/>
        <w:rPr>
          <w:sz w:val="20"/>
          <w:szCs w:val="20"/>
          <w:color w:val="auto"/>
        </w:rPr>
      </w:pPr>
      <w:r>
        <w:rPr>
          <w:rFonts w:ascii="Times New Roman" w:cs="Times New Roman" w:eastAsia="Times New Roman" w:hAnsi="Times New Roman"/>
          <w:sz w:val="18"/>
          <w:szCs w:val="18"/>
          <w:color w:val="auto"/>
        </w:rPr>
        <w:t>The Company determines if an arrangement contains a lease and the classification of that lease, if applicable, at its inception. Operating leases are included in operating lease right-of-use ("ROU") assets, operating lease liabilities, current portion and operating lease liabilities, net of current portion in the Condensed Consolidated Balance Sheets. For leases with terms of twelve months or less, the Company does not recognize ROU assets or lease liabilities on the Condensed Consolidated Balance Sheets. Additionally, the Company elected to use the practical expedient to not separate lease and non-lease components for leases of real estate, meaning that for these leases, the non-lease components are included in the associated ROU asset and lease liability balances on the Company’s Condensed Consolidated Balance Sheets.</w:t>
      </w:r>
    </w:p>
    <w:p>
      <w:pPr>
        <w:spacing w:after="0" w:line="78" w:lineRule="exact"/>
        <w:rPr>
          <w:sz w:val="20"/>
          <w:szCs w:val="20"/>
          <w:color w:val="auto"/>
        </w:rPr>
      </w:pPr>
    </w:p>
    <w:p>
      <w:pPr>
        <w:ind w:right="20" w:firstLine="644"/>
        <w:spacing w:after="0" w:line="256" w:lineRule="auto"/>
        <w:rPr>
          <w:sz w:val="20"/>
          <w:szCs w:val="20"/>
          <w:color w:val="auto"/>
        </w:rPr>
      </w:pPr>
      <w:r>
        <w:rPr>
          <w:rFonts w:ascii="Times New Roman" w:cs="Times New Roman" w:eastAsia="Times New Roman" w:hAnsi="Times New Roman"/>
          <w:sz w:val="18"/>
          <w:szCs w:val="18"/>
          <w:color w:val="auto"/>
        </w:rPr>
        <w:t>ROU assets represent the Company’s right to use an underlying asset for the lease term and lease liabilities represent the Company’s obligation to make lease payments under the lease. Operating lease ROU assets and lease liabilities are recognized at the lease commencement date based on the present value of lease payments over the lease term. The implicit rate within the Company’s operating leases is generally not determinable, as such the Company uses its incremental borrowing rate at lease commencement to determine the present value of lease payments. The operating lease ROU asset also includes any lease prepayments, offset by lease incentives. Certain of the Company’s leases include options to extend or terminate the lease. The expected lease term includes options to extend or terminate the lease when it is reasonably certain the Company will exercise such option.</w:t>
      </w:r>
    </w:p>
    <w:p>
      <w:pPr>
        <w:spacing w:after="0" w:line="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Lease expense is recognized on a straight-line basis over the term of the lease.</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93" w:lineRule="exact"/>
        <w:rPr>
          <w:sz w:val="20"/>
          <w:szCs w:val="20"/>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Sales and Marketing</w:t>
      </w:r>
    </w:p>
    <w:p>
      <w:pPr>
        <w:spacing w:after="0" w:line="121"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Sales and marketing expenses are expensed as incurred and include the costs of digital marketing strategies, branding costs and other advertising costs, certain depreciation and amortization expense, contract acquisition costs and compensation expenses, including stock-based compensation, to the Company’s sales and marketing employees. For the three and nine months ended September 30, 2024 the Company's advertising cost were $9.4 million and $26.5 million, respectively. For the three and nine months ended September 30, 2023 the Company's advertising cost were $7.7 million and $23.4 million, respectively.</w:t>
      </w:r>
    </w:p>
    <w:p>
      <w:pPr>
        <w:spacing w:after="0" w:line="70" w:lineRule="exact"/>
        <w:rPr>
          <w:sz w:val="20"/>
          <w:szCs w:val="20"/>
          <w:color w:val="auto"/>
        </w:rPr>
      </w:pPr>
    </w:p>
    <w:p>
      <w:pPr>
        <w:ind w:left="1020" w:hanging="504"/>
        <w:spacing w:after="0"/>
        <w:tabs>
          <w:tab w:leader="none" w:pos="102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Operations and Support</w:t>
      </w:r>
    </w:p>
    <w:p>
      <w:pPr>
        <w:spacing w:after="0" w:line="121" w:lineRule="exact"/>
        <w:rPr>
          <w:sz w:val="20"/>
          <w:szCs w:val="20"/>
          <w:color w:val="auto"/>
        </w:rPr>
      </w:pPr>
    </w:p>
    <w:p>
      <w:pPr>
        <w:ind w:right="20" w:firstLine="644"/>
        <w:spacing w:after="0" w:line="260" w:lineRule="auto"/>
        <w:rPr>
          <w:sz w:val="20"/>
          <w:szCs w:val="20"/>
          <w:color w:val="auto"/>
        </w:rPr>
      </w:pPr>
      <w:r>
        <w:rPr>
          <w:rFonts w:ascii="Times New Roman" w:cs="Times New Roman" w:eastAsia="Times New Roman" w:hAnsi="Times New Roman"/>
          <w:sz w:val="18"/>
          <w:szCs w:val="18"/>
          <w:color w:val="auto"/>
        </w:rPr>
        <w:t>Operations and support expenses are the costs the Company incurs in support of the customers and suppliers on Xometry’s platforms which are provided by phone, email and chat for purposes of resolving customer and supplier related matters. These costs primarily consist of compensation expenses of the support staff, including stock-based compensation, certain depreciation and amortization expense and software costs used in delivering customer and supplier services.</w:t>
      </w:r>
    </w:p>
    <w:p>
      <w:pPr>
        <w:spacing w:after="0" w:line="70" w:lineRule="exact"/>
        <w:rPr>
          <w:sz w:val="20"/>
          <w:szCs w:val="20"/>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Product Development</w:t>
      </w:r>
    </w:p>
    <w:p>
      <w:pPr>
        <w:spacing w:after="0" w:line="121" w:lineRule="exact"/>
        <w:rPr>
          <w:sz w:val="20"/>
          <w:szCs w:val="20"/>
          <w:color w:val="auto"/>
        </w:rPr>
      </w:pPr>
    </w:p>
    <w:p>
      <w:pPr>
        <w:ind w:right="160" w:firstLine="644"/>
        <w:spacing w:after="0" w:line="265" w:lineRule="auto"/>
        <w:rPr>
          <w:sz w:val="20"/>
          <w:szCs w:val="20"/>
          <w:color w:val="auto"/>
        </w:rPr>
      </w:pPr>
      <w:r>
        <w:rPr>
          <w:rFonts w:ascii="Times New Roman" w:cs="Times New Roman" w:eastAsia="Times New Roman" w:hAnsi="Times New Roman"/>
          <w:sz w:val="18"/>
          <w:szCs w:val="18"/>
          <w:color w:val="auto"/>
        </w:rPr>
        <w:t>Product development costs which are not eligible for capitalization are expensed as incurred. This account also includes compensation expenses, including stock-based compensation to the Company’s employees performing routine improvements and maintenance on our platforms not related to a specific capitalizable project, software costs and certain depreciation and amortization expense.</w:t>
      </w:r>
    </w:p>
    <w:p>
      <w:pPr>
        <w:spacing w:after="0" w:line="65" w:lineRule="exact"/>
        <w:rPr>
          <w:sz w:val="20"/>
          <w:szCs w:val="20"/>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right="260" w:firstLine="644"/>
        <w:spacing w:after="0" w:line="281" w:lineRule="auto"/>
        <w:rPr>
          <w:sz w:val="20"/>
          <w:szCs w:val="20"/>
          <w:color w:val="auto"/>
        </w:rPr>
      </w:pPr>
      <w:r>
        <w:rPr>
          <w:rFonts w:ascii="Times New Roman" w:cs="Times New Roman" w:eastAsia="Times New Roman" w:hAnsi="Times New Roman"/>
          <w:sz w:val="18"/>
          <w:szCs w:val="18"/>
          <w:color w:val="auto"/>
        </w:rPr>
        <w:t>General and administrative expenses primarily consist of compensation expenses, including stock-based compensation expenses, for executive, finance, legal and other administrative personnel, professional service fees and certain depreciation and amortization expense.</w:t>
      </w:r>
    </w:p>
    <w:p>
      <w:pPr>
        <w:spacing w:after="0" w:line="51" w:lineRule="exact"/>
        <w:rPr>
          <w:sz w:val="20"/>
          <w:szCs w:val="20"/>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Stock Based Compensation</w:t>
      </w:r>
    </w:p>
    <w:p>
      <w:pPr>
        <w:spacing w:after="0" w:line="121" w:lineRule="exact"/>
        <w:rPr>
          <w:sz w:val="20"/>
          <w:szCs w:val="20"/>
          <w:color w:val="auto"/>
        </w:rPr>
      </w:pPr>
    </w:p>
    <w:p>
      <w:pPr>
        <w:ind w:right="40" w:firstLine="644"/>
        <w:spacing w:after="0" w:line="258" w:lineRule="auto"/>
        <w:rPr>
          <w:sz w:val="20"/>
          <w:szCs w:val="20"/>
          <w:color w:val="auto"/>
        </w:rPr>
      </w:pPr>
      <w:r>
        <w:rPr>
          <w:rFonts w:ascii="Times New Roman" w:cs="Times New Roman" w:eastAsia="Times New Roman" w:hAnsi="Times New Roman"/>
          <w:sz w:val="18"/>
          <w:szCs w:val="18"/>
          <w:color w:val="auto"/>
        </w:rPr>
        <w:t>All stock-based compensation, including stock options, restricted stock units and performance restricted stock units (“PRSUs”), are measured at the grant date fair value of the award. The Company estimates grant date fair value of stock options using the Black-Scholes option-pricing model. The fair value of stock options, PRSUs and restricted stock units is recognized as compensation expense on a straight-line basis over the requisite service period, which is typically three to four years. The fair value of the restricted stock units and PRSUs is determined using the fair value of the Company's Class A common stock on the date of grant. Forfeitures are recorded in the period in which they occur.</w:t>
      </w:r>
    </w:p>
    <w:p>
      <w:pPr>
        <w:spacing w:after="0" w:line="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Black-Scholes model considers several variables and assumptions in estimating the fair value of stock-based awards.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variables include:</w:t>
      </w:r>
    </w:p>
    <w:p>
      <w:pPr>
        <w:spacing w:after="0" w:line="117" w:lineRule="exact"/>
        <w:rPr>
          <w:sz w:val="20"/>
          <w:szCs w:val="20"/>
          <w:color w:val="auto"/>
        </w:rPr>
      </w:pPr>
    </w:p>
    <w:p>
      <w:pPr>
        <w:ind w:left="1080" w:hanging="428"/>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annual dividend yield;</w:t>
      </w:r>
    </w:p>
    <w:p>
      <w:pPr>
        <w:spacing w:after="0" w:line="116" w:lineRule="exact"/>
        <w:rPr>
          <w:rFonts w:ascii="Times New Roman" w:cs="Times New Roman" w:eastAsia="Times New Roman" w:hAnsi="Times New Roman"/>
          <w:sz w:val="18"/>
          <w:szCs w:val="18"/>
          <w:color w:val="auto"/>
        </w:rPr>
      </w:pPr>
    </w:p>
    <w:p>
      <w:pPr>
        <w:ind w:left="1080" w:hanging="428"/>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over the expected term;</w:t>
      </w:r>
    </w:p>
    <w:p>
      <w:pPr>
        <w:spacing w:after="0" w:line="116" w:lineRule="exact"/>
        <w:rPr>
          <w:rFonts w:ascii="Times New Roman" w:cs="Times New Roman" w:eastAsia="Times New Roman" w:hAnsi="Times New Roman"/>
          <w:sz w:val="18"/>
          <w:szCs w:val="18"/>
          <w:color w:val="auto"/>
        </w:rPr>
      </w:pPr>
    </w:p>
    <w:p>
      <w:pPr>
        <w:ind w:left="1080" w:hanging="428"/>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w:t>
      </w:r>
    </w:p>
    <w:p>
      <w:pPr>
        <w:spacing w:after="0" w:line="116" w:lineRule="exact"/>
        <w:rPr>
          <w:rFonts w:ascii="Times New Roman" w:cs="Times New Roman" w:eastAsia="Times New Roman" w:hAnsi="Times New Roman"/>
          <w:sz w:val="18"/>
          <w:szCs w:val="18"/>
          <w:color w:val="auto"/>
        </w:rPr>
      </w:pPr>
    </w:p>
    <w:p>
      <w:pPr>
        <w:ind w:left="1080" w:hanging="428"/>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interest rate;</w:t>
      </w:r>
    </w:p>
    <w:p>
      <w:pPr>
        <w:spacing w:after="0" w:line="116" w:lineRule="exact"/>
        <w:rPr>
          <w:rFonts w:ascii="Times New Roman" w:cs="Times New Roman" w:eastAsia="Times New Roman" w:hAnsi="Times New Roman"/>
          <w:sz w:val="18"/>
          <w:szCs w:val="18"/>
          <w:color w:val="auto"/>
        </w:rPr>
      </w:pPr>
    </w:p>
    <w:p>
      <w:pPr>
        <w:ind w:left="1080" w:hanging="428"/>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share value of the underlying common stock; and</w:t>
      </w:r>
    </w:p>
    <w:p>
      <w:pPr>
        <w:spacing w:after="0" w:line="116" w:lineRule="exact"/>
        <w:rPr>
          <w:rFonts w:ascii="Times New Roman" w:cs="Times New Roman" w:eastAsia="Times New Roman" w:hAnsi="Times New Roman"/>
          <w:sz w:val="18"/>
          <w:szCs w:val="18"/>
          <w:color w:val="auto"/>
        </w:rPr>
      </w:pPr>
    </w:p>
    <w:p>
      <w:pPr>
        <w:ind w:left="1080" w:hanging="428"/>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price.</w:t>
      </w:r>
    </w:p>
    <w:p>
      <w:pPr>
        <w:spacing w:after="0" w:line="117" w:lineRule="exact"/>
        <w:rPr>
          <w:sz w:val="20"/>
          <w:szCs w:val="20"/>
          <w:color w:val="auto"/>
        </w:rPr>
      </w:pPr>
    </w:p>
    <w:p>
      <w:pPr>
        <w:ind w:right="100" w:firstLine="644"/>
        <w:spacing w:after="0" w:line="258" w:lineRule="auto"/>
        <w:rPr>
          <w:sz w:val="20"/>
          <w:szCs w:val="20"/>
          <w:color w:val="auto"/>
        </w:rPr>
      </w:pPr>
      <w:r>
        <w:rPr>
          <w:rFonts w:ascii="Times New Roman" w:cs="Times New Roman" w:eastAsia="Times New Roman" w:hAnsi="Times New Roman"/>
          <w:sz w:val="18"/>
          <w:szCs w:val="18"/>
          <w:color w:val="auto"/>
        </w:rPr>
        <w:t>For all stock options granted, the Company calculated the expected term using the simplified method for “plain vanilla” stock option awards. The risk-free interest rate is based on the yield available on U.S. Treasury issuances similar in duration to the expected term of the stock-based award. The Company estimates its expected share price volatility based on the historical volatility of publicly traded peer companies and/or its own volatility and expects to continue to do so until such time as it has adequate historical data regarding the volatility of its own traded share price. The Company utilized a dividend yield of zero, as it had no history or plan of declaring dividends on its common stock.</w:t>
      </w:r>
    </w:p>
    <w:p>
      <w:pPr>
        <w:spacing w:after="0" w:line="74" w:lineRule="exact"/>
        <w:rPr>
          <w:sz w:val="20"/>
          <w:szCs w:val="20"/>
          <w:color w:val="auto"/>
        </w:rPr>
      </w:pPr>
    </w:p>
    <w:p>
      <w:pPr>
        <w:ind w:right="440" w:firstLine="644"/>
        <w:spacing w:after="0" w:line="265" w:lineRule="auto"/>
        <w:rPr>
          <w:sz w:val="20"/>
          <w:szCs w:val="20"/>
          <w:color w:val="auto"/>
        </w:rPr>
      </w:pPr>
      <w:r>
        <w:rPr>
          <w:rFonts w:ascii="Times New Roman" w:cs="Times New Roman" w:eastAsia="Times New Roman" w:hAnsi="Times New Roman"/>
          <w:sz w:val="18"/>
          <w:szCs w:val="18"/>
          <w:color w:val="auto"/>
        </w:rPr>
        <w:t>The fair value for PRSUs is recognized on a ratable basis over the requisite service period of three years when it is probable the performance conditions of the awards will be met. The Company reassesses the probability of vesting at each reporting period and adjusts the total compensation expense of the award based on this probability assessment.</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93" w:lineRule="exact"/>
        <w:rPr>
          <w:sz w:val="20"/>
          <w:szCs w:val="20"/>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Net Loss Per Share Attributable to Common Stockholders</w:t>
      </w:r>
    </w:p>
    <w:p>
      <w:pPr>
        <w:spacing w:after="0" w:line="121"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The Company computes net loss per share using the two-class method required for multiple classes of common stock and participating securities. The two-class method requires income available to common stockholders for the period to be allocated between common stock and participating securities based upon their respective rights to receive dividends as if all income for the period had been distributed. Certain unvested share-based payment awards that contain nonforfeitable rights to dividends are treated as participating securities and therefore included in computing net income per share using the two-class method. The rights, including the liquidation and dividend rights, of the Class A common stock and Class B common stock are substantially identical, other than voting rights. Accordingly, the Class A common stock and Class B common stock shared proportionately in the Company’s net losses.</w:t>
      </w:r>
    </w:p>
    <w:p>
      <w:pPr>
        <w:spacing w:after="0" w:line="74" w:lineRule="exact"/>
        <w:rPr>
          <w:sz w:val="20"/>
          <w:szCs w:val="20"/>
          <w:color w:val="auto"/>
        </w:rPr>
      </w:pPr>
    </w:p>
    <w:p>
      <w:pPr>
        <w:ind w:left="1080" w:hanging="564"/>
        <w:spacing w:after="0"/>
        <w:tabs>
          <w:tab w:leader="none" w:pos="1080"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21"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Accounting Standard Update (“ASU”) No. 2023-07, Segment Reporting (Topic 280): Improvements to Reportable Segment Disclosures, which requires a public entity to disclose significant segment expenses and other segment items on an annual and interim basis and provide in interim periods all disclosures about a reportable segment’s profit or loss and assets that are currently required annually. Additionally, it requires a public entity to disclose the title and position of the Chief Operating Decision Maker (“CODM”). The ASU does not change how a public entity identifies its operating segments, aggregates them, or applies the quantitative thresholds to determine its reportable segments. The new standard is effective for fiscal years beginning after December 15, 2023, and interim periods within fiscal years beginning after December 15, 2024, with early adoption permitted. A public entity should apply the amendments in this ASU retrospectively to all prior periods presented in the financial statements. We expect this ASU to only impact our disclosures with no impacts to our results of operations, cash flows and financial condition.</w:t>
      </w:r>
    </w:p>
    <w:p>
      <w:pPr>
        <w:spacing w:after="0" w:line="81" w:lineRule="exact"/>
        <w:rPr>
          <w:sz w:val="20"/>
          <w:szCs w:val="20"/>
          <w:color w:val="auto"/>
        </w:rPr>
      </w:pPr>
    </w:p>
    <w:p>
      <w:pPr>
        <w:ind w:right="40" w:firstLine="644"/>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which focuses on the rate reconciliation and income taxes paid. ASU No. 2023-09 requires a public entity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For public entities, the new standard is effective for annual periods beginning after December 15, 2024, with early adoption permitted. An entity may apply the amendments in this ASU prospectively by providing the revised disclosures for the period ending December 31, 2025, and continuing to provide the pre-ASU disclosures for the prior periods, or may apply the amendments retrospectively by providing the revised disclosures for all period presented. We expect this ASU to only impact our disclosures with no impacts to our results of operations, cash flows, and financial condition.</w:t>
      </w:r>
    </w:p>
    <w:p>
      <w:pPr>
        <w:spacing w:after="0" w:line="78" w:lineRule="exact"/>
        <w:rPr>
          <w:sz w:val="20"/>
          <w:szCs w:val="20"/>
          <w:color w:val="auto"/>
        </w:rPr>
      </w:pPr>
    </w:p>
    <w:p>
      <w:pPr>
        <w:ind w:right="140" w:firstLine="644"/>
        <w:spacing w:after="0" w:line="281" w:lineRule="auto"/>
        <w:rPr>
          <w:sz w:val="20"/>
          <w:szCs w:val="20"/>
          <w:color w:val="auto"/>
        </w:rPr>
      </w:pPr>
      <w:r>
        <w:rPr>
          <w:rFonts w:ascii="Times New Roman" w:cs="Times New Roman" w:eastAsia="Times New Roman" w:hAnsi="Times New Roman"/>
          <w:sz w:val="18"/>
          <w:szCs w:val="18"/>
          <w:color w:val="auto"/>
        </w:rPr>
        <w:t>There are currently no other accounting standards that have been issued, but not yet adopted, that are expected to have a significant impact on the Company’s consolidated financial position, results of operations or cash flows upon adoption.</w:t>
      </w:r>
    </w:p>
    <w:p>
      <w:pPr>
        <w:spacing w:after="0" w:line="5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Credit Concentrations</w:t>
      </w:r>
    </w:p>
    <w:p>
      <w:pPr>
        <w:spacing w:after="0" w:line="121" w:lineRule="exact"/>
        <w:rPr>
          <w:sz w:val="20"/>
          <w:szCs w:val="20"/>
          <w:color w:val="auto"/>
        </w:rPr>
      </w:pPr>
    </w:p>
    <w:p>
      <w:pPr>
        <w:ind w:right="80" w:firstLine="644"/>
        <w:spacing w:after="0" w:line="265"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concentrations of credit risk consist primarily of cash and cash equivalents, marketable securities and accounts receivable. The Company maintains its cash and cash equivalents and marketable securities, which at times may exceed federally insured limits, in deposit accounts at major financial institutions.</w:t>
      </w:r>
    </w:p>
    <w:p>
      <w:pPr>
        <w:spacing w:after="0" w:line="69" w:lineRule="exact"/>
        <w:rPr>
          <w:sz w:val="20"/>
          <w:szCs w:val="20"/>
          <w:color w:val="auto"/>
        </w:rPr>
      </w:pPr>
    </w:p>
    <w:p>
      <w:pPr>
        <w:ind w:right="180" w:firstLine="644"/>
        <w:spacing w:after="0" w:line="265" w:lineRule="auto"/>
        <w:rPr>
          <w:sz w:val="20"/>
          <w:szCs w:val="20"/>
          <w:color w:val="auto"/>
        </w:rPr>
      </w:pPr>
      <w:r>
        <w:rPr>
          <w:rFonts w:ascii="Times New Roman" w:cs="Times New Roman" w:eastAsia="Times New Roman" w:hAnsi="Times New Roman"/>
          <w:sz w:val="18"/>
          <w:szCs w:val="18"/>
          <w:color w:val="auto"/>
        </w:rPr>
        <w:t>For the three and nine months ended September 30, 2024 and 2023, no single buyer accounted for more than 10% of the Company's revenue. As of September 30, 2024, and December 31, 2023, no single buyer accounted for more than 10% of the Company’s accounts receivable. A majority of the Company’s buyers are located in the United States.</w:t>
      </w:r>
    </w:p>
    <w:p>
      <w:pPr>
        <w:spacing w:after="0" w:line="6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(4)</w:t>
        <w:tab/>
        <w:t>Inventory</w:t>
      </w:r>
    </w:p>
    <w:p>
      <w:pPr>
        <w:spacing w:after="0" w:line="121" w:lineRule="exact"/>
        <w:rPr>
          <w:sz w:val="20"/>
          <w:szCs w:val="20"/>
          <w:color w:val="auto"/>
        </w:rPr>
      </w:pPr>
    </w:p>
    <w:p>
      <w:pPr>
        <w:ind w:firstLine="644"/>
        <w:spacing w:after="0" w:line="260" w:lineRule="auto"/>
        <w:rPr>
          <w:sz w:val="20"/>
          <w:szCs w:val="20"/>
          <w:color w:val="auto"/>
        </w:rPr>
      </w:pPr>
      <w:r>
        <w:rPr>
          <w:rFonts w:ascii="Times New Roman" w:cs="Times New Roman" w:eastAsia="Times New Roman" w:hAnsi="Times New Roman"/>
          <w:sz w:val="18"/>
          <w:szCs w:val="18"/>
          <w:color w:val="auto"/>
        </w:rPr>
        <w:t>Inventory consists of raw materials, work-in-process and finished goods. Raw materials (plastics and metals) become manufactured products in the additive and subtractive manufacturing processes. Work-in-progress represents manufacturing costs associated with customer orders that are not yet complete. Finished goods represents product awaiting shipment. Inventory consists of the following as of September 30, 2024 and December 31, 2023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0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340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0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46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46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Work-in-progress</w:t>
            </w:r>
          </w:p>
        </w:tc>
        <w:tc>
          <w:tcPr>
            <w:tcW w:w="4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440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4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220" w:type="dxa"/>
            <w:vAlign w:val="bottom"/>
            <w:gridSpan w:val="2"/>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4400" w:type="dxa"/>
            <w:vAlign w:val="bottom"/>
            <w:vMerge w:val="restart"/>
          </w:tcPr>
          <w:p>
            <w:pPr>
              <w:jc w:val="right"/>
              <w:ind w:right="199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6"/>
        </w:trPr>
        <w:tc>
          <w:tcPr>
            <w:tcW w:w="340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340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0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(5)</w:t>
        <w:tab/>
        <w:t>Property and Equipment and Long-Lived Assets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consist of the following as of September 30, 2024 and December 31, 2023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0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9"/>
        </w:trPr>
        <w:tc>
          <w:tcPr>
            <w:tcW w:w="6040" w:type="dxa"/>
            <w:vAlign w:val="bottom"/>
          </w:tcPr>
          <w:p>
            <w:pPr>
              <w:spacing w:after="0"/>
              <w:rPr>
                <w:sz w:val="14"/>
                <w:szCs w:val="14"/>
                <w:color w:val="auto"/>
              </w:rPr>
            </w:pPr>
          </w:p>
        </w:tc>
        <w:tc>
          <w:tcPr>
            <w:tcW w:w="238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6040" w:type="dxa"/>
            <w:vAlign w:val="bottom"/>
          </w:tcPr>
          <w:p>
            <w:pPr>
              <w:spacing w:after="0"/>
              <w:rPr>
                <w:sz w:val="14"/>
                <w:szCs w:val="14"/>
                <w:color w:val="auto"/>
              </w:rPr>
            </w:pPr>
          </w:p>
        </w:tc>
        <w:tc>
          <w:tcPr>
            <w:tcW w:w="22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Technology hardware</w:t>
            </w:r>
          </w:p>
        </w:tc>
        <w:tc>
          <w:tcPr>
            <w:tcW w:w="2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 years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12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100" w:type="dxa"/>
            <w:vAlign w:val="bottom"/>
            <w:shd w:val="clear" w:color="auto" w:fill="CFF0FC"/>
          </w:tcPr>
          <w:p>
            <w:pPr>
              <w:spacing w:after="0"/>
              <w:rPr>
                <w:sz w:val="21"/>
                <w:szCs w:val="21"/>
                <w:color w:val="auto"/>
              </w:rPr>
            </w:pPr>
          </w:p>
        </w:tc>
      </w:tr>
      <w:tr>
        <w:trPr>
          <w:trHeight w:val="238"/>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Manufacturing equipment</w:t>
            </w:r>
          </w:p>
        </w:tc>
        <w:tc>
          <w:tcPr>
            <w:tcW w:w="2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2 - 9 years</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5,482</w:t>
            </w:r>
          </w:p>
        </w:tc>
        <w:tc>
          <w:tcPr>
            <w:tcW w:w="100" w:type="dxa"/>
            <w:vAlign w:val="bottom"/>
          </w:tcPr>
          <w:p>
            <w:pPr>
              <w:spacing w:after="0"/>
              <w:rPr>
                <w:sz w:val="20"/>
                <w:szCs w:val="20"/>
                <w:color w:val="auto"/>
              </w:rPr>
            </w:pPr>
          </w:p>
        </w:tc>
      </w:tr>
      <w:tr>
        <w:trPr>
          <w:trHeight w:val="247"/>
        </w:trPr>
        <w:tc>
          <w:tcPr>
            <w:tcW w:w="6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w:t>
            </w:r>
          </w:p>
        </w:tc>
        <w:tc>
          <w:tcPr>
            <w:tcW w:w="2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 years</w:t>
            </w: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56,771</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44,004</w:t>
            </w:r>
          </w:p>
        </w:tc>
        <w:tc>
          <w:tcPr>
            <w:tcW w:w="100" w:type="dxa"/>
            <w:vAlign w:val="bottom"/>
            <w:shd w:val="clear" w:color="auto" w:fill="CFF0FC"/>
          </w:tcPr>
          <w:p>
            <w:pPr>
              <w:spacing w:after="0"/>
              <w:rPr>
                <w:sz w:val="21"/>
                <w:szCs w:val="21"/>
                <w:color w:val="auto"/>
              </w:rPr>
            </w:pPr>
          </w:p>
        </w:tc>
      </w:tr>
      <w:tr>
        <w:trPr>
          <w:trHeight w:val="211"/>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Shorter of useful</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6040" w:type="dxa"/>
            <w:vAlign w:val="bottom"/>
          </w:tcPr>
          <w:p>
            <w:pPr>
              <w:spacing w:after="0"/>
              <w:rPr>
                <w:sz w:val="20"/>
                <w:szCs w:val="20"/>
                <w:color w:val="auto"/>
              </w:rPr>
            </w:pPr>
          </w:p>
        </w:tc>
        <w:tc>
          <w:tcPr>
            <w:tcW w:w="2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life or lease term</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00" w:type="dxa"/>
            <w:vAlign w:val="bottom"/>
          </w:tcPr>
          <w:p>
            <w:pPr>
              <w:spacing w:after="0"/>
              <w:rPr>
                <w:sz w:val="20"/>
                <w:szCs w:val="20"/>
                <w:color w:val="auto"/>
              </w:rPr>
            </w:pPr>
          </w:p>
        </w:tc>
      </w:tr>
      <w:tr>
        <w:trPr>
          <w:trHeight w:val="249"/>
        </w:trPr>
        <w:tc>
          <w:tcPr>
            <w:tcW w:w="6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3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 years</w:t>
            </w:r>
          </w:p>
        </w:tc>
        <w:tc>
          <w:tcPr>
            <w:tcW w:w="1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2,684</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70,452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56,836</w:t>
            </w:r>
          </w:p>
        </w:tc>
        <w:tc>
          <w:tcPr>
            <w:tcW w:w="100" w:type="dxa"/>
            <w:vAlign w:val="bottom"/>
          </w:tcPr>
          <w:p>
            <w:pPr>
              <w:spacing w:after="0"/>
              <w:rPr>
                <w:sz w:val="20"/>
                <w:szCs w:val="20"/>
                <w:color w:val="auto"/>
              </w:rPr>
            </w:pPr>
          </w:p>
        </w:tc>
      </w:tr>
      <w:tr>
        <w:trPr>
          <w:trHeight w:val="243"/>
        </w:trPr>
        <w:tc>
          <w:tcPr>
            <w:tcW w:w="6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(28,129 )</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(21,199 )</w:t>
            </w:r>
          </w:p>
        </w:tc>
      </w:tr>
      <w:tr>
        <w:trPr>
          <w:trHeight w:val="236"/>
        </w:trPr>
        <w:tc>
          <w:tcPr>
            <w:tcW w:w="60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4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42,323</w:t>
            </w:r>
          </w:p>
        </w:tc>
        <w:tc>
          <w:tcPr>
            <w:tcW w:w="12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35,637</w:t>
            </w:r>
          </w:p>
        </w:tc>
        <w:tc>
          <w:tcPr>
            <w:tcW w:w="100" w:type="dxa"/>
            <w:vAlign w:val="bottom"/>
            <w:tcBorders>
              <w:top w:val="single" w:sz="8" w:color="CFF0FC"/>
            </w:tcBorders>
          </w:tcPr>
          <w:p>
            <w:pPr>
              <w:spacing w:after="0"/>
              <w:rPr>
                <w:sz w:val="20"/>
                <w:szCs w:val="20"/>
                <w:color w:val="auto"/>
              </w:rPr>
            </w:pPr>
          </w:p>
        </w:tc>
      </w:tr>
      <w:tr>
        <w:trPr>
          <w:trHeight w:val="20"/>
        </w:trPr>
        <w:tc>
          <w:tcPr>
            <w:tcW w:w="60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6135370</wp:posOffset>
            </wp:positionH>
            <wp:positionV relativeFrom="paragraph">
              <wp:posOffset>-504825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-187960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and amortization expense for the three and nine months ended September 30, 2024 and 2023 was as follows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4"/>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59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FF0FC"/>
          </w:tcPr>
          <w:p>
            <w:pPr>
              <w:spacing w:after="0"/>
              <w:rPr>
                <w:sz w:val="20"/>
                <w:szCs w:val="20"/>
                <w:color w:val="auto"/>
              </w:rPr>
            </w:pPr>
          </w:p>
        </w:tc>
      </w:tr>
      <w:tr>
        <w:trPr>
          <w:trHeight w:val="238"/>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0"/>
                <w:szCs w:val="20"/>
                <w:color w:val="auto"/>
              </w:rPr>
            </w:pPr>
          </w:p>
        </w:tc>
      </w:tr>
      <w:tr>
        <w:trPr>
          <w:trHeight w:val="247"/>
        </w:trPr>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Operations and support</w:t>
            </w: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FF0FC"/>
          </w:tcPr>
          <w:p>
            <w:pPr>
              <w:spacing w:after="0"/>
              <w:rPr>
                <w:sz w:val="21"/>
                <w:szCs w:val="21"/>
                <w:color w:val="auto"/>
              </w:rPr>
            </w:pPr>
          </w:p>
        </w:tc>
      </w:tr>
      <w:tr>
        <w:trPr>
          <w:trHeight w:val="238"/>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3,872</w:t>
            </w:r>
          </w:p>
        </w:tc>
        <w:tc>
          <w:tcPr>
            <w:tcW w:w="100" w:type="dxa"/>
            <w:vAlign w:val="bottom"/>
          </w:tcPr>
          <w:p>
            <w:pPr>
              <w:spacing w:after="0"/>
              <w:rPr>
                <w:sz w:val="20"/>
                <w:szCs w:val="20"/>
                <w:color w:val="auto"/>
              </w:rPr>
            </w:pPr>
          </w:p>
        </w:tc>
      </w:tr>
      <w:tr>
        <w:trPr>
          <w:trHeight w:val="243"/>
        </w:trPr>
        <w:tc>
          <w:tcPr>
            <w:tcW w:w="5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depreciation and amortization expense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6,901</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100" w:type="dxa"/>
            <w:vAlign w:val="bottom"/>
          </w:tcPr>
          <w:p>
            <w:pPr>
              <w:spacing w:after="0"/>
              <w:rPr>
                <w:sz w:val="20"/>
                <w:szCs w:val="20"/>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4500245</wp:posOffset>
            </wp:positionH>
            <wp:positionV relativeFrom="paragraph">
              <wp:posOffset>-187960</wp:posOffset>
            </wp:positionV>
            <wp:extent cx="768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-187960</wp:posOffset>
            </wp:positionV>
            <wp:extent cx="768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-187960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(6)</w:t>
        <w:tab/>
        <w:t>Leases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Operating lease expense for the three and nine months ended September 30, 2024 and 2023 was as follows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20" w:type="dxa"/>
            <w:vAlign w:val="bottom"/>
          </w:tcPr>
          <w:p>
            <w:pPr>
              <w:spacing w:after="0"/>
              <w:rPr>
                <w:sz w:val="16"/>
                <w:szCs w:val="16"/>
                <w:color w:val="auto"/>
              </w:rPr>
            </w:pPr>
          </w:p>
        </w:tc>
        <w:tc>
          <w:tcPr>
            <w:tcW w:w="2800" w:type="dxa"/>
            <w:vAlign w:val="bottom"/>
            <w:gridSpan w:val="6"/>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4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562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5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82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5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FF0FC"/>
          </w:tcPr>
          <w:p>
            <w:pPr>
              <w:spacing w:after="0"/>
              <w:rPr>
                <w:sz w:val="21"/>
                <w:szCs w:val="21"/>
                <w:color w:val="auto"/>
              </w:rPr>
            </w:pPr>
          </w:p>
        </w:tc>
      </w:tr>
      <w:tr>
        <w:trPr>
          <w:trHeight w:val="238"/>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13,802</w:t>
            </w:r>
          </w:p>
        </w:tc>
        <w:tc>
          <w:tcPr>
            <w:tcW w:w="100" w:type="dxa"/>
            <w:vAlign w:val="bottom"/>
          </w:tcPr>
          <w:p>
            <w:pPr>
              <w:spacing w:after="0"/>
              <w:rPr>
                <w:sz w:val="20"/>
                <w:szCs w:val="20"/>
                <w:color w:val="auto"/>
              </w:rPr>
            </w:pPr>
          </w:p>
        </w:tc>
      </w:tr>
      <w:tr>
        <w:trPr>
          <w:trHeight w:val="276"/>
        </w:trPr>
        <w:tc>
          <w:tcPr>
            <w:tcW w:w="5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lease expense</w:t>
            </w:r>
          </w:p>
        </w:tc>
        <w:tc>
          <w:tcPr>
            <w:tcW w:w="820" w:type="dxa"/>
            <w:vAlign w:val="bottom"/>
            <w:tcBorders>
              <w:bottom w:val="single" w:sz="8" w:color="auto"/>
            </w:tcBorders>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2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240" w:type="dxa"/>
            <w:vAlign w:val="bottom"/>
            <w:tcBorders>
              <w:bottom w:val="single" w:sz="8" w:color="CFF0FC"/>
            </w:tcBorders>
            <w:gridSpan w:val="2"/>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10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4380230</wp:posOffset>
            </wp:positionH>
            <wp:positionV relativeFrom="paragraph">
              <wp:posOffset>-24765</wp:posOffset>
            </wp:positionV>
            <wp:extent cx="768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4380230</wp:posOffset>
            </wp:positionH>
            <wp:positionV relativeFrom="paragraph">
              <wp:posOffset>-7620</wp:posOffset>
            </wp:positionV>
            <wp:extent cx="768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-24765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-7620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-24765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-7620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160" w:firstLine="644"/>
        <w:spacing w:after="0" w:line="256" w:lineRule="auto"/>
        <w:rPr>
          <w:sz w:val="20"/>
          <w:szCs w:val="20"/>
          <w:color w:val="auto"/>
        </w:rPr>
      </w:pPr>
      <w:r>
        <w:rPr>
          <w:rFonts w:ascii="Times New Roman" w:cs="Times New Roman" w:eastAsia="Times New Roman" w:hAnsi="Times New Roman"/>
          <w:sz w:val="18"/>
          <w:szCs w:val="18"/>
          <w:color w:val="auto"/>
        </w:rPr>
        <w:t>During the second quarter of 2023, following an assessment of its lease portfolio, the Company abandoned certain leases and/or portions of its leases in New York, NY, Horsham, PA, Culver City, CA, Doraville, GA and Gaithersburg, MD. As a result of abandoning these leases, the Company ceased its use of these locations and accelerated the amortization of the ROU assets to reduce the ROU assets carrying values to zero. The Company recognized a one-time charge of $8.7 million of additional operating lease expense during the second quarter of 2023 in general and administrative on our Condensed Consolidated Statements of Operations and Comprehensive Loss. The Company will continue to pay the rent owed under the existing lease agreements.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Acquisition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Tridi</w:t>
      </w:r>
    </w:p>
    <w:p>
      <w:pPr>
        <w:spacing w:after="0" w:line="119" w:lineRule="exact"/>
        <w:rPr>
          <w:sz w:val="20"/>
          <w:szCs w:val="20"/>
          <w:color w:val="auto"/>
        </w:rPr>
      </w:pPr>
    </w:p>
    <w:p>
      <w:pPr>
        <w:ind w:right="160" w:firstLine="644"/>
        <w:spacing w:after="0" w:line="256" w:lineRule="auto"/>
        <w:rPr>
          <w:sz w:val="20"/>
          <w:szCs w:val="20"/>
          <w:color w:val="auto"/>
        </w:rPr>
      </w:pPr>
      <w:r>
        <w:rPr>
          <w:rFonts w:ascii="Times New Roman" w:cs="Times New Roman" w:eastAsia="Times New Roman" w:hAnsi="Times New Roman"/>
          <w:sz w:val="18"/>
          <w:szCs w:val="18"/>
          <w:color w:val="auto"/>
        </w:rPr>
        <w:t>On January 2, 2023, the Company acquired Tridi Teknoloj A.S. (“Tridi”) located in Istanbul, Türkiye pursuant to a Share Purchase Agreement. The acquisition of Tridi extends the Company's marketplace capabilities in Europe and provides the Company with access to the Turkish market. The Company accounted for the acquisition as a business combination. The goodwill of $4.8 million arising from the acquisition of Tridi related to expected synergies including access to the Turkish market and an established supplier network. The goodwill is included in our International reporting segment and is not deductible for tax purposes. The aggregate non-contingent portion of the purchase price was approximately $3.8 million in cash, of which approximately $0.4 million</w:t>
      </w:r>
    </w:p>
    <w:p>
      <w:pPr>
        <w:sectPr>
          <w:pgSz w:w="11900" w:h="16838" w:orient="portrait"/>
          <w:cols w:equalWidth="0" w:num="1">
            <w:col w:w="11240"/>
          </w:cols>
          <w:pgMar w:left="320" w:top="768" w:right="339" w:bottom="1440" w:gutter="0" w:footer="0" w:header="0"/>
        </w:sectPr>
      </w:pP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9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was withheld and paid during the first quarter of 2024. In addition, the purchase price included a contingent consideration arrangement to the former owner of Tridi up to a maximum amount of $1.25 million (undiscounted) in shares of the Company’s Class A common stock in two installments on the first and second anniversary of the acquisition. The contingent consideration arrangement is tied to the achievement of revenue thresholds. The initial fair value of the contingent consideration of $0.9 million was estimated by applying an income valuation approach. The measurement is based on inputs that are not observable in the market (Level 3 inputs). Key assumptions made include (a) discount rate and (b) probability weighted assumptions about achieving revenue thresholds. As of September 30, 2024 and December 31, 2023, the total contingent consideration had a fair value of $0.6 million and $1.1 million, respectively. During the quarter ended March 31, 2024, the Company recorded an approximate $0.1 million increase to the contingent consideration liability with a corresponding expense recognized in general and administrative expense on our Condensed Consolidated Statements of Operations and Comprehensive Loss. In February 2024, the Company issued 21,083 shares of Class A common stock with a value of $0.6 million to the former owners of Tridi with respect to the first installment.</w:t>
      </w:r>
    </w:p>
    <w:p>
      <w:pPr>
        <w:spacing w:after="0" w:line="83" w:lineRule="exact"/>
        <w:rPr>
          <w:sz w:val="20"/>
          <w:szCs w:val="20"/>
          <w:color w:val="auto"/>
        </w:rPr>
      </w:pPr>
    </w:p>
    <w:p>
      <w:pPr>
        <w:ind w:right="640" w:firstLine="644"/>
        <w:spacing w:after="0" w:line="272" w:lineRule="auto"/>
        <w:rPr>
          <w:sz w:val="20"/>
          <w:szCs w:val="20"/>
          <w:color w:val="auto"/>
        </w:rPr>
      </w:pPr>
      <w:r>
        <w:rPr>
          <w:rFonts w:ascii="Times New Roman" w:cs="Times New Roman" w:eastAsia="Times New Roman" w:hAnsi="Times New Roman"/>
          <w:sz w:val="18"/>
          <w:szCs w:val="18"/>
          <w:color w:val="auto"/>
        </w:rPr>
        <w:t>The following table (in thousands) summarizes the consideration paid for Tridi and the final fair value of the assets acquired and liabilities assumed on the acquisition date: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Consideration:</w:t>
            </w:r>
          </w:p>
        </w:tc>
        <w:tc>
          <w:tcPr>
            <w:tcW w:w="8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9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w:t>
            </w: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100" w:type="dxa"/>
            <w:vAlign w:val="bottom"/>
          </w:tcPr>
          <w:p>
            <w:pPr>
              <w:spacing w:after="0"/>
              <w:rPr>
                <w:sz w:val="20"/>
                <w:szCs w:val="20"/>
                <w:color w:val="auto"/>
              </w:rPr>
            </w:pPr>
          </w:p>
        </w:tc>
      </w:tr>
      <w:tr>
        <w:trPr>
          <w:trHeight w:val="247"/>
        </w:trPr>
        <w:tc>
          <w:tcPr>
            <w:tcW w:w="9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Settlement of preexisting relationship</w:t>
            </w:r>
          </w:p>
        </w:tc>
        <w:tc>
          <w:tcPr>
            <w:tcW w:w="8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FF0FC"/>
          </w:tcPr>
          <w:p>
            <w:pPr>
              <w:spacing w:after="0"/>
              <w:rPr>
                <w:sz w:val="21"/>
                <w:szCs w:val="21"/>
                <w:color w:val="auto"/>
              </w:rPr>
            </w:pPr>
          </w:p>
        </w:tc>
      </w:tr>
      <w:tr>
        <w:trPr>
          <w:trHeight w:val="238"/>
        </w:trPr>
        <w:tc>
          <w:tcPr>
            <w:tcW w:w="9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Fair value of contingent consideration</w:t>
            </w:r>
          </w:p>
        </w:tc>
        <w:tc>
          <w:tcPr>
            <w:tcW w:w="8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tcPr>
          <w:p>
            <w:pPr>
              <w:spacing w:after="0"/>
              <w:rPr>
                <w:sz w:val="20"/>
                <w:szCs w:val="20"/>
                <w:color w:val="auto"/>
              </w:rPr>
            </w:pPr>
          </w:p>
        </w:tc>
      </w:tr>
      <w:tr>
        <w:trPr>
          <w:trHeight w:val="276"/>
        </w:trPr>
        <w:tc>
          <w:tcPr>
            <w:tcW w:w="92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Fair value of consideration</w:t>
            </w:r>
          </w:p>
        </w:tc>
        <w:tc>
          <w:tcPr>
            <w:tcW w:w="800" w:type="dxa"/>
            <w:vAlign w:val="bottom"/>
            <w:tcBorders>
              <w:bottom w:val="single" w:sz="8" w:color="auto"/>
            </w:tcBorders>
            <w:shd w:val="clear" w:color="auto" w:fill="CFF0FC"/>
          </w:tcPr>
          <w:p>
            <w:pPr>
              <w:spacing w:after="0"/>
              <w:rPr>
                <w:sz w:val="24"/>
                <w:szCs w:val="2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63"/>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Recognized amounts of identifiable assets acquired and liabilities assumed:</w:t>
            </w: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9"/>
        </w:trPr>
        <w:tc>
          <w:tcPr>
            <w:tcW w:w="9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assets</w:t>
            </w:r>
          </w:p>
        </w:tc>
        <w:tc>
          <w:tcPr>
            <w:tcW w:w="8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FF0FC"/>
          </w:tcPr>
          <w:p>
            <w:pPr>
              <w:spacing w:after="0"/>
              <w:rPr>
                <w:sz w:val="21"/>
                <w:szCs w:val="21"/>
                <w:color w:val="auto"/>
              </w:rPr>
            </w:pPr>
          </w:p>
        </w:tc>
      </w:tr>
      <w:tr>
        <w:trPr>
          <w:trHeight w:val="238"/>
        </w:trPr>
        <w:tc>
          <w:tcPr>
            <w:tcW w:w="9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and equipment</w:t>
            </w:r>
          </w:p>
        </w:tc>
        <w:tc>
          <w:tcPr>
            <w:tcW w:w="8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r>
      <w:tr>
        <w:trPr>
          <w:trHeight w:val="247"/>
        </w:trPr>
        <w:tc>
          <w:tcPr>
            <w:tcW w:w="9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Intangible asset</w:t>
            </w:r>
          </w:p>
        </w:tc>
        <w:tc>
          <w:tcPr>
            <w:tcW w:w="8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FF0FC"/>
          </w:tcPr>
          <w:p>
            <w:pPr>
              <w:spacing w:after="0"/>
              <w:rPr>
                <w:sz w:val="21"/>
                <w:szCs w:val="21"/>
                <w:color w:val="auto"/>
              </w:rPr>
            </w:pPr>
          </w:p>
        </w:tc>
      </w:tr>
      <w:tr>
        <w:trPr>
          <w:trHeight w:val="238"/>
        </w:trPr>
        <w:tc>
          <w:tcPr>
            <w:tcW w:w="9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liabilities</w:t>
            </w:r>
          </w:p>
        </w:tc>
        <w:tc>
          <w:tcPr>
            <w:tcW w:w="80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(373 )</w:t>
            </w:r>
          </w:p>
        </w:tc>
      </w:tr>
      <w:tr>
        <w:trPr>
          <w:trHeight w:val="240"/>
        </w:trPr>
        <w:tc>
          <w:tcPr>
            <w:tcW w:w="9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identifiable net assets assumed</w:t>
            </w:r>
          </w:p>
        </w:tc>
        <w:tc>
          <w:tcPr>
            <w:tcW w:w="80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FF0FC"/>
          </w:tcPr>
          <w:p>
            <w:pPr>
              <w:spacing w:after="0"/>
              <w:rPr>
                <w:sz w:val="20"/>
                <w:szCs w:val="20"/>
                <w:color w:val="auto"/>
              </w:rPr>
            </w:pPr>
          </w:p>
        </w:tc>
      </w:tr>
      <w:tr>
        <w:trPr>
          <w:trHeight w:val="238"/>
        </w:trPr>
        <w:tc>
          <w:tcPr>
            <w:tcW w:w="9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8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100" w:type="dxa"/>
            <w:vAlign w:val="bottom"/>
          </w:tcPr>
          <w:p>
            <w:pPr>
              <w:spacing w:after="0"/>
              <w:rPr>
                <w:sz w:val="20"/>
                <w:szCs w:val="20"/>
                <w:color w:val="auto"/>
              </w:rPr>
            </w:pPr>
          </w:p>
        </w:tc>
      </w:tr>
      <w:tr>
        <w:trPr>
          <w:trHeight w:val="276"/>
        </w:trPr>
        <w:tc>
          <w:tcPr>
            <w:tcW w:w="92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bottom w:val="single" w:sz="8" w:color="auto"/>
            </w:tcBorders>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-1454785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-1437640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 w:lineRule="exact"/>
        <w:rPr>
          <w:sz w:val="20"/>
          <w:szCs w:val="20"/>
          <w:color w:val="auto"/>
        </w:rPr>
      </w:pPr>
    </w:p>
    <w:p>
      <w:pPr>
        <w:ind w:right="220" w:firstLine="644"/>
        <w:spacing w:after="0" w:line="235" w:lineRule="exact"/>
        <w:rPr>
          <w:sz w:val="20"/>
          <w:szCs w:val="20"/>
          <w:color w:val="auto"/>
        </w:rPr>
      </w:pPr>
      <w:r>
        <w:rPr>
          <w:rFonts w:ascii="Times New Roman" w:cs="Times New Roman" w:eastAsia="Times New Roman" w:hAnsi="Times New Roman"/>
          <w:sz w:val="18"/>
          <w:szCs w:val="18"/>
          <w:color w:val="auto"/>
        </w:rPr>
        <w:t>The estimated fair value of the intangible asset acquired was determined by the Company. The Company engaged a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expert to assist with the valuation analysis. The Company used a cost method to estimate the fair value of the vendor relationship using Level 3 inputs. The useful life of the vendor relationship is 10 years.</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Tridi’s results of operations were included in the Company's consolidated financial statements from the date of acquisition, January 2, 2023.</w:t>
      </w:r>
    </w:p>
    <w:p>
      <w:pPr>
        <w:spacing w:after="0" w:line="11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Disaggregated Revenue and Cost of Revenue Information</w:t>
      </w:r>
    </w:p>
    <w:p>
      <w:pPr>
        <w:spacing w:after="0" w:line="121" w:lineRule="exact"/>
        <w:rPr>
          <w:sz w:val="20"/>
          <w:szCs w:val="20"/>
          <w:color w:val="auto"/>
        </w:rPr>
      </w:pPr>
    </w:p>
    <w:p>
      <w:pPr>
        <w:jc w:val="both"/>
        <w:ind w:right="80" w:firstLine="644"/>
        <w:spacing w:after="0" w:line="260" w:lineRule="auto"/>
        <w:rPr>
          <w:sz w:val="20"/>
          <w:szCs w:val="20"/>
          <w:color w:val="auto"/>
        </w:rPr>
      </w:pPr>
      <w:r>
        <w:rPr>
          <w:rFonts w:ascii="Times New Roman" w:cs="Times New Roman" w:eastAsia="Times New Roman" w:hAnsi="Times New Roman"/>
          <w:sz w:val="18"/>
          <w:szCs w:val="18"/>
          <w:color w:val="auto"/>
        </w:rPr>
        <w:t>The following table presents our revenue and cost of revenue disaggregated by line of business. Revenue from our marketplace primarily reflects the sales of parts and assemblies on our platform. Revenue from supplier services primarily includes the sale of digital advertising and marketing services, and to a lesser extent financial service products, SaaS products and tools and materials (our "tools and materials business", which we previously referred to as our "supplies business”).</w:t>
      </w:r>
    </w:p>
    <w:p>
      <w:pPr>
        <w:spacing w:after="0" w:line="74" w:lineRule="exact"/>
        <w:rPr>
          <w:sz w:val="20"/>
          <w:szCs w:val="20"/>
          <w:color w:val="auto"/>
        </w:rPr>
      </w:pPr>
    </w:p>
    <w:p>
      <w:pPr>
        <w:ind w:right="180" w:firstLine="644"/>
        <w:spacing w:after="0" w:line="281" w:lineRule="auto"/>
        <w:rPr>
          <w:sz w:val="20"/>
          <w:szCs w:val="20"/>
          <w:color w:val="auto"/>
        </w:rPr>
      </w:pPr>
      <w:r>
        <w:rPr>
          <w:rFonts w:ascii="Times New Roman" w:cs="Times New Roman" w:eastAsia="Times New Roman" w:hAnsi="Times New Roman"/>
          <w:sz w:val="18"/>
          <w:szCs w:val="18"/>
          <w:color w:val="auto"/>
        </w:rPr>
        <w:t>Revenue and cost of revenue is presented in the following tables for the three and nine months ended September 30, 2024 and 2023, respectively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6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92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43"/>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Marketplace</w:t>
            </w:r>
          </w:p>
        </w:tc>
        <w:tc>
          <w:tcPr>
            <w:tcW w:w="440" w:type="dxa"/>
            <w:vAlign w:val="bottom"/>
            <w:tcBorders>
              <w:top w:val="single" w:sz="8" w:color="auto"/>
              <w:bottom w:val="single" w:sz="8" w:color="auto"/>
            </w:tcBorders>
          </w:tcPr>
          <w:p>
            <w:pPr>
              <w:spacing w:after="0"/>
              <w:rPr>
                <w:sz w:val="21"/>
                <w:szCs w:val="21"/>
                <w:color w:val="auto"/>
              </w:rPr>
            </w:pPr>
          </w:p>
        </w:tc>
        <w:tc>
          <w:tcPr>
            <w:tcW w:w="160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154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56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158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36"/>
        </w:trPr>
        <w:tc>
          <w:tcPr>
            <w:tcW w:w="2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4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126,965</w:t>
            </w:r>
          </w:p>
        </w:tc>
        <w:tc>
          <w:tcPr>
            <w:tcW w:w="720" w:type="dxa"/>
            <w:vAlign w:val="bottom"/>
            <w:gridSpan w:val="2"/>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102,473</w:t>
            </w:r>
          </w:p>
        </w:tc>
        <w:tc>
          <w:tcPr>
            <w:tcW w:w="66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351,438</w:t>
            </w:r>
          </w:p>
        </w:tc>
        <w:tc>
          <w:tcPr>
            <w:tcW w:w="68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282,664</w:t>
            </w:r>
          </w:p>
        </w:tc>
        <w:tc>
          <w:tcPr>
            <w:tcW w:w="100" w:type="dxa"/>
            <w:vAlign w:val="bottom"/>
            <w:shd w:val="clear" w:color="auto" w:fill="CFF0FC"/>
          </w:tcPr>
          <w:p>
            <w:pPr>
              <w:spacing w:after="0"/>
              <w:rPr>
                <w:sz w:val="20"/>
                <w:szCs w:val="20"/>
                <w:color w:val="auto"/>
              </w:rPr>
            </w:pPr>
          </w:p>
        </w:tc>
      </w:tr>
      <w:tr>
        <w:trPr>
          <w:trHeight w:val="243"/>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4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84,347</w:t>
            </w:r>
          </w:p>
        </w:tc>
        <w:tc>
          <w:tcPr>
            <w:tcW w:w="24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70,578</w:t>
            </w:r>
          </w:p>
        </w:tc>
        <w:tc>
          <w:tcPr>
            <w:tcW w:w="2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235,278</w:t>
            </w:r>
          </w:p>
        </w:tc>
        <w:tc>
          <w:tcPr>
            <w:tcW w:w="2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196,240</w:t>
            </w:r>
          </w:p>
        </w:tc>
        <w:tc>
          <w:tcPr>
            <w:tcW w:w="100" w:type="dxa"/>
            <w:vAlign w:val="bottom"/>
          </w:tcPr>
          <w:p>
            <w:pPr>
              <w:spacing w:after="0"/>
              <w:rPr>
                <w:sz w:val="21"/>
                <w:szCs w:val="21"/>
                <w:color w:val="auto"/>
              </w:rPr>
            </w:pPr>
          </w:p>
        </w:tc>
      </w:tr>
      <w:tr>
        <w:trPr>
          <w:trHeight w:val="276"/>
        </w:trPr>
        <w:tc>
          <w:tcPr>
            <w:tcW w:w="2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4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42,618</w:t>
            </w:r>
          </w:p>
        </w:tc>
        <w:tc>
          <w:tcPr>
            <w:tcW w:w="720" w:type="dxa"/>
            <w:vAlign w:val="bottom"/>
            <w:gridSpan w:val="2"/>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31,895</w:t>
            </w:r>
          </w:p>
        </w:tc>
        <w:tc>
          <w:tcPr>
            <w:tcW w:w="66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116,160</w:t>
            </w:r>
          </w:p>
        </w:tc>
        <w:tc>
          <w:tcPr>
            <w:tcW w:w="68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86,424</w:t>
            </w:r>
          </w:p>
        </w:tc>
        <w:tc>
          <w:tcPr>
            <w:tcW w:w="100" w:type="dxa"/>
            <w:vAlign w:val="bottom"/>
            <w:shd w:val="clear" w:color="auto" w:fill="CFF0FC"/>
          </w:tcPr>
          <w:p>
            <w:pPr>
              <w:spacing w:after="0"/>
              <w:rPr>
                <w:sz w:val="24"/>
                <w:szCs w:val="24"/>
                <w:color w:val="auto"/>
              </w:rPr>
            </w:pPr>
          </w:p>
        </w:tc>
      </w:tr>
      <w:tr>
        <w:trPr>
          <w:trHeight w:val="486"/>
        </w:trPr>
        <w:tc>
          <w:tcPr>
            <w:tcW w:w="23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Supplier Services</w:t>
            </w:r>
          </w:p>
        </w:tc>
        <w:tc>
          <w:tcPr>
            <w:tcW w:w="44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49"/>
        </w:trPr>
        <w:tc>
          <w:tcPr>
            <w:tcW w:w="2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4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14,733</w:t>
            </w:r>
          </w:p>
        </w:tc>
        <w:tc>
          <w:tcPr>
            <w:tcW w:w="720" w:type="dxa"/>
            <w:vAlign w:val="bottom"/>
            <w:gridSpan w:val="2"/>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16,454</w:t>
            </w:r>
          </w:p>
        </w:tc>
        <w:tc>
          <w:tcPr>
            <w:tcW w:w="66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45,545</w:t>
            </w:r>
          </w:p>
        </w:tc>
        <w:tc>
          <w:tcPr>
            <w:tcW w:w="68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52,597</w:t>
            </w:r>
          </w:p>
        </w:tc>
        <w:tc>
          <w:tcPr>
            <w:tcW w:w="100" w:type="dxa"/>
            <w:vAlign w:val="bottom"/>
            <w:shd w:val="clear" w:color="auto" w:fill="CFF0FC"/>
          </w:tcPr>
          <w:p>
            <w:pPr>
              <w:spacing w:after="0"/>
              <w:rPr>
                <w:sz w:val="21"/>
                <w:szCs w:val="21"/>
                <w:color w:val="auto"/>
              </w:rPr>
            </w:pPr>
          </w:p>
        </w:tc>
      </w:tr>
      <w:tr>
        <w:trPr>
          <w:trHeight w:val="243"/>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4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24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5,101</w:t>
            </w:r>
          </w:p>
        </w:tc>
        <w:tc>
          <w:tcPr>
            <w:tcW w:w="2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9,847</w:t>
            </w:r>
          </w:p>
        </w:tc>
        <w:tc>
          <w:tcPr>
            <w:tcW w:w="100" w:type="dxa"/>
            <w:vAlign w:val="bottom"/>
          </w:tcPr>
          <w:p>
            <w:pPr>
              <w:spacing w:after="0"/>
              <w:rPr>
                <w:sz w:val="21"/>
                <w:szCs w:val="21"/>
                <w:color w:val="auto"/>
              </w:rPr>
            </w:pPr>
          </w:p>
        </w:tc>
      </w:tr>
      <w:tr>
        <w:trPr>
          <w:trHeight w:val="276"/>
        </w:trPr>
        <w:tc>
          <w:tcPr>
            <w:tcW w:w="2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4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13,207</w:t>
            </w:r>
          </w:p>
        </w:tc>
        <w:tc>
          <w:tcPr>
            <w:tcW w:w="24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14,354</w:t>
            </w:r>
          </w:p>
        </w:tc>
        <w:tc>
          <w:tcPr>
            <w:tcW w:w="22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40,444</w:t>
            </w:r>
          </w:p>
        </w:tc>
        <w:tc>
          <w:tcPr>
            <w:tcW w:w="22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42,750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2796540</wp:posOffset>
            </wp:positionH>
            <wp:positionV relativeFrom="paragraph">
              <wp:posOffset>-847090</wp:posOffset>
            </wp:positionV>
            <wp:extent cx="768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2796540</wp:posOffset>
            </wp:positionH>
            <wp:positionV relativeFrom="paragraph">
              <wp:posOffset>-829945</wp:posOffset>
            </wp:positionV>
            <wp:extent cx="768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4226560</wp:posOffset>
            </wp:positionH>
            <wp:positionV relativeFrom="paragraph">
              <wp:posOffset>-847090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4226560</wp:posOffset>
            </wp:positionH>
            <wp:positionV relativeFrom="paragraph">
              <wp:posOffset>-829945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5638800</wp:posOffset>
            </wp:positionH>
            <wp:positionV relativeFrom="paragraph">
              <wp:posOffset>-847090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5638800</wp:posOffset>
            </wp:positionH>
            <wp:positionV relativeFrom="paragraph">
              <wp:posOffset>-829945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-847090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-829945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2796540</wp:posOffset>
            </wp:positionH>
            <wp:positionV relativeFrom="paragraph">
              <wp:posOffset>-24765</wp:posOffset>
            </wp:positionV>
            <wp:extent cx="768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2796540</wp:posOffset>
            </wp:positionH>
            <wp:positionV relativeFrom="paragraph">
              <wp:posOffset>-7620</wp:posOffset>
            </wp:positionV>
            <wp:extent cx="768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4226560</wp:posOffset>
            </wp:positionH>
            <wp:positionV relativeFrom="paragraph">
              <wp:posOffset>-24765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4226560</wp:posOffset>
            </wp:positionH>
            <wp:positionV relativeFrom="paragraph">
              <wp:posOffset>-7620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5638800</wp:posOffset>
            </wp:positionH>
            <wp:positionV relativeFrom="paragraph">
              <wp:posOffset>-24765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5638800</wp:posOffset>
            </wp:positionH>
            <wp:positionV relativeFrom="paragraph">
              <wp:posOffset>-7620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Investment in Unconsolidated Joint Venture</w:t>
      </w:r>
    </w:p>
    <w:p>
      <w:pPr>
        <w:spacing w:after="0" w:line="121" w:lineRule="exact"/>
        <w:rPr>
          <w:sz w:val="20"/>
          <w:szCs w:val="20"/>
          <w:color w:val="auto"/>
        </w:rPr>
      </w:pPr>
    </w:p>
    <w:p>
      <w:pPr>
        <w:ind w:right="440" w:firstLine="644"/>
        <w:spacing w:after="0" w:line="265" w:lineRule="auto"/>
        <w:rPr>
          <w:sz w:val="20"/>
          <w:szCs w:val="20"/>
          <w:color w:val="auto"/>
        </w:rPr>
      </w:pPr>
      <w:r>
        <w:rPr>
          <w:rFonts w:ascii="Times New Roman" w:cs="Times New Roman" w:eastAsia="Times New Roman" w:hAnsi="Times New Roman"/>
          <w:sz w:val="18"/>
          <w:szCs w:val="18"/>
          <w:color w:val="auto"/>
        </w:rPr>
        <w:t>The Company has a 50% interest in Industrial Media, LLC ("IM, LLC") with the other 50% owned by Rich Media Group, LLC. IM, LLC primarily manages content creation, advertising sales, and marketing initiatives for the Industrial Engineering News brand, certain magazines, videos, website and associated electronic media products for industrial engineers.</w:t>
      </w:r>
    </w:p>
    <w:p>
      <w:pPr>
        <w:spacing w:after="0" w:line="69" w:lineRule="exact"/>
        <w:rPr>
          <w:sz w:val="20"/>
          <w:szCs w:val="20"/>
          <w:color w:val="auto"/>
        </w:rPr>
      </w:pPr>
    </w:p>
    <w:p>
      <w:pPr>
        <w:ind w:right="140" w:firstLine="644"/>
        <w:spacing w:after="0" w:line="258" w:lineRule="auto"/>
        <w:rPr>
          <w:sz w:val="20"/>
          <w:szCs w:val="20"/>
          <w:color w:val="auto"/>
        </w:rPr>
      </w:pPr>
      <w:r>
        <w:rPr>
          <w:rFonts w:ascii="Times New Roman" w:cs="Times New Roman" w:eastAsia="Times New Roman" w:hAnsi="Times New Roman"/>
          <w:sz w:val="18"/>
          <w:szCs w:val="18"/>
          <w:color w:val="auto"/>
        </w:rPr>
        <w:t>The Company receives dividends from IM, LLC, which are recorded as a reduction to the Company's investment in unconsolidated joint venture on our Condensed Consolidated Balance Sheets. For the three months ended September 30, 2024 and 2023, the Company received dividends of $0.1 million and $0.2 million, respectively, and for the nine months ended September 30, 2024 and 2023, the Company received dividends of $0.4 million and $0.3 million, respectively. The Company recorded expense to IM, LLC of $0.1 million for both the three months ended September 30, 2024 and 2023 and $0.2 million for both the nine months ended September 30, 2024 and 2023.</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 Based Compensation</w:t>
      </w:r>
    </w:p>
    <w:p>
      <w:pPr>
        <w:spacing w:after="0" w:line="121" w:lineRule="exact"/>
        <w:rPr>
          <w:sz w:val="20"/>
          <w:szCs w:val="20"/>
          <w:color w:val="auto"/>
        </w:rPr>
      </w:pPr>
    </w:p>
    <w:p>
      <w:pPr>
        <w:ind w:right="20" w:firstLine="644"/>
        <w:spacing w:after="0" w:line="260" w:lineRule="auto"/>
        <w:rPr>
          <w:sz w:val="20"/>
          <w:szCs w:val="20"/>
          <w:color w:val="auto"/>
        </w:rPr>
      </w:pPr>
      <w:r>
        <w:rPr>
          <w:rFonts w:ascii="Times New Roman" w:cs="Times New Roman" w:eastAsia="Times New Roman" w:hAnsi="Times New Roman"/>
          <w:sz w:val="18"/>
          <w:szCs w:val="18"/>
          <w:color w:val="auto"/>
        </w:rPr>
        <w:t>In 2014, the Company adopted a stock compensation plan (the "2014 Equity Incentive Plan") pursuant to which the Company may grant stock options, stock purchase rights, restricted stock awards, or stock awards to employees, directors and consultants (including prospective employees, directors, and consultants). This plan was terminated in February 2016. No additional awards may be granted under the 2014 Equity Incentive Plan, however, outstanding awards continue in full effect in accordance with their existing terms.</w:t>
      </w:r>
    </w:p>
    <w:p>
      <w:pPr>
        <w:spacing w:after="0" w:line="74" w:lineRule="exact"/>
        <w:rPr>
          <w:sz w:val="20"/>
          <w:szCs w:val="20"/>
          <w:color w:val="auto"/>
        </w:rPr>
      </w:pPr>
    </w:p>
    <w:p>
      <w:pPr>
        <w:ind w:right="20" w:firstLine="644"/>
        <w:spacing w:after="0" w:line="260" w:lineRule="auto"/>
        <w:rPr>
          <w:sz w:val="20"/>
          <w:szCs w:val="20"/>
          <w:color w:val="auto"/>
        </w:rPr>
      </w:pPr>
      <w:r>
        <w:rPr>
          <w:rFonts w:ascii="Times New Roman" w:cs="Times New Roman" w:eastAsia="Times New Roman" w:hAnsi="Times New Roman"/>
          <w:sz w:val="18"/>
          <w:szCs w:val="18"/>
          <w:color w:val="auto"/>
        </w:rPr>
        <w:t>In 2016, the Company adopted a stock compensation plan (the “2016 Equity Incentive Plan”) pursuant to which the Company may grant stock options, stock purchase rights, restricted stock awards, or stock awards to employees, directors and consultants (including prospective employees, directors, and consultants). No additional awards may be granted under the 2016 Equity Incentive Plan, however, outstanding awards continue in full effect in accordance with their existing terms.</w:t>
      </w:r>
    </w:p>
    <w:p>
      <w:pPr>
        <w:spacing w:after="0" w:line="74"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In connection with the Company’s initial public offering on July 2, 2021, the Company's board of directors adopted the 2021 Equity Incentive Plan (the “2021 Equity Incentive Plan”). The 2021 Equity Incentive Plan provides for the grant of incentive stock options (“ISOs”), non-statutory stock options (“NSOs”), stock appreciation rights, restricted stock awards, restricted stock unit awards, performance-based awards and other awards, or collectively, awards. Awards may be granted to Xometry employees, Xometry’s non-employee directors and consultants/contractors and the employees and consultants/contractors of Xometry affiliates. ISOs may be granted only to Xometry employees and the employees of Xometry affiliates.</w:t>
      </w:r>
    </w:p>
    <w:p>
      <w:pPr>
        <w:spacing w:after="0" w:line="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30, 2024, there were 6,761,037 shares available for the Company to grant under the 2021 Equity Incentive Plan.</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48" w:lineRule="exact"/>
        <w:rPr>
          <w:sz w:val="20"/>
          <w:szCs w:val="20"/>
          <w:color w:val="auto"/>
        </w:rPr>
      </w:pPr>
    </w:p>
    <w:p>
      <w:pPr>
        <w:ind w:right="40" w:firstLine="644"/>
        <w:spacing w:after="0" w:line="281" w:lineRule="auto"/>
        <w:rPr>
          <w:sz w:val="20"/>
          <w:szCs w:val="20"/>
          <w:color w:val="auto"/>
        </w:rPr>
      </w:pPr>
      <w:r>
        <w:rPr>
          <w:rFonts w:ascii="Times New Roman" w:cs="Times New Roman" w:eastAsia="Times New Roman" w:hAnsi="Times New Roman"/>
          <w:sz w:val="18"/>
          <w:szCs w:val="18"/>
          <w:color w:val="auto"/>
        </w:rPr>
        <w:t>A summary of the status of the Company’s stock option activity and the changes during the nine months ended September 30, 2024, are as follows (in millions, except share and per share amounts):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3"/>
                <w:szCs w:val="13"/>
                <w:color w:val="auto"/>
              </w:rPr>
            </w:pP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140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3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87"/>
        </w:trPr>
        <w:tc>
          <w:tcPr>
            <w:tcW w:w="5800" w:type="dxa"/>
            <w:vAlign w:val="bottom"/>
          </w:tcPr>
          <w:p>
            <w:pPr>
              <w:spacing w:after="0"/>
              <w:rPr>
                <w:sz w:val="16"/>
                <w:szCs w:val="16"/>
                <w:color w:val="auto"/>
              </w:rPr>
            </w:pPr>
          </w:p>
        </w:tc>
        <w:tc>
          <w:tcPr>
            <w:tcW w:w="11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2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Exercisable at December 31, 2023</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1,859,740</w:t>
            </w: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2,881,208</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(527,533 )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(201,418 )</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Expired</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(48,225 )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6"/>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2,104,032</w:t>
            </w:r>
          </w:p>
        </w:tc>
        <w:tc>
          <w:tcPr>
            <w:tcW w:w="24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3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Exercisable at September 30, 2024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1,749,212</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4423410</wp:posOffset>
            </wp:positionH>
            <wp:positionV relativeFrom="paragraph">
              <wp:posOffset>-173990</wp:posOffset>
            </wp:positionV>
            <wp:extent cx="768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-156845</wp:posOffset>
            </wp:positionV>
            <wp:extent cx="768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right="140" w:firstLine="644"/>
        <w:spacing w:after="0" w:line="281" w:lineRule="auto"/>
        <w:rPr>
          <w:sz w:val="20"/>
          <w:szCs w:val="20"/>
          <w:color w:val="auto"/>
        </w:rPr>
      </w:pPr>
      <w:r>
        <w:rPr>
          <w:rFonts w:ascii="Times New Roman" w:cs="Times New Roman" w:eastAsia="Times New Roman" w:hAnsi="Times New Roman"/>
          <w:sz w:val="18"/>
          <w:szCs w:val="18"/>
          <w:color w:val="auto"/>
        </w:rPr>
        <w:t>No options were granted during the nine months ended September 30, 2024. The total intrinsic value of options exercised during the nine months ended September 30, 2024 and 2023, was $6.3 million and $2.5 million, respectively.</w:t>
      </w:r>
    </w:p>
    <w:p>
      <w:pPr>
        <w:spacing w:after="0" w:line="55" w:lineRule="exact"/>
        <w:rPr>
          <w:sz w:val="20"/>
          <w:szCs w:val="20"/>
          <w:color w:val="auto"/>
        </w:rPr>
      </w:pPr>
    </w:p>
    <w:p>
      <w:pPr>
        <w:ind w:right="40" w:firstLine="644"/>
        <w:spacing w:after="0" w:line="281" w:lineRule="auto"/>
        <w:rPr>
          <w:sz w:val="20"/>
          <w:szCs w:val="20"/>
          <w:color w:val="auto"/>
        </w:rPr>
      </w:pPr>
      <w:r>
        <w:rPr>
          <w:rFonts w:ascii="Times New Roman" w:cs="Times New Roman" w:eastAsia="Times New Roman" w:hAnsi="Times New Roman"/>
          <w:sz w:val="18"/>
          <w:szCs w:val="18"/>
          <w:color w:val="auto"/>
        </w:rPr>
        <w:t>At September 30, 2024, there was approximately $5.9 million of total unrecognized compensation cost related to unvested stock options. That cost is expected to be recognized over a weighted average period of approximately two years as of September 30, 2024.</w:t>
      </w:r>
    </w:p>
    <w:p>
      <w:pPr>
        <w:spacing w:after="0" w:line="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currently uses authorized and unissued shares to satisfy share award exercises.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21" w:lineRule="exact"/>
        <w:rPr>
          <w:sz w:val="20"/>
          <w:szCs w:val="20"/>
          <w:color w:val="auto"/>
        </w:rPr>
      </w:pPr>
    </w:p>
    <w:p>
      <w:pPr>
        <w:ind w:right="140" w:firstLine="644"/>
        <w:spacing w:after="0" w:line="281" w:lineRule="auto"/>
        <w:rPr>
          <w:sz w:val="20"/>
          <w:szCs w:val="20"/>
          <w:color w:val="auto"/>
        </w:rPr>
      </w:pPr>
      <w:r>
        <w:rPr>
          <w:rFonts w:ascii="Times New Roman" w:cs="Times New Roman" w:eastAsia="Times New Roman" w:hAnsi="Times New Roman"/>
          <w:sz w:val="18"/>
          <w:szCs w:val="18"/>
          <w:color w:val="auto"/>
        </w:rPr>
        <w:t>A summary of the status of the Company’s restricted stock unit activity and the changes during the nine months ended September 30, 2024 are as follows (in millions, except share and per share amounts):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00" w:type="dxa"/>
            <w:vAlign w:val="bottom"/>
          </w:tcPr>
          <w:p>
            <w:pPr>
              <w:spacing w:after="0"/>
              <w:rPr>
                <w:sz w:val="13"/>
                <w:szCs w:val="13"/>
                <w:color w:val="auto"/>
              </w:rPr>
            </w:pPr>
          </w:p>
        </w:tc>
        <w:tc>
          <w:tcPr>
            <w:tcW w:w="16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2040" w:type="dxa"/>
            <w:vAlign w:val="bottom"/>
            <w:gridSpan w:val="2"/>
            <w:vMerge w:val="restart"/>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 value</w:t>
            </w:r>
          </w:p>
        </w:tc>
        <w:tc>
          <w:tcPr>
            <w:tcW w:w="300" w:type="dxa"/>
            <w:vAlign w:val="bottom"/>
          </w:tcPr>
          <w:p>
            <w:pPr>
              <w:spacing w:after="0"/>
              <w:rPr>
                <w:sz w:val="12"/>
                <w:szCs w:val="12"/>
                <w:color w:val="auto"/>
              </w:rPr>
            </w:pPr>
          </w:p>
        </w:tc>
        <w:tc>
          <w:tcPr>
            <w:tcW w:w="16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87"/>
        </w:trPr>
        <w:tc>
          <w:tcPr>
            <w:tcW w:w="5800" w:type="dxa"/>
            <w:vAlign w:val="bottom"/>
          </w:tcPr>
          <w:p>
            <w:pPr>
              <w:spacing w:after="0"/>
              <w:rPr>
                <w:sz w:val="16"/>
                <w:szCs w:val="16"/>
                <w:color w:val="auto"/>
              </w:rPr>
            </w:pPr>
          </w:p>
        </w:tc>
        <w:tc>
          <w:tcPr>
            <w:tcW w:w="17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4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0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RSUs as of December 31, 2023</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1,769,874</w:t>
            </w:r>
          </w:p>
        </w:tc>
        <w:tc>
          <w:tcPr>
            <w:tcW w:w="34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1,910,579</w:t>
            </w:r>
          </w:p>
        </w:tc>
        <w:tc>
          <w:tcPr>
            <w:tcW w:w="3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300" w:type="dxa"/>
            <w:vAlign w:val="bottom"/>
          </w:tcPr>
          <w:p>
            <w:pPr>
              <w:spacing w:after="0"/>
              <w:rPr>
                <w:sz w:val="20"/>
                <w:szCs w:val="20"/>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(631,023 )</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30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and cancelled</w:t>
            </w:r>
          </w:p>
        </w:tc>
        <w:tc>
          <w:tcPr>
            <w:tcW w:w="2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(554,658 )</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300" w:type="dxa"/>
            <w:vAlign w:val="bottom"/>
          </w:tcPr>
          <w:p>
            <w:pPr>
              <w:spacing w:after="0"/>
              <w:rPr>
                <w:sz w:val="21"/>
                <w:szCs w:val="21"/>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6"/>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RSUs as of September 30, 2024</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2,494,772</w:t>
            </w:r>
          </w:p>
        </w:tc>
        <w:tc>
          <w:tcPr>
            <w:tcW w:w="340" w:type="dxa"/>
            <w:vAlign w:val="bottom"/>
            <w:tcBorders>
              <w:bottom w:val="single" w:sz="8" w:color="CFF0FC"/>
            </w:tcBorders>
            <w:shd w:val="clear" w:color="auto" w:fill="CFF0FC"/>
          </w:tcPr>
          <w:p>
            <w:pPr>
              <w:spacing w:after="0"/>
              <w:rPr>
                <w:sz w:val="24"/>
                <w:szCs w:val="24"/>
                <w:color w:val="auto"/>
              </w:rPr>
            </w:pPr>
          </w:p>
        </w:tc>
        <w:tc>
          <w:tcPr>
            <w:tcW w:w="1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18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4765675</wp:posOffset>
            </wp:positionH>
            <wp:positionV relativeFrom="paragraph">
              <wp:posOffset>-24765</wp:posOffset>
            </wp:positionV>
            <wp:extent cx="768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-7620</wp:posOffset>
            </wp:positionV>
            <wp:extent cx="768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393" w:lineRule="exact"/>
        <w:rPr>
          <w:sz w:val="20"/>
          <w:szCs w:val="20"/>
          <w:color w:val="auto"/>
        </w:rPr>
      </w:pPr>
    </w:p>
    <w:p>
      <w:pPr>
        <w:ind w:right="160" w:firstLine="644"/>
        <w:spacing w:after="0" w:line="265" w:lineRule="auto"/>
        <w:rPr>
          <w:sz w:val="20"/>
          <w:szCs w:val="20"/>
          <w:color w:val="auto"/>
        </w:rPr>
      </w:pPr>
      <w:r>
        <w:rPr>
          <w:rFonts w:ascii="Times New Roman" w:cs="Times New Roman" w:eastAsia="Times New Roman" w:hAnsi="Times New Roman"/>
          <w:sz w:val="18"/>
          <w:szCs w:val="18"/>
          <w:color w:val="auto"/>
        </w:rPr>
        <w:t>At September 30, 2024, there was approximately $40.3 million of total unrecognized compensation cost related to unvested restricted stock units granted under the 2021 Equity Incentive Plan. That cost is expected to be recognized over a weighted average period of approximately three years as of September 30, 2024.</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Restricted Stock Units</w:t>
      </w:r>
    </w:p>
    <w:p>
      <w:pPr>
        <w:spacing w:after="0" w:line="121" w:lineRule="exact"/>
        <w:rPr>
          <w:sz w:val="20"/>
          <w:szCs w:val="20"/>
          <w:color w:val="auto"/>
        </w:rPr>
      </w:pPr>
    </w:p>
    <w:p>
      <w:pPr>
        <w:ind w:right="240" w:firstLine="749"/>
        <w:spacing w:after="0" w:line="260" w:lineRule="auto"/>
        <w:rPr>
          <w:sz w:val="20"/>
          <w:szCs w:val="20"/>
          <w:color w:val="auto"/>
        </w:rPr>
      </w:pPr>
      <w:r>
        <w:rPr>
          <w:rFonts w:ascii="Times New Roman" w:cs="Times New Roman" w:eastAsia="Times New Roman" w:hAnsi="Times New Roman"/>
          <w:sz w:val="18"/>
          <w:szCs w:val="18"/>
          <w:color w:val="auto"/>
        </w:rPr>
        <w:t>A summary of the status of the Company's performance restricted stock unit activity and the changes during the nine months ended September 30, 2024 are as follows (in millions, except share and per share amounts):</w:t>
      </w:r>
    </w:p>
    <w:tbl>
      <w:tblPr>
        <w:tblLayout w:type="fixed"/>
        <w:tblInd w:w="0" w:type="dxa"/>
        <w:tblCellMar>
          <w:top w:w="0" w:type="dxa"/>
          <w:left w:w="0" w:type="dxa"/>
          <w:bottom w:w="0" w:type="dxa"/>
          <w:right w:w="0" w:type="dxa"/>
        </w:tblCellMar>
      </w:tblPr>
      <w:tr>
        <w:trPr>
          <w:trHeight w:val="138"/>
        </w:trPr>
        <w:tc>
          <w:tcPr>
            <w:tcW w:w="58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300" w:type="dxa"/>
            <w:vAlign w:val="bottom"/>
          </w:tcPr>
          <w:p>
            <w:pPr>
              <w:spacing w:after="0"/>
              <w:rPr>
                <w:sz w:val="12"/>
                <w:szCs w:val="12"/>
                <w:color w:val="auto"/>
              </w:rPr>
            </w:pPr>
          </w:p>
        </w:tc>
        <w:tc>
          <w:tcPr>
            <w:tcW w:w="16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2040" w:type="dxa"/>
            <w:vAlign w:val="bottom"/>
            <w:gridSpan w:val="2"/>
            <w:vMerge w:val="restart"/>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 value</w:t>
            </w:r>
          </w:p>
        </w:tc>
        <w:tc>
          <w:tcPr>
            <w:tcW w:w="300" w:type="dxa"/>
            <w:vAlign w:val="bottom"/>
          </w:tcPr>
          <w:p>
            <w:pPr>
              <w:spacing w:after="0"/>
              <w:rPr>
                <w:sz w:val="12"/>
                <w:szCs w:val="12"/>
                <w:color w:val="auto"/>
              </w:rPr>
            </w:pPr>
          </w:p>
        </w:tc>
        <w:tc>
          <w:tcPr>
            <w:tcW w:w="16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87"/>
        </w:trPr>
        <w:tc>
          <w:tcPr>
            <w:tcW w:w="5800" w:type="dxa"/>
            <w:vAlign w:val="bottom"/>
          </w:tcPr>
          <w:p>
            <w:pPr>
              <w:spacing w:after="0"/>
              <w:rPr>
                <w:sz w:val="16"/>
                <w:szCs w:val="16"/>
                <w:color w:val="auto"/>
              </w:rPr>
            </w:pPr>
          </w:p>
        </w:tc>
        <w:tc>
          <w:tcPr>
            <w:tcW w:w="17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4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0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PRSUs as of December 31, 2023</w:t>
            </w:r>
          </w:p>
        </w:tc>
        <w:tc>
          <w:tcPr>
            <w:tcW w:w="20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336,118</w:t>
            </w:r>
          </w:p>
        </w:tc>
        <w:tc>
          <w:tcPr>
            <w:tcW w:w="3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300" w:type="dxa"/>
            <w:vAlign w:val="bottom"/>
          </w:tcPr>
          <w:p>
            <w:pPr>
              <w:spacing w:after="0"/>
              <w:rPr>
                <w:sz w:val="20"/>
                <w:szCs w:val="20"/>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and cancelled</w:t>
            </w:r>
          </w:p>
        </w:tc>
        <w:tc>
          <w:tcPr>
            <w:tcW w:w="2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(63,603 )</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300" w:type="dxa"/>
            <w:vAlign w:val="bottom"/>
          </w:tcPr>
          <w:p>
            <w:pPr>
              <w:spacing w:after="0"/>
              <w:rPr>
                <w:sz w:val="21"/>
                <w:szCs w:val="21"/>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6"/>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PRSUs as of September 30, 2024</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272,515</w:t>
            </w:r>
          </w:p>
        </w:tc>
        <w:tc>
          <w:tcPr>
            <w:tcW w:w="340" w:type="dxa"/>
            <w:vAlign w:val="bottom"/>
            <w:tcBorders>
              <w:bottom w:val="single" w:sz="8" w:color="CFF0FC"/>
            </w:tcBorders>
            <w:shd w:val="clear" w:color="auto" w:fill="CFF0FC"/>
          </w:tcPr>
          <w:p>
            <w:pPr>
              <w:spacing w:after="0"/>
              <w:rPr>
                <w:sz w:val="24"/>
                <w:szCs w:val="24"/>
                <w:color w:val="auto"/>
              </w:rPr>
            </w:pPr>
          </w:p>
        </w:tc>
        <w:tc>
          <w:tcPr>
            <w:tcW w:w="1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8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4765675</wp:posOffset>
            </wp:positionH>
            <wp:positionV relativeFrom="paragraph">
              <wp:posOffset>-24765</wp:posOffset>
            </wp:positionV>
            <wp:extent cx="768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-7620</wp:posOffset>
            </wp:positionV>
            <wp:extent cx="768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97" w:lineRule="exact"/>
        <w:rPr>
          <w:sz w:val="20"/>
          <w:szCs w:val="20"/>
          <w:color w:val="auto"/>
        </w:rPr>
      </w:pPr>
    </w:p>
    <w:p>
      <w:pPr>
        <w:ind w:right="20" w:firstLine="749"/>
        <w:spacing w:after="0" w:line="265" w:lineRule="auto"/>
        <w:rPr>
          <w:sz w:val="20"/>
          <w:szCs w:val="20"/>
          <w:color w:val="auto"/>
        </w:rPr>
      </w:pPr>
      <w:r>
        <w:rPr>
          <w:rFonts w:ascii="Times New Roman" w:cs="Times New Roman" w:eastAsia="Times New Roman" w:hAnsi="Times New Roman"/>
          <w:sz w:val="18"/>
          <w:szCs w:val="18"/>
          <w:color w:val="auto"/>
        </w:rPr>
        <w:t>At September 30, 2024, there was approximately $3.9 million of total unrecognized compensation cost related to unvested performance restricted stock units granted under the 2021 Equity Incentive Plan. That cost is expected to be recognized over a weighted average period of approximately two years as of September 30, 2024.</w:t>
      </w:r>
    </w:p>
    <w:p>
      <w:pPr>
        <w:spacing w:after="0" w:line="3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stock-based compensation cost for the three and nine months ended September 30, 2024 and 2023 were as follows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40" w:type="dxa"/>
            <w:vAlign w:val="bottom"/>
          </w:tcPr>
          <w:p>
            <w:pPr>
              <w:spacing w:after="0"/>
              <w:rPr>
                <w:sz w:val="15"/>
                <w:szCs w:val="15"/>
                <w:color w:val="auto"/>
              </w:rPr>
            </w:pPr>
          </w:p>
        </w:tc>
        <w:tc>
          <w:tcPr>
            <w:tcW w:w="27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4740" w:type="dxa"/>
            <w:vAlign w:val="bottom"/>
          </w:tcPr>
          <w:p>
            <w:pPr>
              <w:spacing w:after="0"/>
              <w:rPr>
                <w:sz w:val="14"/>
                <w:szCs w:val="14"/>
                <w:color w:val="auto"/>
              </w:rPr>
            </w:pPr>
          </w:p>
        </w:tc>
        <w:tc>
          <w:tcPr>
            <w:tcW w:w="9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474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8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1280" w:type="dxa"/>
            <w:vAlign w:val="bottom"/>
            <w:gridSpan w:val="2"/>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5,825</w:t>
            </w:r>
          </w:p>
        </w:tc>
        <w:tc>
          <w:tcPr>
            <w:tcW w:w="5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100" w:type="dxa"/>
            <w:vAlign w:val="bottom"/>
            <w:shd w:val="clear" w:color="auto" w:fill="CFF0FC"/>
          </w:tcPr>
          <w:p>
            <w:pPr>
              <w:spacing w:after="0"/>
              <w:rPr>
                <w:sz w:val="21"/>
                <w:szCs w:val="21"/>
                <w:color w:val="auto"/>
              </w:rPr>
            </w:pPr>
          </w:p>
        </w:tc>
      </w:tr>
      <w:tr>
        <w:trPr>
          <w:trHeight w:val="238"/>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Operations and support</w:t>
            </w:r>
          </w:p>
        </w:tc>
        <w:tc>
          <w:tcPr>
            <w:tcW w:w="9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6,568</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5,690</w:t>
            </w:r>
          </w:p>
        </w:tc>
        <w:tc>
          <w:tcPr>
            <w:tcW w:w="100" w:type="dxa"/>
            <w:vAlign w:val="bottom"/>
          </w:tcPr>
          <w:p>
            <w:pPr>
              <w:spacing w:after="0"/>
              <w:rPr>
                <w:sz w:val="20"/>
                <w:szCs w:val="20"/>
                <w:color w:val="auto"/>
              </w:rPr>
            </w:pPr>
          </w:p>
        </w:tc>
      </w:tr>
      <w:tr>
        <w:trPr>
          <w:trHeight w:val="247"/>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98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4,770</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3,890</w:t>
            </w:r>
          </w:p>
        </w:tc>
        <w:tc>
          <w:tcPr>
            <w:tcW w:w="100" w:type="dxa"/>
            <w:vAlign w:val="bottom"/>
            <w:shd w:val="clear" w:color="auto" w:fill="CFF0FC"/>
          </w:tcPr>
          <w:p>
            <w:pPr>
              <w:spacing w:after="0"/>
              <w:rPr>
                <w:sz w:val="21"/>
                <w:szCs w:val="21"/>
                <w:color w:val="auto"/>
              </w:rPr>
            </w:pPr>
          </w:p>
        </w:tc>
      </w:tr>
      <w:tr>
        <w:trPr>
          <w:trHeight w:val="238"/>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2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100" w:type="dxa"/>
            <w:vAlign w:val="bottom"/>
          </w:tcPr>
          <w:p>
            <w:pPr>
              <w:spacing w:after="0"/>
              <w:rPr>
                <w:sz w:val="20"/>
                <w:szCs w:val="20"/>
                <w:color w:val="auto"/>
              </w:rPr>
            </w:pPr>
          </w:p>
        </w:tc>
      </w:tr>
      <w:tr>
        <w:trPr>
          <w:trHeight w:val="276"/>
        </w:trPr>
        <w:tc>
          <w:tcPr>
            <w:tcW w:w="4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 compensation expense</w:t>
            </w:r>
          </w:p>
        </w:tc>
        <w:tc>
          <w:tcPr>
            <w:tcW w:w="980" w:type="dxa"/>
            <w:vAlign w:val="bottom"/>
            <w:tcBorders>
              <w:bottom w:val="single" w:sz="8" w:color="auto"/>
            </w:tcBorders>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6,954</w:t>
            </w:r>
          </w:p>
        </w:tc>
        <w:tc>
          <w:tcPr>
            <w:tcW w:w="24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5,730</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21,115</w:t>
            </w:r>
          </w:p>
        </w:tc>
        <w:tc>
          <w:tcPr>
            <w:tcW w:w="2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3952240</wp:posOffset>
            </wp:positionH>
            <wp:positionV relativeFrom="paragraph">
              <wp:posOffset>-24765</wp:posOffset>
            </wp:positionV>
            <wp:extent cx="768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-7620</wp:posOffset>
            </wp:positionV>
            <wp:extent cx="768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-24765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-7620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-24765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-7620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336" w:lineRule="exact"/>
        <w:rPr>
          <w:sz w:val="20"/>
          <w:szCs w:val="20"/>
          <w:color w:val="auto"/>
        </w:rPr>
      </w:pPr>
    </w:p>
    <w:p>
      <w:pPr>
        <w:ind w:right="100" w:firstLine="644"/>
        <w:spacing w:after="0" w:line="281" w:lineRule="auto"/>
        <w:rPr>
          <w:sz w:val="20"/>
          <w:szCs w:val="20"/>
          <w:color w:val="auto"/>
        </w:rPr>
      </w:pPr>
      <w:r>
        <w:rPr>
          <w:rFonts w:ascii="Times New Roman" w:cs="Times New Roman" w:eastAsia="Times New Roman" w:hAnsi="Times New Roman"/>
          <w:sz w:val="18"/>
          <w:szCs w:val="18"/>
          <w:color w:val="auto"/>
        </w:rPr>
        <w:t>A full valuation allowance has been established against our net U.S. federal and state deferred tax assets and foreign deferred tax assets, including net operating loss carryforwards.</w:t>
      </w:r>
    </w:p>
    <w:p>
      <w:pPr>
        <w:spacing w:after="0" w:line="55" w:lineRule="exact"/>
        <w:rPr>
          <w:sz w:val="20"/>
          <w:szCs w:val="20"/>
          <w:color w:val="auto"/>
        </w:rPr>
      </w:pPr>
    </w:p>
    <w:p>
      <w:pPr>
        <w:ind w:right="60" w:firstLine="644"/>
        <w:spacing w:after="0" w:line="265" w:lineRule="auto"/>
        <w:rPr>
          <w:sz w:val="20"/>
          <w:szCs w:val="20"/>
          <w:color w:val="auto"/>
        </w:rPr>
      </w:pPr>
      <w:r>
        <w:rPr>
          <w:rFonts w:ascii="Times New Roman" w:cs="Times New Roman" w:eastAsia="Times New Roman" w:hAnsi="Times New Roman"/>
          <w:sz w:val="18"/>
          <w:szCs w:val="18"/>
          <w:color w:val="auto"/>
        </w:rPr>
        <w:t>The Company had less than $0.1 million of provision for income taxes for each of the three and nine months ended September 30, 2024 and 2023. This estimated annual effective tax rate of (0.1%), differs from the U.S. federal statutory rate primarily due to the effects of certain permanent items, foreign tax rate differences, and increases in the valuation allowance against deferred tax assets.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Loss Per Share Attributable to Common Stockholders</w:t>
      </w:r>
    </w:p>
    <w:p>
      <w:pPr>
        <w:spacing w:after="0" w:line="121" w:lineRule="exact"/>
        <w:rPr>
          <w:sz w:val="20"/>
          <w:szCs w:val="20"/>
          <w:color w:val="auto"/>
        </w:rPr>
      </w:pPr>
    </w:p>
    <w:p>
      <w:pPr>
        <w:ind w:right="260" w:firstLine="644"/>
        <w:spacing w:after="0" w:line="260" w:lineRule="auto"/>
        <w:rPr>
          <w:sz w:val="20"/>
          <w:szCs w:val="20"/>
          <w:color w:val="auto"/>
        </w:rPr>
      </w:pPr>
      <w:r>
        <w:rPr>
          <w:rFonts w:ascii="Times New Roman" w:cs="Times New Roman" w:eastAsia="Times New Roman" w:hAnsi="Times New Roman"/>
          <w:sz w:val="18"/>
          <w:szCs w:val="18"/>
          <w:color w:val="auto"/>
        </w:rPr>
        <w:t>The Company computes net loss per share of Class A common stock, Class B common stock and participating securities using the two-class method. Basic and diluted EPS are the same for each class of common stock and participating securities because they are entitled to the same liquidation and dividend rights. The following table sets forth the computation of basic and diluted net loss per share attributable to common stockholders (in thousands, except share and per share data):</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060" w:type="dxa"/>
            <w:vAlign w:val="bottom"/>
          </w:tcPr>
          <w:p>
            <w:pPr>
              <w:spacing w:after="0"/>
              <w:rPr>
                <w:sz w:val="16"/>
                <w:szCs w:val="16"/>
                <w:color w:val="auto"/>
              </w:rPr>
            </w:pPr>
          </w:p>
        </w:tc>
        <w:tc>
          <w:tcPr>
            <w:tcW w:w="260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244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606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(10,199 )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(12,010 )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(40,507 )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(56,912 )</w:t>
            </w:r>
          </w:p>
        </w:tc>
        <w:tc>
          <w:tcPr>
            <w:tcW w:w="0" w:type="dxa"/>
            <w:vAlign w:val="bottom"/>
          </w:tcPr>
          <w:p>
            <w:pPr>
              <w:spacing w:after="0"/>
              <w:rPr>
                <w:sz w:val="1"/>
                <w:szCs w:val="1"/>
                <w:color w:val="auto"/>
              </w:rPr>
            </w:pPr>
          </w:p>
        </w:tc>
      </w:tr>
      <w:tr>
        <w:trPr>
          <w:trHeight w:val="238"/>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6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(10,199 )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(12,023 )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(40,512 )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(56,921 )</w:t>
            </w:r>
          </w:p>
        </w:tc>
        <w:tc>
          <w:tcPr>
            <w:tcW w:w="0" w:type="dxa"/>
            <w:vAlign w:val="bottom"/>
          </w:tcPr>
          <w:p>
            <w:pPr>
              <w:spacing w:after="0"/>
              <w:rPr>
                <w:sz w:val="1"/>
                <w:szCs w:val="1"/>
                <w:color w:val="auto"/>
              </w:rPr>
            </w:pPr>
          </w:p>
        </w:tc>
      </w:tr>
      <w:tr>
        <w:trPr>
          <w:trHeight w:val="438"/>
        </w:trPr>
        <w:tc>
          <w:tcPr>
            <w:tcW w:w="60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Weighted-average number of shares outstanding used to compute net loss per</w:t>
            </w:r>
          </w:p>
        </w:tc>
        <w:tc>
          <w:tcPr>
            <w:tcW w:w="1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attributable to common stockholders, basic and diluted, of Class A and</w:t>
            </w:r>
          </w:p>
        </w:tc>
        <w:tc>
          <w:tcPr>
            <w:tcW w:w="16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49,282,164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47,989,277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48,901,475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47,852,671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 common stock</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06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 diluted, of</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(0.21 )</w:t>
            </w: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(0.25 )</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(0.83 )</w:t>
            </w:r>
          </w:p>
        </w:tc>
        <w:tc>
          <w:tcPr>
            <w:tcW w:w="26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(1.19 )</w:t>
            </w:r>
          </w:p>
        </w:tc>
        <w:tc>
          <w:tcPr>
            <w:tcW w:w="0" w:type="dxa"/>
            <w:vAlign w:val="bottom"/>
          </w:tcPr>
          <w:p>
            <w:pPr>
              <w:spacing w:after="0"/>
              <w:rPr>
                <w:sz w:val="1"/>
                <w:szCs w:val="1"/>
                <w:color w:val="auto"/>
              </w:rPr>
            </w:pPr>
          </w:p>
        </w:tc>
      </w:tr>
      <w:tr>
        <w:trPr>
          <w:trHeight w:val="227"/>
        </w:trPr>
        <w:tc>
          <w:tcPr>
            <w:tcW w:w="6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Class A and Class B common stock</w:t>
            </w:r>
          </w:p>
        </w:tc>
        <w:tc>
          <w:tcPr>
            <w:tcW w:w="160" w:type="dxa"/>
            <w:vAlign w:val="bottom"/>
            <w:vMerge w:val="continue"/>
            <w:shd w:val="clear" w:color="auto" w:fill="CFF0FC"/>
          </w:tcPr>
          <w:p>
            <w:pPr>
              <w:spacing w:after="0"/>
              <w:rPr>
                <w:sz w:val="19"/>
                <w:szCs w:val="19"/>
                <w:color w:val="auto"/>
              </w:rPr>
            </w:pPr>
          </w:p>
        </w:tc>
        <w:tc>
          <w:tcPr>
            <w:tcW w:w="1140" w:type="dxa"/>
            <w:vAlign w:val="bottom"/>
            <w:gridSpan w:val="2"/>
            <w:vMerge w:val="continue"/>
            <w:shd w:val="clear" w:color="auto" w:fill="CFF0FC"/>
          </w:tcPr>
          <w:p>
            <w:pPr>
              <w:spacing w:after="0"/>
              <w:rPr>
                <w:sz w:val="19"/>
                <w:szCs w:val="19"/>
                <w:color w:val="auto"/>
              </w:rPr>
            </w:pPr>
          </w:p>
        </w:tc>
        <w:tc>
          <w:tcPr>
            <w:tcW w:w="180" w:type="dxa"/>
            <w:vAlign w:val="bottom"/>
            <w:vMerge w:val="continue"/>
            <w:shd w:val="clear" w:color="auto" w:fill="CFF0FC"/>
          </w:tcPr>
          <w:p>
            <w:pPr>
              <w:spacing w:after="0"/>
              <w:rPr>
                <w:sz w:val="19"/>
                <w:szCs w:val="19"/>
                <w:color w:val="auto"/>
              </w:rPr>
            </w:pPr>
          </w:p>
        </w:tc>
        <w:tc>
          <w:tcPr>
            <w:tcW w:w="1120" w:type="dxa"/>
            <w:vAlign w:val="bottom"/>
            <w:gridSpan w:val="2"/>
            <w:vMerge w:val="continue"/>
            <w:shd w:val="clear" w:color="auto" w:fill="CFF0FC"/>
          </w:tcPr>
          <w:p>
            <w:pPr>
              <w:spacing w:after="0"/>
              <w:rPr>
                <w:sz w:val="19"/>
                <w:szCs w:val="19"/>
                <w:color w:val="auto"/>
              </w:rPr>
            </w:pPr>
          </w:p>
        </w:tc>
        <w:tc>
          <w:tcPr>
            <w:tcW w:w="140" w:type="dxa"/>
            <w:vAlign w:val="bottom"/>
            <w:vMerge w:val="continue"/>
            <w:shd w:val="clear" w:color="auto" w:fill="CFF0FC"/>
          </w:tcPr>
          <w:p>
            <w:pPr>
              <w:spacing w:after="0"/>
              <w:rPr>
                <w:sz w:val="19"/>
                <w:szCs w:val="19"/>
                <w:color w:val="auto"/>
              </w:rPr>
            </w:pPr>
          </w:p>
        </w:tc>
        <w:tc>
          <w:tcPr>
            <w:tcW w:w="1100" w:type="dxa"/>
            <w:vAlign w:val="bottom"/>
            <w:gridSpan w:val="2"/>
            <w:vMerge w:val="continue"/>
            <w:shd w:val="clear" w:color="auto" w:fill="CFF0FC"/>
          </w:tcPr>
          <w:p>
            <w:pPr>
              <w:spacing w:after="0"/>
              <w:rPr>
                <w:sz w:val="19"/>
                <w:szCs w:val="19"/>
                <w:color w:val="auto"/>
              </w:rPr>
            </w:pPr>
          </w:p>
        </w:tc>
        <w:tc>
          <w:tcPr>
            <w:tcW w:w="260" w:type="dxa"/>
            <w:vAlign w:val="bottom"/>
            <w:vMerge w:val="continue"/>
            <w:shd w:val="clear" w:color="auto" w:fill="CFF0FC"/>
          </w:tcPr>
          <w:p>
            <w:pPr>
              <w:spacing w:after="0"/>
              <w:rPr>
                <w:sz w:val="19"/>
                <w:szCs w:val="19"/>
                <w:color w:val="auto"/>
              </w:rPr>
            </w:pPr>
          </w:p>
        </w:tc>
        <w:tc>
          <w:tcPr>
            <w:tcW w:w="108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4517390</wp:posOffset>
            </wp:positionH>
            <wp:positionV relativeFrom="paragraph">
              <wp:posOffset>-898525</wp:posOffset>
            </wp:positionV>
            <wp:extent cx="768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-881380</wp:posOffset>
            </wp:positionV>
            <wp:extent cx="768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-898525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-881380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-898525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-881380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-898525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-881380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-24765</wp:posOffset>
            </wp:positionV>
            <wp:extent cx="768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-7620</wp:posOffset>
            </wp:positionV>
            <wp:extent cx="768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-24765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-7620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-24765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-7620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right="540" w:firstLine="644"/>
        <w:spacing w:after="0" w:line="281" w:lineRule="auto"/>
        <w:rPr>
          <w:sz w:val="20"/>
          <w:szCs w:val="20"/>
          <w:color w:val="auto"/>
        </w:rPr>
      </w:pPr>
      <w:r>
        <w:rPr>
          <w:rFonts w:ascii="Times New Roman" w:cs="Times New Roman" w:eastAsia="Times New Roman" w:hAnsi="Times New Roman"/>
          <w:sz w:val="18"/>
          <w:szCs w:val="18"/>
          <w:color w:val="auto"/>
        </w:rPr>
        <w:t>The following outstanding shares of potentially dilutive securities were excluded from the computation of diluted net loss per share because including them would have had an anti-dilutive effect, or issuance of such shares is contingent upon the occurrence of an event: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180" w:type="dxa"/>
            <w:vAlign w:val="bottom"/>
          </w:tcPr>
          <w:p>
            <w:pPr>
              <w:spacing w:after="0"/>
              <w:rPr>
                <w:sz w:val="16"/>
                <w:szCs w:val="16"/>
                <w:color w:val="auto"/>
              </w:rPr>
            </w:pPr>
          </w:p>
        </w:tc>
        <w:tc>
          <w:tcPr>
            <w:tcW w:w="2660" w:type="dxa"/>
            <w:vAlign w:val="bottom"/>
            <w:tcBorders>
              <w:bottom w:val="single" w:sz="8" w:color="auto"/>
            </w:tcBorders>
            <w:gridSpan w:val="3"/>
          </w:tcPr>
          <w:p>
            <w:pPr>
              <w:ind w:left="15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180" w:type="dxa"/>
            <w:vAlign w:val="bottom"/>
          </w:tcPr>
          <w:p>
            <w:pPr>
              <w:spacing w:after="0"/>
              <w:rPr>
                <w:sz w:val="14"/>
                <w:szCs w:val="14"/>
                <w:color w:val="auto"/>
              </w:rPr>
            </w:pPr>
          </w:p>
        </w:tc>
        <w:tc>
          <w:tcPr>
            <w:tcW w:w="186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 outstanding</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2,104,032</w:t>
            </w:r>
          </w:p>
        </w:tc>
        <w:tc>
          <w:tcPr>
            <w:tcW w:w="24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2,931,092</w:t>
            </w:r>
          </w:p>
        </w:tc>
        <w:tc>
          <w:tcPr>
            <w:tcW w:w="100" w:type="dxa"/>
            <w:vAlign w:val="bottom"/>
            <w:shd w:val="clear" w:color="auto" w:fill="CFF0FC"/>
          </w:tcPr>
          <w:p>
            <w:pPr>
              <w:spacing w:after="0"/>
              <w:rPr>
                <w:sz w:val="20"/>
                <w:szCs w:val="20"/>
                <w:color w:val="auto"/>
              </w:rPr>
            </w:pPr>
          </w:p>
        </w:tc>
      </w:tr>
      <w:tr>
        <w:trPr>
          <w:trHeight w:val="238"/>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2,494,772</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1,679,729</w:t>
            </w:r>
          </w:p>
        </w:tc>
        <w:tc>
          <w:tcPr>
            <w:tcW w:w="100" w:type="dxa"/>
            <w:vAlign w:val="bottom"/>
          </w:tcPr>
          <w:p>
            <w:pPr>
              <w:spacing w:after="0"/>
              <w:rPr>
                <w:sz w:val="20"/>
                <w:szCs w:val="20"/>
                <w:color w:val="auto"/>
              </w:rPr>
            </w:pPr>
          </w:p>
        </w:tc>
      </w:tr>
      <w:tr>
        <w:trPr>
          <w:trHeight w:val="247"/>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performance restricted stock units</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272,515</w:t>
            </w:r>
          </w:p>
        </w:tc>
        <w:tc>
          <w:tcPr>
            <w:tcW w:w="2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Warrants outstanding</w:t>
            </w:r>
          </w:p>
        </w:tc>
        <w:tc>
          <w:tcPr>
            <w:tcW w:w="266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87,784</w:t>
            </w:r>
          </w:p>
        </w:tc>
        <w:tc>
          <w:tcPr>
            <w:tcW w:w="100" w:type="dxa"/>
            <w:vAlign w:val="bottom"/>
          </w:tcPr>
          <w:p>
            <w:pPr>
              <w:spacing w:after="0"/>
              <w:rPr>
                <w:sz w:val="20"/>
                <w:szCs w:val="20"/>
                <w:color w:val="auto"/>
              </w:rPr>
            </w:pPr>
          </w:p>
        </w:tc>
      </w:tr>
      <w:tr>
        <w:trPr>
          <w:trHeight w:val="247"/>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reserved for charitable contribution</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181,195</w:t>
            </w:r>
          </w:p>
        </w:tc>
        <w:tc>
          <w:tcPr>
            <w:tcW w:w="2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261,727</w:t>
            </w:r>
          </w:p>
        </w:tc>
        <w:tc>
          <w:tcPr>
            <w:tcW w:w="100" w:type="dxa"/>
            <w:vAlign w:val="bottom"/>
            <w:shd w:val="clear" w:color="auto" w:fill="CFF0FC"/>
          </w:tcPr>
          <w:p>
            <w:pPr>
              <w:spacing w:after="0"/>
              <w:rPr>
                <w:sz w:val="21"/>
                <w:szCs w:val="21"/>
                <w:color w:val="auto"/>
              </w:rPr>
            </w:pPr>
          </w:p>
        </w:tc>
      </w:tr>
      <w:tr>
        <w:trPr>
          <w:trHeight w:val="238"/>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5,123,624</w:t>
            </w:r>
          </w:p>
        </w:tc>
        <w:tc>
          <w:tcPr>
            <w:tcW w:w="24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5,123,624</w:t>
            </w:r>
          </w:p>
        </w:tc>
        <w:tc>
          <w:tcPr>
            <w:tcW w:w="100" w:type="dxa"/>
            <w:vAlign w:val="bottom"/>
          </w:tcPr>
          <w:p>
            <w:pPr>
              <w:spacing w:after="0"/>
              <w:rPr>
                <w:sz w:val="20"/>
                <w:szCs w:val="20"/>
                <w:color w:val="auto"/>
              </w:rPr>
            </w:pPr>
          </w:p>
        </w:tc>
      </w:tr>
      <w:tr>
        <w:trPr>
          <w:trHeight w:val="276"/>
        </w:trPr>
        <w:tc>
          <w:tcPr>
            <w:tcW w:w="7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shares</w:t>
            </w:r>
          </w:p>
        </w:tc>
        <w:tc>
          <w:tcPr>
            <w:tcW w:w="1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10,176,138</w:t>
            </w:r>
          </w:p>
        </w:tc>
        <w:tc>
          <w:tcPr>
            <w:tcW w:w="24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auto"/>
            </w:tcBorders>
            <w:shd w:val="clear" w:color="auto" w:fill="CFF0FC"/>
          </w:tcPr>
          <w:p>
            <w:pPr>
              <w:spacing w:after="0"/>
              <w:rPr>
                <w:sz w:val="24"/>
                <w:szCs w:val="24"/>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10,083,956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5741670</wp:posOffset>
            </wp:positionH>
            <wp:positionV relativeFrom="paragraph">
              <wp:posOffset>-24765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-7620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Debt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2027 Convertible Notes</w:t>
      </w:r>
    </w:p>
    <w:p>
      <w:pPr>
        <w:spacing w:after="0" w:line="119" w:lineRule="exact"/>
        <w:rPr>
          <w:sz w:val="20"/>
          <w:szCs w:val="20"/>
          <w:color w:val="auto"/>
        </w:rPr>
      </w:pPr>
    </w:p>
    <w:p>
      <w:pPr>
        <w:ind w:right="20" w:firstLine="644"/>
        <w:spacing w:after="0" w:line="256" w:lineRule="auto"/>
        <w:rPr>
          <w:sz w:val="20"/>
          <w:szCs w:val="20"/>
          <w:color w:val="auto"/>
        </w:rPr>
      </w:pPr>
      <w:r>
        <w:rPr>
          <w:rFonts w:ascii="Times New Roman" w:cs="Times New Roman" w:eastAsia="Times New Roman" w:hAnsi="Times New Roman"/>
          <w:sz w:val="18"/>
          <w:szCs w:val="18"/>
          <w:color w:val="auto"/>
        </w:rPr>
        <w:t>In February 2022, we entered into a purchase agreement with certain counterparties for the sale of an aggregate of $287.5 million principal amount of convertible senior notes due in 2027 (the “2027 Notes”) in a private offering to qualified institutional buyers pursuant to Rule 144A under the Securities Act of 1933, as amended (the “Securities Act”). The 2027 Notes consisted of a $250 million initial placement and an over-allotment option that provided the initial purchasers of the 2027 Notes with the option to purchase an additional $37.5 million aggregate principal amount of the 2027 Notes, which was fully exercised. The 2027 Notes were issued pursuant to an indenture dated February 4, 2022. The net proceeds from the issuance of the 2027 Notes were $278.2 million, net of debt issuance costs. The debt issuance costs are amortized to interest expense using the effective interest rate method.</w:t>
      </w:r>
    </w:p>
    <w:p>
      <w:pPr>
        <w:spacing w:after="0" w:line="78" w:lineRule="exact"/>
        <w:rPr>
          <w:sz w:val="20"/>
          <w:szCs w:val="20"/>
          <w:color w:val="auto"/>
        </w:rPr>
      </w:pPr>
    </w:p>
    <w:p>
      <w:pPr>
        <w:ind w:right="160" w:firstLine="644"/>
        <w:spacing w:after="0" w:line="265" w:lineRule="auto"/>
        <w:rPr>
          <w:sz w:val="20"/>
          <w:szCs w:val="20"/>
          <w:color w:val="auto"/>
        </w:rPr>
      </w:pPr>
      <w:r>
        <w:rPr>
          <w:rFonts w:ascii="Times New Roman" w:cs="Times New Roman" w:eastAsia="Times New Roman" w:hAnsi="Times New Roman"/>
          <w:sz w:val="18"/>
          <w:szCs w:val="18"/>
          <w:color w:val="auto"/>
        </w:rPr>
        <w:t>The 2027 Notes are unsecured obligations which bear regular interest at 1% per annum and for which the principal balance will not accrete. Interest payments are due on February 1 and August 1 of each year the Notes remain outstanding. The 2027 Notes will mature on February 1, 2027 unless repurchased, redeemed, or converted in accordance with their terms prior to such date.</w:t>
      </w:r>
    </w:p>
    <w:p>
      <w:pPr>
        <w:spacing w:after="0" w:line="69" w:lineRule="exact"/>
        <w:rPr>
          <w:sz w:val="20"/>
          <w:szCs w:val="20"/>
          <w:color w:val="auto"/>
        </w:rPr>
      </w:pPr>
    </w:p>
    <w:p>
      <w:pPr>
        <w:ind w:right="20" w:firstLine="644"/>
        <w:spacing w:after="0" w:line="260" w:lineRule="auto"/>
        <w:rPr>
          <w:sz w:val="20"/>
          <w:szCs w:val="20"/>
          <w:color w:val="auto"/>
        </w:rPr>
      </w:pPr>
      <w:r>
        <w:rPr>
          <w:rFonts w:ascii="Times New Roman" w:cs="Times New Roman" w:eastAsia="Times New Roman" w:hAnsi="Times New Roman"/>
          <w:sz w:val="18"/>
          <w:szCs w:val="18"/>
          <w:color w:val="auto"/>
        </w:rPr>
        <w:t>The 2027 Notes are convertible into cash, shares of our Class A common stock, or a combination of cash and shares of our Class A common stock, at our election, at an initial conversion rate of 17.8213 shares of Class A common stock per $1,000 principal amount of 2027 Notes, which is equivalent to an initial conversion price of approximately $56.11 per share of our Class A common stock. The conversion rate is subject to customary adjustments for certain events as described in the indenture governing the 2027 Notes.</w:t>
      </w:r>
    </w:p>
    <w:p>
      <w:pPr>
        <w:spacing w:after="0" w:line="74" w:lineRule="exact"/>
        <w:rPr>
          <w:sz w:val="20"/>
          <w:szCs w:val="20"/>
          <w:color w:val="auto"/>
        </w:rPr>
      </w:pPr>
    </w:p>
    <w:p>
      <w:pPr>
        <w:ind w:right="60" w:firstLine="644"/>
        <w:spacing w:after="0" w:line="265" w:lineRule="auto"/>
        <w:rPr>
          <w:sz w:val="20"/>
          <w:szCs w:val="20"/>
          <w:color w:val="auto"/>
        </w:rPr>
      </w:pPr>
      <w:r>
        <w:rPr>
          <w:rFonts w:ascii="Times New Roman" w:cs="Times New Roman" w:eastAsia="Times New Roman" w:hAnsi="Times New Roman"/>
          <w:sz w:val="18"/>
          <w:szCs w:val="18"/>
          <w:color w:val="auto"/>
        </w:rPr>
        <w:t>We may redeem for cash all or any portion of the 2027 Notes, at our option, on or after February 5, 2025 if the last reported sale price of our Class A common stock has been at least 130% of the conversion price then in effect for at least 20 trading days at a redemption price equal to 100% of the principal amount of the 2027 Notes to be redeemed, plus accrued and unpaid interest or additional interest, if any.</w:t>
      </w:r>
    </w:p>
    <w:p>
      <w:pPr>
        <w:spacing w:after="0" w:line="69" w:lineRule="exact"/>
        <w:rPr>
          <w:sz w:val="20"/>
          <w:szCs w:val="20"/>
          <w:color w:val="auto"/>
        </w:rPr>
      </w:pPr>
    </w:p>
    <w:p>
      <w:pPr>
        <w:ind w:right="520" w:firstLine="644"/>
        <w:spacing w:after="0" w:line="281" w:lineRule="auto"/>
        <w:rPr>
          <w:sz w:val="20"/>
          <w:szCs w:val="20"/>
          <w:color w:val="auto"/>
        </w:rPr>
      </w:pPr>
      <w:r>
        <w:rPr>
          <w:rFonts w:ascii="Times New Roman" w:cs="Times New Roman" w:eastAsia="Times New Roman" w:hAnsi="Times New Roman"/>
          <w:sz w:val="18"/>
          <w:szCs w:val="18"/>
          <w:color w:val="auto"/>
        </w:rPr>
        <w:t>Holders of the 2027 Notes may convert all or a portion of their 2027 Notes at their option prior to November 1, 2026, in multiples of $1,000 principal amounts, only under the following circumstances:</w:t>
      </w:r>
    </w:p>
    <w:p>
      <w:pPr>
        <w:spacing w:after="0" w:line="55" w:lineRule="exact"/>
        <w:rPr>
          <w:sz w:val="20"/>
          <w:szCs w:val="20"/>
          <w:color w:val="auto"/>
        </w:rPr>
      </w:pPr>
    </w:p>
    <w:p>
      <w:pPr>
        <w:jc w:val="both"/>
        <w:ind w:left="1020" w:hanging="504"/>
        <w:spacing w:after="0" w:line="265"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last reported sale price of our Class A common stock for at least 20 trading days (whether or not consecutive) during the period of 30 consecutive trading days ending on the last trading day of the preceding calendar quarter is greater than or equal to 130% of the applicable conversion price of the 2027 Notes on each such trading day;</w:t>
      </w:r>
    </w:p>
    <w:p>
      <w:pPr>
        <w:spacing w:after="0" w:line="69"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ten consecutive trading day period in which the trading price per $1,000 principal amount of the 2027 Notes for each day of that ten consecutive trading day period was less than 98% of the product of the last reported sale price of our Class A common stock and the applicable conversion rate of the 2027 Notes;</w:t>
      </w:r>
    </w:p>
    <w:p>
      <w:pPr>
        <w:spacing w:after="0" w:line="69"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notice of redemption, at any time prior to the close of business on the scheduled trading day immediately preceding the redemption date, in which case we may be required to increase the conversion rate for the 2027 Notes so surrendered for conversion in connection with such redemption notice; or</w:t>
      </w:r>
    </w:p>
    <w:p>
      <w:pPr>
        <w:spacing w:after="0" w:line="69"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occurrence of specified corporate events.</w:t>
      </w:r>
    </w:p>
    <w:p>
      <w:pPr>
        <w:spacing w:after="0" w:line="332" w:lineRule="exact"/>
        <w:rPr>
          <w:sz w:val="20"/>
          <w:szCs w:val="20"/>
          <w:color w:val="auto"/>
        </w:rPr>
      </w:pPr>
    </w:p>
    <w:p>
      <w:pPr>
        <w:ind w:right="720" w:firstLine="644"/>
        <w:spacing w:after="0" w:line="281" w:lineRule="auto"/>
        <w:rPr>
          <w:sz w:val="20"/>
          <w:szCs w:val="20"/>
          <w:color w:val="auto"/>
        </w:rPr>
      </w:pPr>
      <w:r>
        <w:rPr>
          <w:rFonts w:ascii="Times New Roman" w:cs="Times New Roman" w:eastAsia="Times New Roman" w:hAnsi="Times New Roman"/>
          <w:sz w:val="18"/>
          <w:szCs w:val="18"/>
          <w:color w:val="auto"/>
        </w:rPr>
        <w:t>On or after November 1, 2026, the 2027 Notes are convertible at any time until the close of business on the second scheduled trading day immediately preceding the maturity date.</w:t>
      </w:r>
    </w:p>
    <w:p>
      <w:pPr>
        <w:spacing w:after="0" w:line="55" w:lineRule="exact"/>
        <w:rPr>
          <w:sz w:val="20"/>
          <w:szCs w:val="20"/>
          <w:color w:val="auto"/>
        </w:rPr>
      </w:pPr>
    </w:p>
    <w:p>
      <w:pPr>
        <w:ind w:right="100" w:firstLine="644"/>
        <w:spacing w:after="0" w:line="260" w:lineRule="auto"/>
        <w:rPr>
          <w:sz w:val="20"/>
          <w:szCs w:val="20"/>
          <w:color w:val="auto"/>
        </w:rPr>
      </w:pPr>
      <w:r>
        <w:rPr>
          <w:rFonts w:ascii="Times New Roman" w:cs="Times New Roman" w:eastAsia="Times New Roman" w:hAnsi="Times New Roman"/>
          <w:sz w:val="18"/>
          <w:szCs w:val="18"/>
          <w:color w:val="auto"/>
        </w:rPr>
        <w:t>Holders of the 2027 Notes who convert the 2027 Notes in connection with a make-whole fundamental change, as defined in the indenture governing the 2027 Notes, or in connection with a redemption are entitled to an increase in the conversion rate. Additionally, in the event of a fundamental change, holders of the 2027 Notes may require us to repurchase all or a portion of the 2027 Notes at a price equal to 100% of the principal amount of 2027 Notes, plus any accrued and unpaid special interest, if any.</w:t>
      </w:r>
    </w:p>
    <w:p>
      <w:pPr>
        <w:spacing w:after="0" w:line="74" w:lineRule="exact"/>
        <w:rPr>
          <w:sz w:val="20"/>
          <w:szCs w:val="20"/>
          <w:color w:val="auto"/>
        </w:rPr>
      </w:pPr>
    </w:p>
    <w:p>
      <w:pPr>
        <w:ind w:right="640" w:firstLine="644"/>
        <w:spacing w:after="0" w:line="281" w:lineRule="auto"/>
        <w:rPr>
          <w:sz w:val="20"/>
          <w:szCs w:val="20"/>
          <w:color w:val="auto"/>
        </w:rPr>
      </w:pPr>
      <w:r>
        <w:rPr>
          <w:rFonts w:ascii="Times New Roman" w:cs="Times New Roman" w:eastAsia="Times New Roman" w:hAnsi="Times New Roman"/>
          <w:sz w:val="18"/>
          <w:szCs w:val="18"/>
          <w:color w:val="auto"/>
        </w:rPr>
        <w:t>We accounted for the issuance of the 2027 Notes as a single liability measured at its amortized cost, as no other embedded features require bifurcation and recognition as derivatives.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outstanding principal amount and carrying value of the 2027 Notes as of the dates indicated (in thousands):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6"/>
                <w:szCs w:val="16"/>
                <w:color w:val="auto"/>
              </w:rPr>
            </w:pPr>
          </w:p>
        </w:tc>
        <w:tc>
          <w:tcPr>
            <w:tcW w:w="16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9"/>
        </w:trPr>
        <w:tc>
          <w:tcPr>
            <w:tcW w:w="79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540" w:type="dxa"/>
            <w:vAlign w:val="bottom"/>
            <w:tcBorders>
              <w:top w:val="single" w:sz="8" w:color="auto"/>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Principal</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287,500</w:t>
            </w:r>
          </w:p>
        </w:tc>
        <w:tc>
          <w:tcPr>
            <w:tcW w:w="12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287,500</w:t>
            </w:r>
          </w:p>
        </w:tc>
        <w:tc>
          <w:tcPr>
            <w:tcW w:w="100" w:type="dxa"/>
            <w:vAlign w:val="bottom"/>
            <w:shd w:val="clear" w:color="auto" w:fill="CFF0FC"/>
          </w:tcPr>
          <w:p>
            <w:pPr>
              <w:spacing w:after="0"/>
              <w:rPr>
                <w:sz w:val="20"/>
                <w:szCs w:val="20"/>
                <w:color w:val="auto"/>
              </w:rPr>
            </w:pPr>
          </w:p>
        </w:tc>
      </w:tr>
      <w:tr>
        <w:trPr>
          <w:trHeight w:val="238"/>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discount</w:t>
            </w:r>
          </w:p>
        </w:tc>
        <w:tc>
          <w:tcPr>
            <w:tcW w:w="20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(4,025 )</w:t>
            </w:r>
          </w:p>
        </w:tc>
        <w:tc>
          <w:tcPr>
            <w:tcW w:w="1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(5,319 )</w:t>
            </w:r>
          </w:p>
        </w:tc>
      </w:tr>
      <w:tr>
        <w:trPr>
          <w:trHeight w:val="243"/>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(312 )</w:t>
            </w:r>
          </w:p>
        </w:tc>
        <w:tc>
          <w:tcPr>
            <w:tcW w:w="17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(412 )</w:t>
            </w:r>
          </w:p>
        </w:tc>
      </w:tr>
      <w:tr>
        <w:trPr>
          <w:trHeight w:val="236"/>
        </w:trPr>
        <w:tc>
          <w:tcPr>
            <w:tcW w:w="79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carrying value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283,163</w:t>
            </w:r>
          </w:p>
        </w:tc>
        <w:tc>
          <w:tcPr>
            <w:tcW w:w="12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281,769</w:t>
            </w:r>
          </w:p>
        </w:tc>
        <w:tc>
          <w:tcPr>
            <w:tcW w:w="100" w:type="dxa"/>
            <w:vAlign w:val="bottom"/>
            <w:tcBorders>
              <w:top w:val="single" w:sz="8" w:color="CFF0FC"/>
            </w:tcBorders>
          </w:tcPr>
          <w:p>
            <w:pPr>
              <w:spacing w:after="0"/>
              <w:rPr>
                <w:sz w:val="20"/>
                <w:szCs w:val="20"/>
                <w:color w:val="auto"/>
              </w:rPr>
            </w:pPr>
          </w:p>
        </w:tc>
      </w:tr>
      <w:tr>
        <w:trPr>
          <w:trHeight w:val="20"/>
        </w:trPr>
        <w:tc>
          <w:tcPr>
            <w:tcW w:w="7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5947410</wp:posOffset>
            </wp:positionH>
            <wp:positionV relativeFrom="paragraph">
              <wp:posOffset>-187960</wp:posOffset>
            </wp:positionV>
            <wp:extent cx="768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45" w:lineRule="exact"/>
        <w:rPr>
          <w:sz w:val="20"/>
          <w:szCs w:val="20"/>
          <w:color w:val="auto"/>
        </w:rPr>
      </w:pPr>
    </w:p>
    <w:p>
      <w:pPr>
        <w:ind w:right="80" w:firstLine="644"/>
        <w:spacing w:after="0" w:line="281" w:lineRule="auto"/>
        <w:rPr>
          <w:sz w:val="20"/>
          <w:szCs w:val="20"/>
          <w:color w:val="auto"/>
        </w:rPr>
      </w:pPr>
      <w:r>
        <w:rPr>
          <w:rFonts w:ascii="Times New Roman" w:cs="Times New Roman" w:eastAsia="Times New Roman" w:hAnsi="Times New Roman"/>
          <w:sz w:val="18"/>
          <w:szCs w:val="18"/>
          <w:color w:val="auto"/>
        </w:rPr>
        <w:t>The annual effective interest rate for the 2027 Notes was approximately 1.6%. Interest expense related to the 2027 Notes for the periods presented below was as follows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69"/>
        </w:trPr>
        <w:tc>
          <w:tcPr>
            <w:tcW w:w="49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r>
      <w:tr>
        <w:trPr>
          <w:trHeight w:val="236"/>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Coupon interest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42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3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100" w:type="dxa"/>
            <w:vAlign w:val="bottom"/>
            <w:shd w:val="clear" w:color="auto" w:fill="CFF0FC"/>
          </w:tcPr>
          <w:p>
            <w:pPr>
              <w:spacing w:after="0"/>
              <w:rPr>
                <w:sz w:val="20"/>
                <w:szCs w:val="20"/>
                <w:color w:val="auto"/>
              </w:rPr>
            </w:pPr>
          </w:p>
        </w:tc>
      </w:tr>
      <w:tr>
        <w:trPr>
          <w:trHeight w:val="238"/>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tcPr>
          <w:p>
            <w:pPr>
              <w:spacing w:after="0"/>
              <w:rPr>
                <w:sz w:val="20"/>
                <w:szCs w:val="20"/>
                <w:color w:val="auto"/>
              </w:rPr>
            </w:pPr>
          </w:p>
        </w:tc>
      </w:tr>
      <w:tr>
        <w:trPr>
          <w:trHeight w:val="243"/>
        </w:trPr>
        <w:tc>
          <w:tcPr>
            <w:tcW w:w="4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transaction costs</w:t>
            </w:r>
          </w:p>
        </w:tc>
        <w:tc>
          <w:tcPr>
            <w:tcW w:w="10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4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100" w:type="dxa"/>
            <w:vAlign w:val="bottom"/>
          </w:tcPr>
          <w:p>
            <w:pPr>
              <w:spacing w:after="0"/>
              <w:rPr>
                <w:sz w:val="20"/>
                <w:szCs w:val="20"/>
                <w:color w:val="auto"/>
              </w:rPr>
            </w:pPr>
          </w:p>
        </w:tc>
      </w:tr>
      <w:tr>
        <w:trPr>
          <w:trHeight w:val="20"/>
        </w:trPr>
        <w:tc>
          <w:tcPr>
            <w:tcW w:w="4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4131945</wp:posOffset>
            </wp:positionH>
            <wp:positionV relativeFrom="paragraph">
              <wp:posOffset>-187960</wp:posOffset>
            </wp:positionV>
            <wp:extent cx="768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-187960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-187960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table presents the carrying value and estimated fair value of the 2027 Notes as of the date indicated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4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0" w:type="dxa"/>
            <w:vAlign w:val="bottom"/>
            <w:gridSpan w:val="5"/>
          </w:tcPr>
          <w:p>
            <w:pPr>
              <w:ind w:left="102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40"/>
        </w:trPr>
        <w:tc>
          <w:tcPr>
            <w:tcW w:w="3860" w:type="dxa"/>
            <w:vAlign w:val="bottom"/>
          </w:tcPr>
          <w:p>
            <w:pPr>
              <w:spacing w:after="0"/>
              <w:rPr>
                <w:sz w:val="20"/>
                <w:szCs w:val="20"/>
                <w:color w:val="auto"/>
              </w:rPr>
            </w:pPr>
          </w:p>
        </w:tc>
        <w:tc>
          <w:tcPr>
            <w:tcW w:w="140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3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54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34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r>
      <w:tr>
        <w:trPr>
          <w:trHeight w:val="238"/>
        </w:trPr>
        <w:tc>
          <w:tcPr>
            <w:tcW w:w="3860" w:type="dxa"/>
            <w:vAlign w:val="bottom"/>
            <w:shd w:val="clear" w:color="auto" w:fill="CFF0FC"/>
          </w:tcPr>
          <w:p>
            <w:pPr>
              <w:ind w:left="20"/>
              <w:spacing w:after="0" w:line="239" w:lineRule="exact"/>
              <w:rPr>
                <w:sz w:val="20"/>
                <w:szCs w:val="20"/>
                <w:color w:val="auto"/>
              </w:rPr>
            </w:pPr>
            <w:r>
              <w:rPr>
                <w:rFonts w:ascii="Times New Roman" w:cs="Times New Roman" w:eastAsia="Times New Roman" w:hAnsi="Times New Roman"/>
                <w:sz w:val="18"/>
                <w:szCs w:val="18"/>
                <w:color w:val="auto"/>
              </w:rPr>
              <w:t>2027 Notes</w:t>
            </w:r>
            <w:r>
              <w:rPr>
                <w:rFonts w:ascii="Times New Roman" w:cs="Times New Roman" w:eastAsia="Times New Roman" w:hAnsi="Times New Roman"/>
                <w:sz w:val="24"/>
                <w:szCs w:val="24"/>
                <w:color w:val="auto"/>
                <w:vertAlign w:val="superscript"/>
              </w:rPr>
              <w:t>(1)</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w w:val="99"/>
              </w:rPr>
              <w:t>283,163</w:t>
            </w: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238,079</w:t>
            </w: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281,769</w:t>
            </w:r>
          </w:p>
        </w:tc>
        <w:tc>
          <w:tcPr>
            <w:tcW w:w="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268,554</w:t>
            </w:r>
          </w:p>
        </w:tc>
        <w:tc>
          <w:tcPr>
            <w:tcW w:w="100" w:type="dxa"/>
            <w:vAlign w:val="bottom"/>
            <w:shd w:val="clear" w:color="auto" w:fill="CFF0FC"/>
          </w:tcPr>
          <w:p>
            <w:pPr>
              <w:spacing w:after="0"/>
              <w:rPr>
                <w:sz w:val="20"/>
                <w:szCs w:val="20"/>
                <w:color w:val="auto"/>
              </w:rPr>
            </w:pPr>
          </w:p>
        </w:tc>
      </w:tr>
    </w:tbl>
    <w:p>
      <w:pPr>
        <w:ind w:right="460" w:firstLine="53"/>
        <w:spacing w:after="0" w:line="260" w:lineRule="auto"/>
        <w:tabs>
          <w:tab w:leader="none" w:pos="29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2024 and December 31, 2023, the fair value of the 2027 Notes was measured using Level 2 inputs based on the frequency of trading on our debt at the end of the year.</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119" w:lineRule="exact"/>
        <w:rPr>
          <w:sz w:val="20"/>
          <w:szCs w:val="20"/>
          <w:color w:val="auto"/>
        </w:rPr>
      </w:pPr>
    </w:p>
    <w:p>
      <w:pPr>
        <w:jc w:val="both"/>
        <w:ind w:right="420" w:firstLine="644"/>
        <w:spacing w:after="0" w:line="260" w:lineRule="auto"/>
        <w:rPr>
          <w:sz w:val="20"/>
          <w:szCs w:val="20"/>
          <w:color w:val="auto"/>
        </w:rPr>
      </w:pPr>
      <w:r>
        <w:rPr>
          <w:rFonts w:ascii="Times New Roman" w:cs="Times New Roman" w:eastAsia="Times New Roman" w:hAnsi="Times New Roman"/>
          <w:sz w:val="18"/>
          <w:szCs w:val="18"/>
          <w:color w:val="auto"/>
        </w:rPr>
        <w:t>The Company from time to time may be subject to various claims and legal proceedings covering a range of matters that arise in the ordinary course of its business activities. In the opinion of the Company, although the outcome of any legal proceedings cannot be predicted with certainty, the ultimate liability of the Company in connection with its legal proceedings is not expected to have a material adverse effect on the Company’s financial position or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w:t>
      </w:r>
    </w:p>
    <w:p>
      <w:pPr>
        <w:spacing w:after="0" w:line="119" w:lineRule="exact"/>
        <w:rPr>
          <w:sz w:val="20"/>
          <w:szCs w:val="20"/>
          <w:color w:val="auto"/>
        </w:rPr>
      </w:pPr>
    </w:p>
    <w:p>
      <w:pPr>
        <w:ind w:right="440" w:firstLine="749"/>
        <w:spacing w:after="0" w:line="281" w:lineRule="auto"/>
        <w:rPr>
          <w:sz w:val="20"/>
          <w:szCs w:val="20"/>
          <w:color w:val="auto"/>
        </w:rPr>
      </w:pPr>
      <w:r>
        <w:rPr>
          <w:rFonts w:ascii="Times New Roman" w:cs="Times New Roman" w:eastAsia="Times New Roman" w:hAnsi="Times New Roman"/>
          <w:sz w:val="18"/>
          <w:szCs w:val="18"/>
          <w:color w:val="auto"/>
        </w:rPr>
        <w:t>In May 2023, the Company reduced its workforce to help manage its operating expenses. During the three months ended June 30, 2023, the Company incurred $0.7 million for employee termination costs related to the May 2023 restructuring.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Exit from the Tools and Materials Business</w:t>
      </w:r>
    </w:p>
    <w:p>
      <w:pPr>
        <w:spacing w:after="0" w:line="119" w:lineRule="exact"/>
        <w:rPr>
          <w:sz w:val="20"/>
          <w:szCs w:val="20"/>
          <w:color w:val="auto"/>
        </w:rPr>
      </w:pPr>
    </w:p>
    <w:p>
      <w:pPr>
        <w:ind w:right="20" w:firstLine="749"/>
        <w:spacing w:after="0" w:line="260" w:lineRule="auto"/>
        <w:rPr>
          <w:sz w:val="20"/>
          <w:szCs w:val="20"/>
          <w:color w:val="auto"/>
        </w:rPr>
      </w:pPr>
      <w:r>
        <w:rPr>
          <w:rFonts w:ascii="Times New Roman" w:cs="Times New Roman" w:eastAsia="Times New Roman" w:hAnsi="Times New Roman"/>
          <w:sz w:val="18"/>
          <w:szCs w:val="18"/>
          <w:color w:val="auto"/>
        </w:rPr>
        <w:t>The Company previously provided suppliers with access to competitively priced tools, materials and supplies in the U.S. As a result of the exit from the tools and materials business during the second quarter of 2023, the Company recognized $0.6 million of costs associated with its closure, of which $0.2 million is recognized in cost of revenue and $0.4 million is recognized in operations and support on the Condensed Consolidated Statements of Operations and Comprehensive Loss.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Contribution Plans</w:t>
      </w:r>
    </w:p>
    <w:p>
      <w:pPr>
        <w:spacing w:after="0" w:line="119" w:lineRule="exact"/>
        <w:rPr>
          <w:sz w:val="20"/>
          <w:szCs w:val="20"/>
          <w:color w:val="auto"/>
        </w:rPr>
      </w:pPr>
    </w:p>
    <w:p>
      <w:pPr>
        <w:ind w:right="400" w:firstLine="644"/>
        <w:spacing w:after="0" w:line="260" w:lineRule="auto"/>
        <w:rPr>
          <w:sz w:val="20"/>
          <w:szCs w:val="20"/>
          <w:color w:val="auto"/>
        </w:rPr>
      </w:pPr>
      <w:r>
        <w:rPr>
          <w:rFonts w:ascii="Times New Roman" w:cs="Times New Roman" w:eastAsia="Times New Roman" w:hAnsi="Times New Roman"/>
          <w:sz w:val="18"/>
          <w:szCs w:val="18"/>
          <w:color w:val="auto"/>
        </w:rPr>
        <w:t>The Company sponsors a defined contribution plan for qualifying employees, including a 401(k) Plan in the United States to which it makes matching contributions of 50% of participating employee contributions up to 6% of eligible income. The Company's total matching contribution to the 401(k) Plan was $0.6 million and $0.5 million for the three months ended September 30, 2024 and 2023, respectively, and was $1.8 million and $1.6 million for the nine months ended September 30, 2024 and 2023, respectively.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Segments</w:t>
      </w:r>
    </w:p>
    <w:p>
      <w:pPr>
        <w:spacing w:after="0" w:line="121" w:lineRule="exact"/>
        <w:rPr>
          <w:sz w:val="20"/>
          <w:szCs w:val="20"/>
          <w:color w:val="auto"/>
        </w:rPr>
      </w:pPr>
    </w:p>
    <w:p>
      <w:pPr>
        <w:ind w:right="20" w:firstLine="644"/>
        <w:spacing w:after="0" w:line="255" w:lineRule="auto"/>
        <w:rPr>
          <w:sz w:val="20"/>
          <w:szCs w:val="20"/>
          <w:color w:val="auto"/>
        </w:rPr>
      </w:pPr>
      <w:r>
        <w:rPr>
          <w:rFonts w:ascii="Times New Roman" w:cs="Times New Roman" w:eastAsia="Times New Roman" w:hAnsi="Times New Roman"/>
          <w:sz w:val="18"/>
          <w:szCs w:val="18"/>
          <w:color w:val="auto"/>
        </w:rPr>
        <w:t>Xometry is organized in two segments referred to as: (1) the U.S. and (2) International. Xometry’s operating segments are also the Company’s reportable segments. Xometry’s reportable segments, whose products and offerings are generally the same, are managed separately based on geography. Xometry’s two segments are defined based on the reporting and review process used by the chief operating decision maker (“CODM”), the Chief Executive Officer. The Company evaluates the performance of the operating segments primarily based on revenue and segment “profits/loss” which is largely the results of the segment before income taxes. The Company has not allocated certain general and administrative expenses to the International segment. The Company’s CODM monitors assets of the consolidated Company, but does not use assets by operating segment when assessing performance or making operating segment resource decisions.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following tables reflect certain segment information for the three and nine months ended September 30, 2024 and 2023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6"/>
                <w:szCs w:val="16"/>
                <w:color w:val="auto"/>
              </w:rPr>
            </w:pPr>
          </w:p>
        </w:tc>
        <w:tc>
          <w:tcPr>
            <w:tcW w:w="244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50"/>
        </w:trPr>
        <w:tc>
          <w:tcPr>
            <w:tcW w:w="5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Revenue</w:t>
            </w:r>
          </w:p>
        </w:tc>
        <w:tc>
          <w:tcPr>
            <w:tcW w:w="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60" w:type="dxa"/>
            <w:vAlign w:val="bottom"/>
            <w:tcBorders>
              <w:right w:val="single" w:sz="8" w:color="CFF0FC"/>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60" w:type="dxa"/>
            <w:vAlign w:val="bottom"/>
            <w:tcBorders>
              <w:right w:val="single" w:sz="8" w:color="CFF0FC"/>
            </w:tcBorders>
            <w:shd w:val="clear" w:color="auto" w:fill="CFF0FC"/>
          </w:tcPr>
          <w:p>
            <w:pPr>
              <w:spacing w:after="0"/>
              <w:rPr>
                <w:sz w:val="20"/>
                <w:szCs w:val="20"/>
                <w:color w:val="auto"/>
              </w:rPr>
            </w:pPr>
          </w:p>
        </w:tc>
        <w:tc>
          <w:tcPr>
            <w:tcW w:w="160" w:type="dxa"/>
            <w:vAlign w:val="bottom"/>
            <w:tcBorders>
              <w:right w:val="single" w:sz="8" w:color="CFF0FC"/>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20" w:type="dxa"/>
            <w:vAlign w:val="bottom"/>
            <w:tcBorders>
              <w:left w:val="single" w:sz="8" w:color="CFF0FC"/>
            </w:tcBorders>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117,584</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103,379</w:t>
            </w:r>
          </w:p>
        </w:tc>
        <w:tc>
          <w:tcPr>
            <w:tcW w:w="160" w:type="dxa"/>
            <w:vAlign w:val="bottom"/>
          </w:tcPr>
          <w:p>
            <w:pPr>
              <w:spacing w:after="0"/>
              <w:rPr>
                <w:sz w:val="20"/>
                <w:szCs w:val="20"/>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333,113</w:t>
            </w:r>
          </w:p>
        </w:tc>
        <w:tc>
          <w:tcPr>
            <w:tcW w:w="1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24,114</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15,548</w:t>
            </w:r>
          </w:p>
        </w:tc>
        <w:tc>
          <w:tcPr>
            <w:tcW w:w="160" w:type="dxa"/>
            <w:vAlign w:val="bottom"/>
            <w:tcBorders>
              <w:bottom w:val="single" w:sz="8" w:color="CFF0FC"/>
              <w:right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63,870</w:t>
            </w: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left w:val="single" w:sz="8" w:color="CFF0FC"/>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42,546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141,698</w:t>
            </w:r>
          </w:p>
        </w:tc>
        <w:tc>
          <w:tcPr>
            <w:tcW w:w="2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118,927</w:t>
            </w:r>
          </w:p>
        </w:tc>
        <w:tc>
          <w:tcPr>
            <w:tcW w:w="160" w:type="dxa"/>
            <w:vAlign w:val="bottom"/>
          </w:tcPr>
          <w:p>
            <w:pPr>
              <w:spacing w:after="0"/>
              <w:rPr>
                <w:sz w:val="20"/>
                <w:szCs w:val="20"/>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396,983</w:t>
            </w:r>
          </w:p>
        </w:tc>
        <w:tc>
          <w:tcPr>
            <w:tcW w:w="160" w:type="dxa"/>
            <w:vAlign w:val="bottom"/>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335,261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1"/>
        </w:trPr>
        <w:tc>
          <w:tcPr>
            <w:tcW w:w="5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24"/>
                <w:szCs w:val="24"/>
                <w:color w:val="auto"/>
              </w:rPr>
            </w:pPr>
          </w:p>
        </w:tc>
        <w:tc>
          <w:tcPr>
            <w:tcW w:w="244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5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Losses</w:t>
            </w:r>
          </w:p>
        </w:tc>
        <w:tc>
          <w:tcPr>
            <w:tcW w:w="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60" w:type="dxa"/>
            <w:vAlign w:val="bottom"/>
            <w:tcBorders>
              <w:right w:val="single" w:sz="8" w:color="CFF0FC"/>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60" w:type="dxa"/>
            <w:vAlign w:val="bottom"/>
            <w:tcBorders>
              <w:right w:val="single" w:sz="8" w:color="CFF0FC"/>
            </w:tcBorders>
            <w:shd w:val="clear" w:color="auto" w:fill="CFF0FC"/>
          </w:tcPr>
          <w:p>
            <w:pPr>
              <w:spacing w:after="0"/>
              <w:rPr>
                <w:sz w:val="20"/>
                <w:szCs w:val="20"/>
                <w:color w:val="auto"/>
              </w:rPr>
            </w:pPr>
          </w:p>
        </w:tc>
        <w:tc>
          <w:tcPr>
            <w:tcW w:w="160" w:type="dxa"/>
            <w:vAlign w:val="bottom"/>
            <w:tcBorders>
              <w:right w:val="single" w:sz="8" w:color="CFF0FC"/>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20" w:type="dxa"/>
            <w:vAlign w:val="bottom"/>
            <w:tcBorders>
              <w:left w:val="single" w:sz="8" w:color="CFF0FC"/>
            </w:tcBorders>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(4,183 )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(7,893 )</w:t>
            </w:r>
          </w:p>
        </w:tc>
        <w:tc>
          <w:tcPr>
            <w:tcW w:w="160" w:type="dxa"/>
            <w:vAlign w:val="bottom"/>
          </w:tcPr>
          <w:p>
            <w:pPr>
              <w:spacing w:after="0"/>
              <w:rPr>
                <w:sz w:val="20"/>
                <w:szCs w:val="20"/>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(23,115 )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(43,742 )</w:t>
            </w:r>
          </w:p>
        </w:tc>
        <w:tc>
          <w:tcPr>
            <w:tcW w:w="0" w:type="dxa"/>
            <w:vAlign w:val="bottom"/>
          </w:tcPr>
          <w:p>
            <w:pPr>
              <w:spacing w:after="0"/>
              <w:rPr>
                <w:sz w:val="1"/>
                <w:szCs w:val="1"/>
                <w:color w:val="auto"/>
              </w:rPr>
            </w:pPr>
          </w:p>
        </w:tc>
      </w:tr>
      <w:tr>
        <w:trPr>
          <w:trHeight w:val="243"/>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gridSpan w:val="3"/>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(6,016 )</w:t>
            </w:r>
          </w:p>
        </w:tc>
        <w:tc>
          <w:tcPr>
            <w:tcW w:w="100" w:type="dxa"/>
            <w:vAlign w:val="bottom"/>
            <w:shd w:val="clear" w:color="auto" w:fill="CFF0FC"/>
          </w:tcPr>
          <w:p>
            <w:pPr>
              <w:spacing w:after="0"/>
              <w:rPr>
                <w:sz w:val="21"/>
                <w:szCs w:val="21"/>
                <w:color w:val="auto"/>
              </w:rPr>
            </w:pPr>
          </w:p>
        </w:tc>
        <w:tc>
          <w:tcPr>
            <w:tcW w:w="106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(4,130 )</w:t>
            </w:r>
          </w:p>
        </w:tc>
        <w:tc>
          <w:tcPr>
            <w:tcW w:w="160" w:type="dxa"/>
            <w:vAlign w:val="bottom"/>
            <w:tcBorders>
              <w:right w:val="single" w:sz="8" w:color="CFF0FC"/>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(17,397 )</w:t>
            </w:r>
          </w:p>
        </w:tc>
        <w:tc>
          <w:tcPr>
            <w:tcW w:w="220" w:type="dxa"/>
            <w:vAlign w:val="bottom"/>
            <w:tcBorders>
              <w:left w:val="single" w:sz="8" w:color="CFF0FC"/>
            </w:tcBorders>
            <w:shd w:val="clear" w:color="auto" w:fill="CFF0FC"/>
          </w:tcPr>
          <w:p>
            <w:pPr>
              <w:spacing w:after="0"/>
              <w:rPr>
                <w:sz w:val="21"/>
                <w:szCs w:val="21"/>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(13,179 )</w:t>
            </w:r>
          </w:p>
        </w:tc>
        <w:tc>
          <w:tcPr>
            <w:tcW w:w="0" w:type="dxa"/>
            <w:vAlign w:val="bottom"/>
          </w:tcPr>
          <w:p>
            <w:pPr>
              <w:spacing w:after="0"/>
              <w:rPr>
                <w:sz w:val="1"/>
                <w:szCs w:val="1"/>
                <w:color w:val="auto"/>
              </w:rPr>
            </w:pPr>
          </w:p>
        </w:tc>
      </w:tr>
      <w:tr>
        <w:trPr>
          <w:trHeight w:val="20"/>
        </w:trPr>
        <w:tc>
          <w:tcPr>
            <w:tcW w:w="576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20" w:type="dxa"/>
            <w:vAlign w:val="bottom"/>
            <w:tcBorders>
              <w:left w:val="single" w:sz="8" w:color="CFF0FC"/>
            </w:tcBorders>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(10,199 )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(12,023 )</w:t>
            </w:r>
          </w:p>
        </w:tc>
        <w:tc>
          <w:tcPr>
            <w:tcW w:w="160" w:type="dxa"/>
            <w:vAlign w:val="bottom"/>
          </w:tcPr>
          <w:p>
            <w:pPr>
              <w:spacing w:after="0"/>
              <w:rPr>
                <w:sz w:val="20"/>
                <w:szCs w:val="20"/>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(40,512 )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(56,921 )</w:t>
            </w: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(15) Goodwill and Intangible Assets</w:t>
            </w: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57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24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The following tables summarize the Company’s intangible assets (dollars in thousands):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760" w:type="dxa"/>
            <w:vAlign w:val="bottom"/>
          </w:tcPr>
          <w:p>
            <w:pPr>
              <w:spacing w:after="0"/>
              <w:rPr>
                <w:sz w:val="11"/>
                <w:szCs w:val="11"/>
                <w:color w:val="auto"/>
              </w:rPr>
            </w:pPr>
          </w:p>
        </w:tc>
        <w:tc>
          <w:tcPr>
            <w:tcW w:w="1480" w:type="dxa"/>
            <w:vAlign w:val="bottom"/>
            <w:gridSpan w:val="4"/>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48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48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period in</w:t>
            </w:r>
          </w:p>
        </w:tc>
        <w:tc>
          <w:tcPr>
            <w:tcW w:w="240" w:type="dxa"/>
            <w:vAlign w:val="bottom"/>
          </w:tcPr>
          <w:p>
            <w:pPr>
              <w:spacing w:after="0"/>
              <w:rPr>
                <w:sz w:val="12"/>
                <w:szCs w:val="12"/>
                <w:color w:val="auto"/>
              </w:rPr>
            </w:pPr>
          </w:p>
        </w:tc>
        <w:tc>
          <w:tcPr>
            <w:tcW w:w="116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87"/>
        </w:trPr>
        <w:tc>
          <w:tcPr>
            <w:tcW w:w="5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12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69"/>
        </w:trPr>
        <w:tc>
          <w:tcPr>
            <w:tcW w:w="576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60" w:type="dxa"/>
            <w:vAlign w:val="bottom"/>
            <w:tcBorders>
              <w:right w:val="single" w:sz="8" w:color="CFF0FC"/>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60" w:type="dxa"/>
            <w:vAlign w:val="bottom"/>
            <w:tcBorders>
              <w:right w:val="single" w:sz="8" w:color="CFF0FC"/>
            </w:tcBorders>
            <w:shd w:val="clear" w:color="auto" w:fill="CFF0FC"/>
          </w:tcPr>
          <w:p>
            <w:pPr>
              <w:spacing w:after="0"/>
              <w:rPr>
                <w:sz w:val="21"/>
                <w:szCs w:val="21"/>
                <w:color w:val="auto"/>
              </w:rPr>
            </w:pPr>
          </w:p>
        </w:tc>
        <w:tc>
          <w:tcPr>
            <w:tcW w:w="160" w:type="dxa"/>
            <w:vAlign w:val="bottom"/>
            <w:tcBorders>
              <w:right w:val="single" w:sz="8" w:color="CFF0FC"/>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tcBorders>
              <w:left w:val="single" w:sz="8" w:color="CFF0FC"/>
            </w:tcBorders>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Amortizing intangible assets: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Customer Relationships</w:t>
            </w:r>
          </w:p>
        </w:tc>
        <w:tc>
          <w:tcPr>
            <w:tcW w:w="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Borders>
              <w:right w:val="single" w:sz="8" w:color="CFF0FC"/>
            </w:tcBorders>
            <w:shd w:val="clear" w:color="auto" w:fill="CFF0FC"/>
          </w:tcPr>
          <w:p>
            <w:pPr>
              <w:spacing w:after="0"/>
              <w:rPr>
                <w:sz w:val="21"/>
                <w:szCs w:val="21"/>
                <w:color w:val="auto"/>
              </w:rPr>
            </w:pPr>
          </w:p>
        </w:tc>
        <w:tc>
          <w:tcPr>
            <w:tcW w:w="240" w:type="dxa"/>
            <w:vAlign w:val="bottom"/>
            <w:shd w:val="clear" w:color="auto" w:fill="CFF0FC"/>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36,600</w:t>
            </w:r>
          </w:p>
        </w:tc>
        <w:tc>
          <w:tcPr>
            <w:tcW w:w="260" w:type="dxa"/>
            <w:vAlign w:val="bottom"/>
            <w:tcBorders>
              <w:right w:val="single" w:sz="8" w:color="CFF0FC"/>
            </w:tcBorders>
            <w:shd w:val="clear" w:color="auto" w:fill="CFF0FC"/>
          </w:tcPr>
          <w:p>
            <w:pPr>
              <w:spacing w:after="0"/>
              <w:rPr>
                <w:sz w:val="21"/>
                <w:szCs w:val="21"/>
                <w:color w:val="auto"/>
              </w:rPr>
            </w:pPr>
          </w:p>
        </w:tc>
        <w:tc>
          <w:tcPr>
            <w:tcW w:w="1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6,862</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tcBorders>
              <w:left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29,738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Trade Names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Developed Technology</w:t>
            </w:r>
          </w:p>
        </w:tc>
        <w:tc>
          <w:tcPr>
            <w:tcW w:w="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Borders>
              <w:right w:val="single" w:sz="8" w:color="CFF0FC"/>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60" w:type="dxa"/>
            <w:vAlign w:val="bottom"/>
            <w:tcBorders>
              <w:right w:val="single" w:sz="8" w:color="CFF0FC"/>
            </w:tcBorders>
            <w:shd w:val="clear" w:color="auto" w:fill="CFF0FC"/>
          </w:tcPr>
          <w:p>
            <w:pPr>
              <w:spacing w:after="0"/>
              <w:rPr>
                <w:sz w:val="21"/>
                <w:szCs w:val="21"/>
                <w:color w:val="auto"/>
              </w:rPr>
            </w:pPr>
          </w:p>
        </w:tc>
        <w:tc>
          <w:tcPr>
            <w:tcW w:w="160" w:type="dxa"/>
            <w:vAlign w:val="bottom"/>
            <w:tcBorders>
              <w:right w:val="single" w:sz="8" w:color="CFF0FC"/>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tcBorders>
              <w:left w:val="single" w:sz="8" w:color="CFF0FC"/>
            </w:tcBorders>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Vendor Relationships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Database</w:t>
            </w:r>
          </w:p>
        </w:tc>
        <w:tc>
          <w:tcPr>
            <w:tcW w:w="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Borders>
              <w:right w:val="single" w:sz="8" w:color="CFF0FC"/>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260" w:type="dxa"/>
            <w:vAlign w:val="bottom"/>
            <w:tcBorders>
              <w:right w:val="single" w:sz="8" w:color="CFF0FC"/>
            </w:tcBorders>
            <w:shd w:val="clear" w:color="auto" w:fill="CFF0FC"/>
          </w:tcPr>
          <w:p>
            <w:pPr>
              <w:spacing w:after="0"/>
              <w:rPr>
                <w:sz w:val="21"/>
                <w:szCs w:val="21"/>
                <w:color w:val="auto"/>
              </w:rPr>
            </w:pPr>
          </w:p>
        </w:tc>
        <w:tc>
          <w:tcPr>
            <w:tcW w:w="160" w:type="dxa"/>
            <w:vAlign w:val="bottom"/>
            <w:tcBorders>
              <w:right w:val="single" w:sz="8" w:color="CFF0FC"/>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tcBorders>
              <w:left w:val="single" w:sz="8" w:color="CFF0FC"/>
            </w:tcBorders>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Patents</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7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Subtotal intangible assets</w:t>
            </w:r>
          </w:p>
        </w:tc>
        <w:tc>
          <w:tcPr>
            <w:tcW w:w="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60" w:type="dxa"/>
            <w:vAlign w:val="bottom"/>
            <w:tcBorders>
              <w:right w:val="single" w:sz="8" w:color="CFF0FC"/>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41,961</w:t>
            </w:r>
          </w:p>
        </w:tc>
        <w:tc>
          <w:tcPr>
            <w:tcW w:w="260" w:type="dxa"/>
            <w:vAlign w:val="bottom"/>
            <w:tcBorders>
              <w:right w:val="single" w:sz="8" w:color="CFF0FC"/>
            </w:tcBorders>
            <w:shd w:val="clear" w:color="auto" w:fill="CFF0FC"/>
          </w:tcPr>
          <w:p>
            <w:pPr>
              <w:spacing w:after="0"/>
              <w:rPr>
                <w:sz w:val="20"/>
                <w:szCs w:val="20"/>
                <w:color w:val="auto"/>
              </w:rPr>
            </w:pPr>
          </w:p>
        </w:tc>
        <w:tc>
          <w:tcPr>
            <w:tcW w:w="160" w:type="dxa"/>
            <w:vAlign w:val="bottom"/>
            <w:tcBorders>
              <w:right w:val="single" w:sz="8" w:color="CFF0FC"/>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9,367</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20" w:type="dxa"/>
            <w:vAlign w:val="bottom"/>
            <w:tcBorders>
              <w:left w:val="single" w:sz="8" w:color="CFF0FC"/>
            </w:tcBorders>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32,594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In-place Lease Intangible Asset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Above Market Lease Intangible Asset</w:t>
            </w:r>
          </w:p>
        </w:tc>
        <w:tc>
          <w:tcPr>
            <w:tcW w:w="3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bottom w:val="single" w:sz="8" w:color="CFF0FC"/>
              <w:right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260" w:type="dxa"/>
            <w:vAlign w:val="bottom"/>
            <w:tcBorders>
              <w:bottom w:val="single" w:sz="8" w:color="CFF0FC"/>
              <w:right w:val="single" w:sz="8" w:color="CFF0FC"/>
            </w:tcBorders>
            <w:shd w:val="clear" w:color="auto" w:fill="CFF0FC"/>
          </w:tcPr>
          <w:p>
            <w:pPr>
              <w:spacing w:after="0"/>
              <w:rPr>
                <w:sz w:val="21"/>
                <w:szCs w:val="21"/>
                <w:color w:val="auto"/>
              </w:rPr>
            </w:pPr>
          </w:p>
        </w:tc>
        <w:tc>
          <w:tcPr>
            <w:tcW w:w="160" w:type="dxa"/>
            <w:vAlign w:val="bottom"/>
            <w:tcBorders>
              <w:bottom w:val="single" w:sz="8" w:color="auto"/>
              <w:right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left w:val="single" w:sz="8" w:color="CFF0FC"/>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57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intangible assets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43,425</w:t>
            </w:r>
          </w:p>
        </w:tc>
        <w:tc>
          <w:tcPr>
            <w:tcW w:w="26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57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760" w:type="dxa"/>
            <w:vAlign w:val="bottom"/>
          </w:tcPr>
          <w:p>
            <w:pPr>
              <w:spacing w:after="0"/>
              <w:rPr>
                <w:sz w:val="11"/>
                <w:szCs w:val="11"/>
                <w:color w:val="auto"/>
              </w:rPr>
            </w:pPr>
          </w:p>
        </w:tc>
        <w:tc>
          <w:tcPr>
            <w:tcW w:w="1480" w:type="dxa"/>
            <w:vAlign w:val="bottom"/>
            <w:gridSpan w:val="4"/>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48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48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period in</w:t>
            </w:r>
          </w:p>
        </w:tc>
        <w:tc>
          <w:tcPr>
            <w:tcW w:w="240" w:type="dxa"/>
            <w:vAlign w:val="bottom"/>
          </w:tcPr>
          <w:p>
            <w:pPr>
              <w:spacing w:after="0"/>
              <w:rPr>
                <w:sz w:val="12"/>
                <w:szCs w:val="12"/>
                <w:color w:val="auto"/>
              </w:rPr>
            </w:pPr>
          </w:p>
        </w:tc>
        <w:tc>
          <w:tcPr>
            <w:tcW w:w="116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87"/>
        </w:trPr>
        <w:tc>
          <w:tcPr>
            <w:tcW w:w="5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12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6"/>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34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260" w:type="dxa"/>
            <w:vAlign w:val="bottom"/>
            <w:tcBorders>
              <w:right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260" w:type="dxa"/>
            <w:vAlign w:val="bottom"/>
            <w:tcBorders>
              <w:right w:val="single" w:sz="8" w:color="CFF0FC"/>
            </w:tcBorders>
            <w:shd w:val="clear" w:color="auto" w:fill="CFF0FC"/>
          </w:tcPr>
          <w:p>
            <w:pPr>
              <w:spacing w:after="0"/>
              <w:rPr>
                <w:sz w:val="20"/>
                <w:szCs w:val="20"/>
                <w:color w:val="auto"/>
              </w:rPr>
            </w:pPr>
          </w:p>
        </w:tc>
        <w:tc>
          <w:tcPr>
            <w:tcW w:w="160" w:type="dxa"/>
            <w:vAlign w:val="bottom"/>
            <w:tcBorders>
              <w:top w:val="single" w:sz="8" w:color="auto"/>
              <w:right w:val="single" w:sz="8" w:color="CFF0FC"/>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20" w:type="dxa"/>
            <w:vAlign w:val="bottom"/>
            <w:tcBorders>
              <w:top w:val="single" w:sz="8" w:color="auto"/>
              <w:left w:val="single" w:sz="8" w:color="CFF0FC"/>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Amortizing intangible assets: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Customer Relationships</w:t>
            </w:r>
          </w:p>
        </w:tc>
        <w:tc>
          <w:tcPr>
            <w:tcW w:w="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Borders>
              <w:right w:val="single" w:sz="8" w:color="CFF0FC"/>
            </w:tcBorders>
            <w:shd w:val="clear" w:color="auto" w:fill="CFF0FC"/>
          </w:tcPr>
          <w:p>
            <w:pPr>
              <w:spacing w:after="0"/>
              <w:rPr>
                <w:sz w:val="21"/>
                <w:szCs w:val="21"/>
                <w:color w:val="auto"/>
              </w:rPr>
            </w:pPr>
          </w:p>
        </w:tc>
        <w:tc>
          <w:tcPr>
            <w:tcW w:w="240" w:type="dxa"/>
            <w:vAlign w:val="bottom"/>
            <w:shd w:val="clear" w:color="auto" w:fill="CFF0FC"/>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36,600</w:t>
            </w:r>
          </w:p>
        </w:tc>
        <w:tc>
          <w:tcPr>
            <w:tcW w:w="260" w:type="dxa"/>
            <w:vAlign w:val="bottom"/>
            <w:tcBorders>
              <w:right w:val="single" w:sz="8" w:color="CFF0FC"/>
            </w:tcBorders>
            <w:shd w:val="clear" w:color="auto" w:fill="CFF0FC"/>
          </w:tcPr>
          <w:p>
            <w:pPr>
              <w:spacing w:after="0"/>
              <w:rPr>
                <w:sz w:val="21"/>
                <w:szCs w:val="21"/>
                <w:color w:val="auto"/>
              </w:rPr>
            </w:pPr>
          </w:p>
        </w:tc>
        <w:tc>
          <w:tcPr>
            <w:tcW w:w="1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5,030</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tcBorders>
              <w:left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31,570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Trade Names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Developed Technology</w:t>
            </w:r>
          </w:p>
        </w:tc>
        <w:tc>
          <w:tcPr>
            <w:tcW w:w="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Borders>
              <w:right w:val="single" w:sz="8" w:color="CFF0FC"/>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60" w:type="dxa"/>
            <w:vAlign w:val="bottom"/>
            <w:tcBorders>
              <w:right w:val="single" w:sz="8" w:color="CFF0FC"/>
            </w:tcBorders>
            <w:shd w:val="clear" w:color="auto" w:fill="CFF0FC"/>
          </w:tcPr>
          <w:p>
            <w:pPr>
              <w:spacing w:after="0"/>
              <w:rPr>
                <w:sz w:val="21"/>
                <w:szCs w:val="21"/>
                <w:color w:val="auto"/>
              </w:rPr>
            </w:pPr>
          </w:p>
        </w:tc>
        <w:tc>
          <w:tcPr>
            <w:tcW w:w="160" w:type="dxa"/>
            <w:vAlign w:val="bottom"/>
            <w:tcBorders>
              <w:right w:val="single" w:sz="8" w:color="CFF0FC"/>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tcBorders>
              <w:left w:val="single" w:sz="8" w:color="CFF0FC"/>
            </w:tcBorders>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Vendor Relationships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Database</w:t>
            </w:r>
          </w:p>
        </w:tc>
        <w:tc>
          <w:tcPr>
            <w:tcW w:w="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Borders>
              <w:right w:val="single" w:sz="8" w:color="CFF0FC"/>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260" w:type="dxa"/>
            <w:vAlign w:val="bottom"/>
            <w:tcBorders>
              <w:right w:val="single" w:sz="8" w:color="CFF0FC"/>
            </w:tcBorders>
            <w:shd w:val="clear" w:color="auto" w:fill="CFF0FC"/>
          </w:tcPr>
          <w:p>
            <w:pPr>
              <w:spacing w:after="0"/>
              <w:rPr>
                <w:sz w:val="21"/>
                <w:szCs w:val="21"/>
                <w:color w:val="auto"/>
              </w:rPr>
            </w:pPr>
          </w:p>
        </w:tc>
        <w:tc>
          <w:tcPr>
            <w:tcW w:w="160" w:type="dxa"/>
            <w:vAlign w:val="bottom"/>
            <w:tcBorders>
              <w:right w:val="single" w:sz="8" w:color="CFF0FC"/>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tcBorders>
              <w:left w:val="single" w:sz="8" w:color="CFF0FC"/>
            </w:tcBorders>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Patents</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7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Subtotal intangible assets</w:t>
            </w:r>
          </w:p>
        </w:tc>
        <w:tc>
          <w:tcPr>
            <w:tcW w:w="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60" w:type="dxa"/>
            <w:vAlign w:val="bottom"/>
            <w:tcBorders>
              <w:right w:val="single" w:sz="8" w:color="CFF0FC"/>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41,969</w:t>
            </w:r>
          </w:p>
        </w:tc>
        <w:tc>
          <w:tcPr>
            <w:tcW w:w="260" w:type="dxa"/>
            <w:vAlign w:val="bottom"/>
            <w:tcBorders>
              <w:right w:val="single" w:sz="8" w:color="CFF0FC"/>
            </w:tcBorders>
            <w:shd w:val="clear" w:color="auto" w:fill="CFF0FC"/>
          </w:tcPr>
          <w:p>
            <w:pPr>
              <w:spacing w:after="0"/>
              <w:rPr>
                <w:sz w:val="20"/>
                <w:szCs w:val="20"/>
                <w:color w:val="auto"/>
              </w:rPr>
            </w:pPr>
          </w:p>
        </w:tc>
        <w:tc>
          <w:tcPr>
            <w:tcW w:w="160" w:type="dxa"/>
            <w:vAlign w:val="bottom"/>
            <w:tcBorders>
              <w:right w:val="single" w:sz="8" w:color="CFF0FC"/>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6,921</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20" w:type="dxa"/>
            <w:vAlign w:val="bottom"/>
            <w:tcBorders>
              <w:left w:val="single" w:sz="8" w:color="CFF0FC"/>
            </w:tcBorders>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35,048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In-place Lease Intangible Asset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57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Above Market Lease Intangible Asset</w:t>
            </w:r>
          </w:p>
        </w:tc>
        <w:tc>
          <w:tcPr>
            <w:tcW w:w="3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bottom w:val="single" w:sz="8" w:color="CFF0FC"/>
              <w:right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260" w:type="dxa"/>
            <w:vAlign w:val="bottom"/>
            <w:tcBorders>
              <w:bottom w:val="single" w:sz="8" w:color="CFF0FC"/>
              <w:right w:val="single" w:sz="8" w:color="CFF0FC"/>
            </w:tcBorders>
            <w:shd w:val="clear" w:color="auto" w:fill="CFF0FC"/>
          </w:tcPr>
          <w:p>
            <w:pPr>
              <w:spacing w:after="0"/>
              <w:rPr>
                <w:sz w:val="22"/>
                <w:szCs w:val="22"/>
                <w:color w:val="auto"/>
              </w:rPr>
            </w:pPr>
          </w:p>
        </w:tc>
        <w:tc>
          <w:tcPr>
            <w:tcW w:w="160" w:type="dxa"/>
            <w:vAlign w:val="bottom"/>
            <w:tcBorders>
              <w:bottom w:val="single" w:sz="8" w:color="auto"/>
              <w:right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left w:val="single" w:sz="8" w:color="CFF0FC"/>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57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intangible assets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43,433</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4577080</wp:posOffset>
            </wp:positionH>
            <wp:positionV relativeFrom="paragraph">
              <wp:posOffset>-7268845</wp:posOffset>
            </wp:positionV>
            <wp:extent cx="768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5433695</wp:posOffset>
            </wp:positionH>
            <wp:positionV relativeFrom="paragraph">
              <wp:posOffset>-7268845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-7268845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-7268845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4577080</wp:posOffset>
            </wp:positionH>
            <wp:positionV relativeFrom="paragraph">
              <wp:posOffset>-6096000</wp:posOffset>
            </wp:positionV>
            <wp:extent cx="7683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5433695</wp:posOffset>
            </wp:positionH>
            <wp:positionV relativeFrom="paragraph">
              <wp:posOffset>-6096000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-6096000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-6096000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-2910840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-2910840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-2910840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-187960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-187960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roll forward of the carrying amount of goodwill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4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top w:val="single" w:sz="8" w:color="auto"/>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169"/>
        </w:trPr>
        <w:tc>
          <w:tcPr>
            <w:tcW w:w="7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January 1:</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goodwill</w:t>
            </w: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265,989</w:t>
            </w:r>
          </w:p>
        </w:tc>
        <w:tc>
          <w:tcPr>
            <w:tcW w:w="4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261,110</w:t>
            </w:r>
          </w:p>
        </w:tc>
        <w:tc>
          <w:tcPr>
            <w:tcW w:w="100" w:type="dxa"/>
            <w:vAlign w:val="bottom"/>
          </w:tcPr>
          <w:p>
            <w:pPr>
              <w:spacing w:after="0"/>
              <w:rPr>
                <w:sz w:val="20"/>
                <w:szCs w:val="20"/>
                <w:color w:val="auto"/>
              </w:rPr>
            </w:pPr>
          </w:p>
        </w:tc>
      </w:tr>
      <w:tr>
        <w:trPr>
          <w:trHeight w:val="243"/>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impairments</w:t>
            </w:r>
          </w:p>
        </w:tc>
        <w:tc>
          <w:tcPr>
            <w:tcW w:w="9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(3,074 )</w:t>
            </w: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(3,074 )</w:t>
            </w:r>
          </w:p>
        </w:tc>
      </w:tr>
      <w:tr>
        <w:trPr>
          <w:trHeight w:val="236"/>
        </w:trPr>
        <w:tc>
          <w:tcPr>
            <w:tcW w:w="76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Net goodwill as of January 1</w:t>
            </w:r>
          </w:p>
        </w:tc>
        <w:tc>
          <w:tcPr>
            <w:tcW w:w="9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262,915</w:t>
            </w:r>
          </w:p>
        </w:tc>
        <w:tc>
          <w:tcPr>
            <w:tcW w:w="400" w:type="dxa"/>
            <w:vAlign w:val="bottom"/>
            <w:tcBorders>
              <w:top w:val="single" w:sz="8" w:color="CFF0F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258,036</w:t>
            </w:r>
          </w:p>
        </w:tc>
        <w:tc>
          <w:tcPr>
            <w:tcW w:w="100" w:type="dxa"/>
            <w:vAlign w:val="bottom"/>
            <w:tcBorders>
              <w:top w:val="single" w:sz="8" w:color="CFF0FC"/>
            </w:tcBorders>
          </w:tcPr>
          <w:p>
            <w:pPr>
              <w:spacing w:after="0"/>
              <w:rPr>
                <w:sz w:val="20"/>
                <w:szCs w:val="20"/>
                <w:color w:val="auto"/>
              </w:rPr>
            </w:pPr>
          </w:p>
        </w:tc>
      </w:tr>
      <w:tr>
        <w:trPr>
          <w:trHeight w:val="247"/>
        </w:trPr>
        <w:tc>
          <w:tcPr>
            <w:tcW w:w="7640" w:type="dxa"/>
            <w:vAlign w:val="bottom"/>
            <w:shd w:val="clear" w:color="auto" w:fill="CFF0FC"/>
          </w:tcPr>
          <w:p>
            <w:pPr>
              <w:ind w:left="20"/>
              <w:spacing w:after="0" w:line="247" w:lineRule="exact"/>
              <w:rPr>
                <w:sz w:val="20"/>
                <w:szCs w:val="20"/>
                <w:color w:val="auto"/>
              </w:rPr>
            </w:pPr>
            <w:r>
              <w:rPr>
                <w:rFonts w:ascii="Times New Roman" w:cs="Times New Roman" w:eastAsia="Times New Roman" w:hAnsi="Times New Roman"/>
                <w:sz w:val="18"/>
                <w:szCs w:val="18"/>
                <w:color w:val="auto"/>
              </w:rPr>
              <w:t>Goodwill acquired during the year</w:t>
            </w:r>
            <w:r>
              <w:rPr>
                <w:rFonts w:ascii="Times New Roman" w:cs="Times New Roman" w:eastAsia="Times New Roman" w:hAnsi="Times New Roman"/>
                <w:sz w:val="24"/>
                <w:szCs w:val="24"/>
                <w:color w:val="auto"/>
                <w:vertAlign w:val="superscript"/>
              </w:rPr>
              <w:t>(1)</w:t>
            </w:r>
          </w:p>
        </w:tc>
        <w:tc>
          <w:tcPr>
            <w:tcW w:w="9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100" w:type="dxa"/>
            <w:vAlign w:val="bottom"/>
            <w:shd w:val="clear" w:color="auto" w:fill="CFF0FC"/>
          </w:tcPr>
          <w:p>
            <w:pPr>
              <w:spacing w:after="0"/>
              <w:rPr>
                <w:sz w:val="21"/>
                <w:szCs w:val="21"/>
                <w:color w:val="auto"/>
              </w:rPr>
            </w:pPr>
          </w:p>
        </w:tc>
      </w:tr>
      <w:tr>
        <w:trPr>
          <w:trHeight w:val="238"/>
        </w:trPr>
        <w:tc>
          <w:tcPr>
            <w:tcW w:w="76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Impact of foreign exchange</w:t>
            </w: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0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FF0FC"/>
            </w:tcBorders>
          </w:tcPr>
          <w:p>
            <w:pPr>
              <w:spacing w:after="0"/>
              <w:rPr>
                <w:sz w:val="20"/>
                <w:szCs w:val="20"/>
                <w:color w:val="auto"/>
              </w:rPr>
            </w:pPr>
          </w:p>
        </w:tc>
      </w:tr>
      <w:tr>
        <w:trPr>
          <w:trHeight w:val="276"/>
        </w:trPr>
        <w:tc>
          <w:tcPr>
            <w:tcW w:w="7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goodwill as of September 30, 2024 and December 31, 2023:</w:t>
            </w:r>
          </w:p>
        </w:tc>
        <w:tc>
          <w:tcPr>
            <w:tcW w:w="940" w:type="dxa"/>
            <w:vAlign w:val="bottom"/>
            <w:tcBorders>
              <w:bottom w:val="single" w:sz="8" w:color="auto"/>
            </w:tcBorders>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262,955</w:t>
            </w:r>
          </w:p>
        </w:tc>
        <w:tc>
          <w:tcPr>
            <w:tcW w:w="4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262,915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5836285</wp:posOffset>
            </wp:positionH>
            <wp:positionV relativeFrom="paragraph">
              <wp:posOffset>-658495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-658495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-24765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-7620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-187960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See Note 7 - Acquisitions.</w:t>
      </w:r>
    </w:p>
    <w:p>
      <w:pPr>
        <w:spacing w:after="0" w:line="117" w:lineRule="exact"/>
        <w:rPr>
          <w:sz w:val="20"/>
          <w:szCs w:val="20"/>
          <w:color w:val="auto"/>
        </w:rPr>
      </w:pPr>
    </w:p>
    <w:p>
      <w:pPr>
        <w:ind w:right="260" w:firstLine="644"/>
        <w:spacing w:after="0" w:line="265" w:lineRule="auto"/>
        <w:rPr>
          <w:sz w:val="20"/>
          <w:szCs w:val="20"/>
          <w:color w:val="auto"/>
        </w:rPr>
      </w:pPr>
      <w:r>
        <w:rPr>
          <w:rFonts w:ascii="Times New Roman" w:cs="Times New Roman" w:eastAsia="Times New Roman" w:hAnsi="Times New Roman"/>
          <w:sz w:val="18"/>
          <w:szCs w:val="18"/>
          <w:color w:val="auto"/>
        </w:rPr>
        <w:t>As of September 30, 2024 and December 31, 2023, Xometry had $263.0 million and $262.9 million, respectively of goodwill. As of September 30, 2024 and December 31, 2023, $258.0 million was part of Xometry’s U.S. operating segment and $4.9 million was part of Xometry’s International operating segment.</w:t>
      </w:r>
    </w:p>
    <w:p>
      <w:pPr>
        <w:spacing w:after="0" w:line="69" w:lineRule="exact"/>
        <w:rPr>
          <w:sz w:val="20"/>
          <w:szCs w:val="20"/>
          <w:color w:val="auto"/>
        </w:rPr>
      </w:pPr>
    </w:p>
    <w:p>
      <w:pPr>
        <w:ind w:right="160" w:firstLine="644"/>
        <w:spacing w:after="0" w:line="281" w:lineRule="auto"/>
        <w:rPr>
          <w:sz w:val="20"/>
          <w:szCs w:val="20"/>
          <w:color w:val="auto"/>
        </w:rPr>
      </w:pPr>
      <w:r>
        <w:rPr>
          <w:rFonts w:ascii="Times New Roman" w:cs="Times New Roman" w:eastAsia="Times New Roman" w:hAnsi="Times New Roman"/>
          <w:sz w:val="18"/>
          <w:szCs w:val="18"/>
          <w:color w:val="auto"/>
        </w:rPr>
        <w:t>As of September 30, 2024, estimated amortization expense for intangible assets for the remainder of 2024 and the next five years is: $0.9 million in 2024, $3.6 million in 2025, $3.2 million in 2026, $2.6 million in 2027, $2.6 million in 2028, $2.6 million in 2029 and $17.5 million thereafter.</w:t>
      </w:r>
    </w:p>
    <w:p>
      <w:pPr>
        <w:spacing w:after="0" w:line="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Amortization expense for the three and nine months ended September 30, 2024 and 2023 was as follows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080" w:type="dxa"/>
            <w:vAlign w:val="bottom"/>
          </w:tcPr>
          <w:p>
            <w:pPr>
              <w:spacing w:after="0"/>
              <w:rPr>
                <w:sz w:val="16"/>
                <w:szCs w:val="16"/>
                <w:color w:val="auto"/>
              </w:rPr>
            </w:pPr>
          </w:p>
        </w:tc>
        <w:tc>
          <w:tcPr>
            <w:tcW w:w="2440" w:type="dxa"/>
            <w:vAlign w:val="bottom"/>
            <w:gridSpan w:val="5"/>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608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6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760" w:type="dxa"/>
            <w:vAlign w:val="bottom"/>
            <w:shd w:val="clear" w:color="auto" w:fill="CFF0FC"/>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100" w:type="dxa"/>
            <w:vAlign w:val="bottom"/>
            <w:shd w:val="clear" w:color="auto" w:fill="CFF0FC"/>
          </w:tcPr>
          <w:p>
            <w:pPr>
              <w:spacing w:after="0"/>
              <w:rPr>
                <w:sz w:val="20"/>
                <w:szCs w:val="20"/>
                <w:color w:val="auto"/>
              </w:rPr>
            </w:pPr>
          </w:p>
        </w:tc>
      </w:tr>
      <w:tr>
        <w:trPr>
          <w:trHeight w:val="238"/>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7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0"/>
                <w:szCs w:val="20"/>
                <w:color w:val="auto"/>
              </w:rPr>
            </w:pPr>
          </w:p>
        </w:tc>
      </w:tr>
      <w:tr>
        <w:trPr>
          <w:trHeight w:val="267"/>
        </w:trPr>
        <w:tc>
          <w:tcPr>
            <w:tcW w:w="6080" w:type="dxa"/>
            <w:vAlign w:val="bottom"/>
            <w:tcBorders>
              <w:bottom w:val="single" w:sz="8" w:color="CFF0FC"/>
            </w:tcBorders>
            <w:shd w:val="clear" w:color="auto" w:fill="CFF0FC"/>
          </w:tcPr>
          <w:p>
            <w:pPr>
              <w:ind w:left="20"/>
              <w:spacing w:after="0" w:line="247"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4"/>
                <w:szCs w:val="24"/>
                <w:color w:val="auto"/>
                <w:vertAlign w:val="superscript"/>
              </w:rPr>
              <w:t>(1)</w:t>
            </w:r>
          </w:p>
        </w:tc>
        <w:tc>
          <w:tcPr>
            <w:tcW w:w="76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spacing w:after="0"/>
              <w:rPr>
                <w:sz w:val="23"/>
                <w:szCs w:val="23"/>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spacing w:after="0"/>
              <w:rPr>
                <w:sz w:val="23"/>
                <w:szCs w:val="23"/>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spacing w:after="0"/>
              <w:rPr>
                <w:sz w:val="23"/>
                <w:szCs w:val="23"/>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25"/>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tcBorders>
              <w:top w:val="single" w:sz="8" w:color="auto"/>
            </w:tcBorders>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10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5416550</wp:posOffset>
            </wp:positionH>
            <wp:positionV relativeFrom="paragraph">
              <wp:posOffset>-196215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-196215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5540" w:right="2420" w:hanging="5532"/>
        <w:spacing w:after="0" w:line="406" w:lineRule="auto"/>
        <w:tabs>
          <w:tab w:leader="none" w:pos="26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the lease related intangible assets is recorded as operating lease expense in general and administrative.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376555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64" w:lineRule="exact"/>
        <w:rPr>
          <w:sz w:val="20"/>
          <w:szCs w:val="20"/>
          <w:color w:val="auto"/>
        </w:rPr>
      </w:pPr>
    </w:p>
    <w:p>
      <w:pPr>
        <w:ind w:firstLine="689"/>
        <w:spacing w:after="0" w:line="274" w:lineRule="auto"/>
        <w:rPr>
          <w:sz w:val="20"/>
          <w:szCs w:val="20"/>
          <w:color w:val="auto"/>
        </w:rPr>
      </w:pPr>
      <w:r>
        <w:rPr>
          <w:rFonts w:ascii="Times New Roman" w:cs="Times New Roman" w:eastAsia="Times New Roman" w:hAnsi="Times New Roman"/>
          <w:sz w:val="17"/>
          <w:szCs w:val="17"/>
          <w:i w:val="1"/>
          <w:iCs w:val="1"/>
          <w:color w:val="auto"/>
        </w:rPr>
        <w:t>The following discussion and analysis should be read in conjunction with our unaudited condensed consolidated financial statements and the related notes thereto included elsewhere in this Quarterly Report on Form 10-Q. The discussion contains forward-looking statements that are based on the beliefs of management, as well as assumptions made by, and information currently available to, our management. Actual results could differ materially from those discussed in or implied by forward-looking statements as a result of various factors, including those discussed in Part II, Item 1A, “Risk Factors” in our Annual Report on Form 10-K for the year ended December 31, 2023. Our historical results are not necessarily indicative of the results that may be expected in the future and our current quarterly results are not necessarily indicative of the results expected for the full year or any other period.</w:t>
      </w: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firstLine="637"/>
        <w:spacing w:after="0" w:line="265" w:lineRule="auto"/>
        <w:rPr>
          <w:sz w:val="20"/>
          <w:szCs w:val="20"/>
          <w:color w:val="auto"/>
        </w:rPr>
      </w:pPr>
      <w:r>
        <w:rPr>
          <w:rFonts w:ascii="Times New Roman" w:cs="Times New Roman" w:eastAsia="Times New Roman" w:hAnsi="Times New Roman"/>
          <w:sz w:val="18"/>
          <w:szCs w:val="18"/>
          <w:color w:val="auto"/>
        </w:rPr>
        <w:t>Xometry Inc. (“Xometry”, “Company”, “our” or “we”) was incorporated in the State of Delaware in May 2013. Xometry is a global artificial intelligence (“AI”) powered online marketplace connecting buyers with suppliers of manufacturing services, driving the digital transformation of one of the largest industries in the world. We use our proprietary AI, machine learning and cloud-based services, including our Thomasnet® platform, to help buyers efficiently source custom-manufactured parts and assemblies, and empower suppliers of manufacturing services to grow their businesses. Xometry’s corporate headquarters is located in North Bethesda, Maryland.</w:t>
      </w:r>
    </w:p>
    <w:p>
      <w:pPr>
        <w:spacing w:after="0" w:line="71" w:lineRule="exact"/>
        <w:rPr>
          <w:sz w:val="20"/>
          <w:szCs w:val="20"/>
          <w:color w:val="auto"/>
        </w:rPr>
      </w:pPr>
    </w:p>
    <w:p>
      <w:pPr>
        <w:ind w:right="200" w:firstLine="637"/>
        <w:spacing w:after="0" w:line="258" w:lineRule="auto"/>
        <w:rPr>
          <w:sz w:val="20"/>
          <w:szCs w:val="20"/>
          <w:color w:val="auto"/>
        </w:rPr>
      </w:pPr>
      <w:r>
        <w:rPr>
          <w:rFonts w:ascii="Times New Roman" w:cs="Times New Roman" w:eastAsia="Times New Roman" w:hAnsi="Times New Roman"/>
          <w:sz w:val="18"/>
          <w:szCs w:val="18"/>
          <w:color w:val="auto"/>
        </w:rPr>
        <w:t>Our AI-enabled technology platform is powered by proprietary machine learning algorithms and datasets, resulting in a sophisticated two-sided marketplace that is rapidly digitizing the manufacturing industry. As a result, buyers can procure the products they want on demand, and suppliers can source new manufacturing opportunities that match their specific capabilities and capacity, ultimately resulting in locally resilient supply chains so goods can get to market faster. Every interaction on our marketplace provides rich data insights that allow us to continuously improve our AI models and create new products and services, fueling powerful network effects as we scale.</w:t>
      </w:r>
    </w:p>
    <w:p>
      <w:pPr>
        <w:spacing w:after="0" w:line="74" w:lineRule="exact"/>
        <w:rPr>
          <w:sz w:val="20"/>
          <w:szCs w:val="20"/>
          <w:color w:val="auto"/>
        </w:rPr>
      </w:pPr>
    </w:p>
    <w:p>
      <w:pPr>
        <w:ind w:right="120" w:firstLine="637"/>
        <w:spacing w:after="0" w:line="260" w:lineRule="auto"/>
        <w:rPr>
          <w:sz w:val="20"/>
          <w:szCs w:val="20"/>
          <w:color w:val="auto"/>
        </w:rPr>
      </w:pPr>
      <w:r>
        <w:rPr>
          <w:rFonts w:ascii="Times New Roman" w:cs="Times New Roman" w:eastAsia="Times New Roman" w:hAnsi="Times New Roman"/>
          <w:sz w:val="18"/>
          <w:szCs w:val="18"/>
          <w:color w:val="auto"/>
        </w:rPr>
        <w:t>We use proprietary technology to enable product designers, engineers, buyers, and supply chain professionals to instantly access the capacity of a global network of manufacturing facilities. The Company’s platform makes it possible for buyers to quickly receive pricing, expected lead times, manufacturability feedback and place orders on the Company’s platform. The network allows the Company to provide high volumes of unique parts, including custom components and assemblies for its buyers.</w:t>
      </w:r>
    </w:p>
    <w:p>
      <w:pPr>
        <w:spacing w:after="0" w:line="74" w:lineRule="exact"/>
        <w:rPr>
          <w:sz w:val="20"/>
          <w:szCs w:val="20"/>
          <w:color w:val="auto"/>
        </w:rPr>
      </w:pPr>
    </w:p>
    <w:p>
      <w:pPr>
        <w:ind w:right="320" w:firstLine="637"/>
        <w:spacing w:after="0" w:line="281" w:lineRule="auto"/>
        <w:rPr>
          <w:sz w:val="20"/>
          <w:szCs w:val="20"/>
          <w:color w:val="auto"/>
        </w:rPr>
      </w:pPr>
      <w:r>
        <w:rPr>
          <w:rFonts w:ascii="Times New Roman" w:cs="Times New Roman" w:eastAsia="Times New Roman" w:hAnsi="Times New Roman"/>
          <w:sz w:val="18"/>
          <w:szCs w:val="18"/>
          <w:color w:val="auto"/>
        </w:rPr>
        <w:t>Our mission is to accelerate innovation by providing real time, equitable access to global manufacturing capacity and demand. Our vision is to drive efficiency, sustainability and innovation for industries worldwide by lowering the barriers to entry to the manufacturing ecosystem.</w:t>
      </w:r>
    </w:p>
    <w:p>
      <w:pPr>
        <w:spacing w:after="0" w:line="55" w:lineRule="exact"/>
        <w:rPr>
          <w:sz w:val="20"/>
          <w:szCs w:val="20"/>
          <w:color w:val="auto"/>
        </w:rPr>
      </w:pPr>
    </w:p>
    <w:p>
      <w:pPr>
        <w:ind w:right="100" w:firstLine="637"/>
        <w:spacing w:after="0" w:line="271" w:lineRule="auto"/>
        <w:rPr>
          <w:sz w:val="20"/>
          <w:szCs w:val="20"/>
          <w:color w:val="auto"/>
        </w:rPr>
      </w:pPr>
      <w:r>
        <w:rPr>
          <w:rFonts w:ascii="Times New Roman" w:cs="Times New Roman" w:eastAsia="Times New Roman" w:hAnsi="Times New Roman"/>
          <w:sz w:val="18"/>
          <w:szCs w:val="18"/>
          <w:color w:val="auto"/>
        </w:rPr>
        <w:t>Our business benefits from a virtuous network effect, because adding buyers to our platform generates greater demand on our marketplace which in turn attracts more suppliers to the platform, allowing us to rapidly scale and increase the number of manufacturing processes offered on our platform. In order to continue to meet the needs of buyers and remain highly competitive, we expect to continue to add suppliers to our platform that have new and innovative manufacturing processes. Thus, our platform is unbounded by the in-house manufacturing capacity and processes of our current suppliers.</w:t>
      </w:r>
    </w:p>
    <w:p>
      <w:pPr>
        <w:spacing w:after="0" w:line="63" w:lineRule="exact"/>
        <w:rPr>
          <w:sz w:val="20"/>
          <w:szCs w:val="20"/>
          <w:color w:val="auto"/>
        </w:rPr>
      </w:pPr>
    </w:p>
    <w:p>
      <w:pPr>
        <w:ind w:right="20" w:firstLine="637"/>
        <w:spacing w:after="0" w:line="255" w:lineRule="auto"/>
        <w:rPr>
          <w:sz w:val="20"/>
          <w:szCs w:val="20"/>
          <w:color w:val="auto"/>
        </w:rPr>
      </w:pPr>
      <w:r>
        <w:rPr>
          <w:rFonts w:ascii="Times New Roman" w:cs="Times New Roman" w:eastAsia="Times New Roman" w:hAnsi="Times New Roman"/>
          <w:sz w:val="18"/>
          <w:szCs w:val="18"/>
          <w:color w:val="auto"/>
        </w:rPr>
        <w:t>We define “buyers” as individuals who have placed an order to purchase custom-manufactured, on-demand parts or assemblies on our marketplace. Our buyers include engineers, product designers, procurement and supply chain personnel, inventors, entrepreneurs and business owners from businesses of a variety of sizes, ranging from self-funded start-ups to Fortune 100 companies. We define “accounts” as an individual entity, such as a sole proprietor with a single buyer or corporate entities with multiple buyers, having purchased at least one part on our marketplace. We define “suppliers” as individuals or businesses who have been approved by us to either manufacture a product on our platform for a buyer or have utilized our supplier services, including our financial services or the purchase of tools and materials (“our tools and materials business, which we previously referred to as our supplies business”).</w:t>
      </w:r>
    </w:p>
    <w:p>
      <w:pPr>
        <w:spacing w:after="0" w:line="79" w:lineRule="exact"/>
        <w:rPr>
          <w:sz w:val="20"/>
          <w:szCs w:val="20"/>
          <w:color w:val="auto"/>
        </w:rPr>
      </w:pPr>
    </w:p>
    <w:p>
      <w:pPr>
        <w:ind w:right="160" w:firstLine="637"/>
        <w:spacing w:after="0" w:line="254" w:lineRule="auto"/>
        <w:rPr>
          <w:sz w:val="20"/>
          <w:szCs w:val="20"/>
          <w:color w:val="auto"/>
        </w:rPr>
      </w:pPr>
      <w:r>
        <w:rPr>
          <w:rFonts w:ascii="Times New Roman" w:cs="Times New Roman" w:eastAsia="Times New Roman" w:hAnsi="Times New Roman"/>
          <w:sz w:val="18"/>
          <w:szCs w:val="18"/>
          <w:color w:val="auto"/>
        </w:rPr>
        <w:t>The majority of our revenue is derived from the sale of part(s) and assemblies to our customers on our marketplace, which we refer to as marketplace revenue. The suppliers on our platform offer a diversified and expanding mix of manufacturing processes. These manufacturing processes include computer numerical control (“CNC”) manufacturing, sheet metal forming, sheet cutting, 3D printing (including fused deposition modeling, direct metal laser sintering, PolyJet, stereolithography, selective laser sintering, binder jetting, carbon digital light synthesis, multi jet fusion and lubricant sublayer photo-curing), die casting, stamping, injection molding, urethane casting, tube cutting, tube bending, as well as finishing services, rapid prototyping and high-volume production. Xometry's extensible technology platform allows the Company to add new technologies and processes to gain more wallet share with our buyers. We enable buyers to source these processes to meet complex and specific design and order needs across several industries, including Aerospace, Healthcare, Robotics, Industrial, Defense, Energy, Automotive, Government, Education and Consumer Goods.</w:t>
      </w:r>
    </w:p>
    <w:p>
      <w:pPr>
        <w:spacing w:after="0" w:line="81" w:lineRule="exact"/>
        <w:rPr>
          <w:sz w:val="20"/>
          <w:szCs w:val="20"/>
          <w:color w:val="auto"/>
        </w:rPr>
      </w:pPr>
    </w:p>
    <w:p>
      <w:pPr>
        <w:jc w:val="both"/>
        <w:ind w:right="100" w:firstLine="637"/>
        <w:spacing w:after="0" w:line="265" w:lineRule="auto"/>
        <w:rPr>
          <w:sz w:val="20"/>
          <w:szCs w:val="20"/>
          <w:color w:val="auto"/>
        </w:rPr>
      </w:pPr>
      <w:r>
        <w:rPr>
          <w:rFonts w:ascii="Times New Roman" w:cs="Times New Roman" w:eastAsia="Times New Roman" w:hAnsi="Times New Roman"/>
          <w:sz w:val="18"/>
          <w:szCs w:val="18"/>
          <w:color w:val="auto"/>
        </w:rPr>
        <w:t>We empower suppliers to grow their manufacturing businesses and improve machine uptime by providing access to an extensive, diverse base of buyers. We also offer suppliers supporting products and services to meet their unique needs. Through Thomasnet, a leading industrial sourcing platform in North America, we offer suppliers an array of digital advertising and marketing</w:t>
      </w:r>
    </w:p>
    <w:p>
      <w:pPr>
        <w:spacing w:after="0" w:line="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97"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services and data solutions. In addition, our suite of supplier services includes financial service products to stabilize and enhance cash flow and a cloud-based manufacturing execution system (“Workcenter”) to help suppliers optimize their productivity.</w:t>
      </w:r>
    </w:p>
    <w:p>
      <w:pPr>
        <w:spacing w:after="0" w:line="55" w:lineRule="exact"/>
        <w:rPr>
          <w:sz w:val="20"/>
          <w:szCs w:val="20"/>
          <w:color w:val="auto"/>
        </w:rPr>
      </w:pPr>
    </w:p>
    <w:p>
      <w:pPr>
        <w:ind w:right="120" w:firstLine="637"/>
        <w:spacing w:after="0" w:line="265" w:lineRule="auto"/>
        <w:rPr>
          <w:sz w:val="20"/>
          <w:szCs w:val="20"/>
          <w:color w:val="auto"/>
        </w:rPr>
      </w:pPr>
      <w:r>
        <w:rPr>
          <w:rFonts w:ascii="Times New Roman" w:cs="Times New Roman" w:eastAsia="Times New Roman" w:hAnsi="Times New Roman"/>
          <w:sz w:val="18"/>
          <w:szCs w:val="18"/>
          <w:color w:val="auto"/>
        </w:rPr>
        <w:t>In 2021, we acquired Thomas Publishing Company and its subsidiaries (collectively, “Thomas”) and Fusiform, Inc. (d/b/a FactoryFour), expanding our basket of supplier services to include advertising and marketing services and Workcenter to help suppliers optimize their productivity. Our revenue from Thomas is primarily advertising revenue.</w:t>
      </w:r>
    </w:p>
    <w:p>
      <w:pPr>
        <w:spacing w:after="0" w:line="69" w:lineRule="exact"/>
        <w:rPr>
          <w:sz w:val="20"/>
          <w:szCs w:val="20"/>
          <w:color w:val="auto"/>
        </w:rPr>
      </w:pPr>
    </w:p>
    <w:p>
      <w:pPr>
        <w:ind w:right="660" w:firstLine="637"/>
        <w:spacing w:after="0" w:line="281" w:lineRule="auto"/>
        <w:rPr>
          <w:sz w:val="20"/>
          <w:szCs w:val="20"/>
          <w:color w:val="auto"/>
        </w:rPr>
      </w:pPr>
      <w:r>
        <w:rPr>
          <w:rFonts w:ascii="Times New Roman" w:cs="Times New Roman" w:eastAsia="Times New Roman" w:hAnsi="Times New Roman"/>
          <w:sz w:val="18"/>
          <w:szCs w:val="18"/>
          <w:color w:val="auto"/>
        </w:rPr>
        <w:t>On January 2, 2023, we acquired Tridi Teknoloj A.S. (“Tridi”) located in Istanbul, Türkiye pursuant to a Share Purchase Agreement. The acquisition of Tridi extends our marketplace capabilities in Europe and provides us access to the Turkish market.</w:t>
      </w:r>
    </w:p>
    <w:p>
      <w:pPr>
        <w:spacing w:after="0" w:line="55" w:lineRule="exact"/>
        <w:rPr>
          <w:sz w:val="20"/>
          <w:szCs w:val="20"/>
          <w:color w:val="auto"/>
        </w:rPr>
      </w:pPr>
    </w:p>
    <w:p>
      <w:pPr>
        <w:ind w:firstLine="637"/>
        <w:spacing w:after="0" w:line="260" w:lineRule="auto"/>
        <w:rPr>
          <w:sz w:val="20"/>
          <w:szCs w:val="20"/>
          <w:color w:val="auto"/>
        </w:rPr>
      </w:pPr>
      <w:r>
        <w:rPr>
          <w:rFonts w:ascii="Times New Roman" w:cs="Times New Roman" w:eastAsia="Times New Roman" w:hAnsi="Times New Roman"/>
          <w:sz w:val="18"/>
          <w:szCs w:val="18"/>
          <w:color w:val="auto"/>
        </w:rPr>
        <w:t>Unfavorable conditions in the economy both in the United States and abroad may negatively affect the growth of our business and our results of operations. For example, macroeconomic events, fluctuations in inflation, the Russia-Ukraine war, conflict in the Middle East and other geopolitical tensions, have led to economic uncertainty globally. Historically, during periods of economic uncertainty and downturns, businesses may slow spending on information technology and manufacturing, which may impact our business and our customers’ businesses.</w:t>
      </w:r>
    </w:p>
    <w:p>
      <w:pPr>
        <w:spacing w:after="0" w:line="74" w:lineRule="exact"/>
        <w:rPr>
          <w:sz w:val="20"/>
          <w:szCs w:val="20"/>
          <w:color w:val="auto"/>
        </w:rPr>
      </w:pPr>
    </w:p>
    <w:p>
      <w:pPr>
        <w:ind w:right="100" w:firstLine="637"/>
        <w:spacing w:after="0" w:line="260" w:lineRule="auto"/>
        <w:rPr>
          <w:sz w:val="20"/>
          <w:szCs w:val="20"/>
          <w:color w:val="auto"/>
        </w:rPr>
      </w:pPr>
      <w:r>
        <w:rPr>
          <w:rFonts w:ascii="Times New Roman" w:cs="Times New Roman" w:eastAsia="Times New Roman" w:hAnsi="Times New Roman"/>
          <w:sz w:val="18"/>
          <w:szCs w:val="18"/>
          <w:color w:val="auto"/>
        </w:rPr>
        <w:t>The effect of macroeconomic conditions may not be fully reflected in our results of operations until future periods. If, however, economic uncertainty increases or the global economy worsens, our business, financial condition and results of operations may be harmed. For further discussion of the potential impacts of macroeconomic events on our business, financial condition, and operating results, see the section titled “Risk Factors” in our Annual Report on Form 10-K for the year ended December 31, 2023.</w:t>
      </w:r>
    </w:p>
    <w:p>
      <w:pPr>
        <w:spacing w:after="0" w:line="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8" w:right="4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Key Marketplace Operational and Business Metrics</w:t>
      </w:r>
    </w:p>
    <w:p>
      <w:pPr>
        <w:spacing w:after="0" w:line="229" w:lineRule="exact"/>
        <w:rPr>
          <w:sz w:val="20"/>
          <w:szCs w:val="20"/>
          <w:color w:val="auto"/>
        </w:rPr>
      </w:pPr>
    </w:p>
    <w:p>
      <w:pPr>
        <w:ind w:right="40" w:firstLine="644"/>
        <w:spacing w:after="0" w:line="265" w:lineRule="auto"/>
        <w:rPr>
          <w:sz w:val="20"/>
          <w:szCs w:val="20"/>
          <w:color w:val="auto"/>
        </w:rPr>
      </w:pPr>
      <w:r>
        <w:rPr>
          <w:rFonts w:ascii="Times New Roman" w:cs="Times New Roman" w:eastAsia="Times New Roman" w:hAnsi="Times New Roman"/>
          <w:sz w:val="18"/>
          <w:szCs w:val="18"/>
          <w:color w:val="auto"/>
        </w:rPr>
        <w:t>In addition to the measures presented in our condensed consolidated financial statements included elsewhere in this Quarterly Report on Form 10-Q, we use the following key operational and business metrics to help us evaluate our marketplace business, measure our performance, identify trends affecting our business, formulate business plans and develop forecasts, and make strategic decisions: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Active Buyers</w:t>
      </w:r>
    </w:p>
    <w:p>
      <w:pPr>
        <w:spacing w:after="0" w:line="121" w:lineRule="exact"/>
        <w:rPr>
          <w:sz w:val="20"/>
          <w:szCs w:val="20"/>
          <w:color w:val="auto"/>
        </w:rPr>
      </w:pPr>
    </w:p>
    <w:p>
      <w:pPr>
        <w:ind w:right="360" w:firstLine="637"/>
        <w:spacing w:after="0" w:line="281" w:lineRule="auto"/>
        <w:rPr>
          <w:sz w:val="20"/>
          <w:szCs w:val="20"/>
          <w:color w:val="auto"/>
        </w:rPr>
      </w:pPr>
      <w:r>
        <w:rPr>
          <w:rFonts w:ascii="Times New Roman" w:cs="Times New Roman" w:eastAsia="Times New Roman" w:hAnsi="Times New Roman"/>
          <w:sz w:val="18"/>
          <w:szCs w:val="18"/>
          <w:color w:val="auto"/>
        </w:rPr>
        <w:t>We define Active Buyers as the number of buyers who have made at least one purchase on our marketplace during the last twelve months. An increase or decrease in the number of Active Buyers is a key indicator of our ability to attract, retain and engage buyers on our platform.</w:t>
      </w:r>
    </w:p>
    <w:p>
      <w:pPr>
        <w:spacing w:after="0" w:line="163" w:lineRule="exact"/>
        <w:rPr>
          <w:sz w:val="20"/>
          <w:szCs w:val="20"/>
          <w:color w:val="auto"/>
        </w:rPr>
      </w:pPr>
    </w:p>
    <w:p>
      <w:pPr>
        <w:ind w:right="20" w:firstLine="644"/>
        <w:spacing w:after="0" w:line="265" w:lineRule="auto"/>
        <w:rPr>
          <w:sz w:val="20"/>
          <w:szCs w:val="20"/>
          <w:color w:val="auto"/>
        </w:rPr>
      </w:pPr>
      <w:r>
        <w:rPr>
          <w:rFonts w:ascii="Times New Roman" w:cs="Times New Roman" w:eastAsia="Times New Roman" w:hAnsi="Times New Roman"/>
          <w:sz w:val="18"/>
          <w:szCs w:val="18"/>
          <w:color w:val="auto"/>
        </w:rPr>
        <w:t>Active Buyers has consistently grown over time. The number of Active Buyers on our platform reached 64,851 as of September 30, 2024, up 24% from 52,382 as of September 30, 2023. The key drivers of Active Buyer growth are continued account and buyer engagement and the success of our strategy to attract new buyers.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1700530</wp:posOffset>
            </wp:positionH>
            <wp:positionV relativeFrom="paragraph">
              <wp:posOffset>141605</wp:posOffset>
            </wp:positionV>
            <wp:extent cx="3742055" cy="41357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742055" cy="413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Percentage of Revenue from Existing Accounts</w:t>
      </w:r>
    </w:p>
    <w:p>
      <w:pPr>
        <w:spacing w:after="0" w:line="121" w:lineRule="exact"/>
        <w:rPr>
          <w:sz w:val="20"/>
          <w:szCs w:val="20"/>
          <w:color w:val="auto"/>
        </w:rPr>
      </w:pPr>
    </w:p>
    <w:p>
      <w:pPr>
        <w:ind w:firstLine="637"/>
        <w:spacing w:after="0" w:line="256" w:lineRule="auto"/>
        <w:rPr>
          <w:sz w:val="20"/>
          <w:szCs w:val="20"/>
          <w:color w:val="auto"/>
        </w:rPr>
      </w:pPr>
      <w:r>
        <w:rPr>
          <w:rFonts w:ascii="Times New Roman" w:cs="Times New Roman" w:eastAsia="Times New Roman" w:hAnsi="Times New Roman"/>
          <w:sz w:val="18"/>
          <w:szCs w:val="18"/>
          <w:color w:val="auto"/>
        </w:rPr>
        <w:t>We define an existing account as an account where at least one buyer has made a purchase on our marketplace. We believe the efficiency and transparency of our business model leads to increasing account stickiness and spend over time. Buyers can utilize our marketplace for both one-off and recurring manufacturing opportunities. For example, a buyer may choose to utilize our marketplace’s CNC manufacturing processes to manufacture a discrete component for a prototype, and then may choose to later use our marketplace to mass produce that same component. A buyer may also recommend our marketplace to other engineers within their organizations who are designing other products and who may use an entirely different set of manufacturing processes, deepening our reach and stickiness with an account.</w:t>
      </w:r>
    </w:p>
    <w:p>
      <w:pPr>
        <w:spacing w:after="0" w:line="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5" w:lineRule="exact"/>
        <w:rPr>
          <w:sz w:val="20"/>
          <w:szCs w:val="20"/>
          <w:color w:val="auto"/>
        </w:rPr>
      </w:pPr>
    </w:p>
    <w:p>
      <w:pPr>
        <w:ind w:right="400" w:firstLine="644"/>
        <w:spacing w:after="0" w:line="281" w:lineRule="auto"/>
        <w:rPr>
          <w:sz w:val="20"/>
          <w:szCs w:val="20"/>
          <w:color w:val="auto"/>
        </w:rPr>
      </w:pPr>
      <w:r>
        <w:rPr>
          <w:rFonts w:ascii="Times New Roman" w:cs="Times New Roman" w:eastAsia="Times New Roman" w:hAnsi="Times New Roman"/>
          <w:sz w:val="18"/>
          <w:szCs w:val="18"/>
          <w:color w:val="auto"/>
        </w:rPr>
        <w:t>For the quarter ended September 30, 2024, 97% of our revenue was generated from existing accounts. We believe the repeat purchase activity from existing accounts reflects the underlying strength of our business and provides us with substantial revenue visibility and predictability.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252095</wp:posOffset>
            </wp:positionV>
            <wp:extent cx="5942330" cy="33223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942330" cy="3322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with Last Twelve-Month Spend of At Least $50,000</w:t>
      </w:r>
    </w:p>
    <w:p>
      <w:pPr>
        <w:spacing w:after="0" w:line="121" w:lineRule="exact"/>
        <w:rPr>
          <w:sz w:val="20"/>
          <w:szCs w:val="20"/>
          <w:color w:val="auto"/>
        </w:rPr>
      </w:pPr>
    </w:p>
    <w:p>
      <w:pPr>
        <w:ind w:firstLine="644"/>
        <w:spacing w:after="0" w:line="260" w:lineRule="auto"/>
        <w:rPr>
          <w:sz w:val="20"/>
          <w:szCs w:val="20"/>
          <w:color w:val="auto"/>
        </w:rPr>
      </w:pPr>
      <w:r>
        <w:rPr>
          <w:rFonts w:ascii="Times New Roman" w:cs="Times New Roman" w:eastAsia="Times New Roman" w:hAnsi="Times New Roman"/>
          <w:sz w:val="18"/>
          <w:szCs w:val="18"/>
          <w:color w:val="auto"/>
        </w:rPr>
        <w:t>Accounts with Last Twelve-Month, or LTM, Spend of At Least $50,000 means an account that has spent at least $50,000 on our marketplace in the most recent twelve-month period. We view the acquisition of an account as a foundation for the addition of long-term buyers to our marketplace. Once an account joins our platform, we aim to expand the relationship and increase engagement and spending activities from that account over time. The number of accounts with LTM Spend of at least $50,000 on our platform reached 1,506 as of September 30, 2024, up 23% from 1,223 as of September 30, 2023.</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128895" cy="41611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128895" cy="416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Active Paying Suppliers</w:t>
      </w:r>
    </w:p>
    <w:p>
      <w:pPr>
        <w:spacing w:after="0" w:line="121" w:lineRule="exact"/>
        <w:rPr>
          <w:sz w:val="20"/>
          <w:szCs w:val="20"/>
          <w:color w:val="auto"/>
        </w:rPr>
      </w:pPr>
    </w:p>
    <w:p>
      <w:pPr>
        <w:ind w:right="60" w:firstLine="637"/>
        <w:spacing w:after="0" w:line="265" w:lineRule="auto"/>
        <w:rPr>
          <w:sz w:val="20"/>
          <w:szCs w:val="20"/>
          <w:color w:val="auto"/>
        </w:rPr>
      </w:pPr>
      <w:r>
        <w:rPr>
          <w:rFonts w:ascii="Times New Roman" w:cs="Times New Roman" w:eastAsia="Times New Roman" w:hAnsi="Times New Roman"/>
          <w:sz w:val="18"/>
          <w:szCs w:val="18"/>
          <w:color w:val="auto"/>
        </w:rPr>
        <w:t>We define Active Paying Suppliers as individuals or businesses who have purchased one or more of our supplier services, including digital marketing services, data services, financial services or tools and materials, on our platforms during the last twelve months. An increase or decrease in the number of Active Paying Suppliers is a key indicator of our ability to engage suppliers on our platform.</w:t>
      </w:r>
    </w:p>
    <w:p>
      <w:pPr>
        <w:spacing w:after="0" w:line="69" w:lineRule="exact"/>
        <w:rPr>
          <w:sz w:val="20"/>
          <w:szCs w:val="20"/>
          <w:color w:val="auto"/>
        </w:rPr>
      </w:pPr>
    </w:p>
    <w:p>
      <w:pPr>
        <w:ind w:right="120" w:firstLine="637"/>
        <w:spacing w:after="0" w:line="265" w:lineRule="auto"/>
        <w:rPr>
          <w:sz w:val="20"/>
          <w:szCs w:val="20"/>
          <w:color w:val="auto"/>
        </w:rPr>
      </w:pPr>
      <w:r>
        <w:rPr>
          <w:rFonts w:ascii="Times New Roman" w:cs="Times New Roman" w:eastAsia="Times New Roman" w:hAnsi="Times New Roman"/>
          <w:sz w:val="18"/>
          <w:szCs w:val="18"/>
          <w:color w:val="auto"/>
        </w:rPr>
        <w:t>Active Paying Suppliers has changed over time. The number of Active Paying Suppliers on our platform was 6,762 as of September 30, 2024, down 9% from 7,415 as of September 30, 2023. The decline during the quarter ended September 30, 2024 is primarily due to our exit from the tools and materials business and the wind down of Thomas non-core services.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ind w:firstLine="637"/>
        <w:spacing w:after="0" w:line="254" w:lineRule="auto"/>
        <w:rPr>
          <w:sz w:val="20"/>
          <w:szCs w:val="20"/>
          <w:color w:val="auto"/>
        </w:rPr>
      </w:pPr>
      <w:r>
        <w:rPr>
          <w:rFonts w:ascii="Times New Roman" w:cs="Times New Roman" w:eastAsia="Times New Roman" w:hAnsi="Times New Roman"/>
          <w:sz w:val="18"/>
          <w:szCs w:val="18"/>
          <w:color w:val="auto"/>
        </w:rPr>
        <w:t>We define Adjusted EBITDA as net loss, adjusted for interest expense, interest and dividend income, other expenses, provision for income taxes, and certain other non-cash or non-recurring items impacting net loss from time to time, principally comprised of depreciation and amortization, amortization of lease intangible, stock-based compensation, payroll tax expense related to stock-based compensation, lease abandonment, charitable contributions of common stock, income from an unconsolidated joint venture, impairment of assets, restructuring charges, costs to exit the tools and materials business and acquisition and other adjustments not reflective of our ongoing business, such as adjustments related to purchase accounting, the revaluation of contingent consideration, transaction costs and executive severance. Adjusted EBITDA is a performance measure that we use to assess our operating performance and the operating leverage in our business. Adjusted EBITDA Margin is calculated by dividing Adjusted EBITDA for a period by revenue for the same period.</w:t>
      </w:r>
    </w:p>
    <w:p>
      <w:pPr>
        <w:spacing w:after="0" w:line="200" w:lineRule="exact"/>
        <w:rPr>
          <w:sz w:val="20"/>
          <w:szCs w:val="20"/>
          <w:color w:val="auto"/>
        </w:rPr>
      </w:pPr>
    </w:p>
    <w:p>
      <w:pPr>
        <w:spacing w:after="0" w:line="2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768" w:right="4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6"/>
                <w:szCs w:val="16"/>
                <w:color w:val="auto"/>
              </w:rPr>
            </w:pPr>
          </w:p>
        </w:tc>
        <w:tc>
          <w:tcPr>
            <w:tcW w:w="264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54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(10,199 )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(12,010 )</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(40,507 )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(56,912 )</w:t>
            </w:r>
          </w:p>
        </w:tc>
      </w:tr>
      <w:tr>
        <w:trPr>
          <w:trHeight w:val="238"/>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(deduct)</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 interest and dividend income and other expenses</w:t>
            </w:r>
          </w:p>
        </w:tc>
        <w:tc>
          <w:tcPr>
            <w:tcW w:w="1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(1,150 )</w:t>
            </w:r>
          </w:p>
        </w:tc>
        <w:tc>
          <w:tcPr>
            <w:tcW w:w="3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(1,192 )</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(3,647 )</w:t>
            </w:r>
          </w:p>
        </w:tc>
        <w:tc>
          <w:tcPr>
            <w:tcW w:w="2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(3,896 )</w:t>
            </w:r>
          </w:p>
        </w:tc>
      </w:tr>
      <w:tr>
        <w:trPr>
          <w:trHeight w:val="238"/>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9,622</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7,939</w:t>
            </w:r>
          </w:p>
        </w:tc>
        <w:tc>
          <w:tcPr>
            <w:tcW w:w="100" w:type="dxa"/>
            <w:vAlign w:val="bottom"/>
          </w:tcPr>
          <w:p>
            <w:pPr>
              <w:spacing w:after="0"/>
              <w:rPr>
                <w:sz w:val="20"/>
                <w:szCs w:val="20"/>
                <w:color w:val="auto"/>
              </w:rPr>
            </w:pPr>
          </w:p>
        </w:tc>
      </w:tr>
      <w:tr>
        <w:trPr>
          <w:trHeight w:val="247"/>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lease intangible</w:t>
            </w: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shd w:val="clear" w:color="auto" w:fill="CFF0FC"/>
          </w:tcPr>
          <w:p>
            <w:pPr>
              <w:spacing w:after="0"/>
              <w:rPr>
                <w:sz w:val="21"/>
                <w:szCs w:val="21"/>
                <w:color w:val="auto"/>
              </w:rPr>
            </w:pPr>
          </w:p>
        </w:tc>
      </w:tr>
      <w:tr>
        <w:trPr>
          <w:trHeight w:val="238"/>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20"/>
                <w:szCs w:val="20"/>
                <w:color w:val="auto"/>
              </w:rPr>
            </w:pPr>
          </w:p>
        </w:tc>
      </w:tr>
      <w:tr>
        <w:trPr>
          <w:trHeight w:val="247"/>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6,954</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5,730</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21,115</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16,222</w:t>
            </w:r>
          </w:p>
        </w:tc>
        <w:tc>
          <w:tcPr>
            <w:tcW w:w="100" w:type="dxa"/>
            <w:vAlign w:val="bottom"/>
            <w:shd w:val="clear" w:color="auto" w:fill="CFF0FC"/>
          </w:tcPr>
          <w:p>
            <w:pPr>
              <w:spacing w:after="0"/>
              <w:rPr>
                <w:sz w:val="21"/>
                <w:szCs w:val="21"/>
                <w:color w:val="auto"/>
              </w:rPr>
            </w:pPr>
          </w:p>
        </w:tc>
      </w:tr>
      <w:tr>
        <w:trPr>
          <w:trHeight w:val="243"/>
        </w:trPr>
        <w:tc>
          <w:tcPr>
            <w:tcW w:w="54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Payroll tax expense related to stock-based compensation</w:t>
            </w:r>
            <w:r>
              <w:rPr>
                <w:rFonts w:ascii="Times New Roman" w:cs="Times New Roman" w:eastAsia="Times New Roman" w:hAnsi="Times New Roman"/>
                <w:sz w:val="24"/>
                <w:szCs w:val="24"/>
                <w:color w:val="auto"/>
                <w:vertAlign w:val="superscript"/>
              </w:rPr>
              <w:t>(1)</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abandonment</w:t>
            </w:r>
          </w:p>
        </w:tc>
        <w:tc>
          <w:tcPr>
            <w:tcW w:w="1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1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8,706</w:t>
            </w:r>
          </w:p>
        </w:tc>
        <w:tc>
          <w:tcPr>
            <w:tcW w:w="100" w:type="dxa"/>
            <w:vAlign w:val="bottom"/>
            <w:shd w:val="clear" w:color="auto" w:fill="CFF0FC"/>
          </w:tcPr>
          <w:p>
            <w:pPr>
              <w:spacing w:after="0"/>
              <w:rPr>
                <w:sz w:val="21"/>
                <w:szCs w:val="21"/>
                <w:color w:val="auto"/>
              </w:rPr>
            </w:pPr>
          </w:p>
        </w:tc>
      </w:tr>
      <w:tr>
        <w:trPr>
          <w:trHeight w:val="238"/>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and other</w:t>
            </w:r>
          </w:p>
        </w:tc>
        <w:tc>
          <w:tcPr>
            <w:tcW w:w="18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20"/>
                <w:szCs w:val="20"/>
                <w:color w:val="auto"/>
              </w:rPr>
            </w:pPr>
          </w:p>
        </w:tc>
      </w:tr>
      <w:tr>
        <w:trPr>
          <w:trHeight w:val="247"/>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Charitable contribution of common stock</w:t>
            </w: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shd w:val="clear" w:color="auto" w:fill="CFF0FC"/>
          </w:tcPr>
          <w:p>
            <w:pPr>
              <w:spacing w:after="0"/>
              <w:rPr>
                <w:sz w:val="21"/>
                <w:szCs w:val="21"/>
                <w:color w:val="auto"/>
              </w:rPr>
            </w:pPr>
          </w:p>
        </w:tc>
      </w:tr>
      <w:tr>
        <w:trPr>
          <w:trHeight w:val="238"/>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unconsolidated joint venture</w:t>
            </w:r>
          </w:p>
        </w:tc>
        <w:tc>
          <w:tcPr>
            <w:tcW w:w="18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(162 )</w:t>
            </w:r>
          </w:p>
        </w:tc>
        <w:tc>
          <w:tcPr>
            <w:tcW w:w="3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(493 )</w:t>
            </w:r>
          </w:p>
        </w:tc>
        <w:tc>
          <w:tcPr>
            <w:tcW w:w="28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(437 )</w:t>
            </w:r>
          </w:p>
        </w:tc>
      </w:tr>
      <w:tr>
        <w:trPr>
          <w:trHeight w:val="247"/>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Impairment of assets</w:t>
            </w:r>
          </w:p>
        </w:tc>
        <w:tc>
          <w:tcPr>
            <w:tcW w:w="1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shd w:val="clear" w:color="auto" w:fill="CFF0FC"/>
          </w:tcPr>
          <w:p>
            <w:pPr>
              <w:spacing w:after="0"/>
              <w:rPr>
                <w:sz w:val="21"/>
                <w:szCs w:val="21"/>
                <w:color w:val="auto"/>
              </w:rPr>
            </w:pPr>
          </w:p>
        </w:tc>
      </w:tr>
      <w:tr>
        <w:trPr>
          <w:trHeight w:val="238"/>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w:t>
            </w:r>
          </w:p>
        </w:tc>
        <w:tc>
          <w:tcPr>
            <w:tcW w:w="18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Pr>
          <w:p>
            <w:pPr>
              <w:spacing w:after="0"/>
              <w:rPr>
                <w:sz w:val="20"/>
                <w:szCs w:val="20"/>
                <w:color w:val="auto"/>
              </w:rPr>
            </w:pPr>
          </w:p>
        </w:tc>
      </w:tr>
      <w:tr>
        <w:trPr>
          <w:trHeight w:val="243"/>
        </w:trPr>
        <w:tc>
          <w:tcPr>
            <w:tcW w:w="5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Costs to exit the tools and materials business</w:t>
            </w:r>
          </w:p>
        </w:tc>
        <w:tc>
          <w:tcPr>
            <w:tcW w:w="1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gridSpan w:val="2"/>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(632 )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(4,215 )</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(10,725 )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(24,640 )</w:t>
            </w:r>
          </w:p>
        </w:tc>
      </w:tr>
      <w:tr>
        <w:trPr>
          <w:trHeight w:val="20"/>
        </w:trPr>
        <w:tc>
          <w:tcPr>
            <w:tcW w:w="5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4243705</wp:posOffset>
            </wp:positionH>
            <wp:positionV relativeFrom="paragraph">
              <wp:posOffset>-187960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-187960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-187960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right="160" w:firstLine="8"/>
        <w:spacing w:after="0" w:line="260" w:lineRule="auto"/>
        <w:tabs>
          <w:tab w:leader="none" w:pos="216"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second quarter of 2024, we changed the definition of Adjusted EBITDA to exclude payroll tax expense related to stock-based compensation. For prior periods, this amount was considered de minimis and, accordingly, we have not adjusted the Adjusted EBITDA amounts for such periods.</w:t>
      </w:r>
    </w:p>
    <w:p>
      <w:pPr>
        <w:spacing w:after="0" w:line="57" w:lineRule="exact"/>
        <w:rPr>
          <w:sz w:val="20"/>
          <w:szCs w:val="20"/>
          <w:color w:val="auto"/>
        </w:rPr>
      </w:pPr>
    </w:p>
    <w:p>
      <w:pPr>
        <w:ind w:right="120" w:firstLine="644"/>
        <w:spacing w:after="0" w:line="260" w:lineRule="auto"/>
        <w:rPr>
          <w:sz w:val="20"/>
          <w:szCs w:val="20"/>
          <w:color w:val="auto"/>
        </w:rPr>
      </w:pPr>
      <w:r>
        <w:rPr>
          <w:rFonts w:ascii="Times New Roman" w:cs="Times New Roman" w:eastAsia="Times New Roman" w:hAnsi="Times New Roman"/>
          <w:sz w:val="18"/>
          <w:szCs w:val="18"/>
          <w:color w:val="auto"/>
        </w:rPr>
        <w:t>For the three months ended September 30, 2024, Adjusted EBITDA loss was $(0.6) million, as compared to Adjusted EBITDA loss of $(4.2) million for the same quarter in 2023. For the quarter ended September 30, 2024, Adjusted EBITDA Margin was (0.4)% of revenue, as compared to (3.5)% of revenue for the same quarter in 2023, driven primarily by increased operating efficiencies as we continue to grow our revenue and margins faster than our expenses.</w:t>
      </w:r>
    </w:p>
    <w:p>
      <w:pPr>
        <w:spacing w:after="0" w:line="74" w:lineRule="exact"/>
        <w:rPr>
          <w:sz w:val="20"/>
          <w:szCs w:val="20"/>
          <w:color w:val="auto"/>
        </w:rPr>
      </w:pPr>
    </w:p>
    <w:p>
      <w:pPr>
        <w:ind w:right="120" w:firstLine="644"/>
        <w:spacing w:after="0" w:line="260" w:lineRule="auto"/>
        <w:rPr>
          <w:sz w:val="20"/>
          <w:szCs w:val="20"/>
          <w:color w:val="auto"/>
        </w:rPr>
      </w:pPr>
      <w:r>
        <w:rPr>
          <w:rFonts w:ascii="Times New Roman" w:cs="Times New Roman" w:eastAsia="Times New Roman" w:hAnsi="Times New Roman"/>
          <w:sz w:val="18"/>
          <w:szCs w:val="18"/>
          <w:color w:val="auto"/>
        </w:rPr>
        <w:t>For the nine months ended September 30, 2024, Adjusted EBITDA loss was $(10.7) million, as compared to Adjusted EBITDA loss of $(24.6) million for the same period in 2023. For the nine months ended September 30, 2024, Adjusted EBITDA Margin was (2.7)% of revenue, as compared to (7.3)% of revenue for the same period in 2023, driven primarily by increased operating efficiencies as we continue to grow our revenue and margins faster than our expenses.</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Net Income (Loss)</w:t>
      </w:r>
    </w:p>
    <w:p>
      <w:pPr>
        <w:spacing w:after="0" w:line="121" w:lineRule="exact"/>
        <w:rPr>
          <w:sz w:val="20"/>
          <w:szCs w:val="20"/>
          <w:color w:val="auto"/>
        </w:rPr>
      </w:pPr>
    </w:p>
    <w:p>
      <w:pPr>
        <w:ind w:right="20" w:firstLine="689"/>
        <w:spacing w:after="0" w:line="254" w:lineRule="auto"/>
        <w:rPr>
          <w:sz w:val="20"/>
          <w:szCs w:val="20"/>
          <w:color w:val="auto"/>
        </w:rPr>
      </w:pPr>
      <w:r>
        <w:rPr>
          <w:rFonts w:ascii="Times New Roman" w:cs="Times New Roman" w:eastAsia="Times New Roman" w:hAnsi="Times New Roman"/>
          <w:sz w:val="18"/>
          <w:szCs w:val="18"/>
          <w:color w:val="auto"/>
        </w:rPr>
        <w:t>We define Non-GAAP net income (loss), as net income (loss) adjusted for depreciation and amortization, stock-based compensation, payroll tax expense related to stock-based compensation, amortization of lease intangible, amortization of deferred costs on convertible notes, loss (gain) on sale of property and equipment, charitable contributions of common stock, lease abandonment and termination, impairment of assets, restructuring charges, costs to exit the tools and materials business and acquisition and other adjustments not reflective of our ongoing business, such as adjustments related to purchase accounting, the revaluation of contingent consideration, transaction costs and executive severance.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260" w:type="dxa"/>
            <w:vAlign w:val="bottom"/>
          </w:tcPr>
          <w:p>
            <w:pPr>
              <w:spacing w:after="0"/>
              <w:rPr>
                <w:sz w:val="17"/>
                <w:szCs w:val="17"/>
                <w:color w:val="auto"/>
              </w:rPr>
            </w:pPr>
          </w:p>
        </w:tc>
        <w:tc>
          <w:tcPr>
            <w:tcW w:w="248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For the Nine Months</w:t>
            </w:r>
          </w:p>
        </w:tc>
      </w:tr>
      <w:tr>
        <w:trPr>
          <w:trHeight w:val="245"/>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260" w:type="dxa"/>
            <w:vAlign w:val="bottom"/>
          </w:tcPr>
          <w:p>
            <w:pPr>
              <w:spacing w:after="0"/>
              <w:rPr>
                <w:sz w:val="21"/>
                <w:szCs w:val="21"/>
                <w:color w:val="auto"/>
              </w:rPr>
            </w:pPr>
          </w:p>
        </w:tc>
        <w:tc>
          <w:tcPr>
            <w:tcW w:w="248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Ended September 30,</w:t>
            </w:r>
          </w:p>
        </w:tc>
      </w:tr>
      <w:tr>
        <w:trPr>
          <w:trHeight w:val="238"/>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187"/>
        </w:trPr>
        <w:tc>
          <w:tcPr>
            <w:tcW w:w="20" w:type="dxa"/>
            <w:vAlign w:val="bottom"/>
          </w:tcPr>
          <w:p>
            <w:pPr>
              <w:spacing w:after="0"/>
              <w:rPr>
                <w:sz w:val="16"/>
                <w:szCs w:val="16"/>
                <w:color w:val="auto"/>
              </w:rPr>
            </w:pPr>
          </w:p>
        </w:tc>
        <w:tc>
          <w:tcPr>
            <w:tcW w:w="5620" w:type="dxa"/>
            <w:vAlign w:val="bottom"/>
            <w:gridSpan w:val="2"/>
          </w:tcPr>
          <w:p>
            <w:pPr>
              <w:spacing w:after="0" w:line="187" w:lineRule="exact"/>
              <w:rPr>
                <w:sz w:val="20"/>
                <w:szCs w:val="20"/>
                <w:color w:val="auto"/>
              </w:rPr>
            </w:pPr>
            <w:r>
              <w:rPr>
                <w:rFonts w:ascii="Times New Roman" w:cs="Times New Roman" w:eastAsia="Times New Roman" w:hAnsi="Times New Roman"/>
                <w:sz w:val="18"/>
                <w:szCs w:val="18"/>
                <w:b w:val="1"/>
                <w:bCs w:val="1"/>
                <w:color w:val="auto"/>
              </w:rPr>
              <w:t>Non-GAAP Net Income (Loss):</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2400" w:type="dxa"/>
            <w:vAlign w:val="bottom"/>
            <w:tcBorders>
              <w:top w:val="single" w:sz="8" w:color="auto"/>
            </w:tcBorders>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5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(10,199 )</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(12,010 )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(40,507 )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(56,912 )</w:t>
            </w:r>
          </w:p>
        </w:tc>
      </w:tr>
      <w:tr>
        <w:trPr>
          <w:trHeight w:val="238"/>
        </w:trPr>
        <w:tc>
          <w:tcPr>
            <w:tcW w:w="20" w:type="dxa"/>
            <w:vAlign w:val="bottom"/>
          </w:tcPr>
          <w:p>
            <w:pPr>
              <w:spacing w:after="0"/>
              <w:rPr>
                <w:sz w:val="20"/>
                <w:szCs w:val="20"/>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(deduct):</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5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9,622</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7,939</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21,115</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16,222</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5620" w:type="dxa"/>
            <w:vAlign w:val="bottom"/>
            <w:gridSpan w:val="2"/>
            <w:shd w:val="clear" w:color="auto" w:fill="CFF0FC"/>
          </w:tcPr>
          <w:p>
            <w:pPr>
              <w:spacing w:after="0" w:line="247" w:lineRule="exact"/>
              <w:rPr>
                <w:sz w:val="20"/>
                <w:szCs w:val="20"/>
                <w:color w:val="auto"/>
              </w:rPr>
            </w:pPr>
            <w:r>
              <w:rPr>
                <w:rFonts w:ascii="Times New Roman" w:cs="Times New Roman" w:eastAsia="Times New Roman" w:hAnsi="Times New Roman"/>
                <w:sz w:val="18"/>
                <w:szCs w:val="18"/>
                <w:color w:val="auto"/>
              </w:rPr>
              <w:t>Payroll tax expense related to stock-based compensation</w:t>
            </w:r>
            <w:r>
              <w:rPr>
                <w:rFonts w:ascii="Times New Roman" w:cs="Times New Roman" w:eastAsia="Times New Roman" w:hAnsi="Times New Roman"/>
                <w:sz w:val="24"/>
                <w:szCs w:val="24"/>
                <w:color w:val="auto"/>
                <w:vertAlign w:val="superscript"/>
              </w:rPr>
              <w:t>(1)</w:t>
            </w: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20" w:type="dxa"/>
            <w:vAlign w:val="bottom"/>
          </w:tcPr>
          <w:p>
            <w:pPr>
              <w:spacing w:after="0"/>
              <w:rPr>
                <w:sz w:val="20"/>
                <w:szCs w:val="20"/>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lease intangible</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5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deferred costs on convertible notes</w:t>
            </w: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and other</w:t>
            </w:r>
          </w:p>
        </w:tc>
        <w:tc>
          <w:tcPr>
            <w:tcW w:w="26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5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loss on sale of property and equipment</w:t>
            </w:r>
          </w:p>
        </w:tc>
        <w:tc>
          <w:tcPr>
            <w:tcW w:w="2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(23 )</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Charitable contribution of common stock</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5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abandonment and termination</w:t>
            </w:r>
          </w:p>
        </w:tc>
        <w:tc>
          <w:tcPr>
            <w:tcW w:w="2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8,778</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of assets</w:t>
            </w:r>
          </w:p>
        </w:tc>
        <w:tc>
          <w:tcPr>
            <w:tcW w:w="26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5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charge</w:t>
            </w:r>
          </w:p>
        </w:tc>
        <w:tc>
          <w:tcPr>
            <w:tcW w:w="2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 to exit the tools and materials business</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Pr>
          <w:p>
            <w:pPr>
              <w:spacing w:after="0"/>
              <w:rPr>
                <w:sz w:val="20"/>
                <w:szCs w:val="20"/>
                <w:color w:val="auto"/>
              </w:rPr>
            </w:pPr>
          </w:p>
        </w:tc>
      </w:tr>
      <w:tr>
        <w:trPr>
          <w:trHeight w:val="258"/>
        </w:trPr>
        <w:tc>
          <w:tcPr>
            <w:tcW w:w="20" w:type="dxa"/>
            <w:vAlign w:val="bottom"/>
            <w:shd w:val="clear" w:color="auto" w:fill="CFF0FC"/>
          </w:tcPr>
          <w:p>
            <w:pPr>
              <w:spacing w:after="0"/>
              <w:rPr>
                <w:sz w:val="22"/>
                <w:szCs w:val="22"/>
                <w:color w:val="auto"/>
              </w:rPr>
            </w:pPr>
          </w:p>
        </w:tc>
        <w:tc>
          <w:tcPr>
            <w:tcW w:w="5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Non-GAAP Net Income (Loss)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(2,562 )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(5,234 )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(18,955 )</w:t>
            </w: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2400" w:type="dxa"/>
            <w:vAlign w:val="bottom"/>
            <w:tcBorders>
              <w:top w:val="single" w:sz="8" w:color="CFF0FC"/>
            </w:tcBorders>
            <w:shd w:val="clear" w:color="auto" w:fill="CFF0FC"/>
          </w:tcPr>
          <w:p>
            <w:pPr>
              <w:spacing w:after="0" w:line="20" w:lineRule="exact"/>
              <w:rPr>
                <w:sz w:val="1"/>
                <w:szCs w:val="1"/>
                <w:color w:val="auto"/>
              </w:rPr>
            </w:pPr>
          </w:p>
        </w:tc>
        <w:tc>
          <w:tcPr>
            <w:tcW w:w="3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-24765</wp:posOffset>
            </wp:positionV>
            <wp:extent cx="7683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-7620</wp:posOffset>
            </wp:positionV>
            <wp:extent cx="7683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-24765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-7620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-24765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-7620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right="140" w:firstLine="8"/>
        <w:spacing w:after="0" w:line="260" w:lineRule="auto"/>
        <w:tabs>
          <w:tab w:leader="none" w:pos="216"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second quarter of 2024, we changed the definition of Non-GAAP Net Income (Loss) to exclude payroll tax expense related to stock-based compensation. For prior periods, this amount was considered de minimis and, accordingly, we have not adjusted the Non-GAAP Net Income (Loss) amounts for such periods.</w:t>
      </w:r>
    </w:p>
    <w:p>
      <w:pPr>
        <w:spacing w:after="0" w:line="165" w:lineRule="exact"/>
        <w:rPr>
          <w:sz w:val="20"/>
          <w:szCs w:val="20"/>
          <w:color w:val="auto"/>
        </w:rPr>
      </w:pPr>
    </w:p>
    <w:p>
      <w:pPr>
        <w:ind w:right="200" w:firstLine="644"/>
        <w:spacing w:after="0" w:line="265" w:lineRule="auto"/>
        <w:rPr>
          <w:sz w:val="20"/>
          <w:szCs w:val="20"/>
          <w:color w:val="auto"/>
        </w:rPr>
      </w:pPr>
      <w:r>
        <w:rPr>
          <w:rFonts w:ascii="Times New Roman" w:cs="Times New Roman" w:eastAsia="Times New Roman" w:hAnsi="Times New Roman"/>
          <w:sz w:val="18"/>
          <w:szCs w:val="18"/>
          <w:color w:val="auto"/>
        </w:rPr>
        <w:t>For the three months ended September 30, 2024, Non-GAAP net income was $1.1 million, as compared to Non-GAAP net loss of $(2.6) million for the same quarter in 2023. For the quarter ended September 30, 2024, Non-GAAP net income (loss) was 0.8% of revenue, as compared to (2.2)% of revenue for the same quarter in 2023.</w:t>
      </w:r>
    </w:p>
    <w:p>
      <w:pPr>
        <w:spacing w:after="0" w:line="177" w:lineRule="exact"/>
        <w:rPr>
          <w:sz w:val="20"/>
          <w:szCs w:val="20"/>
          <w:color w:val="auto"/>
        </w:rPr>
      </w:pPr>
    </w:p>
    <w:p>
      <w:pPr>
        <w:ind w:right="20" w:firstLine="644"/>
        <w:spacing w:after="0" w:line="265" w:lineRule="auto"/>
        <w:rPr>
          <w:sz w:val="20"/>
          <w:szCs w:val="20"/>
          <w:color w:val="auto"/>
        </w:rPr>
      </w:pPr>
      <w:r>
        <w:rPr>
          <w:rFonts w:ascii="Times New Roman" w:cs="Times New Roman" w:eastAsia="Times New Roman" w:hAnsi="Times New Roman"/>
          <w:sz w:val="18"/>
          <w:szCs w:val="18"/>
          <w:color w:val="auto"/>
        </w:rPr>
        <w:t>For the nine months ended September 30, 2024, Non-GAAP net loss was $(5.2) million, as compared to Non-GAAP net loss of $(19.0) million for the same period in 2023. For the nine months ended September 30, 2024, Non-GAAP net loss was (1.3)% of revenue, as compared to (5.7)% of revenue for the same period in 2023.</w:t>
      </w:r>
    </w:p>
    <w:p>
      <w:pPr>
        <w:spacing w:after="0" w:line="177" w:lineRule="exact"/>
        <w:rPr>
          <w:sz w:val="20"/>
          <w:szCs w:val="20"/>
          <w:color w:val="auto"/>
        </w:rPr>
      </w:pPr>
    </w:p>
    <w:p>
      <w:pPr>
        <w:ind w:right="40" w:firstLine="644"/>
        <w:spacing w:after="0" w:line="255" w:lineRule="auto"/>
        <w:rPr>
          <w:sz w:val="20"/>
          <w:szCs w:val="20"/>
          <w:color w:val="auto"/>
        </w:rPr>
      </w:pPr>
      <w:r>
        <w:rPr>
          <w:rFonts w:ascii="Times New Roman" w:cs="Times New Roman" w:eastAsia="Times New Roman" w:hAnsi="Times New Roman"/>
          <w:sz w:val="18"/>
          <w:szCs w:val="18"/>
          <w:color w:val="auto"/>
        </w:rPr>
        <w:t>Adjusted EBITDA and Non-GAAP net income (loss) are non-GAAP financial measures that we use, in addition to our GAAP financial measures, to evaluate our business. We have included Adjusted EBITDA and Non-GAAP net income (loss) in this filing because they are key measures used by our management to evaluate our operating performance. Accordingly, we believe that Adjusted EBITDA and Non-GAAP net income (loss) provide useful information to investors and others in understanding and evaluating our operating results in the same manner as our management team and board of directors. Our calculation of Adjusted EBITDA and Non-GAAP net income (loss) may differ from similarly titled non-GAAP measures, if any, reported by our peer companies and therefore may not serve as an accurate basis of comparison among companies. Adjusted EBITDA and Non-GAAP net income (loss) should not be considered in isolation from, or as a substitute for, financial information prepared in accordance with GAAP.</w:t>
      </w:r>
    </w:p>
    <w:p>
      <w:pPr>
        <w:spacing w:after="0" w:line="2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160" w:firstLine="637"/>
        <w:spacing w:after="0" w:line="260" w:lineRule="auto"/>
        <w:rPr>
          <w:sz w:val="20"/>
          <w:szCs w:val="20"/>
          <w:color w:val="auto"/>
        </w:rPr>
      </w:pPr>
      <w:r>
        <w:rPr>
          <w:rFonts w:ascii="Times New Roman" w:cs="Times New Roman" w:eastAsia="Times New Roman" w:hAnsi="Times New Roman"/>
          <w:sz w:val="18"/>
          <w:szCs w:val="18"/>
          <w:color w:val="auto"/>
        </w:rPr>
        <w:t>Our marketplace revenue is primarily comprised of sales of parts and assemblies to customers through our platform. Buyers purchase specialized CNC manufacturing, sheet metal manufacturing, 3D printing, injection molding, urethane casting, tube cutting, tube bending and finishing services. Customer purchases range from rapid prototyping of single parts to high-volume production on our marketplace. These products are primarily manufactured by our network of suppliers.</w:t>
      </w:r>
    </w:p>
    <w:p>
      <w:pPr>
        <w:spacing w:after="0" w:line="74" w:lineRule="exact"/>
        <w:rPr>
          <w:sz w:val="20"/>
          <w:szCs w:val="20"/>
          <w:color w:val="auto"/>
        </w:rPr>
      </w:pPr>
    </w:p>
    <w:p>
      <w:pPr>
        <w:ind w:right="380" w:firstLine="637"/>
        <w:spacing w:after="0" w:line="281" w:lineRule="auto"/>
        <w:rPr>
          <w:sz w:val="20"/>
          <w:szCs w:val="20"/>
          <w:color w:val="auto"/>
        </w:rPr>
      </w:pPr>
      <w:r>
        <w:rPr>
          <w:rFonts w:ascii="Times New Roman" w:cs="Times New Roman" w:eastAsia="Times New Roman" w:hAnsi="Times New Roman"/>
          <w:sz w:val="18"/>
          <w:szCs w:val="18"/>
          <w:color w:val="auto"/>
        </w:rPr>
        <w:t>Supplier services revenue includes the sale of marketing and advertising services, and to a lesser extent financial service products, SaaS-based solutions and the sale of tools and materials, which was discontinued during the second quarter of 2023.</w:t>
      </w:r>
    </w:p>
    <w:p>
      <w:pPr>
        <w:sectPr>
          <w:pgSz w:w="11900" w:h="16838" w:orient="portrait"/>
          <w:cols w:equalWidth="0" w:num="1">
            <w:col w:w="11240"/>
          </w:cols>
          <w:pgMar w:left="320" w:top="768" w:right="339" w:bottom="1440" w:gutter="0" w:footer="0" w:header="0"/>
        </w:sectPr>
      </w:pP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firstLine="637"/>
        <w:spacing w:after="0" w:line="260" w:lineRule="auto"/>
        <w:rPr>
          <w:sz w:val="20"/>
          <w:szCs w:val="20"/>
          <w:color w:val="auto"/>
        </w:rPr>
      </w:pPr>
      <w:r>
        <w:rPr>
          <w:rFonts w:ascii="Times New Roman" w:cs="Times New Roman" w:eastAsia="Times New Roman" w:hAnsi="Times New Roman"/>
          <w:sz w:val="18"/>
          <w:szCs w:val="18"/>
          <w:color w:val="auto"/>
        </w:rPr>
        <w:t>Marketplace cost of revenue primarily consists of the cost to us of the products that are manufactured or produced by us or our suppliers for delivery to buyers on our platform, internal and external production costs, shipping costs and certain internal depreciation. We expect cost of revenue to increase in absolute dollars to the extent our revenue increases and transaction volume increases. As we grow and add suppliers to our platform, we are able to improve our pricing efficiency, we expect cost of revenue to decline as a percentage of revenue over time.</w:t>
      </w:r>
    </w:p>
    <w:p>
      <w:pPr>
        <w:spacing w:after="0" w:line="74" w:lineRule="exact"/>
        <w:rPr>
          <w:sz w:val="20"/>
          <w:szCs w:val="20"/>
          <w:color w:val="auto"/>
        </w:rPr>
      </w:pPr>
    </w:p>
    <w:p>
      <w:pPr>
        <w:ind w:right="2140" w:firstLine="637"/>
        <w:spacing w:after="0" w:line="375" w:lineRule="auto"/>
        <w:rPr>
          <w:sz w:val="20"/>
          <w:szCs w:val="20"/>
          <w:color w:val="auto"/>
        </w:rPr>
      </w:pPr>
      <w:r>
        <w:rPr>
          <w:rFonts w:ascii="Times New Roman" w:cs="Times New Roman" w:eastAsia="Times New Roman" w:hAnsi="Times New Roman"/>
          <w:sz w:val="18"/>
          <w:szCs w:val="18"/>
          <w:color w:val="auto"/>
        </w:rPr>
        <w:t xml:space="preserve">Cost of revenue for supplier services primarily consists of internal and external production costs and website hosting. </w:t>
      </w:r>
      <w:r>
        <w:rPr>
          <w:rFonts w:ascii="Times New Roman" w:cs="Times New Roman" w:eastAsia="Times New Roman" w:hAnsi="Times New Roman"/>
          <w:sz w:val="18"/>
          <w:szCs w:val="18"/>
          <w:b w:val="1"/>
          <w:bCs w:val="1"/>
          <w:i w:val="1"/>
          <w:iCs w:val="1"/>
          <w:color w:val="auto"/>
        </w:rPr>
        <w:t>Gross Profit</w:t>
      </w:r>
    </w:p>
    <w:p>
      <w:pPr>
        <w:ind w:right="100" w:firstLine="637"/>
        <w:spacing w:after="0" w:line="265" w:lineRule="auto"/>
        <w:rPr>
          <w:sz w:val="20"/>
          <w:szCs w:val="20"/>
          <w:color w:val="auto"/>
        </w:rPr>
      </w:pPr>
      <w:r>
        <w:rPr>
          <w:rFonts w:ascii="Times New Roman" w:cs="Times New Roman" w:eastAsia="Times New Roman" w:hAnsi="Times New Roman"/>
          <w:sz w:val="18"/>
          <w:szCs w:val="18"/>
          <w:color w:val="auto"/>
        </w:rPr>
        <w:t>Gross profit, or revenue less cost of revenue, is primarily affected by the growth of our revenue. Our gross profit margin is primarily affected by liquidity of our suppliers’ network and the efficiency of our pricing and will be benefited by increasing the use of existing supplier services and the variety of supplier services offerings over time.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320" w:firstLine="637"/>
        <w:spacing w:after="0" w:line="281" w:lineRule="auto"/>
        <w:rPr>
          <w:sz w:val="20"/>
          <w:szCs w:val="20"/>
          <w:color w:val="auto"/>
        </w:rPr>
      </w:pPr>
      <w:r>
        <w:rPr>
          <w:rFonts w:ascii="Times New Roman" w:cs="Times New Roman" w:eastAsia="Times New Roman" w:hAnsi="Times New Roman"/>
          <w:sz w:val="18"/>
          <w:szCs w:val="18"/>
          <w:color w:val="auto"/>
        </w:rPr>
        <w:t>Our operating expenses consist of sales and marketing, operations and support, product development, general and administrative functions and impairment of assets.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21" w:lineRule="exact"/>
        <w:rPr>
          <w:sz w:val="20"/>
          <w:szCs w:val="20"/>
          <w:color w:val="auto"/>
        </w:rPr>
      </w:pPr>
    </w:p>
    <w:p>
      <w:pPr>
        <w:ind w:right="320" w:firstLine="637"/>
        <w:spacing w:after="0" w:line="256" w:lineRule="auto"/>
        <w:rPr>
          <w:sz w:val="20"/>
          <w:szCs w:val="20"/>
          <w:color w:val="auto"/>
        </w:rPr>
      </w:pPr>
      <w:r>
        <w:rPr>
          <w:rFonts w:ascii="Times New Roman" w:cs="Times New Roman" w:eastAsia="Times New Roman" w:hAnsi="Times New Roman"/>
          <w:sz w:val="18"/>
          <w:szCs w:val="18"/>
          <w:color w:val="auto"/>
        </w:rPr>
        <w:t>Sales and marketing expenses are expensed as incurred and include the costs of our digital marketing strategies, branding costs and other advertising costs, certain depreciation and amortization expense, contract acquisition costs and compensation expenses, including stock-based compensation, to our sales and marketing employees. We intend to continue to invest in our sales and marketing capabilities in the future to continue to increase our brand awareness, add new accounts and further penetrate existing accounts. We expect sales and marketing expense to increase in absolute dollars in the future as we grow our business, though in the near-term sales and marketing expenses may fluctuate from period-to-period based on the timing of our investments in our sales and marketing functions as these investments may vary in scope and scale over future periods.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and Support</w:t>
      </w:r>
    </w:p>
    <w:p>
      <w:pPr>
        <w:spacing w:after="0" w:line="121" w:lineRule="exact"/>
        <w:rPr>
          <w:sz w:val="20"/>
          <w:szCs w:val="20"/>
          <w:color w:val="auto"/>
        </w:rPr>
      </w:pPr>
    </w:p>
    <w:p>
      <w:pPr>
        <w:ind w:right="40" w:firstLine="637"/>
        <w:spacing w:after="0" w:line="262" w:lineRule="auto"/>
        <w:rPr>
          <w:sz w:val="20"/>
          <w:szCs w:val="20"/>
          <w:color w:val="auto"/>
        </w:rPr>
      </w:pPr>
      <w:r>
        <w:rPr>
          <w:rFonts w:ascii="Times New Roman" w:cs="Times New Roman" w:eastAsia="Times New Roman" w:hAnsi="Times New Roman"/>
          <w:sz w:val="18"/>
          <w:szCs w:val="18"/>
          <w:color w:val="auto"/>
        </w:rPr>
        <w:t>Operations and support expenses are the costs we incur in support of the buyers and suppliers on our platform which are provided by phone, email and chat for purposes of resolving buyer and suppliers related matters. These costs primarily consist of compensation expenses of the support staff, including stock-based compensation, certain depreciation and amortization expense and software costs used in delivering buyer and suppliers services. We expect operations and support expense to increase in absolute dollars in the future, though in the near-term operations and support expenses may fluctuate from period-to-period based on total revenue levels and the timing of our investments in our operations and support functions as these investments may vary in scope and scale over future periods.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w:t>
      </w:r>
    </w:p>
    <w:p>
      <w:pPr>
        <w:spacing w:after="0" w:line="121" w:lineRule="exact"/>
        <w:rPr>
          <w:sz w:val="20"/>
          <w:szCs w:val="20"/>
          <w:color w:val="auto"/>
        </w:rPr>
      </w:pPr>
    </w:p>
    <w:p>
      <w:pPr>
        <w:ind w:right="40" w:firstLine="637"/>
        <w:spacing w:after="0" w:line="258" w:lineRule="auto"/>
        <w:rPr>
          <w:sz w:val="20"/>
          <w:szCs w:val="20"/>
          <w:color w:val="auto"/>
        </w:rPr>
      </w:pPr>
      <w:r>
        <w:rPr>
          <w:rFonts w:ascii="Times New Roman" w:cs="Times New Roman" w:eastAsia="Times New Roman" w:hAnsi="Times New Roman"/>
          <w:sz w:val="18"/>
          <w:szCs w:val="18"/>
          <w:color w:val="auto"/>
        </w:rPr>
        <w:t>Product development costs that are not eligible for capitalization are expensed as incurred. This account also includes compensation expenses, including stock-based compensation expenses to our employees performing routine improvements and maintenance on our platforms not related to a specific capitalizable project, software costs and certain depreciation and amortization expense. We expect product development expense to increase in absolute dollars in the future, though in the near-term product development expenses may fluctuate from period-to-period based on total revenue levels and the timing of our investments in our product development functions as these investments may vary in scope and scale over future periods.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right="260" w:firstLine="637"/>
        <w:spacing w:after="0" w:line="281" w:lineRule="auto"/>
        <w:rPr>
          <w:sz w:val="20"/>
          <w:szCs w:val="20"/>
          <w:color w:val="auto"/>
        </w:rPr>
      </w:pPr>
      <w:r>
        <w:rPr>
          <w:rFonts w:ascii="Times New Roman" w:cs="Times New Roman" w:eastAsia="Times New Roman" w:hAnsi="Times New Roman"/>
          <w:sz w:val="18"/>
          <w:szCs w:val="18"/>
          <w:color w:val="auto"/>
        </w:rPr>
        <w:t>General and administrative expenses primarily consist of compensation expenses, including stock-based compensation expenses, for executive, finance, legal and other administrative personnel, professional service fees and certain depreciation and amortization expense.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Interest expense consists of interest incurred on our outstanding borrowings under our outstanding convertible notes or other borrowings.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Dividend Income</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Interest and dividend income consists of interest and dividends on our cash, cash equivalents and marketable securities.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Expenses</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Other expenses consist primarily of realized foreign exchange gains and/or losses and other expenses.</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Unconsolidated Joint Venture</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Income from unconsolidated joint venture consists of our share of the joint venture's income.</w:t>
      </w:r>
    </w:p>
    <w:p>
      <w:pPr>
        <w:spacing w:after="0" w:line="200" w:lineRule="exact"/>
        <w:rPr>
          <w:sz w:val="20"/>
          <w:szCs w:val="20"/>
          <w:color w:val="auto"/>
        </w:rPr>
      </w:pPr>
    </w:p>
    <w:p>
      <w:pPr>
        <w:spacing w:after="0" w:line="2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September 30, 2024 and 2023</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sets forth our unaudited statements of operations data for the periods indicated: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50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0" w:type="dxa"/>
            <w:vAlign w:val="bottom"/>
          </w:tcPr>
          <w:p>
            <w:pPr>
              <w:spacing w:after="0"/>
              <w:rPr>
                <w:sz w:val="1"/>
                <w:szCs w:val="1"/>
                <w:color w:val="auto"/>
              </w:rPr>
            </w:pPr>
          </w:p>
        </w:tc>
      </w:tr>
      <w:tr>
        <w:trPr>
          <w:trHeight w:val="169"/>
        </w:trPr>
        <w:tc>
          <w:tcPr>
            <w:tcW w:w="46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(in</w:t>
            </w:r>
          </w:p>
        </w:tc>
        <w:tc>
          <w:tcPr>
            <w:tcW w:w="74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04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141,698</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118,927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1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85,873</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1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55,825</w:t>
            </w: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46,249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31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27,204</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23,210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Operations and support</w:t>
            </w:r>
          </w:p>
        </w:tc>
        <w:tc>
          <w:tcPr>
            <w:tcW w:w="3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14,698</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Product development</w:t>
            </w:r>
          </w:p>
        </w:tc>
        <w:tc>
          <w:tcPr>
            <w:tcW w:w="31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9,344</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16,060</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Impairment of assets</w:t>
            </w:r>
          </w:p>
        </w:tc>
        <w:tc>
          <w:tcPr>
            <w:tcW w:w="31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64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100" w:type="dxa"/>
            <w:vAlign w:val="bottom"/>
            <w:tcBorders>
              <w:top w:val="single" w:sz="8" w:color="CFF0FC"/>
            </w:tcBorders>
          </w:tcPr>
          <w:p>
            <w:pPr>
              <w:spacing w:after="0"/>
              <w:rPr>
                <w:sz w:val="20"/>
                <w:szCs w:val="20"/>
                <w:color w:val="auto"/>
              </w:rPr>
            </w:pPr>
          </w:p>
        </w:tc>
        <w:tc>
          <w:tcPr>
            <w:tcW w:w="9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67,306</w:t>
            </w:r>
          </w:p>
        </w:tc>
        <w:tc>
          <w:tcPr>
            <w:tcW w:w="280" w:type="dxa"/>
            <w:vAlign w:val="bottom"/>
            <w:tcBorders>
              <w:top w:val="single" w:sz="8" w:color="CFF0FC"/>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59,446</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1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(11,481 )</w:t>
            </w:r>
          </w:p>
        </w:tc>
        <w:tc>
          <w:tcPr>
            <w:tcW w:w="46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(13,197 )</w:t>
            </w:r>
          </w:p>
        </w:tc>
        <w:tc>
          <w:tcPr>
            <w:tcW w:w="0" w:type="dxa"/>
            <w:vAlign w:val="bottom"/>
          </w:tcPr>
          <w:p>
            <w:pPr>
              <w:spacing w:after="0"/>
              <w:rPr>
                <w:sz w:val="1"/>
                <w:szCs w:val="1"/>
                <w:color w:val="auto"/>
              </w:rPr>
            </w:pPr>
          </w:p>
        </w:tc>
      </w:tr>
      <w:tr>
        <w:trPr>
          <w:trHeight w:val="238"/>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(expenses):</w:t>
            </w:r>
          </w:p>
        </w:tc>
        <w:tc>
          <w:tcPr>
            <w:tcW w:w="3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1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(1,187 )</w:t>
            </w:r>
          </w:p>
        </w:tc>
        <w:tc>
          <w:tcPr>
            <w:tcW w:w="4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(1,205 )</w:t>
            </w:r>
          </w:p>
        </w:tc>
        <w:tc>
          <w:tcPr>
            <w:tcW w:w="0" w:type="dxa"/>
            <w:vAlign w:val="bottom"/>
          </w:tcPr>
          <w:p>
            <w:pPr>
              <w:spacing w:after="0"/>
              <w:rPr>
                <w:sz w:val="1"/>
                <w:szCs w:val="1"/>
                <w:color w:val="auto"/>
              </w:rPr>
            </w:pPr>
          </w:p>
        </w:tc>
      </w:tr>
      <w:tr>
        <w:trPr>
          <w:trHeight w:val="238"/>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3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expenses</w:t>
            </w:r>
          </w:p>
        </w:tc>
        <w:tc>
          <w:tcPr>
            <w:tcW w:w="31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(444 )</w:t>
            </w:r>
          </w:p>
        </w:tc>
        <w:tc>
          <w:tcPr>
            <w:tcW w:w="4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(597 )</w:t>
            </w:r>
          </w:p>
        </w:tc>
        <w:tc>
          <w:tcPr>
            <w:tcW w:w="0" w:type="dxa"/>
            <w:vAlign w:val="bottom"/>
          </w:tcPr>
          <w:p>
            <w:pPr>
              <w:spacing w:after="0"/>
              <w:rPr>
                <w:sz w:val="1"/>
                <w:szCs w:val="1"/>
                <w:color w:val="auto"/>
              </w:rPr>
            </w:pPr>
          </w:p>
        </w:tc>
      </w:tr>
      <w:tr>
        <w:trPr>
          <w:trHeight w:val="238"/>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from unconsolidated joint venture</w:t>
            </w:r>
          </w:p>
        </w:tc>
        <w:tc>
          <w:tcPr>
            <w:tcW w:w="31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6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income</w:t>
            </w:r>
          </w:p>
        </w:tc>
        <w:tc>
          <w:tcPr>
            <w:tcW w:w="310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28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(10,169 )</w:t>
            </w:r>
          </w:p>
        </w:tc>
        <w:tc>
          <w:tcPr>
            <w:tcW w:w="46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(11,871 )</w:t>
            </w:r>
          </w:p>
        </w:tc>
        <w:tc>
          <w:tcPr>
            <w:tcW w:w="0" w:type="dxa"/>
            <w:vAlign w:val="bottom"/>
          </w:tcPr>
          <w:p>
            <w:pPr>
              <w:spacing w:after="0"/>
              <w:rPr>
                <w:sz w:val="1"/>
                <w:szCs w:val="1"/>
                <w:color w:val="auto"/>
              </w:rPr>
            </w:pPr>
          </w:p>
        </w:tc>
      </w:tr>
      <w:tr>
        <w:trPr>
          <w:trHeight w:val="243"/>
        </w:trPr>
        <w:tc>
          <w:tcPr>
            <w:tcW w:w="4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1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(30 )</w:t>
            </w:r>
          </w:p>
        </w:tc>
        <w:tc>
          <w:tcPr>
            <w:tcW w:w="4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(139 )</w:t>
            </w:r>
          </w:p>
        </w:tc>
        <w:tc>
          <w:tcPr>
            <w:tcW w:w="0" w:type="dxa"/>
            <w:vAlign w:val="bottom"/>
          </w:tcPr>
          <w:p>
            <w:pPr>
              <w:spacing w:after="0"/>
              <w:rPr>
                <w:sz w:val="1"/>
                <w:szCs w:val="1"/>
                <w:color w:val="auto"/>
              </w:rPr>
            </w:pPr>
          </w:p>
        </w:tc>
      </w:tr>
      <w:tr>
        <w:trPr>
          <w:trHeight w:val="20"/>
        </w:trPr>
        <w:tc>
          <w:tcPr>
            <w:tcW w:w="4640" w:type="dxa"/>
            <w:vAlign w:val="bottom"/>
            <w:shd w:val="clear" w:color="auto" w:fill="CFF0FC"/>
          </w:tcPr>
          <w:p>
            <w:pPr>
              <w:spacing w:after="0" w:line="20" w:lineRule="exact"/>
              <w:rPr>
                <w:sz w:val="1"/>
                <w:szCs w:val="1"/>
                <w:color w:val="auto"/>
              </w:rPr>
            </w:pPr>
          </w:p>
        </w:tc>
        <w:tc>
          <w:tcPr>
            <w:tcW w:w="31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(10,199 )</w:t>
            </w:r>
          </w:p>
        </w:tc>
        <w:tc>
          <w:tcPr>
            <w:tcW w:w="46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(12,010 )</w:t>
            </w:r>
          </w:p>
        </w:tc>
        <w:tc>
          <w:tcPr>
            <w:tcW w:w="0" w:type="dxa"/>
            <w:vAlign w:val="bottom"/>
          </w:tcPr>
          <w:p>
            <w:pPr>
              <w:spacing w:after="0"/>
              <w:rPr>
                <w:sz w:val="1"/>
                <w:szCs w:val="1"/>
                <w:color w:val="auto"/>
              </w:rPr>
            </w:pPr>
          </w:p>
        </w:tc>
      </w:tr>
      <w:tr>
        <w:trPr>
          <w:trHeight w:val="243"/>
        </w:trPr>
        <w:tc>
          <w:tcPr>
            <w:tcW w:w="4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31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404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(10,199 )</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(12,023 )</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3100" w:type="dxa"/>
            <w:vAlign w:val="bottom"/>
            <w:vMerge w:val="restart"/>
          </w:tcPr>
          <w:p>
            <w:pPr>
              <w:jc w:val="right"/>
              <w:ind w:right="1930"/>
              <w:spacing w:after="0"/>
              <w:rPr>
                <w:sz w:val="20"/>
                <w:szCs w:val="20"/>
                <w:color w:val="auto"/>
              </w:rPr>
            </w:pPr>
            <w:r>
              <w:rPr>
                <w:rFonts w:ascii="Times New Roman" w:cs="Times New Roman" w:eastAsia="Times New Roman" w:hAnsi="Times New Roman"/>
                <w:sz w:val="18"/>
                <w:szCs w:val="18"/>
                <w:color w:val="auto"/>
              </w:rPr>
              <w:t>30</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6"/>
        </w:trPr>
        <w:tc>
          <w:tcPr>
            <w:tcW w:w="464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464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-2919095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-2919095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-1660525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-1660525</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-1343660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-1343660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-1026795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-1026795</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unaudited statements of operations data expressed as a percentage of total revenue for the periods indicated:</w:t>
      </w:r>
    </w:p>
    <w:p>
      <w:pPr>
        <w:spacing w:after="0" w:line="259"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320" w:type="dxa"/>
            <w:vAlign w:val="bottom"/>
          </w:tcPr>
          <w:p>
            <w:pPr>
              <w:spacing w:after="0"/>
              <w:rPr>
                <w:sz w:val="14"/>
                <w:szCs w:val="14"/>
                <w:color w:val="auto"/>
              </w:rPr>
            </w:pPr>
          </w:p>
        </w:tc>
        <w:tc>
          <w:tcPr>
            <w:tcW w:w="134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r>
      <w:tr>
        <w:trPr>
          <w:trHeight w:val="398"/>
        </w:trPr>
        <w:tc>
          <w:tcPr>
            <w:tcW w:w="8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100.0 %</w:t>
            </w:r>
          </w:p>
        </w:tc>
        <w:tc>
          <w:tcPr>
            <w:tcW w:w="340" w:type="dxa"/>
            <w:vAlign w:val="bottom"/>
          </w:tcPr>
          <w:p>
            <w:pPr>
              <w:spacing w:after="0"/>
              <w:rPr>
                <w:sz w:val="24"/>
                <w:szCs w:val="24"/>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r>
      <w:tr>
        <w:trPr>
          <w:trHeight w:val="24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34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60.6 %</w:t>
            </w:r>
          </w:p>
        </w:tc>
        <w:tc>
          <w:tcPr>
            <w:tcW w:w="340" w:type="dxa"/>
            <w:vAlign w:val="bottom"/>
          </w:tcPr>
          <w:p>
            <w:pPr>
              <w:spacing w:after="0"/>
              <w:rPr>
                <w:sz w:val="21"/>
                <w:szCs w:val="21"/>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61.1 %</w:t>
            </w:r>
          </w:p>
        </w:tc>
      </w:tr>
      <w:tr>
        <w:trPr>
          <w:trHeight w:val="20"/>
        </w:trPr>
        <w:tc>
          <w:tcPr>
            <w:tcW w:w="73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8"/>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34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39.4 %</w:t>
            </w:r>
          </w:p>
        </w:tc>
        <w:tc>
          <w:tcPr>
            <w:tcW w:w="34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38.9 %</w:t>
            </w:r>
          </w:p>
        </w:tc>
      </w:tr>
      <w:tr>
        <w:trPr>
          <w:trHeight w:val="232"/>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3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38"/>
        </w:trPr>
        <w:tc>
          <w:tcPr>
            <w:tcW w:w="8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19.2 %</w:t>
            </w:r>
          </w:p>
        </w:tc>
        <w:tc>
          <w:tcPr>
            <w:tcW w:w="34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19.5 %</w:t>
            </w:r>
          </w:p>
        </w:tc>
      </w:tr>
      <w:tr>
        <w:trPr>
          <w:trHeight w:val="243"/>
        </w:trPr>
        <w:tc>
          <w:tcPr>
            <w:tcW w:w="8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Operations and support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10.4 %</w:t>
            </w:r>
          </w:p>
        </w:tc>
        <w:tc>
          <w:tcPr>
            <w:tcW w:w="340" w:type="dxa"/>
            <w:vAlign w:val="bottom"/>
          </w:tcPr>
          <w:p>
            <w:pPr>
              <w:spacing w:after="0"/>
              <w:rPr>
                <w:sz w:val="21"/>
                <w:szCs w:val="21"/>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10.6 %</w:t>
            </w:r>
          </w:p>
        </w:tc>
      </w:tr>
      <w:tr>
        <w:trPr>
          <w:trHeight w:val="243"/>
        </w:trPr>
        <w:tc>
          <w:tcPr>
            <w:tcW w:w="8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Product development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6.6 %</w:t>
            </w:r>
          </w:p>
        </w:tc>
        <w:tc>
          <w:tcPr>
            <w:tcW w:w="340" w:type="dxa"/>
            <w:vAlign w:val="bottom"/>
          </w:tcPr>
          <w:p>
            <w:pPr>
              <w:spacing w:after="0"/>
              <w:rPr>
                <w:sz w:val="21"/>
                <w:szCs w:val="21"/>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7.2 %</w:t>
            </w:r>
          </w:p>
        </w:tc>
      </w:tr>
      <w:tr>
        <w:trPr>
          <w:trHeight w:val="243"/>
        </w:trPr>
        <w:tc>
          <w:tcPr>
            <w:tcW w:w="8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11.3 %</w:t>
            </w:r>
          </w:p>
        </w:tc>
        <w:tc>
          <w:tcPr>
            <w:tcW w:w="340" w:type="dxa"/>
            <w:vAlign w:val="bottom"/>
          </w:tcPr>
          <w:p>
            <w:pPr>
              <w:spacing w:after="0"/>
              <w:rPr>
                <w:sz w:val="21"/>
                <w:szCs w:val="21"/>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12.6 %</w:t>
            </w:r>
          </w:p>
        </w:tc>
      </w:tr>
      <w:tr>
        <w:trPr>
          <w:trHeight w:val="249"/>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Impairment of assets</w:t>
            </w:r>
          </w:p>
        </w:tc>
        <w:tc>
          <w:tcPr>
            <w:tcW w:w="1340" w:type="dxa"/>
            <w:vAlign w:val="bottom"/>
          </w:tcPr>
          <w:p>
            <w:pPr>
              <w:spacing w:after="0"/>
              <w:rPr>
                <w:sz w:val="21"/>
                <w:szCs w:val="21"/>
                <w:color w:val="auto"/>
              </w:rPr>
            </w:pPr>
          </w:p>
        </w:tc>
        <w:tc>
          <w:tcPr>
            <w:tcW w:w="12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0.1 %</w:t>
            </w:r>
          </w:p>
        </w:tc>
      </w:tr>
      <w:tr>
        <w:trPr>
          <w:trHeight w:val="20"/>
        </w:trPr>
        <w:tc>
          <w:tcPr>
            <w:tcW w:w="73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8"/>
        </w:trPr>
        <w:tc>
          <w:tcPr>
            <w:tcW w:w="7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34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47.5 %</w:t>
            </w:r>
          </w:p>
        </w:tc>
        <w:tc>
          <w:tcPr>
            <w:tcW w:w="34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50.0 %</w:t>
            </w:r>
          </w:p>
        </w:tc>
      </w:tr>
      <w:tr>
        <w:trPr>
          <w:trHeight w:val="20"/>
        </w:trPr>
        <w:tc>
          <w:tcPr>
            <w:tcW w:w="73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2"/>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340" w:type="dxa"/>
            <w:vAlign w:val="bottom"/>
          </w:tcPr>
          <w:p>
            <w:pPr>
              <w:spacing w:after="0"/>
              <w:rPr>
                <w:sz w:val="20"/>
                <w:szCs w:val="20"/>
                <w:color w:val="auto"/>
              </w:rPr>
            </w:pPr>
          </w:p>
        </w:tc>
        <w:tc>
          <w:tcPr>
            <w:tcW w:w="12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(8.1 )%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(11.1 )%</w:t>
            </w:r>
          </w:p>
        </w:tc>
      </w:tr>
      <w:tr>
        <w:trPr>
          <w:trHeight w:val="238"/>
        </w:trPr>
        <w:tc>
          <w:tcPr>
            <w:tcW w:w="8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(expenses):</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43"/>
        </w:trPr>
        <w:tc>
          <w:tcPr>
            <w:tcW w:w="8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2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(0.8 )%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43"/>
        </w:trPr>
        <w:tc>
          <w:tcPr>
            <w:tcW w:w="8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2.0 %</w:t>
            </w:r>
          </w:p>
        </w:tc>
        <w:tc>
          <w:tcPr>
            <w:tcW w:w="340" w:type="dxa"/>
            <w:vAlign w:val="bottom"/>
          </w:tcPr>
          <w:p>
            <w:pPr>
              <w:spacing w:after="0"/>
              <w:rPr>
                <w:sz w:val="21"/>
                <w:szCs w:val="21"/>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2.5 %</w:t>
            </w:r>
          </w:p>
        </w:tc>
      </w:tr>
      <w:tr>
        <w:trPr>
          <w:trHeight w:val="243"/>
        </w:trPr>
        <w:tc>
          <w:tcPr>
            <w:tcW w:w="8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expenses</w:t>
            </w:r>
          </w:p>
        </w:tc>
        <w:tc>
          <w:tcPr>
            <w:tcW w:w="12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(0.3 )%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49"/>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from unconsolidated joint venture</w:t>
            </w:r>
          </w:p>
        </w:tc>
        <w:tc>
          <w:tcPr>
            <w:tcW w:w="134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0.1 %</w:t>
            </w:r>
          </w:p>
        </w:tc>
        <w:tc>
          <w:tcPr>
            <w:tcW w:w="340" w:type="dxa"/>
            <w:vAlign w:val="bottom"/>
          </w:tcPr>
          <w:p>
            <w:pPr>
              <w:spacing w:after="0"/>
              <w:rPr>
                <w:sz w:val="21"/>
                <w:szCs w:val="21"/>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0.1 %</w:t>
            </w:r>
          </w:p>
        </w:tc>
      </w:tr>
      <w:tr>
        <w:trPr>
          <w:trHeight w:val="20"/>
        </w:trPr>
        <w:tc>
          <w:tcPr>
            <w:tcW w:w="73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8"/>
        </w:trPr>
        <w:tc>
          <w:tcPr>
            <w:tcW w:w="7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income</w:t>
            </w:r>
          </w:p>
        </w:tc>
        <w:tc>
          <w:tcPr>
            <w:tcW w:w="134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1.0 %</w:t>
            </w:r>
          </w:p>
        </w:tc>
        <w:tc>
          <w:tcPr>
            <w:tcW w:w="34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1.1 %</w:t>
            </w:r>
          </w:p>
        </w:tc>
      </w:tr>
      <w:tr>
        <w:trPr>
          <w:trHeight w:val="20"/>
        </w:trPr>
        <w:tc>
          <w:tcPr>
            <w:tcW w:w="73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2"/>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340" w:type="dxa"/>
            <w:vAlign w:val="bottom"/>
          </w:tcPr>
          <w:p>
            <w:pPr>
              <w:spacing w:after="0"/>
              <w:rPr>
                <w:sz w:val="20"/>
                <w:szCs w:val="20"/>
                <w:color w:val="auto"/>
              </w:rPr>
            </w:pPr>
          </w:p>
        </w:tc>
        <w:tc>
          <w:tcPr>
            <w:tcW w:w="12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(7.1 )%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45"/>
        </w:trPr>
        <w:tc>
          <w:tcPr>
            <w:tcW w:w="7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340" w:type="dxa"/>
            <w:vAlign w:val="bottom"/>
          </w:tcPr>
          <w:p>
            <w:pPr>
              <w:spacing w:after="0"/>
              <w:rPr>
                <w:sz w:val="21"/>
                <w:szCs w:val="21"/>
                <w:color w:val="auto"/>
              </w:rPr>
            </w:pPr>
          </w:p>
        </w:tc>
        <w:tc>
          <w:tcPr>
            <w:tcW w:w="12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0"/>
        </w:trPr>
        <w:tc>
          <w:tcPr>
            <w:tcW w:w="73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4"/>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40" w:type="dxa"/>
            <w:vAlign w:val="bottom"/>
          </w:tcPr>
          <w:p>
            <w:pPr>
              <w:spacing w:after="0"/>
              <w:rPr>
                <w:sz w:val="20"/>
                <w:szCs w:val="20"/>
                <w:color w:val="auto"/>
              </w:rPr>
            </w:pPr>
          </w:p>
        </w:tc>
        <w:tc>
          <w:tcPr>
            <w:tcW w:w="12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(7.1 )%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(10.1 )%</w:t>
            </w:r>
          </w:p>
        </w:tc>
      </w:tr>
      <w:tr>
        <w:trPr>
          <w:trHeight w:val="245"/>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1340" w:type="dxa"/>
            <w:vAlign w:val="bottom"/>
          </w:tcPr>
          <w:p>
            <w:pPr>
              <w:spacing w:after="0"/>
              <w:rPr>
                <w:sz w:val="21"/>
                <w:szCs w:val="21"/>
                <w:color w:val="auto"/>
              </w:rPr>
            </w:pPr>
          </w:p>
        </w:tc>
        <w:tc>
          <w:tcPr>
            <w:tcW w:w="12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73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8"/>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340" w:type="dxa"/>
            <w:vAlign w:val="bottom"/>
          </w:tcPr>
          <w:p>
            <w:pPr>
              <w:spacing w:after="0"/>
              <w:rPr>
                <w:sz w:val="20"/>
                <w:szCs w:val="20"/>
                <w:color w:val="auto"/>
              </w:rPr>
            </w:pPr>
          </w:p>
        </w:tc>
        <w:tc>
          <w:tcPr>
            <w:tcW w:w="12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(7.1 )%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(10.1 )%</w:t>
            </w:r>
          </w:p>
        </w:tc>
      </w:tr>
      <w:tr>
        <w:trPr>
          <w:trHeight w:val="20"/>
        </w:trPr>
        <w:tc>
          <w:tcPr>
            <w:tcW w:w="73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-3484245</wp:posOffset>
            </wp:positionV>
            <wp:extent cx="7132320" cy="15430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-2850515</wp:posOffset>
            </wp:positionV>
            <wp:extent cx="7132320" cy="15430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-2542540</wp:posOffset>
            </wp:positionV>
            <wp:extent cx="7132320" cy="15430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-1908810</wp:posOffset>
            </wp:positionV>
            <wp:extent cx="7132320" cy="15430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-1600835</wp:posOffset>
            </wp:positionV>
            <wp:extent cx="7132320" cy="15430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-1292225</wp:posOffset>
            </wp:positionV>
            <wp:extent cx="7132320" cy="15430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-3167380</wp:posOffset>
            </wp:positionV>
            <wp:extent cx="7132320" cy="16256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-2233930</wp:posOffset>
            </wp:positionV>
            <wp:extent cx="7132320" cy="16256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-975360</wp:posOffset>
            </wp:positionV>
            <wp:extent cx="7132320" cy="16256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-658495</wp:posOffset>
            </wp:positionV>
            <wp:extent cx="7132320" cy="16256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16256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70" w:lineRule="exact"/>
        <w:rPr>
          <w:sz w:val="20"/>
          <w:szCs w:val="20"/>
          <w:color w:val="auto"/>
        </w:rPr>
      </w:pPr>
    </w:p>
    <w:p>
      <w:pPr>
        <w:ind w:right="280" w:firstLine="644"/>
        <w:spacing w:after="0" w:line="265" w:lineRule="auto"/>
        <w:rPr>
          <w:sz w:val="20"/>
          <w:szCs w:val="20"/>
          <w:color w:val="auto"/>
        </w:rPr>
      </w:pPr>
      <w:r>
        <w:rPr>
          <w:rFonts w:ascii="Times New Roman" w:cs="Times New Roman" w:eastAsia="Times New Roman" w:hAnsi="Times New Roman"/>
          <w:sz w:val="18"/>
          <w:szCs w:val="18"/>
          <w:color w:val="auto"/>
        </w:rPr>
        <w:t>The following tables present our disaggregated revenue and cost of revenue. Revenue from our marketplace primarily reflects the sales of parts and assemblies on our platform. Revenue from supplier services primarily includes the sale of advertising and to a lesser extent financial service products and SaaS products.</w:t>
      </w:r>
    </w:p>
    <w:p>
      <w:pPr>
        <w:spacing w:after="0" w:line="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and cost of revenue is presented in the following tables for the three months ended September 30, 2024 and 2023 (in thousands):</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For the Three Months</w:t>
      </w:r>
    </w:p>
    <w:p>
      <w:pPr>
        <w:spacing w:after="0" w:line="2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b w:val="1"/>
          <w:bCs w:val="1"/>
          <w:color w:val="auto"/>
        </w:rPr>
        <w:t>Ended September 30,</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060" w:type="dxa"/>
            <w:vAlign w:val="bottom"/>
          </w:tcPr>
          <w:p>
            <w:pPr>
              <w:spacing w:after="0"/>
              <w:rPr>
                <w:sz w:val="22"/>
                <w:szCs w:val="22"/>
                <w:color w:val="auto"/>
              </w:rPr>
            </w:pPr>
          </w:p>
        </w:tc>
        <w:tc>
          <w:tcPr>
            <w:tcW w:w="25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spacing w:after="0"/>
              <w:rPr>
                <w:sz w:val="22"/>
                <w:szCs w:val="22"/>
                <w:color w:val="auto"/>
              </w:rPr>
            </w:pPr>
          </w:p>
        </w:tc>
        <w:tc>
          <w:tcPr>
            <w:tcW w:w="2440" w:type="dxa"/>
            <w:vAlign w:val="bottom"/>
            <w:tcBorders>
              <w:top w:val="single" w:sz="8" w:color="auto"/>
              <w:bottom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Marketplace</w:t>
            </w:r>
          </w:p>
        </w:tc>
        <w:tc>
          <w:tcPr>
            <w:tcW w:w="25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4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500" w:type="dxa"/>
            <w:vAlign w:val="bottom"/>
          </w:tcPr>
          <w:p>
            <w:pPr>
              <w:jc w:val="right"/>
              <w:ind w:right="22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126,965</w:t>
            </w:r>
          </w:p>
        </w:tc>
        <w:tc>
          <w:tcPr>
            <w:tcW w:w="260" w:type="dxa"/>
            <w:vAlign w:val="bottom"/>
          </w:tcPr>
          <w:p>
            <w:pPr>
              <w:spacing w:after="0"/>
              <w:rPr>
                <w:sz w:val="20"/>
                <w:szCs w:val="20"/>
                <w:color w:val="auto"/>
              </w:rPr>
            </w:pP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102,473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5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84,347</w:t>
            </w:r>
          </w:p>
        </w:tc>
        <w:tc>
          <w:tcPr>
            <w:tcW w:w="26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spacing w:after="0"/>
              <w:rPr>
                <w:sz w:val="21"/>
                <w:szCs w:val="21"/>
                <w:color w:val="auto"/>
              </w:rPr>
            </w:pPr>
          </w:p>
        </w:tc>
        <w:tc>
          <w:tcPr>
            <w:tcW w:w="2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70,578</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500" w:type="dxa"/>
            <w:vAlign w:val="bottom"/>
            <w:tcBorders>
              <w:bottom w:val="single" w:sz="8" w:color="auto"/>
            </w:tcBorders>
          </w:tcPr>
          <w:p>
            <w:pPr>
              <w:jc w:val="right"/>
              <w:ind w:right="22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42,618</w:t>
            </w:r>
          </w:p>
        </w:tc>
        <w:tc>
          <w:tcPr>
            <w:tcW w:w="260" w:type="dxa"/>
            <w:vAlign w:val="bottom"/>
          </w:tcPr>
          <w:p>
            <w:pPr>
              <w:spacing w:after="0"/>
              <w:rPr>
                <w:sz w:val="20"/>
                <w:szCs w:val="20"/>
                <w:color w:val="auto"/>
              </w:rPr>
            </w:pPr>
          </w:p>
        </w:tc>
        <w:tc>
          <w:tcPr>
            <w:tcW w:w="7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31,895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060" w:type="dxa"/>
            <w:vAlign w:val="bottom"/>
            <w:vMerge w:val="continue"/>
          </w:tcPr>
          <w:p>
            <w:pPr>
              <w:spacing w:after="0"/>
              <w:rPr>
                <w:sz w:val="18"/>
                <w:szCs w:val="18"/>
                <w:color w:val="auto"/>
              </w:rPr>
            </w:pPr>
          </w:p>
        </w:tc>
        <w:tc>
          <w:tcPr>
            <w:tcW w:w="25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33.6 %</w:t>
            </w:r>
          </w:p>
        </w:tc>
        <w:tc>
          <w:tcPr>
            <w:tcW w:w="760" w:type="dxa"/>
            <w:vAlign w:val="bottom"/>
          </w:tcPr>
          <w:p>
            <w:pPr>
              <w:spacing w:after="0"/>
              <w:rPr>
                <w:sz w:val="18"/>
                <w:szCs w:val="18"/>
                <w:color w:val="auto"/>
              </w:rPr>
            </w:pPr>
          </w:p>
        </w:tc>
        <w:tc>
          <w:tcPr>
            <w:tcW w:w="2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31.1 %</w:t>
            </w:r>
          </w:p>
        </w:tc>
        <w:tc>
          <w:tcPr>
            <w:tcW w:w="0" w:type="dxa"/>
            <w:vAlign w:val="bottom"/>
          </w:tcPr>
          <w:p>
            <w:pPr>
              <w:spacing w:after="0"/>
              <w:rPr>
                <w:sz w:val="1"/>
                <w:szCs w:val="1"/>
                <w:color w:val="auto"/>
              </w:rPr>
            </w:pPr>
          </w:p>
        </w:tc>
      </w:tr>
      <w:tr>
        <w:trPr>
          <w:trHeight w:val="487"/>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Supplier services</w:t>
            </w: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500" w:type="dxa"/>
            <w:vAlign w:val="bottom"/>
            <w:shd w:val="clear" w:color="auto" w:fill="CFF0FC"/>
          </w:tcPr>
          <w:p>
            <w:pPr>
              <w:jc w:val="right"/>
              <w:ind w:right="22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14,733</w:t>
            </w: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2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16,454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5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26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500" w:type="dxa"/>
            <w:vAlign w:val="bottom"/>
            <w:tcBorders>
              <w:bottom w:val="single" w:sz="8" w:color="auto"/>
            </w:tcBorders>
            <w:shd w:val="clear" w:color="auto" w:fill="CFF0FC"/>
          </w:tcPr>
          <w:p>
            <w:pPr>
              <w:jc w:val="right"/>
              <w:ind w:right="22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13,207</w:t>
            </w:r>
          </w:p>
        </w:tc>
        <w:tc>
          <w:tcPr>
            <w:tcW w:w="26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auto"/>
            </w:tcBorders>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2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14,354</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5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89.6 %</w:t>
            </w:r>
          </w:p>
        </w:tc>
        <w:tc>
          <w:tcPr>
            <w:tcW w:w="760" w:type="dxa"/>
            <w:vAlign w:val="bottom"/>
          </w:tcPr>
          <w:p>
            <w:pPr>
              <w:spacing w:after="0"/>
              <w:rPr>
                <w:sz w:val="18"/>
                <w:szCs w:val="18"/>
                <w:color w:val="auto"/>
              </w:rPr>
            </w:pPr>
          </w:p>
        </w:tc>
        <w:tc>
          <w:tcPr>
            <w:tcW w:w="2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87.2 %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-1106805</wp:posOffset>
            </wp:positionV>
            <wp:extent cx="7132320" cy="15430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-1295400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-1295400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-173990</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-156845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-173990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160" w:firstLine="637"/>
        <w:spacing w:after="0" w:line="258" w:lineRule="auto"/>
        <w:rPr>
          <w:sz w:val="20"/>
          <w:szCs w:val="20"/>
          <w:color w:val="auto"/>
        </w:rPr>
      </w:pPr>
      <w:r>
        <w:rPr>
          <w:rFonts w:ascii="Times New Roman" w:cs="Times New Roman" w:eastAsia="Times New Roman" w:hAnsi="Times New Roman"/>
          <w:sz w:val="18"/>
          <w:szCs w:val="18"/>
          <w:color w:val="auto"/>
        </w:rPr>
        <w:t>Total revenue increased $22.8 million, or 19%, from $118.9 million for the three months ended September 30, 2023 to $141.7 million for the three months ended September 30, 2024. This growth was a result of an increase in marketplace revenue, partially offset by a decrease in supplier services revenue. Marketplace revenue increased $24.5 million, or 24%, from $102.5 million for the three months ended September 30, 2023 to $127.0 million for the three months ended September 30, 2024. The increase in marketplace revenue was primarily due to increased buyer activity on the platform for the three months ended September 30, 2024 as compared to the prior year period.</w:t>
      </w:r>
    </w:p>
    <w:p>
      <w:pPr>
        <w:sectPr>
          <w:pgSz w:w="11900" w:h="16838" w:orient="portrait"/>
          <w:cols w:equalWidth="0" w:num="1">
            <w:col w:w="11340"/>
          </w:cols>
          <w:pgMar w:left="320" w:top="768" w:right="239" w:bottom="1440" w:gutter="0" w:footer="0" w:header="0"/>
        </w:sectPr>
      </w:pPr>
    </w:p>
    <w:p>
      <w:pPr>
        <w:spacing w:after="0" w:line="7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768" w:right="2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5" w:lineRule="exact"/>
        <w:rPr>
          <w:sz w:val="20"/>
          <w:szCs w:val="20"/>
          <w:color w:val="auto"/>
        </w:rPr>
      </w:pPr>
    </w:p>
    <w:p>
      <w:pPr>
        <w:jc w:val="both"/>
        <w:ind w:right="20" w:firstLine="637"/>
        <w:spacing w:after="0" w:line="265" w:lineRule="auto"/>
        <w:rPr>
          <w:sz w:val="20"/>
          <w:szCs w:val="20"/>
          <w:color w:val="auto"/>
        </w:rPr>
      </w:pPr>
      <w:r>
        <w:rPr>
          <w:rFonts w:ascii="Times New Roman" w:cs="Times New Roman" w:eastAsia="Times New Roman" w:hAnsi="Times New Roman"/>
          <w:sz w:val="18"/>
          <w:szCs w:val="18"/>
          <w:color w:val="auto"/>
        </w:rPr>
        <w:t>Supplier services revenue decreased $1.7 million, or 10% from $16.5 million for the three months ended September 30, 2023 to $14.7 million for the three months ended September 30, 2024. The decrease in revenue was due to reductions in Thomas non-core services and to a lesser extent decreases in Thomas advertising and marketing services.</w:t>
      </w:r>
    </w:p>
    <w:p>
      <w:pPr>
        <w:spacing w:after="0" w:line="177" w:lineRule="exact"/>
        <w:rPr>
          <w:sz w:val="20"/>
          <w:szCs w:val="20"/>
          <w:color w:val="auto"/>
        </w:rPr>
      </w:pPr>
    </w:p>
    <w:p>
      <w:pPr>
        <w:ind w:firstLine="637"/>
        <w:spacing w:after="0" w:line="281" w:lineRule="auto"/>
        <w:rPr>
          <w:sz w:val="20"/>
          <w:szCs w:val="20"/>
          <w:color w:val="auto"/>
        </w:rPr>
      </w:pPr>
      <w:r>
        <w:rPr>
          <w:rFonts w:ascii="Times New Roman" w:cs="Times New Roman" w:eastAsia="Times New Roman" w:hAnsi="Times New Roman"/>
          <w:sz w:val="18"/>
          <w:szCs w:val="18"/>
          <w:color w:val="auto"/>
        </w:rPr>
        <w:t>Total revenue for the three months ended September 30, 2024 and 2023 was $117.6 million and $103.4 million, respectively, for the U.S. operating segment and $24.1 million and $15.5 million, respectively, for the International operating segment.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right="60" w:firstLine="637"/>
        <w:spacing w:after="0" w:line="260" w:lineRule="auto"/>
        <w:rPr>
          <w:sz w:val="20"/>
          <w:szCs w:val="20"/>
          <w:color w:val="auto"/>
        </w:rPr>
      </w:pPr>
      <w:r>
        <w:rPr>
          <w:rFonts w:ascii="Times New Roman" w:cs="Times New Roman" w:eastAsia="Times New Roman" w:hAnsi="Times New Roman"/>
          <w:sz w:val="18"/>
          <w:szCs w:val="18"/>
          <w:color w:val="auto"/>
        </w:rPr>
        <w:t>Total cost of revenue increased $13.2 million, or 18%, from $72.7 million for the three months ended September 30, 2023 to $85.9 million for the three months ended September 30, 2024. This increase was the result of an increase in marketplace cost of revenue offset by a decrease in supplier services costs of revenue. Total cost of revenue from marketplace and supplier services for the three months ended September 30, 2024 was $84.3 million and $1.5 million, respectively, as compared to $70.6 million and $2.1 million, respectively, for the three months ended September 30, 2023.</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Marketplace cost of revenue was driven by order growth and increased activity on our marketplace.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Margin</w:t>
      </w:r>
    </w:p>
    <w:p>
      <w:pPr>
        <w:spacing w:after="0" w:line="229" w:lineRule="exact"/>
        <w:rPr>
          <w:sz w:val="20"/>
          <w:szCs w:val="20"/>
          <w:color w:val="auto"/>
        </w:rPr>
      </w:pPr>
    </w:p>
    <w:p>
      <w:pPr>
        <w:jc w:val="both"/>
        <w:ind w:right="360" w:firstLine="637"/>
        <w:spacing w:after="0" w:line="265" w:lineRule="auto"/>
        <w:rPr>
          <w:sz w:val="20"/>
          <w:szCs w:val="20"/>
          <w:color w:val="auto"/>
        </w:rPr>
      </w:pPr>
      <w:r>
        <w:rPr>
          <w:rFonts w:ascii="Times New Roman" w:cs="Times New Roman" w:eastAsia="Times New Roman" w:hAnsi="Times New Roman"/>
          <w:sz w:val="18"/>
          <w:szCs w:val="18"/>
          <w:color w:val="auto"/>
        </w:rPr>
        <w:t>Gross profit increased $9.6 million, or 21%, from $46.2 million for the three months ended September 30, 2023 to $55.8 million for the three months ended September 30, 2024. The increase in gross profit was primarily due to increases in revenue from marketplace and improved marketplace gross margins as compared to the prior year period.</w:t>
      </w:r>
    </w:p>
    <w:p>
      <w:pPr>
        <w:spacing w:after="0" w:line="177" w:lineRule="exact"/>
        <w:rPr>
          <w:sz w:val="20"/>
          <w:szCs w:val="20"/>
          <w:color w:val="auto"/>
        </w:rPr>
      </w:pPr>
    </w:p>
    <w:p>
      <w:pPr>
        <w:ind w:right="80" w:firstLine="637"/>
        <w:spacing w:after="0" w:line="258" w:lineRule="auto"/>
        <w:rPr>
          <w:sz w:val="20"/>
          <w:szCs w:val="20"/>
          <w:color w:val="auto"/>
        </w:rPr>
      </w:pPr>
      <w:r>
        <w:rPr>
          <w:rFonts w:ascii="Times New Roman" w:cs="Times New Roman" w:eastAsia="Times New Roman" w:hAnsi="Times New Roman"/>
          <w:sz w:val="18"/>
          <w:szCs w:val="18"/>
          <w:color w:val="auto"/>
        </w:rPr>
        <w:t>Gross margin for marketplace was 33.6% for the three months ended September 30, 2024, as compared to 31.1% for the three months ended September 30, 2023. The improvement over the prior year period was due largely to our AI-driven platform and expanding supplier network which optimizes pricing to buyers and suppliers. Gross margin for our supplier services was 89.6% for the three months ended September 30, 2024, as compared to 87.2% for the three months ended September 30, 2023. The increase in gross margin for supplier services is primarily due to a higher mix of advertising and marketing services revenue and the wind down of Thomas non-core services.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ind w:right="120" w:firstLine="637"/>
        <w:spacing w:after="0" w:line="271" w:lineRule="auto"/>
        <w:rPr>
          <w:sz w:val="20"/>
          <w:szCs w:val="20"/>
          <w:color w:val="auto"/>
        </w:rPr>
      </w:pPr>
      <w:r>
        <w:rPr>
          <w:rFonts w:ascii="Times New Roman" w:cs="Times New Roman" w:eastAsia="Times New Roman" w:hAnsi="Times New Roman"/>
          <w:sz w:val="18"/>
          <w:szCs w:val="18"/>
          <w:color w:val="auto"/>
        </w:rPr>
        <w:t>Sales and marketing expense increased $4.0 million, or 17%, from $23.2 million for the three months ended September 30, 2023 to $27.2 million for the three months ended September 30, 2024, primarily due to increased marketing and advertising expense and additional sales and marketing employees and their compensation costs, including stock-based compensation. As a percent of total revenue, sales and marketing expenses decreased to 19.2% for the three months ended September 30, 2024 from 19.5% for the three months ended September 30, 2023.</w:t>
      </w:r>
    </w:p>
    <w:p>
      <w:pPr>
        <w:spacing w:after="0" w:line="63" w:lineRule="exact"/>
        <w:rPr>
          <w:sz w:val="20"/>
          <w:szCs w:val="20"/>
          <w:color w:val="auto"/>
        </w:rPr>
      </w:pPr>
    </w:p>
    <w:p>
      <w:pPr>
        <w:ind w:right="100" w:firstLine="644"/>
        <w:spacing w:after="0" w:line="281" w:lineRule="auto"/>
        <w:rPr>
          <w:sz w:val="20"/>
          <w:szCs w:val="20"/>
          <w:color w:val="auto"/>
        </w:rPr>
      </w:pPr>
      <w:r>
        <w:rPr>
          <w:rFonts w:ascii="Times New Roman" w:cs="Times New Roman" w:eastAsia="Times New Roman" w:hAnsi="Times New Roman"/>
          <w:sz w:val="18"/>
          <w:szCs w:val="18"/>
          <w:color w:val="auto"/>
        </w:rPr>
        <w:t>Advertising expense increased 22%, from $7.7 million for the three months ended September 30, 2023 to $9.4 million for the three months ended September 30, 2024 due to increased marketplace and supplier services advertising.</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Operations and Support</w:t>
      </w:r>
    </w:p>
    <w:p>
      <w:pPr>
        <w:spacing w:after="0" w:line="119" w:lineRule="exact"/>
        <w:rPr>
          <w:sz w:val="20"/>
          <w:szCs w:val="20"/>
          <w:color w:val="auto"/>
        </w:rPr>
      </w:pPr>
    </w:p>
    <w:p>
      <w:pPr>
        <w:ind w:right="340" w:firstLine="637"/>
        <w:spacing w:after="0" w:line="260" w:lineRule="auto"/>
        <w:rPr>
          <w:sz w:val="20"/>
          <w:szCs w:val="20"/>
          <w:color w:val="auto"/>
        </w:rPr>
      </w:pPr>
      <w:r>
        <w:rPr>
          <w:rFonts w:ascii="Times New Roman" w:cs="Times New Roman" w:eastAsia="Times New Roman" w:hAnsi="Times New Roman"/>
          <w:sz w:val="18"/>
          <w:szCs w:val="18"/>
          <w:color w:val="auto"/>
        </w:rPr>
        <w:t>Operations and support expense increased $2.1 million, or 16%, from $12.6 million for the three months ended September 30, 2023 to $14.7 million for the three months ended September 30, 2024, primarily due to additional employees and their compensation cost, included stock based compensation. As a percent of total revenue, operations and support expenses decreased to 10.4% for the three months ended September 30, 2024 from 10.6% for the three months ended September 30, 2023.</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Development</w:t>
      </w:r>
    </w:p>
    <w:p>
      <w:pPr>
        <w:spacing w:after="0" w:line="119" w:lineRule="exact"/>
        <w:rPr>
          <w:sz w:val="20"/>
          <w:szCs w:val="20"/>
          <w:color w:val="auto"/>
        </w:rPr>
      </w:pPr>
    </w:p>
    <w:p>
      <w:pPr>
        <w:ind w:right="220" w:firstLine="637"/>
        <w:spacing w:after="0" w:line="260" w:lineRule="auto"/>
        <w:rPr>
          <w:sz w:val="20"/>
          <w:szCs w:val="20"/>
          <w:color w:val="auto"/>
        </w:rPr>
      </w:pPr>
      <w:r>
        <w:rPr>
          <w:rFonts w:ascii="Times New Roman" w:cs="Times New Roman" w:eastAsia="Times New Roman" w:hAnsi="Times New Roman"/>
          <w:sz w:val="18"/>
          <w:szCs w:val="18"/>
          <w:color w:val="auto"/>
        </w:rPr>
        <w:t>Product development expense increased $0.8 million, or 10%, from $8.5 million for the three months ended September 30, 2023 to $9.3 million for the three months ended September 30, 2024, primarily as result of increases in amortization expense related to capitalized internal-use software development costs and increases in software costs. As a percent of total revenue, product development expenses decreased to 6.6% for the three months ended September 30, 2024 as compared to 7.2% for the three months ended September 30, 2023.</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right="40" w:firstLine="637"/>
        <w:spacing w:after="0" w:line="260" w:lineRule="auto"/>
        <w:rPr>
          <w:sz w:val="20"/>
          <w:szCs w:val="20"/>
          <w:color w:val="auto"/>
        </w:rPr>
      </w:pPr>
      <w:r>
        <w:rPr>
          <w:rFonts w:ascii="Times New Roman" w:cs="Times New Roman" w:eastAsia="Times New Roman" w:hAnsi="Times New Roman"/>
          <w:sz w:val="18"/>
          <w:szCs w:val="18"/>
          <w:color w:val="auto"/>
        </w:rPr>
        <w:t>General and administrative expense increased $1.1 million, or 7%, from $14.9 million for the three months ended September 30, 2023 to $16.1 million for the three months ended September 30, 2024. The increase was due to an increase in general and administrative employees and their compensation costs, including stock-based compensation. As a percent of total revenue, general and administrative expenses decreased to 11.3% for the for the three months ended September 30, 2024 from 12.6% for the three months ended September 30, 2023.</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Assets</w:t>
      </w:r>
    </w:p>
    <w:p>
      <w:pPr>
        <w:spacing w:after="0" w:line="119" w:lineRule="exact"/>
        <w:rPr>
          <w:sz w:val="20"/>
          <w:szCs w:val="20"/>
          <w:color w:val="auto"/>
        </w:rPr>
      </w:pPr>
    </w:p>
    <w:p>
      <w:pPr>
        <w:ind w:right="480" w:firstLine="637"/>
        <w:spacing w:after="0" w:line="281" w:lineRule="auto"/>
        <w:rPr>
          <w:sz w:val="20"/>
          <w:szCs w:val="20"/>
          <w:color w:val="auto"/>
        </w:rPr>
      </w:pPr>
      <w:r>
        <w:rPr>
          <w:rFonts w:ascii="Times New Roman" w:cs="Times New Roman" w:eastAsia="Times New Roman" w:hAnsi="Times New Roman"/>
          <w:sz w:val="18"/>
          <w:szCs w:val="18"/>
          <w:color w:val="auto"/>
        </w:rPr>
        <w:t>Impairment expense was $0.2 million for the three months ended September 30, 2023. There was no impairment for the three months ended September 30, 2024.</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right="280" w:firstLine="637"/>
        <w:spacing w:after="0" w:line="281" w:lineRule="auto"/>
        <w:rPr>
          <w:sz w:val="20"/>
          <w:szCs w:val="20"/>
          <w:color w:val="auto"/>
        </w:rPr>
      </w:pPr>
      <w:r>
        <w:rPr>
          <w:rFonts w:ascii="Times New Roman" w:cs="Times New Roman" w:eastAsia="Times New Roman" w:hAnsi="Times New Roman"/>
          <w:sz w:val="18"/>
          <w:szCs w:val="18"/>
          <w:color w:val="auto"/>
        </w:rPr>
        <w:t>Interest expense remained flat at $1.2 million for the three months ended September 30, 2024 and 2023. Interest expense is primarily due to the interest on the 2027 convertible notes issued in February 2022.</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Dividend Income</w:t>
      </w:r>
    </w:p>
    <w:p>
      <w:pPr>
        <w:spacing w:after="0" w:line="119" w:lineRule="exact"/>
        <w:rPr>
          <w:sz w:val="20"/>
          <w:szCs w:val="20"/>
          <w:color w:val="auto"/>
        </w:rPr>
      </w:pPr>
    </w:p>
    <w:p>
      <w:pPr>
        <w:ind w:right="120" w:firstLine="637"/>
        <w:spacing w:after="0" w:line="281" w:lineRule="auto"/>
        <w:rPr>
          <w:sz w:val="20"/>
          <w:szCs w:val="20"/>
          <w:color w:val="auto"/>
        </w:rPr>
      </w:pPr>
      <w:r>
        <w:rPr>
          <w:rFonts w:ascii="Times New Roman" w:cs="Times New Roman" w:eastAsia="Times New Roman" w:hAnsi="Times New Roman"/>
          <w:sz w:val="18"/>
          <w:szCs w:val="18"/>
          <w:color w:val="auto"/>
        </w:rPr>
        <w:t>Interest and dividend income decreased $0.2 million, or 7%, from $3.0 million for the three months ended September 30, 2023 to $2.8 million for the three months ended September 30, 2024. Interest and dividend income is primarily due to dividend income from our marketable securities</w:t>
      </w:r>
      <w:r>
        <w:rPr>
          <w:rFonts w:ascii="Times New Roman" w:cs="Times New Roman" w:eastAsia="Times New Roman" w:hAnsi="Times New Roman"/>
          <w:sz w:val="18"/>
          <w:szCs w:val="18"/>
          <w:color w:val="FF0000"/>
        </w:rPr>
        <w:t>.</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Expenses</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Other expenses decreased by $0.2 million, primarily due to foreign exchange losses.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Unconsolidated Joint Venture</w:t>
      </w:r>
    </w:p>
    <w:p>
      <w:pPr>
        <w:spacing w:after="0" w:line="119" w:lineRule="exact"/>
        <w:rPr>
          <w:sz w:val="20"/>
          <w:szCs w:val="20"/>
          <w:color w:val="auto"/>
        </w:rPr>
      </w:pPr>
    </w:p>
    <w:p>
      <w:pPr>
        <w:ind w:right="40" w:firstLine="637"/>
        <w:spacing w:after="0" w:line="281" w:lineRule="auto"/>
        <w:rPr>
          <w:sz w:val="20"/>
          <w:szCs w:val="20"/>
          <w:color w:val="auto"/>
        </w:rPr>
      </w:pPr>
      <w:r>
        <w:rPr>
          <w:rFonts w:ascii="Times New Roman" w:cs="Times New Roman" w:eastAsia="Times New Roman" w:hAnsi="Times New Roman"/>
          <w:sz w:val="18"/>
          <w:szCs w:val="18"/>
          <w:color w:val="auto"/>
        </w:rPr>
        <w:t>Income from unconsolidated joint venture increased from $0.1 million for the three months ended September 30, 2023 to $0.2 million for the three months ended September 30, 2024.</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Segment Considerations</w:t>
      </w:r>
    </w:p>
    <w:p>
      <w:pPr>
        <w:spacing w:after="0" w:line="119" w:lineRule="exact"/>
        <w:rPr>
          <w:sz w:val="20"/>
          <w:szCs w:val="20"/>
          <w:color w:val="auto"/>
        </w:rPr>
      </w:pPr>
    </w:p>
    <w:p>
      <w:pPr>
        <w:jc w:val="both"/>
        <w:ind w:right="160" w:firstLine="637"/>
        <w:spacing w:after="0" w:line="265" w:lineRule="auto"/>
        <w:rPr>
          <w:sz w:val="20"/>
          <w:szCs w:val="20"/>
          <w:color w:val="auto"/>
        </w:rPr>
      </w:pPr>
      <w:r>
        <w:rPr>
          <w:rFonts w:ascii="Times New Roman" w:cs="Times New Roman" w:eastAsia="Times New Roman" w:hAnsi="Times New Roman"/>
          <w:sz w:val="18"/>
          <w:szCs w:val="18"/>
          <w:color w:val="auto"/>
        </w:rPr>
        <w:t>Total segment loss from our U.S. operating segment for the three months ended September 30, 2024 and 2023 was $4.2 million and $7.9 million, respectively. Total segment loss from our International operating segment for the three months ended September 30, 2024 and 2023 was $6.0 million and $4.1 million, respectively.</w:t>
      </w:r>
    </w:p>
    <w:p>
      <w:pPr>
        <w:spacing w:after="0" w:line="28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Comparison of the Nine Months Ended September 30, 2024 and 2023</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sets forth our unaudited statements of operations data for the periods indicated: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27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(in</w:t>
            </w:r>
          </w:p>
        </w:tc>
        <w:tc>
          <w:tcPr>
            <w:tcW w:w="1220" w:type="dxa"/>
            <w:vAlign w:val="bottom"/>
            <w:gridSpan w:val="2"/>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4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396,983</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335,261</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240,379</w:t>
            </w:r>
          </w:p>
        </w:tc>
        <w:tc>
          <w:tcPr>
            <w:tcW w:w="2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206,087</w:t>
            </w:r>
          </w:p>
        </w:tc>
        <w:tc>
          <w:tcPr>
            <w:tcW w:w="100" w:type="dxa"/>
            <w:vAlign w:val="bottom"/>
          </w:tcPr>
          <w:p>
            <w:pPr>
              <w:spacing w:after="0"/>
              <w:rPr>
                <w:sz w:val="20"/>
                <w:szCs w:val="20"/>
                <w:color w:val="auto"/>
              </w:rPr>
            </w:pPr>
          </w:p>
        </w:tc>
      </w:tr>
      <w:tr>
        <w:trPr>
          <w:trHeight w:val="24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156,604</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129,174</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81,891</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68,315</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Operations and support</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42,918</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39,450</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Product development</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28,952</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25,570</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47,470</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56,479</w:t>
            </w:r>
          </w:p>
        </w:tc>
        <w:tc>
          <w:tcPr>
            <w:tcW w:w="100" w:type="dxa"/>
            <w:vAlign w:val="bottom"/>
          </w:tcPr>
          <w:p>
            <w:pPr>
              <w:spacing w:after="0"/>
              <w:rPr>
                <w:sz w:val="20"/>
                <w:szCs w:val="20"/>
                <w:color w:val="auto"/>
              </w:rPr>
            </w:pPr>
          </w:p>
        </w:tc>
      </w:tr>
      <w:tr>
        <w:trPr>
          <w:trHeight w:val="24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Impairment of assets</w:t>
            </w:r>
          </w:p>
        </w:tc>
        <w:tc>
          <w:tcPr>
            <w:tcW w:w="9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201,231</w:t>
            </w:r>
          </w:p>
        </w:tc>
        <w:tc>
          <w:tcPr>
            <w:tcW w:w="280" w:type="dxa"/>
            <w:vAlign w:val="bottom"/>
            <w:tcBorders>
              <w:top w:val="single" w:sz="8" w:color="CFF0FC"/>
            </w:tcBorders>
          </w:tcPr>
          <w:p>
            <w:pPr>
              <w:spacing w:after="0"/>
              <w:rPr>
                <w:sz w:val="20"/>
                <w:szCs w:val="20"/>
                <w:color w:val="auto"/>
              </w:rPr>
            </w:pPr>
          </w:p>
        </w:tc>
        <w:tc>
          <w:tcPr>
            <w:tcW w:w="9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190,211</w:t>
            </w:r>
          </w:p>
        </w:tc>
        <w:tc>
          <w:tcPr>
            <w:tcW w:w="100" w:type="dxa"/>
            <w:vAlign w:val="bottom"/>
            <w:tcBorders>
              <w:top w:val="single" w:sz="8" w:color="CFF0FC"/>
            </w:tcBorders>
          </w:tcPr>
          <w:p>
            <w:pPr>
              <w:spacing w:after="0"/>
              <w:rPr>
                <w:sz w:val="20"/>
                <w:szCs w:val="20"/>
                <w:color w:val="auto"/>
              </w:rPr>
            </w:pPr>
          </w:p>
        </w:tc>
      </w:tr>
      <w:tr>
        <w:trPr>
          <w:trHeight w:val="24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9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(44,627 )</w:t>
            </w:r>
          </w:p>
        </w:tc>
        <w:tc>
          <w:tcPr>
            <w:tcW w:w="9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9"/>
              </w:rPr>
              <w:t>(61,037 )</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(expenses):</w:t>
            </w: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9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(3,564 )</w:t>
            </w:r>
          </w:p>
        </w:tc>
        <w:tc>
          <w:tcPr>
            <w:tcW w:w="94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(3,596 )</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8,275</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8,648</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expenses</w:t>
            </w:r>
          </w:p>
        </w:tc>
        <w:tc>
          <w:tcPr>
            <w:tcW w:w="9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(1,064 )</w:t>
            </w:r>
          </w:p>
        </w:tc>
        <w:tc>
          <w:tcPr>
            <w:tcW w:w="94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(1,156 )</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from unconsolidated joint venture</w:t>
            </w: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20"/>
                <w:szCs w:val="20"/>
                <w:color w:val="auto"/>
              </w:rPr>
            </w:pPr>
          </w:p>
        </w:tc>
      </w:tr>
      <w:tr>
        <w:trPr>
          <w:trHeight w:val="236"/>
        </w:trPr>
        <w:tc>
          <w:tcPr>
            <w:tcW w:w="7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income</w:t>
            </w:r>
          </w:p>
        </w:tc>
        <w:tc>
          <w:tcPr>
            <w:tcW w:w="94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4,140</w:t>
            </w:r>
          </w:p>
        </w:tc>
        <w:tc>
          <w:tcPr>
            <w:tcW w:w="28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940" w:type="dxa"/>
            <w:vAlign w:val="bottom"/>
          </w:tcPr>
          <w:p>
            <w:pPr>
              <w:spacing w:after="0"/>
              <w:rPr>
                <w:sz w:val="20"/>
                <w:szCs w:val="20"/>
                <w:color w:val="auto"/>
              </w:rPr>
            </w:pPr>
          </w:p>
        </w:tc>
        <w:tc>
          <w:tcPr>
            <w:tcW w:w="9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(40,487 )</w:t>
            </w:r>
          </w:p>
        </w:tc>
        <w:tc>
          <w:tcPr>
            <w:tcW w:w="94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(56,704 )</w:t>
            </w:r>
          </w:p>
        </w:tc>
      </w:tr>
      <w:tr>
        <w:trPr>
          <w:trHeight w:val="243"/>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(20 )</w:t>
            </w:r>
          </w:p>
        </w:tc>
        <w:tc>
          <w:tcPr>
            <w:tcW w:w="94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(208 )</w:t>
            </w:r>
          </w:p>
        </w:tc>
      </w:tr>
      <w:tr>
        <w:trPr>
          <w:trHeight w:val="20"/>
        </w:trPr>
        <w:tc>
          <w:tcPr>
            <w:tcW w:w="77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Pr>
          <w:p>
            <w:pPr>
              <w:spacing w:after="0"/>
              <w:rPr>
                <w:sz w:val="20"/>
                <w:szCs w:val="20"/>
                <w:color w:val="auto"/>
              </w:rPr>
            </w:pPr>
          </w:p>
        </w:tc>
        <w:tc>
          <w:tcPr>
            <w:tcW w:w="9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(40,507 )</w:t>
            </w:r>
          </w:p>
        </w:tc>
        <w:tc>
          <w:tcPr>
            <w:tcW w:w="94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(56,912 )</w:t>
            </w: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94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(40,512 )</w:t>
            </w: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(56,921 )</w:t>
            </w:r>
          </w:p>
        </w:tc>
      </w:tr>
      <w:tr>
        <w:trPr>
          <w:trHeight w:val="20"/>
        </w:trPr>
        <w:tc>
          <w:tcPr>
            <w:tcW w:w="77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-2080260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-2080260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-821055</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-821055</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-504825</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unaudited statements of operations data expressed as a percentage of total revenue for the periods indicated:</w:t>
      </w:r>
    </w:p>
    <w:p>
      <w:pPr>
        <w:spacing w:after="0" w:line="27"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6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62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r>
      <w:tr>
        <w:trPr>
          <w:trHeight w:val="398"/>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100.0 %</w:t>
            </w: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r>
      <w:tr>
        <w:trPr>
          <w:trHeight w:val="24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10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60.6 %</w:t>
            </w: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61.5 %</w:t>
            </w:r>
          </w:p>
        </w:tc>
      </w:tr>
      <w:tr>
        <w:trPr>
          <w:trHeight w:val="20"/>
        </w:trPr>
        <w:tc>
          <w:tcPr>
            <w:tcW w:w="76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10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39.4 %</w:t>
            </w: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38.5 %</w:t>
            </w:r>
          </w:p>
        </w:tc>
      </w:tr>
      <w:tr>
        <w:trPr>
          <w:trHeight w:val="232"/>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1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38"/>
        </w:trPr>
        <w:tc>
          <w:tcPr>
            <w:tcW w:w="8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20.6 %</w:t>
            </w: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20.4 %</w:t>
            </w:r>
          </w:p>
        </w:tc>
      </w:tr>
      <w:tr>
        <w:trPr>
          <w:trHeight w:val="243"/>
        </w:trPr>
        <w:tc>
          <w:tcPr>
            <w:tcW w:w="8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Operations and support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10.8 %</w:t>
            </w: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11.8 %</w:t>
            </w:r>
          </w:p>
        </w:tc>
      </w:tr>
      <w:tr>
        <w:trPr>
          <w:trHeight w:val="243"/>
        </w:trPr>
        <w:tc>
          <w:tcPr>
            <w:tcW w:w="8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Product development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7.3 %</w:t>
            </w: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7.6 %</w:t>
            </w:r>
          </w:p>
        </w:tc>
      </w:tr>
      <w:tr>
        <w:trPr>
          <w:trHeight w:val="243"/>
        </w:trPr>
        <w:tc>
          <w:tcPr>
            <w:tcW w:w="8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12.0 %</w:t>
            </w: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16.8 %</w:t>
            </w:r>
          </w:p>
        </w:tc>
      </w:tr>
      <w:tr>
        <w:trPr>
          <w:trHeight w:val="24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Impairment of assets</w:t>
            </w:r>
          </w:p>
        </w:tc>
        <w:tc>
          <w:tcPr>
            <w:tcW w:w="110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0.1 %</w:t>
            </w:r>
          </w:p>
        </w:tc>
      </w:tr>
      <w:tr>
        <w:trPr>
          <w:trHeight w:val="20"/>
        </w:trPr>
        <w:tc>
          <w:tcPr>
            <w:tcW w:w="76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8"/>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0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50.7 %</w:t>
            </w: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56.7 %</w:t>
            </w:r>
          </w:p>
        </w:tc>
      </w:tr>
      <w:tr>
        <w:trPr>
          <w:trHeight w:val="20"/>
        </w:trPr>
        <w:tc>
          <w:tcPr>
            <w:tcW w:w="76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2"/>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1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(18.2 )%</w:t>
            </w:r>
          </w:p>
        </w:tc>
      </w:tr>
      <w:tr>
        <w:trPr>
          <w:trHeight w:val="238"/>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(expenses):</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43"/>
        </w:trPr>
        <w:tc>
          <w:tcPr>
            <w:tcW w:w="8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43"/>
        </w:trPr>
        <w:tc>
          <w:tcPr>
            <w:tcW w:w="8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2.1 %</w:t>
            </w: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2.6 %</w:t>
            </w:r>
          </w:p>
        </w:tc>
      </w:tr>
      <w:tr>
        <w:trPr>
          <w:trHeight w:val="243"/>
        </w:trPr>
        <w:tc>
          <w:tcPr>
            <w:tcW w:w="8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expenses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4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from unconsolidated joint venture</w:t>
            </w:r>
          </w:p>
        </w:tc>
        <w:tc>
          <w:tcPr>
            <w:tcW w:w="110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0.1 %</w:t>
            </w: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0.1 %</w:t>
            </w:r>
          </w:p>
        </w:tc>
      </w:tr>
      <w:tr>
        <w:trPr>
          <w:trHeight w:val="20"/>
        </w:trPr>
        <w:tc>
          <w:tcPr>
            <w:tcW w:w="76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8"/>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income</w:t>
            </w:r>
          </w:p>
        </w:tc>
        <w:tc>
          <w:tcPr>
            <w:tcW w:w="110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1.0 %</w:t>
            </w: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1.3 %</w:t>
            </w:r>
          </w:p>
        </w:tc>
      </w:tr>
      <w:tr>
        <w:trPr>
          <w:trHeight w:val="20"/>
        </w:trPr>
        <w:tc>
          <w:tcPr>
            <w:tcW w:w="76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2"/>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1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(16.9 )%</w:t>
            </w:r>
          </w:p>
        </w:tc>
      </w:tr>
      <w:tr>
        <w:trPr>
          <w:trHeight w:val="245"/>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0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0"/>
        </w:trPr>
        <w:tc>
          <w:tcPr>
            <w:tcW w:w="76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4"/>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(17.0 )%</w:t>
            </w:r>
          </w:p>
        </w:tc>
      </w:tr>
      <w:tr>
        <w:trPr>
          <w:trHeight w:val="245"/>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110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76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1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(17.0 )%</w:t>
            </w:r>
          </w:p>
        </w:tc>
      </w:tr>
      <w:tr>
        <w:trPr>
          <w:trHeight w:val="20"/>
        </w:trPr>
        <w:tc>
          <w:tcPr>
            <w:tcW w:w="76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-3484245</wp:posOffset>
            </wp:positionV>
            <wp:extent cx="7132320" cy="15430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-2850515</wp:posOffset>
            </wp:positionV>
            <wp:extent cx="7132320" cy="15430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-2542540</wp:posOffset>
            </wp:positionV>
            <wp:extent cx="7132320" cy="15430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-1908810</wp:posOffset>
            </wp:positionV>
            <wp:extent cx="7132320" cy="15430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-1600835</wp:posOffset>
            </wp:positionV>
            <wp:extent cx="7132320" cy="15430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-1292225</wp:posOffset>
            </wp:positionV>
            <wp:extent cx="7132320" cy="15430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-3167380</wp:posOffset>
            </wp:positionV>
            <wp:extent cx="7132320" cy="16256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-2233930</wp:posOffset>
            </wp:positionV>
            <wp:extent cx="7132320" cy="16256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-975360</wp:posOffset>
            </wp:positionV>
            <wp:extent cx="7132320" cy="16256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-658495</wp:posOffset>
            </wp:positionV>
            <wp:extent cx="7132320" cy="16256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16256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85" w:lineRule="exact"/>
        <w:rPr>
          <w:sz w:val="20"/>
          <w:szCs w:val="20"/>
          <w:color w:val="auto"/>
        </w:rPr>
      </w:pPr>
    </w:p>
    <w:p>
      <w:pPr>
        <w:ind w:right="240" w:firstLine="644"/>
        <w:spacing w:after="0" w:line="265" w:lineRule="auto"/>
        <w:rPr>
          <w:sz w:val="20"/>
          <w:szCs w:val="20"/>
          <w:color w:val="auto"/>
        </w:rPr>
      </w:pPr>
      <w:r>
        <w:rPr>
          <w:rFonts w:ascii="Times New Roman" w:cs="Times New Roman" w:eastAsia="Times New Roman" w:hAnsi="Times New Roman"/>
          <w:sz w:val="18"/>
          <w:szCs w:val="18"/>
          <w:color w:val="auto"/>
        </w:rPr>
        <w:t>The following tables present our disaggregated revenue and cost of revenue. Revenue from our marketplace primarily reflects the sales of parts and assemblies on our platform. Revenue from supplier services primarily includes the sale of advertising and to a lesser extent financial service products, SaaS products and tools and materials.</w:t>
      </w:r>
    </w:p>
    <w:p>
      <w:pPr>
        <w:spacing w:after="0" w:line="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and cost of revenue is presented in the following tables for the nine months ended September 30, 2024 and 2023 (in thousands):</w:t>
      </w:r>
    </w:p>
    <w:p>
      <w:pPr>
        <w:spacing w:after="0" w:line="2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b w:val="1"/>
          <w:bCs w:val="1"/>
          <w:color w:val="auto"/>
        </w:rPr>
        <w:t>For the Nine Months</w:t>
      </w:r>
    </w:p>
    <w:p>
      <w:pPr>
        <w:spacing w:after="0" w:line="2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b w:val="1"/>
          <w:bCs w:val="1"/>
          <w:color w:val="auto"/>
        </w:rPr>
        <w:t>Ended 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60" w:type="dxa"/>
            <w:vAlign w:val="bottom"/>
          </w:tcPr>
          <w:p>
            <w:pPr>
              <w:spacing w:after="0"/>
              <w:rPr>
                <w:sz w:val="21"/>
                <w:szCs w:val="21"/>
                <w:color w:val="auto"/>
              </w:rPr>
            </w:pPr>
          </w:p>
        </w:tc>
        <w:tc>
          <w:tcPr>
            <w:tcW w:w="25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2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spacing w:after="0"/>
              <w:rPr>
                <w:sz w:val="21"/>
                <w:szCs w:val="21"/>
                <w:color w:val="auto"/>
              </w:rPr>
            </w:pPr>
          </w:p>
        </w:tc>
        <w:tc>
          <w:tcPr>
            <w:tcW w:w="2440" w:type="dxa"/>
            <w:vAlign w:val="bottom"/>
            <w:tcBorders>
              <w:top w:val="single" w:sz="8" w:color="auto"/>
              <w:bottom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Marketplace</w:t>
            </w:r>
          </w:p>
        </w:tc>
        <w:tc>
          <w:tcPr>
            <w:tcW w:w="2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500" w:type="dxa"/>
            <w:vAlign w:val="bottom"/>
            <w:shd w:val="clear" w:color="auto" w:fill="CFF0FC"/>
          </w:tcPr>
          <w:p>
            <w:pPr>
              <w:jc w:val="right"/>
              <w:ind w:right="22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351,438</w:t>
            </w: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2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282,664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5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235,278</w:t>
            </w:r>
          </w:p>
        </w:tc>
        <w:tc>
          <w:tcPr>
            <w:tcW w:w="26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196,240</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500" w:type="dxa"/>
            <w:vAlign w:val="bottom"/>
            <w:tcBorders>
              <w:bottom w:val="single" w:sz="8" w:color="auto"/>
            </w:tcBorders>
            <w:shd w:val="clear" w:color="auto" w:fill="CFF0FC"/>
          </w:tcPr>
          <w:p>
            <w:pPr>
              <w:jc w:val="right"/>
              <w:ind w:right="22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116,160</w:t>
            </w:r>
          </w:p>
        </w:tc>
        <w:tc>
          <w:tcPr>
            <w:tcW w:w="26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auto"/>
            </w:tcBorders>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2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86,424</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5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33.1 %</w:t>
            </w:r>
          </w:p>
        </w:tc>
        <w:tc>
          <w:tcPr>
            <w:tcW w:w="760" w:type="dxa"/>
            <w:vAlign w:val="bottom"/>
          </w:tcPr>
          <w:p>
            <w:pPr>
              <w:spacing w:after="0"/>
              <w:rPr>
                <w:sz w:val="18"/>
                <w:szCs w:val="18"/>
                <w:color w:val="auto"/>
              </w:rPr>
            </w:pPr>
          </w:p>
        </w:tc>
        <w:tc>
          <w:tcPr>
            <w:tcW w:w="2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30.6 %</w:t>
            </w:r>
          </w:p>
        </w:tc>
        <w:tc>
          <w:tcPr>
            <w:tcW w:w="0" w:type="dxa"/>
            <w:vAlign w:val="bottom"/>
          </w:tcPr>
          <w:p>
            <w:pPr>
              <w:spacing w:after="0"/>
              <w:rPr>
                <w:sz w:val="1"/>
                <w:szCs w:val="1"/>
                <w:color w:val="auto"/>
              </w:rPr>
            </w:pPr>
          </w:p>
        </w:tc>
      </w:tr>
      <w:tr>
        <w:trPr>
          <w:trHeight w:val="251"/>
        </w:trPr>
        <w:tc>
          <w:tcPr>
            <w:tcW w:w="406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Supplier services</w:t>
            </w:r>
          </w:p>
        </w:tc>
        <w:tc>
          <w:tcPr>
            <w:tcW w:w="25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4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500" w:type="dxa"/>
            <w:vAlign w:val="bottom"/>
          </w:tcPr>
          <w:p>
            <w:pPr>
              <w:jc w:val="right"/>
              <w:ind w:right="22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45,545</w:t>
            </w:r>
          </w:p>
        </w:tc>
        <w:tc>
          <w:tcPr>
            <w:tcW w:w="260" w:type="dxa"/>
            <w:vAlign w:val="bottom"/>
          </w:tcPr>
          <w:p>
            <w:pPr>
              <w:spacing w:after="0"/>
              <w:rPr>
                <w:sz w:val="20"/>
                <w:szCs w:val="20"/>
                <w:color w:val="auto"/>
              </w:rPr>
            </w:pP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52,597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5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5,101</w:t>
            </w:r>
          </w:p>
        </w:tc>
        <w:tc>
          <w:tcPr>
            <w:tcW w:w="26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spacing w:after="0"/>
              <w:rPr>
                <w:sz w:val="21"/>
                <w:szCs w:val="21"/>
                <w:color w:val="auto"/>
              </w:rPr>
            </w:pPr>
          </w:p>
        </w:tc>
        <w:tc>
          <w:tcPr>
            <w:tcW w:w="2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9,847</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500" w:type="dxa"/>
            <w:vAlign w:val="bottom"/>
            <w:tcBorders>
              <w:bottom w:val="single" w:sz="8" w:color="auto"/>
            </w:tcBorders>
          </w:tcPr>
          <w:p>
            <w:pPr>
              <w:jc w:val="right"/>
              <w:ind w:right="22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40,444</w:t>
            </w:r>
          </w:p>
        </w:tc>
        <w:tc>
          <w:tcPr>
            <w:tcW w:w="260" w:type="dxa"/>
            <w:vAlign w:val="bottom"/>
          </w:tcPr>
          <w:p>
            <w:pPr>
              <w:spacing w:after="0"/>
              <w:rPr>
                <w:sz w:val="20"/>
                <w:szCs w:val="20"/>
                <w:color w:val="auto"/>
              </w:rPr>
            </w:pPr>
          </w:p>
        </w:tc>
        <w:tc>
          <w:tcPr>
            <w:tcW w:w="7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42,750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060" w:type="dxa"/>
            <w:vAlign w:val="bottom"/>
            <w:vMerge w:val="continue"/>
          </w:tcPr>
          <w:p>
            <w:pPr>
              <w:spacing w:after="0"/>
              <w:rPr>
                <w:sz w:val="18"/>
                <w:szCs w:val="18"/>
                <w:color w:val="auto"/>
              </w:rPr>
            </w:pPr>
          </w:p>
        </w:tc>
        <w:tc>
          <w:tcPr>
            <w:tcW w:w="25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88.8 %</w:t>
            </w:r>
          </w:p>
        </w:tc>
        <w:tc>
          <w:tcPr>
            <w:tcW w:w="760" w:type="dxa"/>
            <w:vAlign w:val="bottom"/>
          </w:tcPr>
          <w:p>
            <w:pPr>
              <w:spacing w:after="0"/>
              <w:rPr>
                <w:sz w:val="18"/>
                <w:szCs w:val="18"/>
                <w:color w:val="auto"/>
              </w:rPr>
            </w:pPr>
          </w:p>
        </w:tc>
        <w:tc>
          <w:tcPr>
            <w:tcW w:w="2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-1132840</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-1115695</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-1132840</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-1115695</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-336550</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-336550</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120" w:firstLine="637"/>
        <w:spacing w:after="0" w:line="258" w:lineRule="auto"/>
        <w:rPr>
          <w:sz w:val="20"/>
          <w:szCs w:val="20"/>
          <w:color w:val="auto"/>
        </w:rPr>
      </w:pPr>
      <w:r>
        <w:rPr>
          <w:rFonts w:ascii="Times New Roman" w:cs="Times New Roman" w:eastAsia="Times New Roman" w:hAnsi="Times New Roman"/>
          <w:sz w:val="18"/>
          <w:szCs w:val="18"/>
          <w:color w:val="auto"/>
        </w:rPr>
        <w:t>Total revenue increased $61.7 million, or 18%, from $335.3 million for the nine months ended September 30, 2023 to $397.0 million for the nine months ended September 30, 2024. This growth was a result of an increase in marketplace revenue, partially offset by a decrease in supplier services revenue. Marketplace revenue increased $68.8 million, or 24%, from $282.7 million for the nine months ended September 30, 2023 to $351.4 million for the nine months ended September 30, 2024. The increase in marketplace revenue was primarily due to increased buyers activity on the platform for the nine months ended September 30, 2024, as compared to the prior year period.</w:t>
      </w:r>
    </w:p>
    <w:p>
      <w:pPr>
        <w:sectPr>
          <w:pgSz w:w="11900" w:h="16838" w:orient="portrait"/>
          <w:cols w:equalWidth="0" w:num="1">
            <w:col w:w="11340"/>
          </w:cols>
          <w:pgMar w:left="320" w:top="768" w:right="239" w:bottom="1440" w:gutter="0" w:footer="0" w:header="0"/>
        </w:sectPr>
      </w:pPr>
    </w:p>
    <w:p>
      <w:pPr>
        <w:spacing w:after="0" w:line="7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768" w:right="2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5" w:lineRule="exact"/>
        <w:rPr>
          <w:sz w:val="20"/>
          <w:szCs w:val="20"/>
          <w:color w:val="auto"/>
        </w:rPr>
      </w:pPr>
    </w:p>
    <w:p>
      <w:pPr>
        <w:jc w:val="both"/>
        <w:ind w:right="80" w:firstLine="637"/>
        <w:spacing w:after="0" w:line="265" w:lineRule="auto"/>
        <w:rPr>
          <w:sz w:val="20"/>
          <w:szCs w:val="20"/>
          <w:color w:val="auto"/>
        </w:rPr>
      </w:pPr>
      <w:r>
        <w:rPr>
          <w:rFonts w:ascii="Times New Roman" w:cs="Times New Roman" w:eastAsia="Times New Roman" w:hAnsi="Times New Roman"/>
          <w:sz w:val="18"/>
          <w:szCs w:val="18"/>
          <w:color w:val="auto"/>
        </w:rPr>
        <w:t>Supplier services revenue decreased $7.1 million, or 13%, from $52.6 million for the nine months ended September 30, 2023 to $45.5 million for the nine months ended September 30, 2024. The decrease in revenue was primarily due to our exit from the tools and materials business in the U.S. during the second quarter of 2023, a decrease in Thomas non-core services and to a lesser extent a decrease in Thomas advertising and marketing service.</w:t>
      </w:r>
    </w:p>
    <w:p>
      <w:pPr>
        <w:spacing w:after="0" w:line="177" w:lineRule="exact"/>
        <w:rPr>
          <w:sz w:val="20"/>
          <w:szCs w:val="20"/>
          <w:color w:val="auto"/>
        </w:rPr>
      </w:pPr>
    </w:p>
    <w:p>
      <w:pPr>
        <w:ind w:right="20" w:firstLine="637"/>
        <w:spacing w:after="0" w:line="281" w:lineRule="auto"/>
        <w:rPr>
          <w:sz w:val="20"/>
          <w:szCs w:val="20"/>
          <w:color w:val="auto"/>
        </w:rPr>
      </w:pPr>
      <w:r>
        <w:rPr>
          <w:rFonts w:ascii="Times New Roman" w:cs="Times New Roman" w:eastAsia="Times New Roman" w:hAnsi="Times New Roman"/>
          <w:sz w:val="18"/>
          <w:szCs w:val="18"/>
          <w:color w:val="auto"/>
        </w:rPr>
        <w:t>Total revenue for the nine months ended September 30, 2024 and 2023 was $333.1 million and $292.7 million, respectively, for the U.S. operating segment, and $63.9 million and $42.5 million, respectively, for the International operating segment.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ind w:right="40" w:firstLine="637"/>
        <w:spacing w:after="0" w:line="280" w:lineRule="auto"/>
        <w:rPr>
          <w:sz w:val="20"/>
          <w:szCs w:val="20"/>
          <w:color w:val="auto"/>
        </w:rPr>
      </w:pPr>
      <w:r>
        <w:rPr>
          <w:rFonts w:ascii="Times New Roman" w:cs="Times New Roman" w:eastAsia="Times New Roman" w:hAnsi="Times New Roman"/>
          <w:sz w:val="17"/>
          <w:szCs w:val="17"/>
          <w:color w:val="auto"/>
        </w:rPr>
        <w:t>Total cost of revenue increased $34.3 million, or 17%, from $206.1 million for the nine months ended September 30, 2023 to $240.4 million for the nine months ended September 30, 2024. This increase was primarily the result of an increase in marketplace cost of revenue offset by a decrease in supplier services costs of revenue. Total cost of revenue from marketplace and supplier services for the nine months ended September 30, 2024 was $235.3 million and $5.1 million, respectively, as compared to $196.2 million and $9.8 million, respectively, for the nine months ended September 30, 2023.</w:t>
      </w:r>
    </w:p>
    <w:p>
      <w:pPr>
        <w:spacing w:after="0" w:line="166" w:lineRule="exact"/>
        <w:rPr>
          <w:sz w:val="20"/>
          <w:szCs w:val="20"/>
          <w:color w:val="auto"/>
        </w:rPr>
      </w:pPr>
    </w:p>
    <w:p>
      <w:pPr>
        <w:ind w:right="360" w:firstLine="637"/>
        <w:spacing w:after="0" w:line="281" w:lineRule="auto"/>
        <w:rPr>
          <w:sz w:val="20"/>
          <w:szCs w:val="20"/>
          <w:color w:val="auto"/>
        </w:rPr>
      </w:pPr>
      <w:r>
        <w:rPr>
          <w:rFonts w:ascii="Times New Roman" w:cs="Times New Roman" w:eastAsia="Times New Roman" w:hAnsi="Times New Roman"/>
          <w:sz w:val="18"/>
          <w:szCs w:val="18"/>
          <w:color w:val="auto"/>
        </w:rPr>
        <w:t>Marketplace cost of revenue was driven by increased payments to suppliers on our platform due to order growth and increased activity on our marketplace.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Margin</w:t>
      </w:r>
    </w:p>
    <w:p>
      <w:pPr>
        <w:spacing w:after="0" w:line="229" w:lineRule="exact"/>
        <w:rPr>
          <w:sz w:val="20"/>
          <w:szCs w:val="20"/>
          <w:color w:val="auto"/>
        </w:rPr>
      </w:pPr>
    </w:p>
    <w:p>
      <w:pPr>
        <w:ind w:right="220" w:firstLine="637"/>
        <w:spacing w:after="0" w:line="265" w:lineRule="auto"/>
        <w:rPr>
          <w:sz w:val="20"/>
          <w:szCs w:val="20"/>
          <w:color w:val="auto"/>
        </w:rPr>
      </w:pPr>
      <w:r>
        <w:rPr>
          <w:rFonts w:ascii="Times New Roman" w:cs="Times New Roman" w:eastAsia="Times New Roman" w:hAnsi="Times New Roman"/>
          <w:sz w:val="18"/>
          <w:szCs w:val="18"/>
          <w:color w:val="auto"/>
        </w:rPr>
        <w:t>Gross profit increased $27.4 million, or 21%, from $129.2 million for the nine months ended September 30, 2023 to $156.6 million for the nine months ended September 30, 2024. The increase in gross profit was primarily due to increases in revenue from marketplace and improved marketplace gross margins as compared to the prior year period.</w:t>
      </w:r>
    </w:p>
    <w:p>
      <w:pPr>
        <w:spacing w:after="0" w:line="177" w:lineRule="exact"/>
        <w:rPr>
          <w:sz w:val="20"/>
          <w:szCs w:val="20"/>
          <w:color w:val="auto"/>
        </w:rPr>
      </w:pPr>
    </w:p>
    <w:p>
      <w:pPr>
        <w:ind w:firstLine="637"/>
        <w:spacing w:after="0" w:line="258" w:lineRule="auto"/>
        <w:rPr>
          <w:sz w:val="20"/>
          <w:szCs w:val="20"/>
          <w:color w:val="auto"/>
        </w:rPr>
      </w:pPr>
      <w:r>
        <w:rPr>
          <w:rFonts w:ascii="Times New Roman" w:cs="Times New Roman" w:eastAsia="Times New Roman" w:hAnsi="Times New Roman"/>
          <w:sz w:val="18"/>
          <w:szCs w:val="18"/>
          <w:color w:val="auto"/>
        </w:rPr>
        <w:t>Gross margin for marketplace was 33.1% for the nine months ended September 30, 2024, as compared to 30.6% for the nine months ended September 30, 2023. The improvement over the prior year period was due largely to our AI-driven platform and expanding supplier network which optimizes pricing to buyers and suppliers. Gross margin for our supplier services increased to 88.8% for the nine months ended September 30, 2024 from 81.3% for the nine months ended September 30, 2023. The increase in gross margin for supplier services is primarily due to a higher mix of advertising and marketing services revenue and the exit from the lower margin tools and materials business.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9" w:lineRule="exact"/>
        <w:rPr>
          <w:sz w:val="20"/>
          <w:szCs w:val="20"/>
          <w:color w:val="auto"/>
        </w:rPr>
      </w:pPr>
    </w:p>
    <w:p>
      <w:pPr>
        <w:ind w:right="60" w:firstLine="637"/>
        <w:spacing w:after="0" w:line="263" w:lineRule="auto"/>
        <w:rPr>
          <w:sz w:val="20"/>
          <w:szCs w:val="20"/>
          <w:color w:val="auto"/>
        </w:rPr>
      </w:pPr>
      <w:r>
        <w:rPr>
          <w:rFonts w:ascii="Times New Roman" w:cs="Times New Roman" w:eastAsia="Times New Roman" w:hAnsi="Times New Roman"/>
          <w:sz w:val="18"/>
          <w:szCs w:val="18"/>
          <w:color w:val="auto"/>
        </w:rPr>
        <w:t>Sales and marketing expense increased $13.6 million, or 20%, from $68.3 million for the nine months ended September 30, 2023 to $81.9 million for the nine months ended September 30, 2024, primarily due to additional sales and marketing employees and their compensation costs, including stock-based compensation and to a lesser extent advertising expense. As a percent of total revenue, sales and marketing expenses increased to 20.6% for the nine months ended September 30, 2024 from 20.4% for the nine months ended September 30, 2023.</w:t>
      </w:r>
    </w:p>
    <w:p>
      <w:pPr>
        <w:spacing w:after="0" w:line="72" w:lineRule="exact"/>
        <w:rPr>
          <w:sz w:val="20"/>
          <w:szCs w:val="20"/>
          <w:color w:val="auto"/>
        </w:rPr>
      </w:pPr>
    </w:p>
    <w:p>
      <w:pPr>
        <w:ind w:firstLine="644"/>
        <w:spacing w:after="0" w:line="281" w:lineRule="auto"/>
        <w:rPr>
          <w:sz w:val="20"/>
          <w:szCs w:val="20"/>
          <w:color w:val="auto"/>
        </w:rPr>
      </w:pPr>
      <w:r>
        <w:rPr>
          <w:rFonts w:ascii="Times New Roman" w:cs="Times New Roman" w:eastAsia="Times New Roman" w:hAnsi="Times New Roman"/>
          <w:sz w:val="18"/>
          <w:szCs w:val="18"/>
          <w:color w:val="auto"/>
        </w:rPr>
        <w:t>Advertising expense increased 13%, from $23.4 million for the nine months ended September 30, 2023 to $26.5 million for the nine months ended September 30, 2024 due to increased marketplace and supplier services advertising.</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Operations and Support</w:t>
      </w:r>
    </w:p>
    <w:p>
      <w:pPr>
        <w:spacing w:after="0" w:line="119" w:lineRule="exact"/>
        <w:rPr>
          <w:sz w:val="20"/>
          <w:szCs w:val="20"/>
          <w:color w:val="auto"/>
        </w:rPr>
      </w:pPr>
    </w:p>
    <w:p>
      <w:pPr>
        <w:ind w:right="20" w:firstLine="637"/>
        <w:spacing w:after="0" w:line="260" w:lineRule="auto"/>
        <w:rPr>
          <w:sz w:val="20"/>
          <w:szCs w:val="20"/>
          <w:color w:val="auto"/>
        </w:rPr>
      </w:pPr>
      <w:r>
        <w:rPr>
          <w:rFonts w:ascii="Times New Roman" w:cs="Times New Roman" w:eastAsia="Times New Roman" w:hAnsi="Times New Roman"/>
          <w:sz w:val="18"/>
          <w:szCs w:val="18"/>
          <w:color w:val="auto"/>
        </w:rPr>
        <w:t>Operations and support expense increased $3.5 million, or 9%, from $39.5 million for the nine months ended September 30, 2023 to $42.9 million for the nine months ended September 30, 2024, primarily due to hiring of additional operations and support employees and their compensation costs including stock-based compensation. As a percent of total revenue, operations and support expenses decreased to 10.8% for the nine months ended September 30, 2024 from 11.8% for the nine months ended September 30, 2023.</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Development</w:t>
      </w:r>
    </w:p>
    <w:p>
      <w:pPr>
        <w:spacing w:after="0" w:line="119" w:lineRule="exact"/>
        <w:rPr>
          <w:sz w:val="20"/>
          <w:szCs w:val="20"/>
          <w:color w:val="auto"/>
        </w:rPr>
      </w:pPr>
    </w:p>
    <w:p>
      <w:pPr>
        <w:jc w:val="both"/>
        <w:ind w:right="80" w:firstLine="637"/>
        <w:spacing w:after="0" w:line="260" w:lineRule="auto"/>
        <w:rPr>
          <w:sz w:val="20"/>
          <w:szCs w:val="20"/>
          <w:color w:val="auto"/>
        </w:rPr>
      </w:pPr>
      <w:r>
        <w:rPr>
          <w:rFonts w:ascii="Times New Roman" w:cs="Times New Roman" w:eastAsia="Times New Roman" w:hAnsi="Times New Roman"/>
          <w:sz w:val="18"/>
          <w:szCs w:val="18"/>
          <w:color w:val="auto"/>
        </w:rPr>
        <w:t>Product development expense increased $3.4 million, or 13%, from $25.6 million for the nine months ended September 30, 2023 to $29.0 million for the nine months ended September 30, 2024, primarily as result of increases in amortization expense related to developed software assets and additional software costs. As a percent of total revenue, product development expenses decreased to 7.3% for the nine months ended September 30, 2024 from 7.6% for the nine months ended September 30, 2023.</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right="200" w:firstLine="637"/>
        <w:spacing w:after="0" w:line="265" w:lineRule="auto"/>
        <w:rPr>
          <w:sz w:val="20"/>
          <w:szCs w:val="20"/>
          <w:color w:val="auto"/>
        </w:rPr>
      </w:pPr>
      <w:r>
        <w:rPr>
          <w:rFonts w:ascii="Times New Roman" w:cs="Times New Roman" w:eastAsia="Times New Roman" w:hAnsi="Times New Roman"/>
          <w:sz w:val="18"/>
          <w:szCs w:val="18"/>
          <w:color w:val="auto"/>
        </w:rPr>
        <w:t>General and administrative expense decreased $9.0 million, or 16%, from $56.5 million for the nine months ended September 30, 2023 to $47.5 million for the nine months ended September 30, 2024. The primary driver of the decrease was due to the abandonment of multiple company leases resulting in a one-time $8.7 million charge in operating lease expense in the second</w:t>
      </w:r>
    </w:p>
    <w:p>
      <w:pPr>
        <w:spacing w:after="0" w:line="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97" w:lineRule="exact"/>
        <w:rPr>
          <w:sz w:val="20"/>
          <w:szCs w:val="20"/>
          <w:color w:val="auto"/>
        </w:rPr>
      </w:pPr>
    </w:p>
    <w:p>
      <w:pPr>
        <w:ind w:right="640"/>
        <w:spacing w:after="0" w:line="281" w:lineRule="auto"/>
        <w:rPr>
          <w:sz w:val="20"/>
          <w:szCs w:val="20"/>
          <w:color w:val="auto"/>
        </w:rPr>
      </w:pPr>
      <w:r>
        <w:rPr>
          <w:rFonts w:ascii="Times New Roman" w:cs="Times New Roman" w:eastAsia="Times New Roman" w:hAnsi="Times New Roman"/>
          <w:sz w:val="18"/>
          <w:szCs w:val="18"/>
          <w:color w:val="auto"/>
        </w:rPr>
        <w:t>quarter of 2023 and a decrease in the facilities cost for the abandoned locations. As a percent of total revenue, general and administrative expenses decreased to 12.0% for the nine months ended September 30, 2024 from 16.8% for the nine months ended September 30, 2023.</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Assets</w:t>
      </w:r>
    </w:p>
    <w:p>
      <w:pPr>
        <w:spacing w:after="0" w:line="119" w:lineRule="exact"/>
        <w:rPr>
          <w:sz w:val="20"/>
          <w:szCs w:val="20"/>
          <w:color w:val="auto"/>
        </w:rPr>
      </w:pPr>
    </w:p>
    <w:p>
      <w:pPr>
        <w:ind w:right="360" w:firstLine="637"/>
        <w:spacing w:after="0" w:line="281" w:lineRule="auto"/>
        <w:rPr>
          <w:sz w:val="20"/>
          <w:szCs w:val="20"/>
          <w:color w:val="auto"/>
        </w:rPr>
      </w:pPr>
      <w:r>
        <w:rPr>
          <w:rFonts w:ascii="Times New Roman" w:cs="Times New Roman" w:eastAsia="Times New Roman" w:hAnsi="Times New Roman"/>
          <w:sz w:val="18"/>
          <w:szCs w:val="18"/>
          <w:color w:val="auto"/>
        </w:rPr>
        <w:t>Impairment expense was $0.4 million for the nine months ended September 30, 2023. There was no impairment expense for the nine months ended September 30, 2024.</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Income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right="280" w:firstLine="637"/>
        <w:spacing w:after="0" w:line="281" w:lineRule="auto"/>
        <w:rPr>
          <w:sz w:val="20"/>
          <w:szCs w:val="20"/>
          <w:color w:val="auto"/>
        </w:rPr>
      </w:pPr>
      <w:r>
        <w:rPr>
          <w:rFonts w:ascii="Times New Roman" w:cs="Times New Roman" w:eastAsia="Times New Roman" w:hAnsi="Times New Roman"/>
          <w:sz w:val="18"/>
          <w:szCs w:val="18"/>
          <w:color w:val="auto"/>
        </w:rPr>
        <w:t>Interest expense remained flat at $3.6 million for the nine months ended September 30, 2024 and 2023. Interest expense is primarily due to the interest on the 2027 convertible notes issued in February 2022.</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Dividend Income</w:t>
      </w:r>
    </w:p>
    <w:p>
      <w:pPr>
        <w:spacing w:after="0" w:line="119" w:lineRule="exact"/>
        <w:rPr>
          <w:sz w:val="20"/>
          <w:szCs w:val="20"/>
          <w:color w:val="auto"/>
        </w:rPr>
      </w:pPr>
    </w:p>
    <w:p>
      <w:pPr>
        <w:ind w:right="140" w:firstLine="637"/>
        <w:spacing w:after="0" w:line="281" w:lineRule="auto"/>
        <w:rPr>
          <w:sz w:val="20"/>
          <w:szCs w:val="20"/>
          <w:color w:val="auto"/>
        </w:rPr>
      </w:pPr>
      <w:r>
        <w:rPr>
          <w:rFonts w:ascii="Times New Roman" w:cs="Times New Roman" w:eastAsia="Times New Roman" w:hAnsi="Times New Roman"/>
          <w:sz w:val="18"/>
          <w:szCs w:val="18"/>
          <w:color w:val="auto"/>
        </w:rPr>
        <w:t>Interest and dividend income decreased by $0.4 million, or 4%, from $8.6 million for the nine months ended September 30, 2023 to $8.3 million for the nine months ended September 30, 2024. Interest and dividend income is primarily due to dividend income from our marketable securities</w:t>
      </w:r>
      <w:r>
        <w:rPr>
          <w:rFonts w:ascii="Times New Roman" w:cs="Times New Roman" w:eastAsia="Times New Roman" w:hAnsi="Times New Roman"/>
          <w:sz w:val="18"/>
          <w:szCs w:val="18"/>
          <w:color w:val="FF0000"/>
        </w:rPr>
        <w:t>.</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Expenses</w:t>
      </w:r>
    </w:p>
    <w:p>
      <w:pPr>
        <w:spacing w:after="0" w:line="119" w:lineRule="exact"/>
        <w:rPr>
          <w:sz w:val="20"/>
          <w:szCs w:val="20"/>
          <w:color w:val="auto"/>
        </w:rPr>
      </w:pPr>
    </w:p>
    <w:p>
      <w:pPr>
        <w:ind w:firstLine="637"/>
        <w:spacing w:after="0" w:line="281" w:lineRule="auto"/>
        <w:rPr>
          <w:sz w:val="20"/>
          <w:szCs w:val="20"/>
          <w:color w:val="auto"/>
        </w:rPr>
      </w:pPr>
      <w:r>
        <w:rPr>
          <w:rFonts w:ascii="Times New Roman" w:cs="Times New Roman" w:eastAsia="Times New Roman" w:hAnsi="Times New Roman"/>
          <w:sz w:val="18"/>
          <w:szCs w:val="18"/>
          <w:color w:val="auto"/>
        </w:rPr>
        <w:t>Other expenses decreased $0.1 million from $1.2 million for the nine months ended September 30, 2023 to $1.1 million for the nine months ended September 30, 2024 primarily due to decrease in various non-income based taxes.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Unconsolidated Joint Venture</w:t>
      </w:r>
    </w:p>
    <w:p>
      <w:pPr>
        <w:spacing w:after="0" w:line="119" w:lineRule="exact"/>
        <w:rPr>
          <w:sz w:val="20"/>
          <w:szCs w:val="20"/>
          <w:color w:val="auto"/>
        </w:rPr>
      </w:pPr>
    </w:p>
    <w:p>
      <w:pPr>
        <w:ind w:right="20" w:firstLine="637"/>
        <w:spacing w:after="0" w:line="281" w:lineRule="auto"/>
        <w:rPr>
          <w:sz w:val="20"/>
          <w:szCs w:val="20"/>
          <w:color w:val="auto"/>
        </w:rPr>
      </w:pPr>
      <w:r>
        <w:rPr>
          <w:rFonts w:ascii="Times New Roman" w:cs="Times New Roman" w:eastAsia="Times New Roman" w:hAnsi="Times New Roman"/>
          <w:sz w:val="18"/>
          <w:szCs w:val="18"/>
          <w:color w:val="auto"/>
        </w:rPr>
        <w:t>Income from unconsolidated joint venture increased $0.1 million from $0.4 million for the nine months ended September 30, 2023 to $0.5 million for the nine months ended September 30, 2024.</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Segment Considerations</w:t>
      </w:r>
    </w:p>
    <w:p>
      <w:pPr>
        <w:spacing w:after="0" w:line="119" w:lineRule="exact"/>
        <w:rPr>
          <w:sz w:val="20"/>
          <w:szCs w:val="20"/>
          <w:color w:val="auto"/>
        </w:rPr>
      </w:pPr>
    </w:p>
    <w:p>
      <w:pPr>
        <w:ind w:right="340" w:firstLine="637"/>
        <w:spacing w:after="0" w:line="265" w:lineRule="auto"/>
        <w:rPr>
          <w:sz w:val="20"/>
          <w:szCs w:val="20"/>
          <w:color w:val="auto"/>
        </w:rPr>
      </w:pPr>
      <w:r>
        <w:rPr>
          <w:rFonts w:ascii="Times New Roman" w:cs="Times New Roman" w:eastAsia="Times New Roman" w:hAnsi="Times New Roman"/>
          <w:sz w:val="18"/>
          <w:szCs w:val="18"/>
          <w:color w:val="auto"/>
        </w:rPr>
        <w:t>Total segment loss from our U.S. operating segment for the nine months ended September 30, 2024 and 2023, was $23.1 million and $43.7 million, respectively. Total segment loss from our International operating segment for the nine months ended September 30, 2024 and 2023, was $17.4 million and $13.2 million, respectively.</w:t>
      </w: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8" w:right="3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We have financed our operations primarily through sales of our equity securities and borrowings under our convertible notes. As of September 30, 2024, our cash and cash equivalents and marketable securities totaled $234.0 million. We believe our existing cash and cash equivalents and marketable securities will be sufficient to support our working capital and capital expenditure requirements for at least the next twelve months. We believe we will meet our longer-term expected future cash requirements primarily from a combination of cash flow from operating activities and available cash and cash equivalents and marketable securities. We may also engage in equity or debt financings to secure additional funds. Our future capital requirements will depend on many factors, including our revenue growth rate, receivable and payable cycles, the timing and extent of investments in product development, sales and marketing, operations and support and general and administrative expenses.</w:t>
      </w:r>
    </w:p>
    <w:p>
      <w:pPr>
        <w:spacing w:after="0" w:line="79" w:lineRule="exact"/>
        <w:rPr>
          <w:sz w:val="20"/>
          <w:szCs w:val="20"/>
          <w:color w:val="auto"/>
        </w:rPr>
      </w:pPr>
    </w:p>
    <w:p>
      <w:pPr>
        <w:ind w:firstLine="644"/>
        <w:spacing w:after="0" w:line="281" w:lineRule="auto"/>
        <w:rPr>
          <w:sz w:val="20"/>
          <w:szCs w:val="20"/>
          <w:color w:val="auto"/>
        </w:rPr>
      </w:pPr>
      <w:r>
        <w:rPr>
          <w:rFonts w:ascii="Times New Roman" w:cs="Times New Roman" w:eastAsia="Times New Roman" w:hAnsi="Times New Roman"/>
          <w:sz w:val="18"/>
          <w:szCs w:val="18"/>
          <w:color w:val="auto"/>
        </w:rPr>
        <w:t>Our capital expenditures consist primarily of internal-use software costs, manufacturing equipment, computers and peripheral equipment, furniture and fixtures and leasehold improvements and patents.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 due 2027</w:t>
      </w:r>
    </w:p>
    <w:p>
      <w:pPr>
        <w:spacing w:after="0" w:line="121"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In February 2022, we entered into a purchase agreement with certain counterparties for the sale of an aggregate of $287.5 million principal amount of convertible senior notes due in 2027 (the “2027 Notes”) in a private offering to qualified institutional buyers pursuant to Rule 144A under the Securities Act of 1933, as amended (the “Securities Act”). The 2027 Notes consisted of a $250 million initial placement and an over-allotment option that provided the initial purchasers of the 2027 Notes with the option to purchase an additional $37.5 million aggregate principal amount of the 2027 Notes, which was fully exercised. The 2027 Notes were issued pursuant to an indenture dated February 4, 2022. The net proceeds from the issuance of the 2027 Notes were $278.2 million, net of debt issuance costs. The debt issuance costs are amortized to interest expense using the effective interest rate method.</w:t>
      </w:r>
    </w:p>
    <w:p>
      <w:pPr>
        <w:spacing w:after="0" w:line="78" w:lineRule="exact"/>
        <w:rPr>
          <w:sz w:val="20"/>
          <w:szCs w:val="20"/>
          <w:color w:val="auto"/>
        </w:rPr>
      </w:pPr>
    </w:p>
    <w:p>
      <w:pPr>
        <w:ind w:right="140" w:firstLine="644"/>
        <w:spacing w:after="0" w:line="265" w:lineRule="auto"/>
        <w:rPr>
          <w:sz w:val="20"/>
          <w:szCs w:val="20"/>
          <w:color w:val="auto"/>
        </w:rPr>
      </w:pPr>
      <w:r>
        <w:rPr>
          <w:rFonts w:ascii="Times New Roman" w:cs="Times New Roman" w:eastAsia="Times New Roman" w:hAnsi="Times New Roman"/>
          <w:sz w:val="18"/>
          <w:szCs w:val="18"/>
          <w:color w:val="auto"/>
        </w:rPr>
        <w:t>The 2027 Notes are unsecured obligations which bear regular interest at 1% per annum and for which the principal balance will not accrete. Interest payments are due on February 1 and August 1 of each year the Notes remain outstanding. The 2027 Notes will mature on February 1, 2027 unless repurchased, redeemed, or converted in accordance with their terms prior to such date.</w:t>
      </w:r>
    </w:p>
    <w:p>
      <w:pPr>
        <w:spacing w:after="0" w:line="69" w:lineRule="exact"/>
        <w:rPr>
          <w:sz w:val="20"/>
          <w:szCs w:val="20"/>
          <w:color w:val="auto"/>
        </w:rPr>
      </w:pPr>
    </w:p>
    <w:p>
      <w:pPr>
        <w:ind w:firstLine="644"/>
        <w:spacing w:after="0" w:line="260" w:lineRule="auto"/>
        <w:rPr>
          <w:sz w:val="20"/>
          <w:szCs w:val="20"/>
          <w:color w:val="auto"/>
        </w:rPr>
      </w:pPr>
      <w:r>
        <w:rPr>
          <w:rFonts w:ascii="Times New Roman" w:cs="Times New Roman" w:eastAsia="Times New Roman" w:hAnsi="Times New Roman"/>
          <w:sz w:val="18"/>
          <w:szCs w:val="18"/>
          <w:color w:val="auto"/>
        </w:rPr>
        <w:t>The 2027 Notes are convertible into cash, shares of our Class A common stock, or a combination of cash and shares of our Class A common stock, at our election, at an initial conversion rate of 17.8213 shares of Class A common stock per $1,000 principal amount of 2027 Notes, which is equivalent to an initial conversion price of approximately $56.11 per share of our Class A common stock. The conversion rate is subject to customary adjustments for certain events as described in the indenture governing the 2027 Notes.</w:t>
      </w:r>
    </w:p>
    <w:p>
      <w:pPr>
        <w:spacing w:after="0" w:line="74" w:lineRule="exact"/>
        <w:rPr>
          <w:sz w:val="20"/>
          <w:szCs w:val="20"/>
          <w:color w:val="auto"/>
        </w:rPr>
      </w:pPr>
    </w:p>
    <w:p>
      <w:pPr>
        <w:ind w:right="40" w:firstLine="644"/>
        <w:spacing w:after="0" w:line="265" w:lineRule="auto"/>
        <w:rPr>
          <w:sz w:val="20"/>
          <w:szCs w:val="20"/>
          <w:color w:val="auto"/>
        </w:rPr>
      </w:pPr>
      <w:r>
        <w:rPr>
          <w:rFonts w:ascii="Times New Roman" w:cs="Times New Roman" w:eastAsia="Times New Roman" w:hAnsi="Times New Roman"/>
          <w:sz w:val="18"/>
          <w:szCs w:val="18"/>
          <w:color w:val="auto"/>
        </w:rPr>
        <w:t>We may redeem for cash all or any portion of the 2027 Notes, at our option, on or after February 5, 2025 if the last reported sale price of our Class A common stock has been at least 130% of the conversion price then in effect for at least 20 trading days at a redemption price equal to 100% of the principal amount of the 2027 Notes to be redeemed, plus accrued and unpaid interest or additional interest, if any.</w:t>
      </w:r>
    </w:p>
    <w:p>
      <w:pPr>
        <w:spacing w:after="0" w:line="69" w:lineRule="exact"/>
        <w:rPr>
          <w:sz w:val="20"/>
          <w:szCs w:val="20"/>
          <w:color w:val="auto"/>
        </w:rPr>
      </w:pPr>
    </w:p>
    <w:p>
      <w:pPr>
        <w:ind w:right="500" w:firstLine="644"/>
        <w:spacing w:after="0" w:line="281" w:lineRule="auto"/>
        <w:rPr>
          <w:sz w:val="20"/>
          <w:szCs w:val="20"/>
          <w:color w:val="auto"/>
        </w:rPr>
      </w:pPr>
      <w:r>
        <w:rPr>
          <w:rFonts w:ascii="Times New Roman" w:cs="Times New Roman" w:eastAsia="Times New Roman" w:hAnsi="Times New Roman"/>
          <w:sz w:val="18"/>
          <w:szCs w:val="18"/>
          <w:color w:val="auto"/>
        </w:rPr>
        <w:t>Holders of the 2027 Notes may convert all or a portion of their 2027 Notes at their option prior to November 1, 2026, in multiples of $1,000 principal amounts, only under the following circumstances:</w:t>
      </w:r>
    </w:p>
    <w:p>
      <w:pPr>
        <w:spacing w:after="0" w:line="55" w:lineRule="exact"/>
        <w:rPr>
          <w:sz w:val="20"/>
          <w:szCs w:val="20"/>
          <w:color w:val="auto"/>
        </w:rPr>
      </w:pPr>
    </w:p>
    <w:p>
      <w:pPr>
        <w:jc w:val="both"/>
        <w:ind w:left="1020" w:right="200" w:hanging="504"/>
        <w:spacing w:after="0" w:line="265"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last reported sale price of our Class A common stock for at least 20 trading days (whether or not consecutive) during the period of 30 consecutive trading days ending on the last trading day of the preceding calendar quarter is greater than or equal to 130% of the applicable conversion price of the 2027 Notes on each such trading day;</w:t>
      </w:r>
    </w:p>
    <w:p>
      <w:pPr>
        <w:spacing w:after="0" w:line="69"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five-business day period after any ten consecutive trading day period in which the trading price per $1,000 principal amount of the 2027 Notes for each day of that ten consecutive trading day period was less than 98% of the product of the last reported sale price of our Class A common stock and the applicable conversion rate of the 2027 Notes;</w:t>
      </w:r>
    </w:p>
    <w:p>
      <w:pPr>
        <w:spacing w:after="0" w:line="69"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notice of redemption, at any time prior to the close of business on the scheduled trading day immediately preceding the redemption date, in which case we may be required to increase the conversion rate for the 2027 Notes so surrendered for conversion in connection with such redemption notice; or</w:t>
      </w:r>
    </w:p>
    <w:p>
      <w:pPr>
        <w:spacing w:after="0" w:line="69"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occurrence of specified corporate events.</w:t>
      </w:r>
    </w:p>
    <w:p>
      <w:pPr>
        <w:spacing w:after="0" w:line="117" w:lineRule="exact"/>
        <w:rPr>
          <w:sz w:val="20"/>
          <w:szCs w:val="20"/>
          <w:color w:val="auto"/>
        </w:rPr>
      </w:pPr>
    </w:p>
    <w:p>
      <w:pPr>
        <w:ind w:right="700" w:firstLine="644"/>
        <w:spacing w:after="0" w:line="281" w:lineRule="auto"/>
        <w:rPr>
          <w:sz w:val="20"/>
          <w:szCs w:val="20"/>
          <w:color w:val="auto"/>
        </w:rPr>
      </w:pPr>
      <w:r>
        <w:rPr>
          <w:rFonts w:ascii="Times New Roman" w:cs="Times New Roman" w:eastAsia="Times New Roman" w:hAnsi="Times New Roman"/>
          <w:sz w:val="18"/>
          <w:szCs w:val="18"/>
          <w:color w:val="auto"/>
        </w:rPr>
        <w:t>On or after November 1, 2026, the 2027 Notes are convertible at any time until the close of business on the second scheduled trading day immediately preceding the maturity date.</w:t>
      </w:r>
    </w:p>
    <w:p>
      <w:pPr>
        <w:spacing w:after="0" w:line="55" w:lineRule="exact"/>
        <w:rPr>
          <w:sz w:val="20"/>
          <w:szCs w:val="20"/>
          <w:color w:val="auto"/>
        </w:rPr>
      </w:pPr>
    </w:p>
    <w:p>
      <w:pPr>
        <w:ind w:right="80" w:firstLine="644"/>
        <w:spacing w:after="0" w:line="260" w:lineRule="auto"/>
        <w:rPr>
          <w:sz w:val="20"/>
          <w:szCs w:val="20"/>
          <w:color w:val="auto"/>
        </w:rPr>
      </w:pPr>
      <w:r>
        <w:rPr>
          <w:rFonts w:ascii="Times New Roman" w:cs="Times New Roman" w:eastAsia="Times New Roman" w:hAnsi="Times New Roman"/>
          <w:sz w:val="18"/>
          <w:szCs w:val="18"/>
          <w:color w:val="auto"/>
        </w:rPr>
        <w:t>Holders of the 2027 Notes who convert the 2027 Notes in connection with a make-whole fundamental change, as defined in the indenture governing the 2027 Notes, or in connection with a redemption are entitled to an increase in the conversion rate. Additionally, in the event of a fundamental change, holders of the 2027 Notes may require us to repurchase all or a portion of the 2027 Notes at a price equal to 100% of the principal amount of 2027 Notes, plus any accrued and unpaid special interest, if any.</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97" w:lineRule="exact"/>
        <w:rPr>
          <w:sz w:val="20"/>
          <w:szCs w:val="20"/>
          <w:color w:val="auto"/>
        </w:rPr>
      </w:pPr>
    </w:p>
    <w:p>
      <w:pPr>
        <w:ind w:right="640" w:firstLine="644"/>
        <w:spacing w:after="0" w:line="281" w:lineRule="auto"/>
        <w:rPr>
          <w:sz w:val="20"/>
          <w:szCs w:val="20"/>
          <w:color w:val="auto"/>
        </w:rPr>
      </w:pPr>
      <w:r>
        <w:rPr>
          <w:rFonts w:ascii="Times New Roman" w:cs="Times New Roman" w:eastAsia="Times New Roman" w:hAnsi="Times New Roman"/>
          <w:sz w:val="18"/>
          <w:szCs w:val="18"/>
          <w:color w:val="auto"/>
        </w:rPr>
        <w:t>We accounted for the issuance of the 2027 Notes as a single liability measured at its amortized cost, as no other embedded features require bifurcation and recognition as derivatives.</w:t>
      </w:r>
    </w:p>
    <w:p>
      <w:pPr>
        <w:spacing w:after="0" w:line="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30, 2024, the 2027 Notes have a carrying value of $283.2 million with an effective annual interest rate of 1.6%.</w:t>
      </w:r>
    </w:p>
    <w:p>
      <w:pPr>
        <w:spacing w:after="0" w:line="117" w:lineRule="exact"/>
        <w:rPr>
          <w:sz w:val="20"/>
          <w:szCs w:val="20"/>
          <w:color w:val="auto"/>
        </w:rPr>
      </w:pPr>
    </w:p>
    <w:p>
      <w:pPr>
        <w:ind w:right="540" w:firstLine="644"/>
        <w:spacing w:after="0" w:line="281" w:lineRule="auto"/>
        <w:rPr>
          <w:sz w:val="20"/>
          <w:szCs w:val="20"/>
          <w:color w:val="auto"/>
        </w:rPr>
      </w:pPr>
      <w:r>
        <w:rPr>
          <w:rFonts w:ascii="Times New Roman" w:cs="Times New Roman" w:eastAsia="Times New Roman" w:hAnsi="Times New Roman"/>
          <w:sz w:val="18"/>
          <w:szCs w:val="18"/>
          <w:color w:val="auto"/>
        </w:rPr>
        <w:t>We may, from time to time, repurchase our convertible senior notes using cash on hand, either on the open market or in privately negotiated transactions.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right="40" w:firstLine="637"/>
        <w:spacing w:after="0" w:line="281" w:lineRule="auto"/>
        <w:rPr>
          <w:sz w:val="20"/>
          <w:szCs w:val="20"/>
          <w:color w:val="auto"/>
        </w:rPr>
      </w:pPr>
      <w:r>
        <w:rPr>
          <w:rFonts w:ascii="Times New Roman" w:cs="Times New Roman" w:eastAsia="Times New Roman" w:hAnsi="Times New Roman"/>
          <w:sz w:val="18"/>
          <w:szCs w:val="18"/>
          <w:color w:val="auto"/>
        </w:rPr>
        <w:t>The following table presents a summary of our cash flows from operating, investing, and financing activities for the nine months ended September 30, 2024 and 2023.</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00" w:type="dxa"/>
            <w:vAlign w:val="bottom"/>
          </w:tcPr>
          <w:p>
            <w:pPr>
              <w:spacing w:after="0"/>
              <w:rPr>
                <w:sz w:val="16"/>
                <w:szCs w:val="16"/>
                <w:color w:val="auto"/>
              </w:rPr>
            </w:pPr>
          </w:p>
        </w:tc>
        <w:tc>
          <w:tcPr>
            <w:tcW w:w="2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0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1340" w:type="dxa"/>
            <w:vAlign w:val="bottom"/>
            <w:gridSpan w:val="2"/>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w w:val="94"/>
              </w:rPr>
              <w:t>thousands)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shd w:val="clear" w:color="auto" w:fill="CFF0FC"/>
          </w:tcPr>
          <w:p>
            <w:pPr>
              <w:jc w:val="right"/>
              <w:ind w:right="782"/>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3"/>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(24,469 )   $</w:t>
            </w: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(28,583 )</w:t>
            </w:r>
          </w:p>
        </w:tc>
      </w:tr>
      <w:tr>
        <w:trPr>
          <w:trHeight w:val="238"/>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960" w:type="dxa"/>
            <w:vAlign w:val="bottom"/>
          </w:tcPr>
          <w:p>
            <w:pPr>
              <w:spacing w:after="0"/>
              <w:rPr>
                <w:sz w:val="20"/>
                <w:szCs w:val="20"/>
                <w:color w:val="auto"/>
              </w:rPr>
            </w:pPr>
          </w:p>
        </w:tc>
        <w:tc>
          <w:tcPr>
            <w:tcW w:w="88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w w:val="99"/>
              </w:rPr>
              <w:t>(14,734 )</w:t>
            </w:r>
          </w:p>
        </w:tc>
        <w:tc>
          <w:tcPr>
            <w:tcW w:w="10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6,181</w:t>
            </w:r>
          </w:p>
        </w:tc>
        <w:tc>
          <w:tcPr>
            <w:tcW w:w="100" w:type="dxa"/>
            <w:vAlign w:val="bottom"/>
          </w:tcPr>
          <w:p>
            <w:pPr>
              <w:spacing w:after="0"/>
              <w:rPr>
                <w:sz w:val="20"/>
                <w:szCs w:val="20"/>
                <w:color w:val="auto"/>
              </w:rPr>
            </w:pPr>
          </w:p>
        </w:tc>
      </w:tr>
      <w:tr>
        <w:trPr>
          <w:trHeight w:val="247"/>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00" w:type="dxa"/>
            <w:vAlign w:val="bottom"/>
            <w:shd w:val="clear" w:color="auto" w:fill="CFF0FC"/>
          </w:tcPr>
          <w:p>
            <w:pPr>
              <w:spacing w:after="0"/>
              <w:rPr>
                <w:sz w:val="21"/>
                <w:szCs w:val="2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40" w:firstLine="637"/>
        <w:spacing w:after="0" w:line="256" w:lineRule="auto"/>
        <w:rPr>
          <w:sz w:val="20"/>
          <w:szCs w:val="20"/>
          <w:color w:val="auto"/>
        </w:rPr>
      </w:pPr>
      <w:r>
        <w:rPr>
          <w:rFonts w:ascii="Times New Roman" w:cs="Times New Roman" w:eastAsia="Times New Roman" w:hAnsi="Times New Roman"/>
          <w:sz w:val="18"/>
          <w:szCs w:val="18"/>
          <w:color w:val="auto"/>
        </w:rPr>
        <w:t>For the nine months ended September 30, 2024, net cash used in operating activities was $24.5 million, primarily due to a net loss of $(40.5) million adjusted for non-cash charges of $36.5 million and a net decrease in our operating assets and liabilities of $(20.5) million. The non-cash adjustments primarily relate to stock-based compensation of $21.1 million, depreciation and amortization of $9.6 million, and a $3.3 million of reduction to our right of use lease assets. The net decrease in operating assets and liabilities is primarily driven by changes in accounts payable of $18.3 million due to the timing of payments, accounts receivable of $8.3 million due to increased sales and reductions in lease liabilities of $5.1 million, offset by changes in accrued expenses of $6.8 million and other assets of $4.4 million.</w:t>
      </w:r>
    </w:p>
    <w:p>
      <w:pPr>
        <w:spacing w:after="0" w:line="78"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For the nine months ended September 30, 2023, net cash used in operating activities was $28.6 million, primarily due to a net loss of $(56.9) million adjusted for non-cash charges of $40.3 million and a net decrease in our operating assets and liabilities of $(12.0) million. The non-cash adjustments primarily relate to stock-based compensation of $16.2 million, $13.3 million of reduction to our right of use lease assets, and depreciation and amortization of $7.9 million. The net decrease in operating assets and liabilities is primarily driven by changes in accounts receivable of $14.9 million and lease liabilities of $3.8 million, offset by changes in contract liabilities of $1.2 million, accrued expenses of $1.0 million, prepaid expenses of $2.3 million and other assets of $1.4 million.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100" w:firstLine="637"/>
        <w:spacing w:after="0" w:line="265" w:lineRule="auto"/>
        <w:rPr>
          <w:sz w:val="20"/>
          <w:szCs w:val="20"/>
          <w:color w:val="auto"/>
        </w:rPr>
      </w:pPr>
      <w:r>
        <w:rPr>
          <w:rFonts w:ascii="Times New Roman" w:cs="Times New Roman" w:eastAsia="Times New Roman" w:hAnsi="Times New Roman"/>
          <w:sz w:val="18"/>
          <w:szCs w:val="18"/>
          <w:color w:val="auto"/>
        </w:rPr>
        <w:t>For the nine months ended September 30, 2024, net cash used by investing activities was $14.7 million, primarily due to the purchase of marketable securities $16.3 million and purchase of property and equipment (which includes the internal-use software development costs) of $13.6 million offset by the sale of marketable securities of $15.0 million.</w:t>
      </w:r>
    </w:p>
    <w:p>
      <w:pPr>
        <w:spacing w:after="0" w:line="69" w:lineRule="exact"/>
        <w:rPr>
          <w:sz w:val="20"/>
          <w:szCs w:val="20"/>
          <w:color w:val="auto"/>
        </w:rPr>
      </w:pPr>
    </w:p>
    <w:p>
      <w:pPr>
        <w:jc w:val="both"/>
        <w:ind w:right="20" w:firstLine="637"/>
        <w:spacing w:after="0" w:line="281" w:lineRule="auto"/>
        <w:rPr>
          <w:sz w:val="20"/>
          <w:szCs w:val="20"/>
          <w:color w:val="auto"/>
        </w:rPr>
      </w:pPr>
      <w:r>
        <w:rPr>
          <w:rFonts w:ascii="Times New Roman" w:cs="Times New Roman" w:eastAsia="Times New Roman" w:hAnsi="Times New Roman"/>
          <w:sz w:val="18"/>
          <w:szCs w:val="18"/>
          <w:color w:val="auto"/>
        </w:rPr>
        <w:t>For the nine months ended September 30, 2023, net cash provided by investing activities was $6.2 million, primarily due to the proceeds from the sale of marketable securities of $30.0 million offset by the purchase of property and equipment (which includes internal-use software development costs) of $12.1 million, $8.6 million for the purchase of marketable securities, and $3.3 million for the acquisition of Tridi.</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140" w:firstLine="637"/>
        <w:spacing w:after="0" w:line="281" w:lineRule="auto"/>
        <w:rPr>
          <w:sz w:val="20"/>
          <w:szCs w:val="20"/>
          <w:color w:val="auto"/>
        </w:rPr>
      </w:pPr>
      <w:r>
        <w:rPr>
          <w:rFonts w:ascii="Times New Roman" w:cs="Times New Roman" w:eastAsia="Times New Roman" w:hAnsi="Times New Roman"/>
          <w:sz w:val="18"/>
          <w:szCs w:val="18"/>
          <w:color w:val="auto"/>
        </w:rPr>
        <w:t>For the nine months ended September 30, 2024, net cash provided by financing activities was $3.2 million, relating to proceeds from the exercise of stock options.</w:t>
      </w:r>
    </w:p>
    <w:p>
      <w:pPr>
        <w:spacing w:after="0" w:line="55" w:lineRule="exact"/>
        <w:rPr>
          <w:sz w:val="20"/>
          <w:szCs w:val="20"/>
          <w:color w:val="auto"/>
        </w:rPr>
      </w:pPr>
    </w:p>
    <w:p>
      <w:pPr>
        <w:ind w:right="140" w:firstLine="637"/>
        <w:spacing w:after="0" w:line="281" w:lineRule="auto"/>
        <w:rPr>
          <w:sz w:val="20"/>
          <w:szCs w:val="20"/>
          <w:color w:val="auto"/>
        </w:rPr>
      </w:pPr>
      <w:r>
        <w:rPr>
          <w:rFonts w:ascii="Times New Roman" w:cs="Times New Roman" w:eastAsia="Times New Roman" w:hAnsi="Times New Roman"/>
          <w:sz w:val="18"/>
          <w:szCs w:val="18"/>
          <w:color w:val="auto"/>
        </w:rPr>
        <w:t>For the nine months ended September 30, 2023, net cash provided by financing activities was $1.4 million, relating to proceeds from the exercise of stock options.</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60" w:firstLine="644"/>
        <w:spacing w:after="0" w:line="274" w:lineRule="auto"/>
        <w:rPr>
          <w:sz w:val="20"/>
          <w:szCs w:val="20"/>
          <w:color w:val="auto"/>
        </w:rPr>
      </w:pPr>
      <w:r>
        <w:rPr>
          <w:rFonts w:ascii="Times New Roman" w:cs="Times New Roman" w:eastAsia="Times New Roman" w:hAnsi="Times New Roman"/>
          <w:sz w:val="17"/>
          <w:szCs w:val="17"/>
          <w:color w:val="auto"/>
        </w:rPr>
        <w:t>Our condensed consolidated financial statements and accompanying notes have been prepared in accordance with GAAP. The preparation of these condensed consolidated financial statements requires us to make estimates and assumptions that affect the reported amounts of assets, liabilities, revenue and expenses, and related disclosures. We base our estimates on historical experience and on various other assumptions that we believe are reasonable under the circumstances. We evaluate our estimates and assumptions on an ongoing basis. Actual results may differ from these estimates. To the extent that there are material differences between these estimates and our actual results, our future financial statements will be affected. For additional information about our critical accounting policies and estimates, see the disclosure included in our Annual Report on Form 10-K for the year ended December 31,</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97"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 xml:space="preserve">2023 as well as Note 2 – Basis of Presentation and Summary of Significant Accounting Policies in the notes to the condensed consolidated financial statements included in Part I, Item 1, of this Quarterly Report on Form 10-Q. There have been no material changes to our critical accounting policies and accounting estimates as compared to those disclosed in our </w:t>
      </w:r>
      <w:r>
        <w:rPr>
          <w:rFonts w:ascii="Times New Roman" w:cs="Times New Roman" w:eastAsia="Times New Roman" w:hAnsi="Times New Roman"/>
          <w:sz w:val="18"/>
          <w:szCs w:val="18"/>
          <w:u w:val="single" w:color="auto"/>
          <w:color w:val="0000FF"/>
        </w:rPr>
        <w:t>Annual Report on Form 10-K</w:t>
      </w:r>
      <w:r>
        <w:rPr>
          <w:rFonts w:ascii="Times New Roman" w:cs="Times New Roman" w:eastAsia="Times New Roman" w:hAnsi="Times New Roman"/>
          <w:sz w:val="18"/>
          <w:szCs w:val="18"/>
          <w:color w:val="auto"/>
        </w:rPr>
        <w:t xml:space="preserve"> for the year ended December 31, 2023.</w:t>
      </w:r>
    </w:p>
    <w:p>
      <w:pPr>
        <w:spacing w:after="0" w:line="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20" w:firstLine="644"/>
        <w:spacing w:after="0" w:line="265" w:lineRule="auto"/>
        <w:rPr>
          <w:sz w:val="20"/>
          <w:szCs w:val="20"/>
          <w:color w:val="auto"/>
        </w:rPr>
      </w:pPr>
      <w:r>
        <w:rPr>
          <w:rFonts w:ascii="Times New Roman" w:cs="Times New Roman" w:eastAsia="Times New Roman" w:hAnsi="Times New Roman"/>
          <w:sz w:val="18"/>
          <w:szCs w:val="18"/>
          <w:color w:val="auto"/>
        </w:rPr>
        <w:t>For a description of our recently adopted accounting pronouncements and recently issued accounting standards not yet adopted, see Note 2 – Basis of Presentation and Summary of Significant Accounting Policies in the notes to the condensed consolidated financial statements included in Part I, Item 1, of this Quarterly Report on Form 10-Q.</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37"/>
        <w:spacing w:after="0" w:line="260"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a result of exposure to potential changes in interest rates. We do not enter into investments for trading or speculative purposes and have not used any derivative financial instruments to manage our interest rate risk exposure.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21" w:lineRule="exact"/>
        <w:rPr>
          <w:sz w:val="20"/>
          <w:szCs w:val="20"/>
          <w:color w:val="auto"/>
        </w:rPr>
      </w:pPr>
    </w:p>
    <w:p>
      <w:pPr>
        <w:ind w:right="20" w:firstLine="637"/>
        <w:spacing w:after="0" w:line="256" w:lineRule="auto"/>
        <w:rPr>
          <w:sz w:val="20"/>
          <w:szCs w:val="20"/>
          <w:color w:val="auto"/>
        </w:rPr>
      </w:pPr>
      <w:r>
        <w:rPr>
          <w:rFonts w:ascii="Times New Roman" w:cs="Times New Roman" w:eastAsia="Times New Roman" w:hAnsi="Times New Roman"/>
          <w:sz w:val="18"/>
          <w:szCs w:val="18"/>
          <w:color w:val="auto"/>
        </w:rPr>
        <w:t>Our U.S. revenue and costs are principally denominated in U.S. dollars and are not subject to foreign currency exchange risk. Our International operating segment generates revenue outside of the United States that is denominated in currencies other than the U.S. dollar. Our results of operations are impacted by changes in exchange rates. Outside the U.S., our International operations generate approximately 16% of our revenues, of which a majority is generated in Euros. If the average exchange rate of Euros changed unfavorably by 10%, our revenues for the nine months ended September 30, 2024 would have decreased by 1.3%. During the nine months ended September 30, 2024, our revenues were not materially impacted as the average exchange rate remained consistent between the nine month period ended September 30, 2023 and September 30, 2024.</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ind w:right="440" w:firstLine="749"/>
        <w:spacing w:after="0" w:line="265"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results of operations, or financial condition. If our costs were to become subject to significant inflationary pressures such as those caused by geopolitical tensions, we may not be able to fully offset such higher costs through price increases. Our inability or failure to do so could harm our business, results of operations and financial condition.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80" w:firstLine="637"/>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(the “Exchange Act”), that are designed to ensure that information required to be disclosed in the reports that we file or submit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79" w:lineRule="exact"/>
        <w:rPr>
          <w:sz w:val="20"/>
          <w:szCs w:val="20"/>
          <w:color w:val="auto"/>
        </w:rPr>
      </w:pPr>
    </w:p>
    <w:p>
      <w:pPr>
        <w:jc w:val="both"/>
        <w:ind w:right="240" w:firstLine="637"/>
        <w:spacing w:after="0" w:line="260" w:lineRule="auto"/>
        <w:rPr>
          <w:sz w:val="20"/>
          <w:szCs w:val="20"/>
          <w:color w:val="auto"/>
        </w:rPr>
      </w:pPr>
      <w:r>
        <w:rPr>
          <w:rFonts w:ascii="Times New Roman" w:cs="Times New Roman" w:eastAsia="Times New Roman" w:hAnsi="Times New Roman"/>
          <w:sz w:val="18"/>
          <w:szCs w:val="18"/>
          <w:color w:val="auto"/>
        </w:rPr>
        <w:t>Pursuant to Rules 13a-15(e) and 15d-15(e) under the Exchange Act, our management, with the participation of our Chief Executive Officer and Chief Financial Officer, performed an evaluation of the effectiveness of our disclosure controls and procedures as of September 30, 2024. Based on such evaluation, our Chief Executive Officer and Chief Financial Officer concluded that our disclosure controls and procedures were effective at a reasonable assurance level as of September 30, 2024.</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80" w:firstLine="637"/>
        <w:spacing w:after="0" w:line="265"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identified in connection with the evaluation required by Rule 13a-15(d) and 15d-15(d) of the Exchange Act that occurred during the quarter ended September 30, 2024, that have materially affected, or are reasonably likely to materially affect, our internal control over financial reporting.</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121" w:lineRule="exact"/>
        <w:rPr>
          <w:sz w:val="20"/>
          <w:szCs w:val="20"/>
          <w:color w:val="auto"/>
        </w:rPr>
      </w:pPr>
    </w:p>
    <w:p>
      <w:pPr>
        <w:jc w:val="both"/>
        <w:ind w:right="80" w:firstLine="637"/>
        <w:spacing w:after="0" w:line="260" w:lineRule="auto"/>
        <w:rPr>
          <w:sz w:val="20"/>
          <w:szCs w:val="20"/>
          <w:color w:val="auto"/>
        </w:rPr>
      </w:pPr>
      <w:r>
        <w:rPr>
          <w:rFonts w:ascii="Times New Roman" w:cs="Times New Roman" w:eastAsia="Times New Roman" w:hAnsi="Times New Roman"/>
          <w:sz w:val="18"/>
          <w:szCs w:val="18"/>
          <w:color w:val="auto"/>
        </w:rPr>
        <w:t>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9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80" w:firstLine="644"/>
        <w:spacing w:after="0" w:line="260" w:lineRule="auto"/>
        <w:rPr>
          <w:sz w:val="20"/>
          <w:szCs w:val="20"/>
          <w:color w:val="auto"/>
        </w:rPr>
      </w:pPr>
      <w:r>
        <w:rPr>
          <w:rFonts w:ascii="Times New Roman" w:cs="Times New Roman" w:eastAsia="Times New Roman" w:hAnsi="Times New Roman"/>
          <w:sz w:val="18"/>
          <w:szCs w:val="18"/>
          <w:color w:val="auto"/>
        </w:rPr>
        <w:t>From time to time, we are involved in various claims and legal actions that arise in the ordinary course of business. We are not a party to any legal proceedings, that individually or in the aggregate, are reasonably expected to have a material adverse effect on our consolidated results of operations, financial condition or cash flows. However, the results of these matters cannot be predicted with certainty, and an unfavorable resolution of one or more matters could have a material adverse effect on our consolidated results of operations, financial condition or cash flows.</w:t>
      </w:r>
    </w:p>
    <w:p>
      <w:pPr>
        <w:spacing w:after="0" w:line="182" w:lineRule="exact"/>
        <w:rPr>
          <w:sz w:val="20"/>
          <w:szCs w:val="20"/>
          <w:color w:val="auto"/>
        </w:rPr>
      </w:pPr>
    </w:p>
    <w:p>
      <w:pPr>
        <w:ind w:right="180" w:firstLine="644"/>
        <w:spacing w:after="0" w:line="281" w:lineRule="auto"/>
        <w:rPr>
          <w:sz w:val="20"/>
          <w:szCs w:val="20"/>
          <w:color w:val="auto"/>
        </w:rPr>
      </w:pPr>
      <w:r>
        <w:rPr>
          <w:rFonts w:ascii="Times New Roman" w:cs="Times New Roman" w:eastAsia="Times New Roman" w:hAnsi="Times New Roman"/>
          <w:sz w:val="18"/>
          <w:szCs w:val="18"/>
          <w:color w:val="auto"/>
        </w:rPr>
        <w:t>For the period ended September 30, 2024, there were no material legal proceedings brought against us nor were there any material developments to any ongoing legal proceedings which constituted reportable events.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40" w:firstLine="644"/>
        <w:spacing w:after="0" w:line="219" w:lineRule="exact"/>
        <w:rPr>
          <w:sz w:val="20"/>
          <w:szCs w:val="20"/>
          <w:color w:val="auto"/>
        </w:rPr>
      </w:pPr>
      <w:r>
        <w:rPr>
          <w:rFonts w:ascii="Times New Roman" w:cs="Times New Roman" w:eastAsia="Times New Roman" w:hAnsi="Times New Roman"/>
          <w:sz w:val="18"/>
          <w:szCs w:val="18"/>
          <w:color w:val="auto"/>
        </w:rPr>
        <w:t>Investing in our Class A common stock involves a high degree of risk. You should carefully consider the risks and uncertainties described in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2023 under Part I, Item 1A, "Risk Factors,” together with all of the other information in this Quarterly Report on Form 10-Q, including the sections titled “Management’s Discussion and Analysis of Financial Condition and Results of Operations” and our condensed consolidated financial statements and related notes, before making a decision to invest in our Class A common stock.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and prospects could be adversely affected. In that event, the market price of our Class A common stock could decline, and you could lose part or all of your investment.</w:t>
      </w:r>
    </w:p>
    <w:p>
      <w:pPr>
        <w:spacing w:after="0" w:line="158" w:lineRule="exact"/>
        <w:rPr>
          <w:sz w:val="20"/>
          <w:szCs w:val="20"/>
          <w:color w:val="auto"/>
        </w:rPr>
      </w:pPr>
    </w:p>
    <w:p>
      <w:pPr>
        <w:ind w:right="400" w:firstLine="644"/>
        <w:spacing w:after="0" w:line="239" w:lineRule="exact"/>
        <w:rPr>
          <w:sz w:val="20"/>
          <w:szCs w:val="20"/>
          <w:color w:val="auto"/>
        </w:rPr>
      </w:pPr>
      <w:r>
        <w:rPr>
          <w:rFonts w:ascii="Times New Roman" w:cs="Times New Roman" w:eastAsia="Times New Roman" w:hAnsi="Times New Roman"/>
          <w:sz w:val="18"/>
          <w:szCs w:val="18"/>
          <w:color w:val="auto"/>
        </w:rPr>
        <w:t>There have been no material changes to our risk factors as previously disclosed in Item 1A. contained in Part I of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2023.</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229" w:lineRule="exact"/>
        <w:rPr>
          <w:sz w:val="20"/>
          <w:szCs w:val="20"/>
          <w:color w:val="auto"/>
        </w:rPr>
      </w:pPr>
    </w:p>
    <w:p>
      <w:pPr>
        <w:ind w:right="160" w:firstLine="644"/>
        <w:spacing w:after="0" w:line="312" w:lineRule="auto"/>
        <w:rPr>
          <w:sz w:val="20"/>
          <w:szCs w:val="20"/>
          <w:color w:val="auto"/>
        </w:rPr>
      </w:pPr>
      <w:r>
        <w:rPr>
          <w:rFonts w:ascii="Times New Roman" w:cs="Times New Roman" w:eastAsia="Times New Roman" w:hAnsi="Times New Roman"/>
          <w:sz w:val="17"/>
          <w:szCs w:val="17"/>
          <w:color w:val="auto"/>
        </w:rPr>
        <w:t>During our last fiscal quarter, our directors and officers (as defined in Rule 16a-1(f) under the Securities and Exchange Act of 1934, as amended) adopted or terminated the contracts, instructions or written plans for the purchase or sale of the Company’s securities set forth in the table below.</w:t>
      </w:r>
    </w:p>
    <w:p>
      <w:pPr>
        <w:spacing w:after="0" w:line="15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b w:val="1"/>
          <w:bCs w:val="1"/>
          <w:color w:val="auto"/>
        </w:rPr>
        <w:t>Type of Trading</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b w:val="1"/>
          <w:bCs w:val="1"/>
          <w:color w:val="auto"/>
        </w:rPr>
        <w:t>Arrangement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0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Borders>
              <w:top w:val="single" w:sz="8" w:color="auto"/>
            </w:tcBorders>
          </w:tcPr>
          <w:p>
            <w:pPr>
              <w:jc w:val="center"/>
              <w:spacing w:after="0" w:line="148" w:lineRule="exact"/>
              <w:rPr>
                <w:sz w:val="20"/>
                <w:szCs w:val="20"/>
                <w:color w:val="auto"/>
              </w:rPr>
            </w:pPr>
            <w:r>
              <w:rPr>
                <w:rFonts w:ascii="Times New Roman" w:cs="Times New Roman" w:eastAsia="Times New Roman" w:hAnsi="Times New Roman"/>
                <w:sz w:val="15"/>
                <w:szCs w:val="15"/>
                <w:b w:val="1"/>
                <w:bCs w:val="1"/>
                <w:color w:val="auto"/>
              </w:rPr>
              <w:t>Total Shares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w w:val="98"/>
              </w:rPr>
              <w:t>Total Shares of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Class A Common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Rule 10b5-</w:t>
            </w:r>
          </w:p>
        </w:tc>
        <w:tc>
          <w:tcPr>
            <w:tcW w:w="760" w:type="dxa"/>
            <w:vAlign w:val="bottom"/>
          </w:tcPr>
          <w:p>
            <w:pPr>
              <w:jc w:val="right"/>
              <w:ind w:right="24"/>
              <w:spacing w:after="0" w:line="162" w:lineRule="exact"/>
              <w:rPr>
                <w:sz w:val="20"/>
                <w:szCs w:val="20"/>
                <w:color w:val="auto"/>
              </w:rPr>
            </w:pPr>
            <w:r>
              <w:rPr>
                <w:rFonts w:ascii="Times New Roman" w:cs="Times New Roman" w:eastAsia="Times New Roman" w:hAnsi="Times New Roman"/>
                <w:sz w:val="15"/>
                <w:szCs w:val="15"/>
                <w:b w:val="1"/>
                <w:bCs w:val="1"/>
                <w:color w:val="auto"/>
              </w:rPr>
              <w:t>Non-Rule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Class A Common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Stock to be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5"/>
                <w:szCs w:val="15"/>
                <w:b w:val="1"/>
                <w:bCs w:val="1"/>
                <w:color w:val="auto"/>
              </w:rPr>
              <w:t>Name and Position</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Action</w:t>
            </w:r>
          </w:p>
        </w:tc>
        <w:tc>
          <w:tcPr>
            <w:tcW w:w="12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Adoption/Termination Date</w:t>
            </w:r>
          </w:p>
        </w:tc>
        <w:tc>
          <w:tcPr>
            <w:tcW w:w="920" w:type="dxa"/>
            <w:vAlign w:val="bottom"/>
            <w:tcBorders>
              <w:bottom w:val="single" w:sz="8" w:color="auto"/>
            </w:tcBorders>
            <w:gridSpan w:val="2"/>
          </w:tcPr>
          <w:p>
            <w:pPr>
              <w:jc w:val="center"/>
              <w:ind w:left="44"/>
              <w:spacing w:after="0"/>
              <w:rPr>
                <w:sz w:val="20"/>
                <w:szCs w:val="20"/>
                <w:color w:val="auto"/>
              </w:rPr>
            </w:pPr>
            <w:r>
              <w:rPr>
                <w:rFonts w:ascii="Times New Roman" w:cs="Times New Roman" w:eastAsia="Times New Roman" w:hAnsi="Times New Roman"/>
                <w:sz w:val="15"/>
                <w:szCs w:val="15"/>
                <w:b w:val="1"/>
                <w:bCs w:val="1"/>
                <w:color w:val="auto"/>
              </w:rPr>
              <w:t>1*</w:t>
            </w:r>
          </w:p>
        </w:tc>
        <w:tc>
          <w:tcPr>
            <w:tcW w:w="7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10b5-1**</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Stock to be Sold</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Purchased</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Expiration Date</w:t>
            </w:r>
          </w:p>
        </w:tc>
        <w:tc>
          <w:tcPr>
            <w:tcW w:w="0" w:type="dxa"/>
            <w:vAlign w:val="bottom"/>
          </w:tcPr>
          <w:p>
            <w:pPr>
              <w:spacing w:after="0"/>
              <w:rPr>
                <w:sz w:val="1"/>
                <w:szCs w:val="1"/>
                <w:color w:val="auto"/>
              </w:rPr>
            </w:pPr>
          </w:p>
        </w:tc>
      </w:tr>
      <w:tr>
        <w:trPr>
          <w:trHeight w:val="147"/>
        </w:trPr>
        <w:tc>
          <w:tcPr>
            <w:tcW w:w="2040" w:type="dxa"/>
            <w:vAlign w:val="bottom"/>
            <w:shd w:val="clear" w:color="auto" w:fill="CFF0FC"/>
          </w:tcPr>
          <w:p>
            <w:pPr>
              <w:ind w:left="20"/>
              <w:spacing w:after="0" w:line="148" w:lineRule="exact"/>
              <w:rPr>
                <w:sz w:val="20"/>
                <w:szCs w:val="20"/>
                <w:color w:val="auto"/>
              </w:rPr>
            </w:pPr>
            <w:r>
              <w:rPr>
                <w:rFonts w:ascii="Times New Roman" w:cs="Times New Roman" w:eastAsia="Times New Roman" w:hAnsi="Times New Roman"/>
                <w:sz w:val="15"/>
                <w:szCs w:val="15"/>
                <w:color w:val="auto"/>
              </w:rPr>
              <w:t>James Miln,</w:t>
            </w:r>
          </w:p>
        </w:tc>
        <w:tc>
          <w:tcPr>
            <w:tcW w:w="12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Adopted</w:t>
            </w:r>
          </w:p>
        </w:tc>
        <w:tc>
          <w:tcPr>
            <w:tcW w:w="2280" w:type="dxa"/>
            <w:vAlign w:val="bottom"/>
            <w:gridSpan w:val="2"/>
            <w:vMerge w:val="restart"/>
            <w:shd w:val="clear" w:color="auto" w:fill="CFF0FC"/>
          </w:tcPr>
          <w:p>
            <w:pPr>
              <w:jc w:val="right"/>
              <w:ind w:right="684"/>
              <w:spacing w:after="0"/>
              <w:rPr>
                <w:sz w:val="20"/>
                <w:szCs w:val="20"/>
                <w:color w:val="auto"/>
              </w:rPr>
            </w:pPr>
            <w:r>
              <w:rPr>
                <w:rFonts w:ascii="Times New Roman" w:cs="Times New Roman" w:eastAsia="Times New Roman" w:hAnsi="Times New Roman"/>
                <w:sz w:val="15"/>
                <w:szCs w:val="15"/>
                <w:color w:val="auto"/>
              </w:rPr>
              <w:t>9/12/2024</w:t>
            </w:r>
          </w:p>
        </w:tc>
        <w:tc>
          <w:tcPr>
            <w:tcW w:w="120" w:type="dxa"/>
            <w:vAlign w:val="bottom"/>
            <w:shd w:val="clear" w:color="auto" w:fill="CFF0FC"/>
          </w:tcPr>
          <w:p>
            <w:pPr>
              <w:spacing w:after="0"/>
              <w:rPr>
                <w:sz w:val="12"/>
                <w:szCs w:val="12"/>
                <w:color w:val="auto"/>
              </w:rPr>
            </w:pPr>
          </w:p>
        </w:tc>
        <w:tc>
          <w:tcPr>
            <w:tcW w:w="8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X</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49,638</w:t>
            </w:r>
          </w:p>
        </w:tc>
        <w:tc>
          <w:tcPr>
            <w:tcW w:w="150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gridSpan w:val="3"/>
            <w:vMerge w:val="restart"/>
            <w:shd w:val="clear" w:color="auto" w:fill="CFF0FC"/>
          </w:tcPr>
          <w:p>
            <w:pPr>
              <w:jc w:val="right"/>
              <w:ind w:right="244"/>
              <w:spacing w:after="0"/>
              <w:rPr>
                <w:sz w:val="20"/>
                <w:szCs w:val="20"/>
                <w:color w:val="auto"/>
              </w:rPr>
            </w:pPr>
            <w:r>
              <w:rPr>
                <w:rFonts w:ascii="Times New Roman" w:cs="Times New Roman" w:eastAsia="Times New Roman" w:hAnsi="Times New Roman"/>
                <w:sz w:val="15"/>
                <w:szCs w:val="15"/>
                <w:color w:val="auto"/>
              </w:rPr>
              <w:t>3/15/2026</w:t>
            </w:r>
          </w:p>
        </w:tc>
        <w:tc>
          <w:tcPr>
            <w:tcW w:w="0" w:type="dxa"/>
            <w:vAlign w:val="bottom"/>
          </w:tcPr>
          <w:p>
            <w:pPr>
              <w:spacing w:after="0"/>
              <w:rPr>
                <w:sz w:val="1"/>
                <w:szCs w:val="1"/>
                <w:color w:val="auto"/>
              </w:rPr>
            </w:pPr>
          </w:p>
        </w:tc>
      </w:tr>
      <w:tr>
        <w:trPr>
          <w:trHeight w:val="121"/>
        </w:trPr>
        <w:tc>
          <w:tcPr>
            <w:tcW w:w="204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5"/>
                <w:szCs w:val="15"/>
                <w:i w:val="1"/>
                <w:iCs w:val="1"/>
                <w:color w:val="auto"/>
              </w:rPr>
              <w:t>CFO</w:t>
            </w:r>
          </w:p>
        </w:tc>
        <w:tc>
          <w:tcPr>
            <w:tcW w:w="120" w:type="dxa"/>
            <w:vAlign w:val="bottom"/>
            <w:shd w:val="clear" w:color="auto" w:fill="CFF0FC"/>
          </w:tcPr>
          <w:p>
            <w:pPr>
              <w:spacing w:after="0"/>
              <w:rPr>
                <w:sz w:val="10"/>
                <w:szCs w:val="10"/>
                <w:color w:val="auto"/>
              </w:rPr>
            </w:pPr>
          </w:p>
        </w:tc>
        <w:tc>
          <w:tcPr>
            <w:tcW w:w="740" w:type="dxa"/>
            <w:vAlign w:val="bottom"/>
            <w:vMerge w:val="continue"/>
            <w:shd w:val="clear" w:color="auto" w:fill="CFF0FC"/>
          </w:tcPr>
          <w:p>
            <w:pPr>
              <w:spacing w:after="0"/>
              <w:rPr>
                <w:sz w:val="10"/>
                <w:szCs w:val="10"/>
                <w:color w:val="auto"/>
              </w:rPr>
            </w:pPr>
          </w:p>
        </w:tc>
        <w:tc>
          <w:tcPr>
            <w:tcW w:w="2280" w:type="dxa"/>
            <w:vAlign w:val="bottom"/>
            <w:gridSpan w:val="2"/>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0" w:type="dxa"/>
            <w:vAlign w:val="bottom"/>
            <w:vMerge w:val="continue"/>
            <w:shd w:val="clear" w:color="auto" w:fill="CFF0FC"/>
          </w:tcPr>
          <w:p>
            <w:pPr>
              <w:spacing w:after="0"/>
              <w:rPr>
                <w:sz w:val="10"/>
                <w:szCs w:val="10"/>
                <w:color w:val="auto"/>
              </w:rPr>
            </w:pPr>
          </w:p>
        </w:tc>
        <w:tc>
          <w:tcPr>
            <w:tcW w:w="760" w:type="dxa"/>
            <w:vAlign w:val="bottom"/>
            <w:vMerge w:val="continue"/>
            <w:shd w:val="clear" w:color="auto" w:fill="CFF0FC"/>
          </w:tcPr>
          <w:p>
            <w:pPr>
              <w:spacing w:after="0"/>
              <w:rPr>
                <w:sz w:val="10"/>
                <w:szCs w:val="10"/>
                <w:color w:val="auto"/>
              </w:rPr>
            </w:pPr>
          </w:p>
        </w:tc>
        <w:tc>
          <w:tcPr>
            <w:tcW w:w="1420" w:type="dxa"/>
            <w:vAlign w:val="bottom"/>
            <w:gridSpan w:val="3"/>
            <w:vMerge w:val="continue"/>
            <w:shd w:val="clear" w:color="auto" w:fill="CFF0FC"/>
          </w:tcPr>
          <w:p>
            <w:pPr>
              <w:spacing w:after="0"/>
              <w:rPr>
                <w:sz w:val="10"/>
                <w:szCs w:val="10"/>
                <w:color w:val="auto"/>
              </w:rPr>
            </w:pPr>
          </w:p>
        </w:tc>
        <w:tc>
          <w:tcPr>
            <w:tcW w:w="1500" w:type="dxa"/>
            <w:vAlign w:val="bottom"/>
            <w:gridSpan w:val="3"/>
            <w:vMerge w:val="continue"/>
            <w:shd w:val="clear" w:color="auto" w:fill="CFF0FC"/>
          </w:tcPr>
          <w:p>
            <w:pPr>
              <w:spacing w:after="0"/>
              <w:rPr>
                <w:sz w:val="10"/>
                <w:szCs w:val="10"/>
                <w:color w:val="auto"/>
              </w:rPr>
            </w:pPr>
          </w:p>
        </w:tc>
        <w:tc>
          <w:tcPr>
            <w:tcW w:w="1460" w:type="dxa"/>
            <w:vAlign w:val="bottom"/>
            <w:gridSpan w:val="3"/>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40" w:type="dxa"/>
            <w:vAlign w:val="bottom"/>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7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216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00" w:type="dxa"/>
            <w:vAlign w:val="bottom"/>
            <w:shd w:val="clear" w:color="auto" w:fill="CFF0FC"/>
          </w:tcPr>
          <w:p>
            <w:pPr>
              <w:spacing w:after="0"/>
              <w:rPr>
                <w:sz w:val="6"/>
                <w:szCs w:val="6"/>
                <w:color w:val="auto"/>
              </w:rPr>
            </w:pPr>
          </w:p>
        </w:tc>
        <w:tc>
          <w:tcPr>
            <w:tcW w:w="76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20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28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24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bl>
    <w:p>
      <w:pPr>
        <w:ind w:right="2480" w:firstLine="8"/>
        <w:spacing w:after="0" w:line="279" w:lineRule="auto"/>
        <w:tabs>
          <w:tab w:leader="none" w:pos="121"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Contract, instruction or written plan intended to satisfy the affirmative defense conditions of Rule 10b5-1(c) under the Exchange Act. ** “Non-Rule 10b5-1 trading arrangement” as defined in Item 408(c) of Regulation S-K under the Exchange Act.</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right="580" w:firstLine="644"/>
        <w:spacing w:after="0" w:line="281" w:lineRule="auto"/>
        <w:rPr>
          <w:sz w:val="20"/>
          <w:szCs w:val="20"/>
          <w:color w:val="auto"/>
        </w:rPr>
      </w:pPr>
      <w:r>
        <w:rPr>
          <w:rFonts w:ascii="Times New Roman" w:cs="Times New Roman" w:eastAsia="Times New Roman" w:hAnsi="Times New Roman"/>
          <w:sz w:val="18"/>
          <w:szCs w:val="18"/>
          <w:color w:val="auto"/>
        </w:rPr>
        <w:t>The documents listed in the Exhibit Index of this Quarterly Report on Form 10-Q are herein incorporated by reference or are filed with this Quarterly Report on Form 10-Q, in each case as indicated therein (numbered in accordance with Item 601 of Regulation S-K).</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60" w:type="dxa"/>
            <w:vAlign w:val="bottom"/>
            <w:gridSpan w:val="11"/>
            <w:vMerge w:val="restart"/>
          </w:tcPr>
          <w:p>
            <w:pPr>
              <w:ind w:left="37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160" w:type="dxa"/>
            <w:vAlign w:val="bottom"/>
            <w:tcBorders>
              <w:bottom w:val="single" w:sz="8" w:color="auto"/>
            </w:tcBorders>
            <w:gridSpan w:val="1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8"/>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24"/>
                <w:szCs w:val="24"/>
                <w:color w:val="auto"/>
              </w:rPr>
            </w:pPr>
          </w:p>
        </w:tc>
        <w:tc>
          <w:tcPr>
            <w:tcW w:w="978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394">
              <w:r>
                <w:rPr>
                  <w:rFonts w:ascii="Times New Roman" w:cs="Times New Roman" w:eastAsia="Times New Roman" w:hAnsi="Times New Roman"/>
                  <w:sz w:val="18"/>
                  <w:szCs w:val="18"/>
                  <w:color w:val="0000FF"/>
                  <w:w w:val="99"/>
                </w:rPr>
                <w:t>Amended and Restated Certificate of Incorporation of Xometry, Inc., (incorporated herein by reference to Exhibit 3.1 to the Company’s</w:t>
              </w:r>
            </w:hyperlink>
          </w:p>
        </w:tc>
        <w:tc>
          <w:tcPr>
            <w:tcW w:w="3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320" w:type="dxa"/>
            <w:vAlign w:val="bottom"/>
            <w:tcBorders>
              <w:bottom w:val="single" w:sz="8" w:color="0000FF"/>
            </w:tcBorders>
            <w:gridSpan w:val="5"/>
          </w:tcPr>
          <w:p>
            <w:pPr>
              <w:spacing w:after="0" w:line="195" w:lineRule="exact"/>
              <w:rPr>
                <w:rFonts w:ascii="Times New Roman" w:cs="Times New Roman" w:eastAsia="Times New Roman" w:hAnsi="Times New Roman"/>
                <w:sz w:val="18"/>
                <w:szCs w:val="18"/>
                <w:color w:val="0000FF"/>
                <w:w w:val="99"/>
              </w:rPr>
            </w:pPr>
            <w:hyperlink r:id="rId394">
              <w:r>
                <w:rPr>
                  <w:rFonts w:ascii="Times New Roman" w:cs="Times New Roman" w:eastAsia="Times New Roman" w:hAnsi="Times New Roman"/>
                  <w:sz w:val="18"/>
                  <w:szCs w:val="18"/>
                  <w:color w:val="0000FF"/>
                  <w:w w:val="99"/>
                </w:rPr>
                <w:t>Current Report on Form 8-K (File No. 001-40546), filed with the SEC on July 2, 2021).</w:t>
              </w:r>
            </w:hyperlink>
          </w:p>
        </w:tc>
        <w:tc>
          <w:tcPr>
            <w:tcW w:w="20" w:type="dxa"/>
            <w:vAlign w:val="bottom"/>
            <w:tcBorders>
              <w:bottom w:val="single" w:sz="8" w:color="0000EE"/>
            </w:tcBorders>
          </w:tcPr>
          <w:p>
            <w:pPr>
              <w:spacing w:after="0"/>
              <w:rPr>
                <w:sz w:val="17"/>
                <w:szCs w:val="17"/>
                <w:color w:val="auto"/>
              </w:rPr>
            </w:pPr>
          </w:p>
        </w:tc>
        <w:tc>
          <w:tcPr>
            <w:tcW w:w="37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18"/>
                <w:szCs w:val="18"/>
                <w:color w:val="auto"/>
              </w:rPr>
            </w:pPr>
          </w:p>
        </w:tc>
        <w:tc>
          <w:tcPr>
            <w:tcW w:w="970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395">
              <w:r>
                <w:rPr>
                  <w:rFonts w:ascii="Times New Roman" w:cs="Times New Roman" w:eastAsia="Times New Roman" w:hAnsi="Times New Roman"/>
                  <w:sz w:val="18"/>
                  <w:szCs w:val="18"/>
                  <w:color w:val="0000FF"/>
                  <w:w w:val="99"/>
                </w:rPr>
                <w:t>Amended and Restated Bylaws of Xometry, Inc., (incorporated herein by reference to Exhibit 3.2 to the Company’s Current Report on</w:t>
              </w:r>
            </w:hyperlink>
          </w:p>
        </w:tc>
        <w:tc>
          <w:tcPr>
            <w:tcW w:w="38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80" w:type="dxa"/>
            <w:vAlign w:val="bottom"/>
            <w:gridSpan w:val="13"/>
          </w:tcPr>
          <w:p>
            <w:pPr>
              <w:spacing w:after="0" w:line="195" w:lineRule="exact"/>
              <w:rPr>
                <w:rFonts w:ascii="Times New Roman" w:cs="Times New Roman" w:eastAsia="Times New Roman" w:hAnsi="Times New Roman"/>
                <w:sz w:val="18"/>
                <w:szCs w:val="18"/>
                <w:color w:val="0000FF"/>
              </w:rPr>
            </w:pPr>
            <w:hyperlink r:id="rId395">
              <w:r>
                <w:rPr>
                  <w:rFonts w:ascii="Times New Roman" w:cs="Times New Roman" w:eastAsia="Times New Roman" w:hAnsi="Times New Roman"/>
                  <w:sz w:val="18"/>
                  <w:szCs w:val="18"/>
                  <w:color w:val="0000FF"/>
                </w:rPr>
                <w:t>Form 8-K (File No. 001-40546), filed with the SEC on July 2, 2021).</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6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18"/>
                <w:szCs w:val="18"/>
                <w:color w:val="auto"/>
              </w:rPr>
            </w:pPr>
          </w:p>
        </w:tc>
        <w:tc>
          <w:tcPr>
            <w:tcW w:w="96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Rules 13a-14(a) and 15d-14(a) under the Securities Exchange Act of 1934, as</w:t>
            </w:r>
          </w:p>
        </w:tc>
        <w:tc>
          <w:tcPr>
            <w:tcW w:w="44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80" w:type="dxa"/>
            <w:vAlign w:val="bottom"/>
            <w:tcBorders>
              <w:bottom w:val="single" w:sz="8" w:color="0000FF"/>
            </w:tcBorders>
            <w:gridSpan w:val="3"/>
          </w:tcPr>
          <w:p>
            <w:pPr>
              <w:spacing w:after="0" w:line="195"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0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18"/>
                <w:szCs w:val="18"/>
                <w:color w:val="auto"/>
              </w:rPr>
            </w:pPr>
          </w:p>
        </w:tc>
        <w:tc>
          <w:tcPr>
            <w:tcW w:w="96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48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80" w:type="dxa"/>
            <w:vAlign w:val="bottom"/>
            <w:tcBorders>
              <w:bottom w:val="single" w:sz="8" w:color="0000FF"/>
            </w:tcBorders>
            <w:gridSpan w:val="3"/>
          </w:tcPr>
          <w:p>
            <w:pPr>
              <w:spacing w:after="0" w:line="195"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0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18"/>
                <w:szCs w:val="18"/>
                <w:color w:val="auto"/>
              </w:rPr>
            </w:pPr>
          </w:p>
        </w:tc>
        <w:tc>
          <w:tcPr>
            <w:tcW w:w="100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18 U.S.C. Section 1350, as Adopted Pursuant to Section 906 of the Sarbanes-Oxley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Borders>
              <w:bottom w:val="single" w:sz="8" w:color="0000FF"/>
            </w:tcBorders>
          </w:tcPr>
          <w:p>
            <w:pPr>
              <w:spacing w:after="0" w:line="195" w:lineRule="exact"/>
              <w:rPr>
                <w:sz w:val="20"/>
                <w:szCs w:val="20"/>
                <w:color w:val="auto"/>
              </w:rPr>
            </w:pPr>
            <w:r>
              <w:rPr>
                <w:rFonts w:ascii="Times New Roman" w:cs="Times New Roman" w:eastAsia="Times New Roman" w:hAnsi="Times New Roman"/>
                <w:sz w:val="18"/>
                <w:szCs w:val="18"/>
                <w:color w:val="0000FF"/>
                <w:w w:val="97"/>
              </w:rPr>
              <w:t>Act of 2002.</w:t>
            </w:r>
          </w:p>
        </w:tc>
        <w:tc>
          <w:tcPr>
            <w:tcW w:w="20" w:type="dxa"/>
            <w:vAlign w:val="bottom"/>
            <w:tcBorders>
              <w:bottom w:val="single" w:sz="8" w:color="0000EE"/>
            </w:tcBorders>
          </w:tcPr>
          <w:p>
            <w:pPr>
              <w:spacing w:after="0"/>
              <w:rPr>
                <w:sz w:val="17"/>
                <w:szCs w:val="17"/>
                <w:color w:val="auto"/>
              </w:rPr>
            </w:pPr>
          </w:p>
        </w:tc>
        <w:tc>
          <w:tcPr>
            <w:tcW w:w="91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tcPr>
          <w:p>
            <w:pPr>
              <w:spacing w:after="0"/>
              <w:rPr>
                <w:sz w:val="18"/>
                <w:szCs w:val="18"/>
                <w:color w:val="auto"/>
              </w:rPr>
            </w:pPr>
          </w:p>
        </w:tc>
        <w:tc>
          <w:tcPr>
            <w:tcW w:w="100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18 U.S.C. Section 1350, as Adopted Pursuant to Section 906 of the Sarbanes-Oxley</w:t>
            </w:r>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Borders>
              <w:bottom w:val="single" w:sz="8" w:color="0000FF"/>
            </w:tcBorders>
          </w:tcPr>
          <w:p>
            <w:pPr>
              <w:spacing w:after="0" w:line="195" w:lineRule="exact"/>
              <w:rPr>
                <w:sz w:val="20"/>
                <w:szCs w:val="20"/>
                <w:color w:val="auto"/>
              </w:rPr>
            </w:pPr>
            <w:r>
              <w:rPr>
                <w:rFonts w:ascii="Times New Roman" w:cs="Times New Roman" w:eastAsia="Times New Roman" w:hAnsi="Times New Roman"/>
                <w:sz w:val="18"/>
                <w:szCs w:val="18"/>
                <w:color w:val="0000FF"/>
                <w:w w:val="97"/>
              </w:rPr>
              <w:t>Act of 2002.</w:t>
            </w:r>
          </w:p>
        </w:tc>
        <w:tc>
          <w:tcPr>
            <w:tcW w:w="20" w:type="dxa"/>
            <w:vAlign w:val="bottom"/>
            <w:tcBorders>
              <w:bottom w:val="single" w:sz="8" w:color="0000EE"/>
            </w:tcBorders>
          </w:tcPr>
          <w:p>
            <w:pPr>
              <w:spacing w:after="0"/>
              <w:rPr>
                <w:sz w:val="17"/>
                <w:szCs w:val="17"/>
                <w:color w:val="auto"/>
              </w:rPr>
            </w:pPr>
          </w:p>
        </w:tc>
        <w:tc>
          <w:tcPr>
            <w:tcW w:w="91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80" w:type="dxa"/>
            <w:vAlign w:val="bottom"/>
          </w:tcPr>
          <w:p>
            <w:pPr>
              <w:spacing w:after="0"/>
              <w:rPr>
                <w:sz w:val="20"/>
                <w:szCs w:val="20"/>
                <w:color w:val="auto"/>
              </w:rPr>
            </w:pPr>
          </w:p>
        </w:tc>
        <w:tc>
          <w:tcPr>
            <w:tcW w:w="100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34"/>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80" w:type="dxa"/>
            <w:vAlign w:val="bottom"/>
          </w:tcPr>
          <w:p>
            <w:pPr>
              <w:spacing w:after="0"/>
              <w:rPr>
                <w:sz w:val="20"/>
                <w:szCs w:val="20"/>
                <w:color w:val="auto"/>
              </w:rPr>
            </w:pPr>
          </w:p>
        </w:tc>
        <w:tc>
          <w:tcPr>
            <w:tcW w:w="100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ind w:right="4320" w:firstLine="21"/>
        <w:spacing w:after="0" w:line="414" w:lineRule="auto"/>
        <w:tabs>
          <w:tab w:leader="none" w:pos="114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ind w:left="520" w:right="440" w:hanging="512"/>
        <w:spacing w:after="0" w:line="255" w:lineRule="auto"/>
        <w:tabs>
          <w:tab w:leader="none" w:pos="4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-632460</wp:posOffset>
            </wp:positionV>
            <wp:extent cx="95059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6">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6" w:lineRule="exact"/>
        <w:rPr>
          <w:sz w:val="20"/>
          <w:szCs w:val="20"/>
          <w:color w:val="auto"/>
        </w:rPr>
      </w:pPr>
    </w:p>
    <w:p>
      <w:pPr>
        <w:ind w:right="780" w:firstLine="50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XOMETRY, INC.</w:t>
      </w:r>
    </w:p>
    <w:p>
      <w:pPr>
        <w:spacing w:after="0" w:line="251" w:lineRule="exact"/>
        <w:rPr>
          <w:sz w:val="20"/>
          <w:szCs w:val="20"/>
          <w:color w:val="auto"/>
        </w:rPr>
      </w:pPr>
    </w:p>
    <w:p>
      <w:pPr>
        <w:ind w:left="20"/>
        <w:spacing w:after="0"/>
        <w:tabs>
          <w:tab w:leader="none" w:pos="5680" w:val="left"/>
          <w:tab w:leader="none" w:pos="7760" w:val="left"/>
        </w:tabs>
        <w:rPr>
          <w:sz w:val="20"/>
          <w:szCs w:val="20"/>
          <w:color w:val="auto"/>
        </w:rPr>
      </w:pPr>
      <w:r>
        <w:rPr>
          <w:rFonts w:ascii="Times New Roman" w:cs="Times New Roman" w:eastAsia="Times New Roman" w:hAnsi="Times New Roman"/>
          <w:sz w:val="18"/>
          <w:szCs w:val="18"/>
          <w:color w:val="auto"/>
        </w:rPr>
        <w:t>Date: November 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26035</wp:posOffset>
            </wp:positionV>
            <wp:extent cx="331343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9">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21"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b w:val="1"/>
          <w:bCs w:val="1"/>
          <w:color w:val="auto"/>
        </w:rPr>
        <w:t>Randolph Altschuler</w:t>
      </w:r>
    </w:p>
    <w:p>
      <w:pPr>
        <w:spacing w:after="0" w:line="22"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p>
      <w:pPr>
        <w:spacing w:after="0" w:line="22"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33" w:lineRule="exact"/>
        <w:rPr>
          <w:sz w:val="20"/>
          <w:szCs w:val="20"/>
          <w:color w:val="auto"/>
        </w:rPr>
      </w:pPr>
    </w:p>
    <w:p>
      <w:pPr>
        <w:ind w:left="20"/>
        <w:spacing w:after="0"/>
        <w:tabs>
          <w:tab w:leader="none" w:pos="5680" w:val="left"/>
          <w:tab w:leader="none" w:pos="8080" w:val="left"/>
        </w:tabs>
        <w:rPr>
          <w:sz w:val="20"/>
          <w:szCs w:val="20"/>
          <w:color w:val="auto"/>
        </w:rPr>
      </w:pPr>
      <w:r>
        <w:rPr>
          <w:rFonts w:ascii="Times New Roman" w:cs="Times New Roman" w:eastAsia="Times New Roman" w:hAnsi="Times New Roman"/>
          <w:sz w:val="18"/>
          <w:szCs w:val="18"/>
          <w:color w:val="auto"/>
        </w:rPr>
        <w:t>Date: November 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Miln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26035</wp:posOffset>
            </wp:positionV>
            <wp:extent cx="331343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0">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21"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b w:val="1"/>
          <w:bCs w:val="1"/>
          <w:color w:val="auto"/>
        </w:rPr>
        <w:t>James Miln</w:t>
      </w:r>
    </w:p>
    <w:p>
      <w:pPr>
        <w:spacing w:after="0" w:line="22"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3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60"/>
          </w:cols>
          <w:pgMar w:left="320" w:top="768" w:right="121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Randolph Altschuler, certify that:</w:t>
      </w:r>
    </w:p>
    <w:p>
      <w:pPr>
        <w:spacing w:after="0" w:line="225" w:lineRule="exact"/>
        <w:rPr>
          <w:sz w:val="20"/>
          <w:szCs w:val="20"/>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Xometry, Inc.;</w:t>
      </w:r>
    </w:p>
    <w:p>
      <w:pPr>
        <w:spacing w:after="0" w:line="224"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020" w:right="100" w:hanging="479"/>
        <w:spacing w:after="0" w:line="265" w:lineRule="auto"/>
        <w:tabs>
          <w:tab w:leader="none" w:pos="89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020" w:right="340" w:hanging="479"/>
        <w:spacing w:after="0" w:line="265" w:lineRule="auto"/>
        <w:tabs>
          <w:tab w:leader="none" w:pos="89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left="1020" w:right="500" w:hanging="479"/>
        <w:spacing w:after="0" w:line="312" w:lineRule="auto"/>
        <w:tabs>
          <w:tab w:leader="none" w:pos="894"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020" w:right="180" w:hanging="479"/>
        <w:spacing w:after="0" w:line="265" w:lineRule="auto"/>
        <w:tabs>
          <w:tab w:leader="none" w:pos="89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40" w:hanging="479"/>
        <w:spacing w:after="0" w:line="281" w:lineRule="auto"/>
        <w:tabs>
          <w:tab w:leader="none" w:pos="89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right="20" w:hanging="479"/>
        <w:spacing w:after="0" w:line="281" w:lineRule="auto"/>
        <w:tabs>
          <w:tab w:leader="none" w:pos="89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ind w:left="20"/>
        <w:spacing w:after="0"/>
        <w:tabs>
          <w:tab w:leader="none" w:pos="5680" w:val="left"/>
          <w:tab w:leader="none" w:pos="7760" w:val="left"/>
        </w:tabs>
        <w:rPr>
          <w:sz w:val="20"/>
          <w:szCs w:val="20"/>
          <w:color w:val="auto"/>
        </w:rPr>
      </w:pPr>
      <w:r>
        <w:rPr>
          <w:rFonts w:ascii="Times New Roman" w:cs="Times New Roman" w:eastAsia="Times New Roman" w:hAnsi="Times New Roman"/>
          <w:sz w:val="18"/>
          <w:szCs w:val="18"/>
          <w:color w:val="auto"/>
        </w:rPr>
        <w:t>Date: November 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26035</wp:posOffset>
            </wp:positionV>
            <wp:extent cx="331343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2">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Randolph Altschuler</w:t>
      </w:r>
    </w:p>
    <w:p>
      <w:pPr>
        <w:spacing w:after="0" w:line="2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p>
      <w:pPr>
        <w:spacing w:after="0" w:line="2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900430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Miln, certify that:</w:t>
      </w:r>
    </w:p>
    <w:p>
      <w:pPr>
        <w:spacing w:after="0" w:line="225" w:lineRule="exact"/>
        <w:rPr>
          <w:sz w:val="20"/>
          <w:szCs w:val="20"/>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Xometry, Inc.;</w:t>
      </w:r>
    </w:p>
    <w:p>
      <w:pPr>
        <w:spacing w:after="0" w:line="224"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020" w:right="100" w:hanging="479"/>
        <w:spacing w:after="0" w:line="265" w:lineRule="auto"/>
        <w:tabs>
          <w:tab w:leader="none" w:pos="89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020" w:right="340" w:hanging="479"/>
        <w:spacing w:after="0" w:line="265" w:lineRule="auto"/>
        <w:tabs>
          <w:tab w:leader="none" w:pos="89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left="1020" w:right="500" w:hanging="479"/>
        <w:spacing w:after="0" w:line="312" w:lineRule="auto"/>
        <w:tabs>
          <w:tab w:leader="none" w:pos="894"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020" w:right="180" w:hanging="479"/>
        <w:spacing w:after="0" w:line="265" w:lineRule="auto"/>
        <w:tabs>
          <w:tab w:leader="none" w:pos="89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40" w:hanging="479"/>
        <w:spacing w:after="0" w:line="281" w:lineRule="auto"/>
        <w:tabs>
          <w:tab w:leader="none" w:pos="89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right="20" w:hanging="479"/>
        <w:spacing w:after="0" w:line="281" w:lineRule="auto"/>
        <w:tabs>
          <w:tab w:leader="none" w:pos="89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ind w:left="20"/>
        <w:spacing w:after="0"/>
        <w:tabs>
          <w:tab w:leader="none" w:pos="5680" w:val="left"/>
          <w:tab w:leader="none" w:pos="8080" w:val="left"/>
        </w:tabs>
        <w:rPr>
          <w:sz w:val="20"/>
          <w:szCs w:val="20"/>
          <w:color w:val="auto"/>
        </w:rPr>
      </w:pPr>
      <w:r>
        <w:rPr>
          <w:rFonts w:ascii="Times New Roman" w:cs="Times New Roman" w:eastAsia="Times New Roman" w:hAnsi="Times New Roman"/>
          <w:sz w:val="18"/>
          <w:szCs w:val="18"/>
          <w:color w:val="auto"/>
        </w:rPr>
        <w:t>Date: November 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Miln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26035</wp:posOffset>
            </wp:positionV>
            <wp:extent cx="331343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4">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James Miln</w:t>
      </w:r>
    </w:p>
    <w:p>
      <w:pPr>
        <w:spacing w:after="0" w:line="2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ind w:right="60" w:firstLine="509"/>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of Xometry, Inc. (the “Company”) on Form 10-Q for the period ended September 30, 2024 as filed with the Securities and Exchange Commission on the date hereof (the “Report”), I certify, pursuant to 18 U.S.C. § 1350, as adopted pursuant to § 906 of the Sarbanes-Oxley Act of 2002, that:</w:t>
      </w:r>
    </w:p>
    <w:p>
      <w:pPr>
        <w:spacing w:after="0" w:line="177" w:lineRule="exact"/>
        <w:rPr>
          <w:sz w:val="20"/>
          <w:szCs w:val="20"/>
          <w:color w:val="auto"/>
        </w:rPr>
      </w:pPr>
    </w:p>
    <w:p>
      <w:pPr>
        <w:ind w:left="900" w:hanging="359"/>
        <w:spacing w:after="0"/>
        <w:tabs>
          <w:tab w:leader="none" w:pos="9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4" w:lineRule="exact"/>
        <w:rPr>
          <w:rFonts w:ascii="Times New Roman" w:cs="Times New Roman" w:eastAsia="Times New Roman" w:hAnsi="Times New Roman"/>
          <w:sz w:val="18"/>
          <w:szCs w:val="18"/>
          <w:color w:val="auto"/>
        </w:rPr>
      </w:pPr>
    </w:p>
    <w:p>
      <w:pPr>
        <w:ind w:left="900" w:right="1940" w:hanging="443"/>
        <w:spacing w:after="0" w:line="281" w:lineRule="auto"/>
        <w:tabs>
          <w:tab w:leader="none" w:pos="88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90" w:lineRule="exact"/>
        <w:rPr>
          <w:sz w:val="20"/>
          <w:szCs w:val="20"/>
          <w:color w:val="auto"/>
        </w:rPr>
      </w:pPr>
    </w:p>
    <w:p>
      <w:pPr>
        <w:ind w:left="20"/>
        <w:spacing w:after="0"/>
        <w:tabs>
          <w:tab w:leader="none" w:pos="5680" w:val="left"/>
          <w:tab w:leader="none" w:pos="7760" w:val="left"/>
        </w:tabs>
        <w:rPr>
          <w:sz w:val="20"/>
          <w:szCs w:val="20"/>
          <w:color w:val="auto"/>
        </w:rPr>
      </w:pPr>
      <w:r>
        <w:rPr>
          <w:rFonts w:ascii="Times New Roman" w:cs="Times New Roman" w:eastAsia="Times New Roman" w:hAnsi="Times New Roman"/>
          <w:sz w:val="18"/>
          <w:szCs w:val="18"/>
          <w:color w:val="auto"/>
        </w:rPr>
        <w:t>Date: November 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26035</wp:posOffset>
            </wp:positionV>
            <wp:extent cx="331343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6">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Randolph Altschuler</w:t>
      </w:r>
    </w:p>
    <w:p>
      <w:pPr>
        <w:spacing w:after="0" w:line="2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p>
      <w:pPr>
        <w:spacing w:after="0" w:line="2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ind w:right="60" w:firstLine="509"/>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of Xometry, Inc. (the “Company”) on Form 10-Q for the period ended September 30, 2024 as filed with the Securities and Exchange Commission on the date hereof (the “Report”), I certify, pursuant to 18 U.S.C. § 1350, as adopted pursuant to § 906 of the Sarbanes-Oxley Act of 2002, that:</w:t>
      </w:r>
    </w:p>
    <w:p>
      <w:pPr>
        <w:spacing w:after="0" w:line="177" w:lineRule="exact"/>
        <w:rPr>
          <w:sz w:val="20"/>
          <w:szCs w:val="20"/>
          <w:color w:val="auto"/>
        </w:rPr>
      </w:pPr>
    </w:p>
    <w:p>
      <w:pPr>
        <w:ind w:left="900" w:hanging="359"/>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4" w:lineRule="exact"/>
        <w:rPr>
          <w:rFonts w:ascii="Times New Roman" w:cs="Times New Roman" w:eastAsia="Times New Roman" w:hAnsi="Times New Roman"/>
          <w:sz w:val="18"/>
          <w:szCs w:val="18"/>
          <w:color w:val="auto"/>
        </w:rPr>
      </w:pPr>
    </w:p>
    <w:p>
      <w:pPr>
        <w:ind w:left="1020" w:right="680" w:hanging="479"/>
        <w:spacing w:after="0" w:line="281" w:lineRule="auto"/>
        <w:tabs>
          <w:tab w:leader="none" w:pos="89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90" w:lineRule="exact"/>
        <w:rPr>
          <w:sz w:val="20"/>
          <w:szCs w:val="20"/>
          <w:color w:val="auto"/>
        </w:rPr>
      </w:pPr>
    </w:p>
    <w:p>
      <w:pPr>
        <w:ind w:left="20"/>
        <w:spacing w:after="0"/>
        <w:tabs>
          <w:tab w:leader="none" w:pos="5680" w:val="left"/>
          <w:tab w:leader="none" w:pos="8080" w:val="left"/>
        </w:tabs>
        <w:rPr>
          <w:sz w:val="20"/>
          <w:szCs w:val="20"/>
          <w:color w:val="auto"/>
        </w:rPr>
      </w:pPr>
      <w:r>
        <w:rPr>
          <w:rFonts w:ascii="Times New Roman" w:cs="Times New Roman" w:eastAsia="Times New Roman" w:hAnsi="Times New Roman"/>
          <w:sz w:val="18"/>
          <w:szCs w:val="18"/>
          <w:color w:val="auto"/>
        </w:rPr>
        <w:t>Date: November 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Miln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26035</wp:posOffset>
            </wp:positionV>
            <wp:extent cx="331343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8">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James Miln</w:t>
      </w:r>
    </w:p>
    <w:p>
      <w:pPr>
        <w:spacing w:after="0" w:line="2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900430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0" w:name="page51"/>
    <w:bookmarkEnd w:id="5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3">
    <w:nsid w:val="6B68079A"/>
    <w:multiLevelType w:val="hybridMultilevel"/>
    <w:lvl w:ilvl="0">
      <w:lvlJc w:val="left"/>
      <w:lvlText w:val="(%1)"/>
      <w:numFmt w:val="decimal"/>
      <w:start w:val="2"/>
    </w:lvl>
  </w:abstractNum>
  <w:abstractNum w:abstractNumId="4">
    <w:nsid w:val="4E6AFB66"/>
    <w:multiLevelType w:val="hybridMultilevel"/>
    <w:lvl w:ilvl="0">
      <w:lvlJc w:val="left"/>
      <w:lvlText w:val="(%1)"/>
      <w:numFmt w:val="lowerLetter"/>
      <w:start w:val="11"/>
    </w:lvl>
  </w:abstractNum>
  <w:abstractNum w:abstractNumId="5">
    <w:nsid w:val="25E45D32"/>
    <w:multiLevelType w:val="hybridMultilevel"/>
    <w:lvl w:ilvl="0">
      <w:lvlJc w:val="left"/>
      <w:lvlText w:val="(%1)"/>
      <w:numFmt w:val="lowerLetter"/>
      <w:start w:val="12"/>
    </w:lvl>
  </w:abstractNum>
  <w:abstractNum w:abstractNumId="6">
    <w:nsid w:val="519B500D"/>
    <w:multiLevelType w:val="hybridMultilevel"/>
    <w:lvl w:ilvl="0">
      <w:lvlJc w:val="left"/>
      <w:lvlText w:val="(%1)"/>
      <w:numFmt w:val="lowerLetter"/>
      <w:start w:val="13"/>
    </w:lvl>
  </w:abstractNum>
  <w:abstractNum w:abstractNumId="7">
    <w:nsid w:val="431BD7B7"/>
    <w:multiLevelType w:val="hybridMultilevel"/>
    <w:lvl w:ilvl="0">
      <w:lvlJc w:val="left"/>
      <w:lvlText w:val="(%1)"/>
      <w:numFmt w:val="lowerLetter"/>
      <w:start w:val="14"/>
    </w:lvl>
  </w:abstractNum>
  <w:abstractNum w:abstractNumId="8">
    <w:nsid w:val="3F2DBA31"/>
    <w:multiLevelType w:val="hybridMultilevel"/>
    <w:lvl w:ilvl="0">
      <w:lvlJc w:val="left"/>
      <w:lvlText w:val="(%1)"/>
      <w:numFmt w:val="lowerLetter"/>
      <w:start w:val="15"/>
    </w:lvl>
  </w:abstractNum>
  <w:abstractNum w:abstractNumId="9">
    <w:nsid w:val="7C83E458"/>
    <w:multiLevelType w:val="hybridMultilevel"/>
    <w:lvl w:ilvl="0">
      <w:lvlJc w:val="left"/>
      <w:lvlText w:val="(%1)"/>
      <w:numFmt w:val="lowerLetter"/>
      <w:start w:val="16"/>
    </w:lvl>
  </w:abstractNum>
  <w:abstractNum w:abstractNumId="10">
    <w:nsid w:val="257130A3"/>
    <w:multiLevelType w:val="hybridMultilevel"/>
    <w:lvl w:ilvl="0">
      <w:lvlJc w:val="left"/>
      <w:lvlText w:val="(%1)"/>
      <w:numFmt w:val="lowerLetter"/>
      <w:start w:val="17"/>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1)"/>
      <w:numFmt w:val="lowerLetter"/>
      <w:start w:val="18"/>
    </w:lvl>
  </w:abstractNum>
  <w:abstractNum w:abstractNumId="13">
    <w:nsid w:val="628C895D"/>
    <w:multiLevelType w:val="hybridMultilevel"/>
    <w:lvl w:ilvl="0">
      <w:lvlJc w:val="left"/>
      <w:lvlText w:val="(%1)"/>
      <w:numFmt w:val="lowerLetter"/>
      <w:start w:val="19"/>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lvl w:ilvl="1">
      <w:lvlJc w:val="left"/>
      <w:lvlText w:val="%2"/>
      <w:numFmt w:val="decimal"/>
      <w:start w:val="104"/>
    </w:lvl>
  </w:abstractNum>
  <w:abstractNum w:abstractNumId="22">
    <w:nsid w:val="4353D0CD"/>
    <w:multiLevelType w:val="hybridMultilevel"/>
    <w:lvl w:ilvl="0">
      <w:lvlJc w:val="left"/>
      <w:lvlText w:val="**"/>
      <w:numFmt w:val="bullet"/>
      <w:start w:val="1"/>
    </w:lvl>
    <w:lvl w:ilvl="1">
      <w:lvlJc w:val="left"/>
      <w:lvlText w:val="%2"/>
      <w:numFmt w:val="decimal"/>
      <w:start w:val="1"/>
    </w:lvl>
  </w:abstractNum>
  <w:abstractNum w:abstractNumId="23">
    <w:nsid w:val="B03E0C6"/>
    <w:multiLevelType w:val="hybridMultilevel"/>
    <w:lvl w:ilvl="0">
      <w:lvlJc w:val="left"/>
      <w:lvlText w:val="%1."/>
      <w:numFmt w:val="decimal"/>
      <w:start w:val="1"/>
    </w:lvl>
    <w:lvl w:ilvl="1">
      <w:lvlJc w:val="left"/>
      <w:lvlText w:val="(%2)"/>
      <w:numFmt w:val="lowerLetter"/>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decimal"/>
      <w:start w:val="1"/>
    </w:lvl>
  </w:abstractNum>
  <w:abstractNum w:abstractNumId="26">
    <w:nsid w:val="71F32454"/>
    <w:multiLevelType w:val="hybridMultilevel"/>
    <w:lvl w:ilvl="0">
      <w:lvlJc w:val="left"/>
      <w:lvlText w:val="(%1)"/>
      <w:numFmt w:val="decimal"/>
      <w:start w:val="2"/>
    </w:lvl>
    <w:lvl w:ilvl="1">
      <w:lvlJc w:val="left"/>
      <w:lvlText w:val="%2"/>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6" Type="http://schemas.openxmlformats.org/officeDocument/2006/relationships/image" Target="media/image387.png"/><Relationship Id="rId397" Type="http://schemas.openxmlformats.org/officeDocument/2006/relationships/image" Target="media/image388.png"/><Relationship Id="rId398" Type="http://schemas.openxmlformats.org/officeDocument/2006/relationships/image" Target="media/image389.png"/><Relationship Id="rId399" Type="http://schemas.openxmlformats.org/officeDocument/2006/relationships/image" Target="media/image390.png"/><Relationship Id="rId400" Type="http://schemas.openxmlformats.org/officeDocument/2006/relationships/image" Target="media/image391.png"/><Relationship Id="rId401" Type="http://schemas.openxmlformats.org/officeDocument/2006/relationships/image" Target="media/image392.png"/><Relationship Id="rId402" Type="http://schemas.openxmlformats.org/officeDocument/2006/relationships/image" Target="media/image393.png"/><Relationship Id="rId403" Type="http://schemas.openxmlformats.org/officeDocument/2006/relationships/image" Target="media/image394.png"/><Relationship Id="rId404" Type="http://schemas.openxmlformats.org/officeDocument/2006/relationships/image" Target="media/image395.png"/><Relationship Id="rId405" Type="http://schemas.openxmlformats.org/officeDocument/2006/relationships/image" Target="media/image396.png"/><Relationship Id="rId406" Type="http://schemas.openxmlformats.org/officeDocument/2006/relationships/image" Target="media/image397.png"/><Relationship Id="rId407" Type="http://schemas.openxmlformats.org/officeDocument/2006/relationships/image" Target="media/image398.png"/><Relationship Id="rId408" Type="http://schemas.openxmlformats.org/officeDocument/2006/relationships/image" Target="media/image399.png"/><Relationship Id="rId409" Type="http://schemas.openxmlformats.org/officeDocument/2006/relationships/image" Target="media/image400.png"/><Relationship Id="rId394" Type="http://schemas.openxmlformats.org/officeDocument/2006/relationships/hyperlink" Target="https://www.sec.gov/Archives/edgar/data/0001657573/000119312521207643/d184650dex31.htm" TargetMode="External"/><Relationship Id="rId395" Type="http://schemas.openxmlformats.org/officeDocument/2006/relationships/hyperlink" Target="https://www.sec.gov/Archives/edgar/data/0001657573/000119312521207643/d184650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2024-11-05T15:48:43Z</dcterms:created>
  <dcterms:modified xsi:type="dcterms:W3CDTF">2024-11-05T15:48:43Z</dcterms:modified>
</cp:coreProperties>
</file>