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xmtr-20250630.htm"/>
        <w:bookmarkStart w:id="1" w:name="ksxmtr20250630"/>
        <w:bookmarkEnd w:id="0"/>
        <w:bookmarkEnd w:id="1"/>
        <w:r>
          <w:rPr>
            <w:rStyle w:val="InternetLink"/>
            <w:rFonts w:ascii="Times New Roman" w:hAnsi="Times New Roman"/>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__________ to 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001-40546</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XOMETRY,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32-0415449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6116 Executive Blvd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18"/>
              </w:rPr>
              <w:t>Suite 800</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8"/>
              </w:rPr>
              <w:t>North Bethesda, MD</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20852</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(240) 335-7914</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40" w:type="dxa"/>
        <w:jc w:val="left"/>
        <w:tblInd w:w="0" w:type="dxa"/>
        <w:tblLayout w:type="fixed"/>
        <w:tblCellMar>
          <w:top w:w="28" w:type="dxa"/>
          <w:left w:w="28" w:type="dxa"/>
          <w:bottom w:w="28" w:type="dxa"/>
          <w:right w:w="28" w:type="dxa"/>
        </w:tblCellMar>
      </w:tblPr>
      <w:tblGrid>
        <w:gridCol w:w="4006"/>
        <w:gridCol w:w="146"/>
        <w:gridCol w:w="826"/>
        <w:gridCol w:w="146"/>
        <w:gridCol w:w="3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XMTR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29, 2025, the registrant had 49,339,037</w:t>
      </w:r>
      <w:r>
        <w:rPr>
          <w:rFonts w:ascii="Times New Roman" w:hAnsi="Times New Roman"/>
          <w:color w:val="000000"/>
          <w:sz w:val="20"/>
        </w:rPr>
        <w:t xml:space="preserve"> </w:t>
      </w:r>
      <w:r>
        <w:rPr>
          <w:rFonts w:ascii="Times New Roman" w:hAnsi="Times New Roman"/>
          <w:color w:val="000000"/>
          <w:sz w:val="18"/>
        </w:rPr>
        <w:t>shares of Class A common stock, $0.000001 par value per share, and 1,457,311</w:t>
      </w:r>
      <w:r>
        <w:rPr>
          <w:rFonts w:ascii="Times New Roman" w:hAnsi="Times New Roman"/>
          <w:color w:val="000000"/>
          <w:sz w:val="20"/>
        </w:rPr>
        <w:t xml:space="preserve"> </w:t>
      </w:r>
      <w:r>
        <w:rPr>
          <w:rFonts w:ascii="Times New Roman" w:hAnsi="Times New Roman"/>
          <w:color w:val="000000"/>
          <w:sz w:val="18"/>
        </w:rPr>
        <w:t>shares of Class B common stock, $0.000001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spacing w:before="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Condensed Consolidated Statements of Operations and Comprehensive Loss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_statement_new">
              <w:r>
                <w:rPr>
                  <w:rStyle w:val="InternetLink"/>
                  <w:rFonts w:ascii="Times New Roman" w:hAnsi="Times New Roman"/>
                  <w:color w:val="0000FF"/>
                  <w:sz w:val="20"/>
                  <w:u w:val="single"/>
                </w:rPr>
                <w:t>Condensed Consolidated Statements of Changes in Stockholders' Equity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r>
              <w:rPr>
                <w:rFonts w:ascii="Times New Roman" w:hAnsi="Times New Roman"/>
                <w:color w:val="000000"/>
                <w:sz w:val="20"/>
              </w:rPr>
              <w:t xml:space="preserve"> </w:t>
            </w:r>
            <w:hyperlink w:anchor="balance_sheet">
              <w:r>
                <w:rPr>
                  <w:rStyle w:val="InternetLink"/>
                  <w:rFonts w:ascii="Times New Roman" w:hAnsi="Times New Roman"/>
                  <w:color w:val="0000FF"/>
                  <w:sz w:val="20"/>
                  <w:u w:val="single"/>
                </w:rPr>
                <w:t>(Unaudited)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jc w:val="left"/>
        <w:rPr/>
      </w:pPr>
      <w:r>
        <w:rPr/>
        <w:t> </w:t>
      </w:r>
    </w:p>
    <w:tbl>
      <w:tblPr>
        <w:tblW w:w="6837" w:type="dxa"/>
        <w:jc w:val="left"/>
        <w:tblInd w:w="0" w:type="dxa"/>
        <w:tblLayout w:type="fixed"/>
        <w:tblCellMar>
          <w:top w:w="28" w:type="dxa"/>
          <w:left w:w="28" w:type="dxa"/>
          <w:bottom w:w="28" w:type="dxa"/>
          <w:right w:w="28" w:type="dxa"/>
        </w:tblCellMar>
      </w:tblPr>
      <w:tblGrid>
        <w:gridCol w:w="161"/>
        <w:gridCol w:w="109"/>
        <w:gridCol w:w="146"/>
        <w:gridCol w:w="64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expectations regarding our revenue, expenses and other operating results;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anticipated growth of our business, including our ability to effectively manage or sustain our growth and to achieve or sustain profitability;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effects of public health crises or other macroeconomic factors and geopolitical tension, which may lead to periods of global economic uncertainty;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tc>
      </w:tr>
    </w:tbl>
    <w:p>
      <w:pPr>
        <w:pStyle w:val="TextBody"/>
        <w:bidi w:val="0"/>
        <w:jc w:val="left"/>
        <w:rPr/>
      </w:pPr>
      <w:r>
        <w:rPr/>
        <w:t> </w:t>
      </w:r>
    </w:p>
    <w:tbl>
      <w:tblPr>
        <w:tblW w:w="9477" w:type="dxa"/>
        <w:jc w:val="left"/>
        <w:tblInd w:w="0" w:type="dxa"/>
        <w:tblLayout w:type="fixed"/>
        <w:tblCellMar>
          <w:top w:w="28" w:type="dxa"/>
          <w:left w:w="28" w:type="dxa"/>
          <w:bottom w:w="28" w:type="dxa"/>
          <w:right w:w="28" w:type="dxa"/>
        </w:tblCellMar>
      </w:tblPr>
      <w:tblGrid>
        <w:gridCol w:w="161"/>
        <w:gridCol w:w="109"/>
        <w:gridCol w:w="146"/>
        <w:gridCol w:w="90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attract new buyers and suppliers and successfully engage new and existing buyers and suppliers;</w:t>
            </w:r>
          </w:p>
        </w:tc>
      </w:tr>
    </w:tbl>
    <w:p>
      <w:pPr>
        <w:pStyle w:val="TextBody"/>
        <w:bidi w:val="0"/>
        <w:jc w:val="left"/>
        <w:rPr/>
      </w:pPr>
      <w:r>
        <w:rPr/>
        <w:t> </w:t>
      </w:r>
    </w:p>
    <w:tbl>
      <w:tblPr>
        <w:tblW w:w="8097" w:type="dxa"/>
        <w:jc w:val="left"/>
        <w:tblInd w:w="0" w:type="dxa"/>
        <w:tblLayout w:type="fixed"/>
        <w:tblCellMar>
          <w:top w:w="28" w:type="dxa"/>
          <w:left w:w="28" w:type="dxa"/>
          <w:bottom w:w="28" w:type="dxa"/>
          <w:right w:w="28" w:type="dxa"/>
        </w:tblCellMar>
      </w:tblPr>
      <w:tblGrid>
        <w:gridCol w:w="161"/>
        <w:gridCol w:w="109"/>
        <w:gridCol w:w="146"/>
        <w:gridCol w:w="76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costs and success of our sales and marketing efforts, and our ability to promote our brand;</w:t>
            </w:r>
          </w:p>
        </w:tc>
      </w:tr>
    </w:tbl>
    <w:p>
      <w:pPr>
        <w:pStyle w:val="TextBody"/>
        <w:bidi w:val="0"/>
        <w:jc w:val="left"/>
        <w:rPr/>
      </w:pPr>
      <w:r>
        <w:rPr/>
        <w:t> </w:t>
      </w:r>
    </w:p>
    <w:tbl>
      <w:tblPr>
        <w:tblW w:w="8082" w:type="dxa"/>
        <w:jc w:val="left"/>
        <w:tblInd w:w="0" w:type="dxa"/>
        <w:tblLayout w:type="fixed"/>
        <w:tblCellMar>
          <w:top w:w="28" w:type="dxa"/>
          <w:left w:w="28" w:type="dxa"/>
          <w:bottom w:w="28" w:type="dxa"/>
          <w:right w:w="28" w:type="dxa"/>
        </w:tblCellMar>
      </w:tblPr>
      <w:tblGrid>
        <w:gridCol w:w="161"/>
        <w:gridCol w:w="109"/>
        <w:gridCol w:w="146"/>
        <w:gridCol w:w="76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tc>
      </w:tr>
    </w:tbl>
    <w:p>
      <w:pPr>
        <w:pStyle w:val="TextBody"/>
        <w:bidi w:val="0"/>
        <w:jc w:val="left"/>
        <w:rPr/>
      </w:pPr>
      <w:r>
        <w:rPr/>
        <w:t> </w:t>
      </w:r>
    </w:p>
    <w:tbl>
      <w:tblPr>
        <w:tblW w:w="7422" w:type="dxa"/>
        <w:jc w:val="left"/>
        <w:tblInd w:w="0" w:type="dxa"/>
        <w:tblLayout w:type="fixed"/>
        <w:tblCellMar>
          <w:top w:w="28" w:type="dxa"/>
          <w:left w:w="28" w:type="dxa"/>
          <w:bottom w:w="28" w:type="dxa"/>
          <w:right w:w="28" w:type="dxa"/>
        </w:tblCellMar>
      </w:tblPr>
      <w:tblGrid>
        <w:gridCol w:w="161"/>
        <w:gridCol w:w="109"/>
        <w:gridCol w:w="146"/>
        <w:gridCol w:w="70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or other proprietary rights and any costs associated therewith;</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ability to effectively manage our costs and expenses, which may be impacted by changes in tariff policy and inflationary pressures; </w:t>
            </w:r>
          </w:p>
        </w:tc>
      </w:tr>
    </w:tbl>
    <w:p>
      <w:pPr>
        <w:pStyle w:val="TextBody"/>
        <w:bidi w:val="0"/>
        <w:jc w:val="left"/>
        <w:rPr/>
      </w:pPr>
      <w:r>
        <w:rPr/>
        <w:t> </w:t>
      </w:r>
    </w:p>
    <w:tbl>
      <w:tblPr>
        <w:tblW w:w="7812" w:type="dxa"/>
        <w:jc w:val="left"/>
        <w:tblInd w:w="0" w:type="dxa"/>
        <w:tblLayout w:type="fixed"/>
        <w:tblCellMar>
          <w:top w:w="28" w:type="dxa"/>
          <w:left w:w="28" w:type="dxa"/>
          <w:bottom w:w="28" w:type="dxa"/>
          <w:right w:w="28" w:type="dxa"/>
        </w:tblCellMar>
      </w:tblPr>
      <w:tblGrid>
        <w:gridCol w:w="161"/>
        <w:gridCol w:w="109"/>
        <w:gridCol w:w="146"/>
        <w:gridCol w:w="73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tc>
      </w:tr>
    </w:tbl>
    <w:p>
      <w:pPr>
        <w:pStyle w:val="TextBody"/>
        <w:bidi w:val="0"/>
        <w:jc w:val="left"/>
        <w:rPr/>
      </w:pPr>
      <w:r>
        <w:rPr/>
        <w:t> </w:t>
      </w:r>
    </w:p>
    <w:tbl>
      <w:tblPr>
        <w:tblW w:w="4842" w:type="dxa"/>
        <w:jc w:val="left"/>
        <w:tblInd w:w="0" w:type="dxa"/>
        <w:tblLayout w:type="fixed"/>
        <w:tblCellMar>
          <w:top w:w="28" w:type="dxa"/>
          <w:left w:w="28" w:type="dxa"/>
          <w:bottom w:w="28" w:type="dxa"/>
          <w:right w:w="28" w:type="dxa"/>
        </w:tblCellMar>
      </w:tblPr>
      <w:tblGrid>
        <w:gridCol w:w="161"/>
        <w:gridCol w:w="109"/>
        <w:gridCol w:w="146"/>
        <w:gridCol w:w="44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growth rates of the markets in which we compete.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_item1"/>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fin120843_2"/>
      <w:bookmarkEnd w:id="5"/>
      <w:r>
        <w:rPr>
          <w:rFonts w:ascii="Times New Roman" w:hAnsi="Times New Roman"/>
          <w:color w:val="000000"/>
          <w:sz w:val="20"/>
        </w:rPr>
        <w:t xml:space="preserve">Condensed Consolidated </w:t>
      </w:r>
      <w:bookmarkStart w:id="6" w:name="balance_sheet"/>
      <w:bookmarkEnd w:id="6"/>
      <w:r>
        <w:rPr>
          <w:rFonts w:ascii="Times New Roman" w:hAnsi="Times New Roman"/>
          <w:color w:val="000000"/>
          <w:sz w:val="20"/>
        </w:rPr>
        <w:t>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97"/>
        <w:gridCol w:w="146"/>
        <w:gridCol w:w="196"/>
        <w:gridCol w:w="751"/>
        <w:gridCol w:w="166"/>
        <w:gridCol w:w="146"/>
        <w:gridCol w:w="209"/>
        <w:gridCol w:w="802"/>
        <w:gridCol w:w="592"/>
      </w:tblGrid>
      <w:tr>
        <w:trPr/>
        <w:tc>
          <w:tcPr>
            <w:tcW w:w="7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217,603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less allowance for credit losses of $4.8</w:t>
            </w:r>
            <w:r>
              <w:rPr>
                <w:rFonts w:ascii="Times New Roman" w:hAnsi="Times New Roman"/>
                <w:color w:val="000000"/>
                <w:sz w:val="20"/>
              </w:rPr>
              <w:t> </w:t>
            </w:r>
            <w:r>
              <w:rPr>
                <w:rFonts w:ascii="Times New Roman" w:hAnsi="Times New Roman"/>
                <w:color w:val="000000"/>
                <w:sz w:val="16"/>
              </w:rPr>
              <w:t>million and $4.9</w:t>
            </w:r>
            <w:r>
              <w:rPr>
                <w:rFonts w:ascii="Times New Roman" w:hAnsi="Times New Roman"/>
                <w:color w:val="000000"/>
                <w:sz w:val="20"/>
              </w:rPr>
              <w:t> </w:t>
            </w:r>
            <w:r>
              <w:rPr>
                <w:rFonts w:ascii="Times New Roman" w:hAnsi="Times New Roman"/>
                <w:color w:val="000000"/>
                <w:sz w:val="16"/>
              </w:rPr>
              <w:t>million as of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73,962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327,540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Investment in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262,686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680,129</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35,023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74,787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283,628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364,533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6"/>
              </w:rPr>
              <w:t>Commitments and contingencies</w:t>
            </w:r>
            <w:r>
              <w:rPr>
                <w:rFonts w:ascii="Times New Roman" w:hAnsi="Times New Roman"/>
                <w:color w:val="000000"/>
                <w:sz w:val="20"/>
              </w:rPr>
              <w:t> </w:t>
            </w:r>
            <w:r>
              <w:rPr>
                <w:rFonts w:ascii="Times New Roman" w:hAnsi="Times New Roman"/>
                <w:b/>
                <w:color w:val="000000"/>
                <w:sz w:val="16"/>
              </w:rPr>
              <w:t>(Note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$0.000001</w:t>
            </w:r>
            <w:r>
              <w:rPr>
                <w:rFonts w:ascii="Times New Roman" w:hAnsi="Times New Roman"/>
                <w:color w:val="000000"/>
                <w:sz w:val="20"/>
              </w:rPr>
              <w:t> </w:t>
            </w:r>
            <w:r>
              <w:rPr>
                <w:rFonts w:ascii="Times New Roman" w:hAnsi="Times New Roman"/>
                <w:color w:val="000000"/>
                <w:sz w:val="16"/>
              </w:rPr>
              <w:t>par value. Authorized; 50,000,000</w:t>
            </w:r>
            <w:r>
              <w:rPr>
                <w:rFonts w:ascii="Times New Roman" w:hAnsi="Times New Roman"/>
                <w:color w:val="000000"/>
                <w:sz w:val="20"/>
              </w:rPr>
              <w:t> </w:t>
            </w:r>
            <w:r>
              <w:rPr>
                <w:rFonts w:ascii="Times New Roman" w:hAnsi="Times New Roman"/>
                <w:color w:val="000000"/>
                <w:sz w:val="16"/>
              </w:rPr>
              <w:t>shares; zero</w:t>
            </w:r>
            <w:r>
              <w:rPr>
                <w:rFonts w:ascii="Times New Roman" w:hAnsi="Times New Roman"/>
                <w:color w:val="000000"/>
                <w:sz w:val="20"/>
              </w:rPr>
              <w:t> </w:t>
            </w:r>
            <w:r>
              <w:rPr>
                <w:rFonts w:ascii="Times New Roman" w:hAnsi="Times New Roman"/>
                <w:color w:val="000000"/>
                <w:sz w:val="16"/>
              </w:rPr>
              <w:t>shares issued and outstanding as of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A Common stock, $0.000001</w:t>
            </w:r>
            <w:r>
              <w:rPr>
                <w:rFonts w:ascii="Times New Roman" w:hAnsi="Times New Roman"/>
                <w:color w:val="000000"/>
                <w:sz w:val="20"/>
              </w:rPr>
              <w:t> </w:t>
            </w:r>
            <w:r>
              <w:rPr>
                <w:rFonts w:ascii="Times New Roman" w:hAnsi="Times New Roman"/>
                <w:color w:val="000000"/>
                <w:sz w:val="16"/>
              </w:rPr>
              <w:t>par value. Authorized; 750,000,000</w:t>
            </w:r>
            <w:r>
              <w:rPr>
                <w:rFonts w:ascii="Times New Roman" w:hAnsi="Times New Roman"/>
                <w:color w:val="000000"/>
                <w:sz w:val="20"/>
              </w:rPr>
              <w:t> </w:t>
            </w:r>
            <w:r>
              <w:rPr>
                <w:rFonts w:ascii="Times New Roman" w:hAnsi="Times New Roman"/>
                <w:color w:val="000000"/>
                <w:sz w:val="16"/>
              </w:rPr>
              <w:t>shares; 49,107,080</w:t>
            </w:r>
            <w:r>
              <w:rPr>
                <w:rFonts w:ascii="Times New Roman" w:hAnsi="Times New Roman"/>
                <w:color w:val="000000"/>
                <w:sz w:val="20"/>
              </w:rPr>
              <w:t> </w:t>
            </w:r>
            <w:r>
              <w:rPr>
                <w:rFonts w:ascii="Times New Roman" w:hAnsi="Times New Roman"/>
                <w:color w:val="000000"/>
                <w:sz w:val="16"/>
              </w:rPr>
              <w:t>shares and 48,289,274</w:t>
            </w:r>
            <w:r>
              <w:rPr>
                <w:rFonts w:ascii="Times New Roman" w:hAnsi="Times New Roman"/>
                <w:color w:val="000000"/>
                <w:sz w:val="20"/>
              </w:rPr>
              <w:t> </w:t>
            </w:r>
            <w:r>
              <w:rPr>
                <w:rFonts w:ascii="Times New Roman" w:hAnsi="Times New Roman"/>
                <w:color w:val="000000"/>
                <w:sz w:val="16"/>
              </w:rPr>
              <w:t>shares issued and outstanding as of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B Common stock, $0.000001</w:t>
            </w:r>
            <w:r>
              <w:rPr>
                <w:rFonts w:ascii="Times New Roman" w:hAnsi="Times New Roman"/>
                <w:color w:val="000000"/>
                <w:sz w:val="20"/>
              </w:rPr>
              <w:t> </w:t>
            </w:r>
            <w:r>
              <w:rPr>
                <w:rFonts w:ascii="Times New Roman" w:hAnsi="Times New Roman"/>
                <w:color w:val="000000"/>
                <w:sz w:val="16"/>
              </w:rPr>
              <w:t>par value. Authorized; 5,000,000</w:t>
            </w:r>
            <w:r>
              <w:rPr>
                <w:rFonts w:ascii="Times New Roman" w:hAnsi="Times New Roman"/>
                <w:color w:val="000000"/>
                <w:sz w:val="20"/>
              </w:rPr>
              <w:t> </w:t>
            </w:r>
            <w:r>
              <w:rPr>
                <w:rFonts w:ascii="Times New Roman" w:hAnsi="Times New Roman"/>
                <w:color w:val="000000"/>
                <w:sz w:val="16"/>
              </w:rPr>
              <w:t>shares; 1,475,311</w:t>
            </w:r>
            <w:r>
              <w:rPr>
                <w:rFonts w:ascii="Times New Roman" w:hAnsi="Times New Roman"/>
                <w:color w:val="000000"/>
                <w:sz w:val="20"/>
              </w:rPr>
              <w:t> </w:t>
            </w:r>
            <w:r>
              <w:rPr>
                <w:rFonts w:ascii="Times New Roman" w:hAnsi="Times New Roman"/>
                <w:color w:val="000000"/>
                <w:sz w:val="16"/>
              </w:rPr>
              <w:t>shares issued and outstanding as of June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685,054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Treasury stock, at cost, 220,994</w:t>
            </w:r>
            <w:r>
              <w:rPr>
                <w:rFonts w:ascii="Times New Roman" w:hAnsi="Times New Roman"/>
                <w:color w:val="000000"/>
                <w:sz w:val="20"/>
              </w:rPr>
              <w:t> </w:t>
            </w:r>
            <w:r>
              <w:rPr>
                <w:rFonts w:ascii="Times New Roman" w:hAnsi="Times New Roman"/>
                <w:color w:val="000000"/>
                <w:sz w:val="16"/>
              </w:rPr>
              <w:t>and no</w:t>
            </w:r>
            <w:r>
              <w:rPr>
                <w:rFonts w:ascii="Times New Roman" w:hAnsi="Times New Roman"/>
                <w:color w:val="000000"/>
                <w:sz w:val="20"/>
              </w:rPr>
              <w:t> </w:t>
            </w:r>
            <w:r>
              <w:rPr>
                <w:rFonts w:ascii="Times New Roman" w:hAnsi="Times New Roman"/>
                <w:color w:val="000000"/>
                <w:sz w:val="16"/>
              </w:rPr>
              <w:t>shares as of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(370,273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314,453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315,596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680,129</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fin120843_3"/>
      <w:bookmarkEnd w:id="7"/>
      <w:r>
        <w:rPr>
          <w:rFonts w:ascii="Times New Roman" w:hAnsi="Times New Roman"/>
          <w:color w:val="000000"/>
          <w:sz w:val="20"/>
        </w:rPr>
        <w:t>Condensed Consolidated St</w:t>
      </w:r>
      <w:bookmarkStart w:id="8" w:name="statement_of_operations"/>
      <w:bookmarkEnd w:id="8"/>
      <w:r>
        <w:rPr>
          <w:rFonts w:ascii="Times New Roman" w:hAnsi="Times New Roman"/>
          <w:color w:val="000000"/>
          <w:sz w:val="20"/>
        </w:rPr>
        <w:t xml:space="preserve">atements of Operations and Comprehensive Loss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tbl>
      <w:tblPr>
        <w:tblW w:w="10205" w:type="dxa"/>
        <w:jc w:val="left"/>
        <w:tblInd w:w="0" w:type="dxa"/>
        <w:tblLayout w:type="fixed"/>
        <w:tblCellMar>
          <w:top w:w="28" w:type="dxa"/>
          <w:left w:w="28" w:type="dxa"/>
          <w:bottom w:w="28" w:type="dxa"/>
          <w:right w:w="28" w:type="dxa"/>
        </w:tblCellMar>
      </w:tblPr>
      <w:tblGrid>
        <w:gridCol w:w="4064"/>
        <w:gridCol w:w="146"/>
        <w:gridCol w:w="196"/>
        <w:gridCol w:w="916"/>
        <w:gridCol w:w="166"/>
        <w:gridCol w:w="146"/>
        <w:gridCol w:w="196"/>
        <w:gridCol w:w="916"/>
        <w:gridCol w:w="166"/>
        <w:gridCol w:w="146"/>
        <w:gridCol w:w="196"/>
        <w:gridCol w:w="916"/>
        <w:gridCol w:w="166"/>
        <w:gridCol w:w="146"/>
        <w:gridCol w:w="196"/>
        <w:gridCol w:w="916"/>
        <w:gridCol w:w="611"/>
      </w:tblGrid>
      <w:tr>
        <w:trPr/>
        <w:tc>
          <w:tcPr>
            <w:tcW w:w="4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255,285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54,687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Operations and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147,188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133,925</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Weighted-average number of shares outstanding used to compute </w:t>
              <w:br/>
              <w:t>   net loss per share, basic and diluted,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50,699,914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48,840,100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50,518,492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48,709,040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(30,704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XOMETRY, INC. AND SUBSIDIARIES</w:t>
      </w:r>
    </w:p>
    <w:p>
      <w:pPr>
        <w:pStyle w:val="TextBody"/>
        <w:bidi w:val="0"/>
        <w:jc w:val="center"/>
        <w:rPr>
          <w:rFonts w:ascii="Times New Roman" w:hAnsi="Times New Roman"/>
          <w:color w:val="000000"/>
          <w:sz w:val="20"/>
        </w:rPr>
      </w:pPr>
      <w:bookmarkStart w:id="9" w:name="equity_statement_new"/>
      <w:bookmarkEnd w:id="9"/>
      <w:r>
        <w:rPr>
          <w:rFonts w:ascii="Times New Roman" w:hAnsi="Times New Roman"/>
          <w:color w:val="000000"/>
          <w:sz w:val="20"/>
        </w:rPr>
        <w:t xml:space="preserve">Condensed Consolidated Statements of Changes in Stockholders’ Equity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Three months ended June 30, 2025 and 2024</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bookmarkStart w:id="10" w:name="equity_statement"/>
      <w:bookmarkEnd w:id="10"/>
      <w:r>
        <w:rPr/>
        <w:t> </w:t>
      </w:r>
    </w:p>
    <w:tbl>
      <w:tblPr>
        <w:tblW w:w="13748" w:type="dxa"/>
        <w:jc w:val="left"/>
        <w:tblInd w:w="0" w:type="dxa"/>
        <w:tblLayout w:type="fixed"/>
        <w:tblCellMar>
          <w:top w:w="28" w:type="dxa"/>
          <w:left w:w="28" w:type="dxa"/>
          <w:bottom w:w="28" w:type="dxa"/>
          <w:right w:w="28" w:type="dxa"/>
        </w:tblCellMar>
      </w:tblPr>
      <w:tblGrid>
        <w:gridCol w:w="1201"/>
        <w:gridCol w:w="146"/>
        <w:gridCol w:w="916"/>
        <w:gridCol w:w="166"/>
        <w:gridCol w:w="206"/>
        <w:gridCol w:w="365"/>
        <w:gridCol w:w="146"/>
        <w:gridCol w:w="146"/>
        <w:gridCol w:w="826"/>
        <w:gridCol w:w="146"/>
        <w:gridCol w:w="206"/>
        <w:gridCol w:w="365"/>
        <w:gridCol w:w="146"/>
        <w:gridCol w:w="196"/>
        <w:gridCol w:w="691"/>
        <w:gridCol w:w="166"/>
        <w:gridCol w:w="146"/>
        <w:gridCol w:w="691"/>
        <w:gridCol w:w="146"/>
        <w:gridCol w:w="196"/>
        <w:gridCol w:w="571"/>
        <w:gridCol w:w="166"/>
        <w:gridCol w:w="283"/>
        <w:gridCol w:w="738"/>
        <w:gridCol w:w="146"/>
        <w:gridCol w:w="196"/>
        <w:gridCol w:w="751"/>
        <w:gridCol w:w="166"/>
        <w:gridCol w:w="196"/>
        <w:gridCol w:w="691"/>
        <w:gridCol w:w="166"/>
        <w:gridCol w:w="283"/>
        <w:gridCol w:w="738"/>
        <w:gridCol w:w="166"/>
        <w:gridCol w:w="196"/>
        <w:gridCol w:w="691"/>
        <w:gridCol w:w="3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9"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9"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48,992,113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capped calls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49,107,080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46,010,987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income</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46,322,810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XOMETRY,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Condensed Consolidated Statements of Changes in Stockholders’ Equity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Six months ended June 30, 2025 and 2024</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r>
        <w:rPr/>
        <w:t> </w:t>
      </w:r>
    </w:p>
    <w:tbl>
      <w:tblPr>
        <w:tblW w:w="13788" w:type="dxa"/>
        <w:jc w:val="left"/>
        <w:tblInd w:w="0" w:type="dxa"/>
        <w:tblLayout w:type="fixed"/>
        <w:tblCellMar>
          <w:top w:w="28" w:type="dxa"/>
          <w:left w:w="28" w:type="dxa"/>
          <w:bottom w:w="28" w:type="dxa"/>
          <w:right w:w="28" w:type="dxa"/>
        </w:tblCellMar>
      </w:tblPr>
      <w:tblGrid>
        <w:gridCol w:w="1201"/>
        <w:gridCol w:w="146"/>
        <w:gridCol w:w="916"/>
        <w:gridCol w:w="166"/>
        <w:gridCol w:w="206"/>
        <w:gridCol w:w="365"/>
        <w:gridCol w:w="146"/>
        <w:gridCol w:w="146"/>
        <w:gridCol w:w="826"/>
        <w:gridCol w:w="146"/>
        <w:gridCol w:w="206"/>
        <w:gridCol w:w="365"/>
        <w:gridCol w:w="146"/>
        <w:gridCol w:w="196"/>
        <w:gridCol w:w="691"/>
        <w:gridCol w:w="166"/>
        <w:gridCol w:w="146"/>
        <w:gridCol w:w="691"/>
        <w:gridCol w:w="146"/>
        <w:gridCol w:w="196"/>
        <w:gridCol w:w="571"/>
        <w:gridCol w:w="166"/>
        <w:gridCol w:w="283"/>
        <w:gridCol w:w="738"/>
        <w:gridCol w:w="166"/>
        <w:gridCol w:w="196"/>
        <w:gridCol w:w="751"/>
        <w:gridCol w:w="166"/>
        <w:gridCol w:w="196"/>
        <w:gridCol w:w="691"/>
        <w:gridCol w:w="166"/>
        <w:gridCol w:w="283"/>
        <w:gridCol w:w="738"/>
        <w:gridCol w:w="166"/>
        <w:gridCol w:w="196"/>
        <w:gridCol w:w="691"/>
        <w:gridCol w:w="4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9"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9"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48,289,274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49,107,080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45,489,379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income</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46,322,810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1" w:name="fin120843_4"/>
      <w:bookmarkEnd w:id="11"/>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2" w:name="fin120843_5"/>
      <w:bookmarkEnd w:id="12"/>
      <w:r>
        <w:rPr>
          <w:rFonts w:ascii="Times New Roman" w:hAnsi="Times New Roman"/>
          <w:color w:val="000000"/>
          <w:sz w:val="20"/>
        </w:rPr>
        <w:t xml:space="preserve">Condensed Consolidated Statements of </w:t>
      </w:r>
      <w:bookmarkStart w:id="13" w:name="cash_flows"/>
      <w:bookmarkEnd w:id="13"/>
      <w:r>
        <w:rPr>
          <w:rFonts w:ascii="Times New Roman" w:hAnsi="Times New Roman"/>
          <w:color w:val="000000"/>
          <w:sz w:val="20"/>
        </w:rPr>
        <w:t xml:space="preserve">Cash Flows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7199" w:type="dxa"/>
        <w:jc w:val="left"/>
        <w:tblInd w:w="0" w:type="dxa"/>
        <w:tblLayout w:type="fixed"/>
        <w:tblCellMar>
          <w:top w:w="28" w:type="dxa"/>
          <w:left w:w="28" w:type="dxa"/>
          <w:bottom w:w="28" w:type="dxa"/>
          <w:right w:w="28" w:type="dxa"/>
        </w:tblCellMar>
      </w:tblPr>
      <w:tblGrid>
        <w:gridCol w:w="4531"/>
        <w:gridCol w:w="146"/>
        <w:gridCol w:w="181"/>
        <w:gridCol w:w="631"/>
        <w:gridCol w:w="151"/>
        <w:gridCol w:w="146"/>
        <w:gridCol w:w="181"/>
        <w:gridCol w:w="556"/>
        <w:gridCol w:w="67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(30,308</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6,409</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Reduction in carrying amount of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Lease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14,161</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Revaluation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Donation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Gain on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Amortization of deferred costs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Deferred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Changes in 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(1,293</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2,593</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Accounts payable and accrued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(14,428</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1,519</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1,719</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(3,371</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(1,154</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b/>
                <w:color w:val="000000"/>
                <w:sz w:val="14"/>
              </w:rPr>
            </w:pPr>
            <w:r>
              <w:rPr>
                <w:rFonts w:ascii="Times New Roman" w:hAnsi="Times New Roman"/>
                <w:b/>
                <w:color w:val="000000"/>
                <w:sz w:val="14"/>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(20,835</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(13,481</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(8,750</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Distributions in excess of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b/>
                <w:color w:val="000000"/>
                <w:sz w:val="14"/>
              </w:rPr>
            </w:pPr>
            <w:r>
              <w:rPr>
                <w:rFonts w:ascii="Times New Roman" w:hAnsi="Times New Roman"/>
                <w:b/>
                <w:color w:val="000000"/>
                <w:sz w:val="14"/>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(3,834</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(12,140</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Costs incurred in connection with 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Payments for repurchase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(215,992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Purchase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Purchase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1,795</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b/>
                <w:color w:val="000000"/>
                <w:sz w:val="14"/>
              </w:rPr>
            </w:pPr>
            <w:r>
              <w:rPr>
                <w:rFonts w:ascii="Times New Roman" w:hAnsi="Times New Roman"/>
                <w:b/>
                <w:color w:val="000000"/>
                <w:sz w:val="14"/>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2,046</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1,795</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Effect of foreign currency translation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b/>
                <w:color w:val="000000"/>
                <w:sz w:val="14"/>
              </w:rPr>
            </w:pPr>
            <w:r>
              <w:rPr>
                <w:rFonts w:ascii="Times New Roman" w:hAnsi="Times New Roman"/>
                <w:b/>
                <w:color w:val="000000"/>
                <w:sz w:val="14"/>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(31,353</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53,424</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and cash equivalents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22,071</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1,438</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Non-cash 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Non-cash consideration in connection with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Non-cash costs incurred in connection with the issuance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4" w:name="notes_to_financial_statements"/>
      <w:bookmarkEnd w:id="14"/>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15" w:name="fin120843_6"/>
      <w:bookmarkEnd w:id="15"/>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12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Organization and Description of Business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Xometry, Inc. (“Xometry”, the “Company”, “we”, or “our”) was incorporated in the State of Delaware in May 2013 and our corporate headquarters is located in North Bethesda, Maryland. Xometry operates a global artificial intelligence (“AI”) powered online manufacturing marketplace, a leading North American industrial sourcing platform Thomasnet® and a suite of cloud-based services including Workcenter and Teamspace that are rapidly digitizing the manufacturing industry. Together, these platforms provide manufacturers the critical resources they need to grow their business and make it easy for buyers to create resilient supply chains. Xometry's marketplaces uses proprietary AI to help buyers efficiently source custom-manufactured parts and assemblies and attain instant pricing and lead times. The AI enables our rapidly growing network of manufacturers to select the optimal jobs to fill their capacity. Our suite of cloud-based services and our Thomasnet industrial sourcing platform helps manufacturers and industrial service providers grow their businesses using our advertising, marketing and financial services.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Xometry’s AI-enabled marketplace, which is available in multiple local platforms and languages, is powered by proprietary machine learning algorithms and datasets. Our two-sided marketplace is rapidly digitizing the manufacturing industry, helping customers strengthen their supply chains. Buyers can procure the products they want utilizing our AI powered instant quoting engine, and suppliers can reach new customers throughout the world. Our rapidly growing active supplier base enables companies to accelerate their product development and go-to-market strategies, as well as reduce the cost and lead times for ongoing production work. More than 4,375 global suppliers are active on the Xometry Marketplace across four continents. Each interaction on our marketplace provides rich data insights that allow us to continuously improve our AI models and create new products and services, fueling powerful network effects as we scale.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 as well as larger production orders of single parts. Xometry’s Teamspace offers enterprise-wide collaboration software that unites engineers, managers and purchasing executives to expedite procurement of custom-manufacturing services. We continue to improve features on Xometry and expand the offering with the launch of Teamspace in Europe in the second quarter of 2025.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Xometry marketplace offers buyers an expanding number of manufacturing categories including computer numerical control manufacturing, sheet metal forming, sheet cutting, 3D printing, die casting, stamping, injection molding, urethane casting, tube cutting, and tube bending from rapid prototyping and to high-volume production. As well, we are expanding the number of certifications, materials and finishing options on the platform. Xometry's extensible technology platform allows the Company to expand technologies and processes to gain more wallet share with our buyers.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empower suppliers to grow their manufacturing businesses and improve machine utilization by providing access to an extensive, diverse base of buyers. We also offer suppliers supporting services to meet their unique needs. The Thomasnet product sourcing and supplier discovery digital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to generate leads and boost the awareness and reach of suppliers. In addition, our supplier services include financial service products to facilitate faster payments and a cloud-based manufacturing execution system (“Workcenter”) to help suppliers optimize their productivity. Workcenter digitally enables qualifying and on-boarding suppliers and allows suppliers to manage all their Xometry and non-Xometry work and provides for expedited payment terms in support of their business.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Basis of Presentation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pPr>
      <w:r>
        <w:rPr>
          <w:rFonts w:ascii="Times New Roman" w:hAnsi="Times New Roman"/>
          <w:b/>
          <w:i/>
          <w:color w:val="000000"/>
          <w:sz w:val="20"/>
        </w:rPr>
        <w:t>Basis of Presentation</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25,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Balance Sheet as of December 31, 2024,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2025 or any future period. The Company has two reportable segments which are referred to as: (1) the United States (“U.S.”) and (2) International. </w:t>
      </w:r>
    </w:p>
    <w:p>
      <w:pPr>
        <w:pStyle w:val="TextBody"/>
        <w:bidi w:val="0"/>
        <w:spacing w:before="120" w:after="283"/>
        <w:jc w:val="left"/>
        <w:rPr>
          <w:rFonts w:ascii="Times New Roman" w:hAnsi="Times New Roman"/>
          <w:sz w:val="20"/>
        </w:rPr>
      </w:pPr>
      <w:r>
        <w:rPr>
          <w:rFonts w:ascii="Times New Roman" w:hAnsi="Times New Roman"/>
          <w:i/>
          <w:color w:val="000000"/>
          <w:sz w:val="20"/>
        </w:rPr>
        <w:t>Foreign Operations and 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(loss) income, as a separate component of equity.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(loss) income attributable to the noncontrolling interests in net loss in our Condensed Consolidated Statements of Operations and Comprehensive Loss.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Use of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120" w:after="283"/>
        <w:jc w:val="left"/>
        <w:rPr/>
      </w:pPr>
      <w:r>
        <w:rPr>
          <w:rFonts w:ascii="Times New Roman" w:hAnsi="Times New Roman"/>
          <w:b/>
          <w:i/>
          <w:color w:val="000000"/>
          <w:sz w:val="20"/>
        </w:rPr>
        <w:t>Fair Value Measurements and Financial Instruments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Observable inputs that reflect quoted prices (unadjusted) for identical assets or liabilities in active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reflecting the Company’s own assumptions incorporated in valuation techniques used to determine fair value. These assumptions are required to be consistent with market participant assumptions that are reasonably available.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certain of the Company’s financial instruments, which include cash and cash equivalents, accounts receivable, prepaid expenses, other assets, accounts payable, accrued expenses and contract liabilities approximate their fair values due to their short maturities. The Company's marketable securities are recorded at fair value.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consist of cash held in checking accounts. These investments are stated at cost, which approximates fair value.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Marketable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its marketable securities at fair value. The Company's marketable securities represent our investments in a short term money market fund. These marketable securities have maturities of three months or less. As of June 30, 2025 and December 31, 2024, the Company's marketable securities of $209.0 million and $217.6 million, respectively, were recorded at fair value, within Level 1 of the fair value hierarchy. The fair value of the Company’s Level 1 financial instruments is based on quoted prices in active markets, and total fair value is the published market price per unit multiplied by the number of units held without consideration of transaction costs, discounts or blockage factors.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120" w:after="283"/>
        <w:jc w:val="left"/>
        <w:rPr/>
      </w:pPr>
      <w:r>
        <w:rPr>
          <w:rFonts w:ascii="Times New Roman" w:hAnsi="Times New Roman"/>
          <w:b/>
          <w:i/>
          <w:color w:val="000000"/>
          <w:sz w:val="20"/>
        </w:rPr>
        <w:t>Accounts Receivable</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credit losses related to accounts receivable and changes were as follows (in thousands):</w:t>
      </w:r>
    </w:p>
    <w:tbl>
      <w:tblPr>
        <w:tblW w:w="7499" w:type="dxa"/>
        <w:jc w:val="left"/>
        <w:tblInd w:w="0" w:type="dxa"/>
        <w:tblLayout w:type="fixed"/>
        <w:tblCellMar>
          <w:top w:w="28" w:type="dxa"/>
          <w:left w:w="28" w:type="dxa"/>
          <w:bottom w:w="28" w:type="dxa"/>
          <w:right w:w="28" w:type="dxa"/>
        </w:tblCellMar>
      </w:tblPr>
      <w:tblGrid>
        <w:gridCol w:w="5146"/>
        <w:gridCol w:w="146"/>
        <w:gridCol w:w="211"/>
        <w:gridCol w:w="631"/>
        <w:gridCol w:w="166"/>
        <w:gridCol w:w="146"/>
        <w:gridCol w:w="211"/>
        <w:gridCol w:w="631"/>
        <w:gridCol w:w="21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to provision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or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period end, June 30 and December 31,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and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Depreciation is calculated on the straight-line method over the estimated useful life of the assets, which range from two to ten years, or in the case of leasehold improvements, over the shorter of the remaining lease term or the useful life of the asset.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$11.8 million for the six months ended June 30, 2025 and $17.0 million for the year ended December 31, 2024.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w:t>
      </w:r>
    </w:p>
    <w:p>
      <w:pPr>
        <w:pStyle w:val="TextBody"/>
        <w:bidi w:val="0"/>
        <w:spacing w:before="120" w:after="283"/>
        <w:jc w:val="left"/>
        <w:rPr/>
      </w:pPr>
      <w:r>
        <w:rPr>
          <w:rFonts w:ascii="Times New Roman" w:hAnsi="Times New Roman"/>
          <w:b/>
          <w:i/>
          <w:color w:val="000000"/>
          <w:sz w:val="20"/>
        </w:rPr>
        <w:t>Goodwill</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Goodwill represents the excess purchase price over the estimated fair value of net assets acquired in a business combination. As of June 30, 2025 and December 31, 2024,</w:t>
      </w:r>
      <w:r>
        <w:rPr>
          <w:rFonts w:ascii="Times New Roman" w:hAnsi="Times New Roman"/>
          <w:color w:val="CC0000"/>
          <w:sz w:val="20"/>
        </w:rPr>
        <w:t xml:space="preserve"> </w:t>
      </w:r>
      <w:r>
        <w:rPr>
          <w:rFonts w:ascii="Times New Roman" w:hAnsi="Times New Roman"/>
          <w:color w:val="000000"/>
          <w:sz w:val="20"/>
        </w:rPr>
        <w:t xml:space="preserve">the Company's goodwill is attributable to both the U.S. and International reporting units. Goodwill is not amortized. The Company tests goodwill for impairment annually in the fourth quarter, or more frequently, if events or changes in circumstances indicate that the carrying value of a reporting unit, including goodwill, might be impaired.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Revenue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derives the majority of its U.S. and International marketplace revenue from the sale of parts and assemblies fulfilled using a vast network of suppliers. The Company recognizes revenue from the sales to our customers pursuant to Financial Accounting Standard Board’s (“FASB”) Accounting Standards Codification </w:t>
      </w:r>
      <w:r>
        <w:rPr>
          <w:rFonts w:ascii="Times New Roman" w:hAnsi="Times New Roman"/>
          <w:i/>
          <w:color w:val="000000"/>
          <w:sz w:val="20"/>
        </w:rPr>
        <w:t>Topic 606, Revenue from Contracts with Customers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has transferred.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 </w:t>
      </w:r>
    </w:p>
    <w:p>
      <w:pPr>
        <w:pStyle w:val="TextBody"/>
        <w:bidi w:val="0"/>
        <w:jc w:val="left"/>
        <w:rPr>
          <w:rFonts w:ascii="Times New Roman" w:hAnsi="Times New Roman"/>
          <w:color w:val="000000"/>
          <w:sz w:val="20"/>
        </w:rPr>
      </w:pPr>
      <w:r>
        <w:rPr>
          <w:rFonts w:ascii="Times New Roman" w:hAnsi="Times New Roman"/>
          <w:color w:val="000000"/>
          <w:sz w:val="20"/>
        </w:rPr>
        <w:t xml:space="preserve">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shown net of estimated returns, refunds, and allowances. At June 30, 2025 and December 31, 2024, the Company has a provision for estimated returns, refunds or allowances of approximately $0.2 million and $0.1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tax and, if applicable, duties and/or tariffs collected from customers and remitted to governmental authorities is excluded from revenue. </w:t>
      </w:r>
    </w:p>
    <w:p>
      <w:pPr>
        <w:pStyle w:val="TextBody"/>
        <w:bidi w:val="0"/>
        <w:spacing w:before="120" w:after="283"/>
        <w:jc w:val="left"/>
        <w:rPr>
          <w:rFonts w:ascii="Times New Roman" w:hAnsi="Times New Roman"/>
          <w:sz w:val="20"/>
        </w:rPr>
      </w:pPr>
      <w:r>
        <w:rPr>
          <w:rFonts w:ascii="Times New Roman" w:hAnsi="Times New Roman"/>
          <w:i/>
          <w:color w:val="000000"/>
          <w:sz w:val="20"/>
        </w:rPr>
        <w:t>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contract liabilities as of December 31, 2024 and June 30, 2025 (in thousands): </w:t>
      </w:r>
    </w:p>
    <w:tbl>
      <w:tblPr>
        <w:tblW w:w="4875" w:type="dxa"/>
        <w:jc w:val="left"/>
        <w:tblInd w:w="0" w:type="dxa"/>
        <w:tblLayout w:type="fixed"/>
        <w:tblCellMar>
          <w:top w:w="28" w:type="dxa"/>
          <w:left w:w="28" w:type="dxa"/>
          <w:bottom w:w="28" w:type="dxa"/>
          <w:right w:w="28" w:type="dxa"/>
        </w:tblCellMar>
      </w:tblPr>
      <w:tblGrid>
        <w:gridCol w:w="3466"/>
        <w:gridCol w:w="146"/>
        <w:gridCol w:w="211"/>
        <w:gridCol w:w="84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Rollforward of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 in advance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the Company recognized approximately $7.0 million of revenue related to its contract liabilities as of December 31,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i/>
          <w:color w:val="000000"/>
          <w:sz w:val="20"/>
        </w:rPr>
        <w:t>Sales Contract Acquisition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incremental costs to obtain a contract may include a sales commission which is generally determined on a per order basis. For marketplace contracts, sales commissions are generally expensed as incurred. For supplier service contracts in excess of one year, the Company amortizes such costs on a straight-line basis over the average customer life of two years for new customers and over the renewal period for existing customers which is generally one year. Sales commissions are included in the Company's sales and marketing expenses in the Condensed Consolidated Statements of Operations and Comprehensive Loss. For the three and six months ended June 30, 2025, the Company recognized approximately $0.7 million and $1.4 million, respectively, of amortization related to deferred sales commissions. For the three and six months ended June 30, 2024, the Company recognized approximately $1.8 million and $4.3 million, respectively, of amortization related to deferred sales commissions. As of June 30, 2025 and December 31, 2024, the Company had deferred sales contract acquisition costs of $0.4 million for both periods, which is classified in other current assets on the Condensed Consolidated Balance Sheets.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for supplier services primarily consists of internal and external production costs and website hosting.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expense is recognized on a straight-line basis over the term of the lease.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Sales and Marketing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and six months ended June 30, 2025, the Company's advertising costs were $9.2 million and $16.0 million, respectively. For the three and six months ended June 30, 2024, the Company's advertising cost were $8.8 million and $17.1 million, respectively.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Operations and Support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t>
      </w:r>
    </w:p>
    <w:p>
      <w:pPr>
        <w:pStyle w:val="TextBody"/>
        <w:bidi w:val="0"/>
        <w:spacing w:before="120" w:after="283"/>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development costs which are not eligible for capitalization are expensed as incurred. This account also includes compensation expenses, including stock-based compensation to the Company’s employees performing routine improvements and maintenance on our platforms not related to a specific capitalizable project, software costs and certain depreciation and amortization expense.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primarily consist of compensation expenses, including stock-based compensation expenses, for executive, finance, legal and other administrative personnel, professional service fees and certain depreciation and amortization expense.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(q)</w:t>
      </w:r>
    </w:p>
    <w:p>
      <w:pPr>
        <w:pStyle w:val="TextBody"/>
        <w:bidi w:val="0"/>
        <w:spacing w:before="120" w:after="283"/>
        <w:jc w:val="left"/>
        <w:rPr>
          <w:rFonts w:ascii="Times New Roman" w:hAnsi="Times New Roman"/>
          <w:sz w:val="20"/>
        </w:rPr>
      </w:pPr>
      <w:r>
        <w:rPr>
          <w:rFonts w:ascii="Times New Roman" w:hAnsi="Times New Roman"/>
          <w:b/>
          <w:i/>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stock-based compensation, including stock options, restricted stock units and performance restricted stock units (“PRSUs”), are measured at the grant date fair value of the award. The fair value of the restricted stock units and PRSUs is determined using the fair value of the Company's Class A common stock on the date of grant. The Company estimates grant date fair value of stock options using the Black-Scholes option-pricing model. The fair value of stock options, PRSUs and restricted stock units is recognized as compensation expense on a straight-line basis over the requisite service period, which is typically three to four years. Forfeitures are recorded in the period in which they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Black-Scholes model considers several variables and assumptions in estimating the fair value of stock-based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variables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annual dividend yield;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volatility over the expected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free interest 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share value of the underlying common stock;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exercise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Recently Adopted Accounting Standards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did not change how a public entity identifies its operating segments, aggregates them, or applies the quantitative thresholds to determine its reportable segments. The new standard became effective for the Company in December 2024. The Company applied the amendments in this ASU retrospectively to all prior periods presented in the financial statements. We have reflected the adoption of this ASU in Note 5, </w:t>
      </w:r>
      <w:r>
        <w:rPr>
          <w:rFonts w:ascii="Times New Roman" w:hAnsi="Times New Roman"/>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The Company adopted this new standard in 2025 and applied the amendments prospectively. The adoption of this new standard does not impact our results of operations, cash flows, and financial condition.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Recently Issued Accounting Standards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In November 2024, FASB issued ASU No. 2024-03, Income Statement—Reporting Comprehensive Income—Expense Disaggregation Disclosures (Subtopic 220-40): Disaggregation of Income Statement Expenses (“ASU 2024-03”). Under ASU 2024-03, a PBE would be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retrospectively to any or all prior periods presented in the financial statements. The Company is currently assessing the impact of ASU 2024-03 on our consolidated financial statements and related disclosures.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In November 2024, FASB issued ASU No. 2024-04, Debt with Conversion and Other Options (Subtopic 470-20): Induced Conversions of Convertible Debt Instruments (“ASU 2024-04”),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The Company is currently assessing the impact of ASU 2024-04 on our consolidated financial statements and related disclosures.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In May 2025, FASB issued ASU No. 2025-03, Business Combinations (Topic 805) and Consolidation (Topic 810): Determining the Accounting Acquirer in the Acquisition of a Variable Interest Entity (“ASU 2025-03”), which requires that in a business combination involving a variable interest entity (“VIE”) where equity interests are issued as consideration, the determination of the accounting acquirer should follow the general guidance under ASC 805-10-25 rather than defaulting to the primary beneficiary of the VIE. The amendments are intended to improve consistency in applying the acquisition method to business combinations. The new guidance is effective for annual reporting periods beginning after December 15, 2026, and interim periods within those annual periods. The Company is currently assessing the impact of ASU 2025-03 on our consolidated financial statements and related disclosures, including the potential impact on the accounting for any future business combinations involving VIEs.</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currently no other accounting standards that have been issued, but not yet adopted, that are expected to have a significant impact on the Company’s consolidated financial position, results of operations or cash flows upon adoption. </w:t>
      </w:r>
    </w:p>
    <w:p>
      <w:pPr>
        <w:pStyle w:val="TextBody"/>
        <w:bidi w:val="0"/>
        <w:spacing w:before="12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Property and Equipment and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consist of the following as of June 30, 2025 and December 31, 2024 (in thousands): </w:t>
      </w:r>
    </w:p>
    <w:p>
      <w:pPr>
        <w:pStyle w:val="TextBody"/>
        <w:bidi w:val="0"/>
        <w:spacing w:before="120" w:after="283"/>
        <w:jc w:val="left"/>
        <w:rPr/>
      </w:pPr>
      <w:r>
        <w:rPr/>
        <w:t> </w:t>
      </w:r>
    </w:p>
    <w:tbl>
      <w:tblPr>
        <w:tblW w:w="8574" w:type="dxa"/>
        <w:jc w:val="left"/>
        <w:tblInd w:w="0" w:type="dxa"/>
        <w:tblLayout w:type="fixed"/>
        <w:tblCellMar>
          <w:top w:w="28" w:type="dxa"/>
          <w:left w:w="28" w:type="dxa"/>
          <w:bottom w:w="28" w:type="dxa"/>
          <w:right w:w="28" w:type="dxa"/>
        </w:tblCellMar>
      </w:tblPr>
      <w:tblGrid>
        <w:gridCol w:w="2896"/>
        <w:gridCol w:w="146"/>
        <w:gridCol w:w="2821"/>
        <w:gridCol w:w="146"/>
        <w:gridCol w:w="211"/>
        <w:gridCol w:w="736"/>
        <w:gridCol w:w="166"/>
        <w:gridCol w:w="146"/>
        <w:gridCol w:w="244"/>
        <w:gridCol w:w="85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hardware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Shorter of useful life or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expense for the three and six months ended June 30, 2025 and 2024 was as follows (in thousands): </w:t>
      </w:r>
    </w:p>
    <w:p>
      <w:pPr>
        <w:pStyle w:val="TextBody"/>
        <w:bidi w:val="0"/>
        <w:jc w:val="left"/>
        <w:rPr/>
      </w:pPr>
      <w:r>
        <w:rPr/>
        <w:t> </w:t>
      </w:r>
    </w:p>
    <w:tbl>
      <w:tblPr>
        <w:tblW w:w="8566" w:type="dxa"/>
        <w:jc w:val="left"/>
        <w:tblInd w:w="0" w:type="dxa"/>
        <w:tblLayout w:type="fixed"/>
        <w:tblCellMar>
          <w:top w:w="28" w:type="dxa"/>
          <w:left w:w="28" w:type="dxa"/>
          <w:bottom w:w="28" w:type="dxa"/>
          <w:right w:w="28" w:type="dxa"/>
        </w:tblCellMar>
      </w:tblPr>
      <w:tblGrid>
        <w:gridCol w:w="3751"/>
        <w:gridCol w:w="257"/>
        <w:gridCol w:w="697"/>
        <w:gridCol w:w="178"/>
        <w:gridCol w:w="178"/>
        <w:gridCol w:w="257"/>
        <w:gridCol w:w="697"/>
        <w:gridCol w:w="146"/>
        <w:gridCol w:w="146"/>
        <w:gridCol w:w="235"/>
        <w:gridCol w:w="637"/>
        <w:gridCol w:w="162"/>
        <w:gridCol w:w="162"/>
        <w:gridCol w:w="235"/>
        <w:gridCol w:w="637"/>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depreciation and amortization expense</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Disaggregated Revenue and Cost of Revenue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our revenues disaggregated by line of business. Revenue from our marketplace primarily reflects the sales of parts and assemblies on our platform. Revenue from supplier services primarily includes the sale of digital advertising and marketing services, and to a lesser extent financial service products and SaaS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and cost of revenue is presented in the following tables for the three and six months ended June 30, 2025 and 2024, respectively (in thousands):</w:t>
      </w:r>
    </w:p>
    <w:p>
      <w:pPr>
        <w:pStyle w:val="TextBody"/>
        <w:bidi w:val="0"/>
        <w:spacing w:before="120" w:after="283"/>
        <w:jc w:val="left"/>
        <w:rPr/>
      </w:pPr>
      <w:r>
        <w:rPr/>
        <w:t> </w:t>
      </w:r>
    </w:p>
    <w:tbl>
      <w:tblPr>
        <w:tblW w:w="7228" w:type="dxa"/>
        <w:jc w:val="left"/>
        <w:tblInd w:w="0" w:type="dxa"/>
        <w:tblLayout w:type="fixed"/>
        <w:tblCellMar>
          <w:top w:w="28" w:type="dxa"/>
          <w:left w:w="28" w:type="dxa"/>
          <w:bottom w:w="28" w:type="dxa"/>
          <w:right w:w="28" w:type="dxa"/>
        </w:tblCellMar>
      </w:tblPr>
      <w:tblGrid>
        <w:gridCol w:w="1591"/>
        <w:gridCol w:w="146"/>
        <w:gridCol w:w="243"/>
        <w:gridCol w:w="901"/>
        <w:gridCol w:w="168"/>
        <w:gridCol w:w="168"/>
        <w:gridCol w:w="243"/>
        <w:gridCol w:w="901"/>
        <w:gridCol w:w="146"/>
        <w:gridCol w:w="146"/>
        <w:gridCol w:w="221"/>
        <w:gridCol w:w="818"/>
        <w:gridCol w:w="153"/>
        <w:gridCol w:w="153"/>
        <w:gridCol w:w="221"/>
        <w:gridCol w:w="818"/>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148,223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95,771</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25,736</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Xometry is organized in two segments referred to as: (1) U.S. and (2) International. Xometry’s operating segments are also the Company’s reportable segments. Xometry’s reportable segments are managed separately based on geography. The Company’s U.S. revenues primarily result from the sales of parts and assemblies and the sale of advertising and marketing services. The Company's International revenues primarily result from the sale of parts and assemblies. Xometry’s two segments are defined based on the reporting and review process used by the CODM, the Chief Executive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the performance of the operating segments primarily based on revenue and segment Adjusted EBITDA. The CODM uses actual results compared to budgeted or forecasted segment Adjusted EBITDA to determine if the reporting units are making progress toward profitability and when making decisions about the allocation of resources and the assessment of performance. In 2024, the Company had determined that revenue and segment profit before income taxes was its measures of segment performance. In December 2024, the Company changed its segment profit or loss measure to segment Adjusted EBITDA based on a reassessment of the information currently used by the CODM to allocate resources and assess performance of the segments. The Company has recast segment Adjusted EBITDA for the prior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Segment Adjusted EBITDA excludes interest expense, interest and dividend income, other expenses, benefit for income taxes, and certain other non-cash or non-recurring items impacting net loss from time to time, principally comprised of depreciation and amortization, amortization of lease intangible, stock-based compensation, payroll tax expense related to stock-based compensation, charitable contributions of common stock, income from an unconsolidated joint venture, restructuring charges and acquisition and other adjustments not reflective of our ongoing business, such as adjustments related to purchase accounting, the revaluation of contingent consideration, transaction costs and executive severance.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monitors assets of the consolidated Company, but does not use assets, by operating segment when assessing performance or making operating segment resource decisions.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reflect certain segment information for the three and six months ended June 30, 2025 and 2024 (in thousands): </w:t>
      </w:r>
    </w:p>
    <w:p>
      <w:pPr>
        <w:pStyle w:val="TextBody"/>
        <w:bidi w:val="0"/>
        <w:jc w:val="left"/>
        <w:rPr/>
      </w:pPr>
      <w:r>
        <w:rPr/>
        <w:t> </w:t>
      </w:r>
    </w:p>
    <w:tbl>
      <w:tblPr>
        <w:tblW w:w="8243" w:type="dxa"/>
        <w:jc w:val="left"/>
        <w:tblInd w:w="0" w:type="dxa"/>
        <w:tblLayout w:type="fixed"/>
        <w:tblCellMar>
          <w:top w:w="28" w:type="dxa"/>
          <w:left w:w="28" w:type="dxa"/>
          <w:bottom w:w="28" w:type="dxa"/>
          <w:right w:w="28" w:type="dxa"/>
        </w:tblCellMar>
      </w:tblPr>
      <w:tblGrid>
        <w:gridCol w:w="3916"/>
        <w:gridCol w:w="146"/>
        <w:gridCol w:w="183"/>
        <w:gridCol w:w="595"/>
        <w:gridCol w:w="153"/>
        <w:gridCol w:w="148"/>
        <w:gridCol w:w="183"/>
        <w:gridCol w:w="595"/>
        <w:gridCol w:w="151"/>
        <w:gridCol w:w="146"/>
        <w:gridCol w:w="181"/>
        <w:gridCol w:w="586"/>
        <w:gridCol w:w="151"/>
        <w:gridCol w:w="146"/>
        <w:gridCol w:w="181"/>
        <w:gridCol w:w="586"/>
        <w:gridCol w:w="19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135,733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263,553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215,529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26,814</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39,756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162,547</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132,595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313,518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255,285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Segment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80,968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160,908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129,966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16,403</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24,540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97,371</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79,718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192,011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154,506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Segment Adjusted Operating Expense</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48,074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93,126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91,164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13,360</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20,074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61,434</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117,869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111,238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Other Segment Items</w:t>
            </w: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6,875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(2,949</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 interest and dividend income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(16,373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lease intangible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(7,895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Payroll tax expense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Acquisition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Charitable contribution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(26,437</w:t>
            </w:r>
          </w:p>
        </w:tc>
        <w:tc>
          <w:tcPr>
            <w:tcW w:w="1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(13,704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(41,513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(30,308</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Amount excludes stock-based compensation and the related payroll taxes, depreciation and amortization, restructuring charges, acquisition and other costs, amortization of lease intangible, lease termination and charitable contributions of common stock.</w:t>
      </w:r>
    </w:p>
    <w:p>
      <w:pPr>
        <w:pStyle w:val="TextBody"/>
        <w:bidi w:val="0"/>
        <w:jc w:val="left"/>
        <w:rPr>
          <w:rFonts w:ascii="Times New Roman" w:hAnsi="Times New Roman"/>
          <w:color w:val="000000"/>
          <w:sz w:val="16"/>
        </w:rPr>
      </w:pPr>
      <w:r>
        <w:rPr>
          <w:rFonts w:ascii="Times New Roman" w:hAnsi="Times New Roman"/>
          <w:color w:val="000000"/>
          <w:sz w:val="16"/>
        </w:rPr>
        <w:t>(2) Addback to segment Cost of Revenue to calculate Segment Adjusted EBITDA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reflect long-lived asset information as of June 30, 2025 and December 31, 2024 (in thousands):</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3166"/>
        <w:gridCol w:w="146"/>
        <w:gridCol w:w="211"/>
        <w:gridCol w:w="676"/>
        <w:gridCol w:w="146"/>
        <w:gridCol w:w="146"/>
        <w:gridCol w:w="260"/>
        <w:gridCol w:w="835"/>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there were 7,871,150 shares available for the Company to grant under the 2021 Equity Incentive Plan.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stock option activity and the changes during the six months ended June 30, 2025, are as follows (in millions, except share and per share amounts): </w:t>
      </w:r>
    </w:p>
    <w:tbl>
      <w:tblPr>
        <w:tblW w:w="8418" w:type="dxa"/>
        <w:jc w:val="left"/>
        <w:tblInd w:w="0" w:type="dxa"/>
        <w:tblLayout w:type="fixed"/>
        <w:tblCellMar>
          <w:top w:w="28" w:type="dxa"/>
          <w:left w:w="28" w:type="dxa"/>
          <w:bottom w:w="28" w:type="dxa"/>
          <w:right w:w="28" w:type="dxa"/>
        </w:tblCellMar>
      </w:tblPr>
      <w:tblGrid>
        <w:gridCol w:w="3121"/>
        <w:gridCol w:w="146"/>
        <w:gridCol w:w="146"/>
        <w:gridCol w:w="931"/>
        <w:gridCol w:w="166"/>
        <w:gridCol w:w="146"/>
        <w:gridCol w:w="229"/>
        <w:gridCol w:w="896"/>
        <w:gridCol w:w="146"/>
        <w:gridCol w:w="146"/>
        <w:gridCol w:w="285"/>
        <w:gridCol w:w="706"/>
        <w:gridCol w:w="146"/>
        <w:gridCol w:w="146"/>
        <w:gridCol w:w="271"/>
        <w:gridCol w:w="600"/>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June 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options were granted during the six months ended June 30, 2025. The total intrinsic value of options exercised during the six months ended June 30, 2025 and 2024, was $3.0 million and $3.1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2025, there was approximately $1.6 million of total unrecognized compensation cost related to unvested stock options. That cost is expected to be recognized over a weighted average period of approximately one year as of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uses authorized and unissued shares to satisfy share award exercises.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status of the Company’s restricted stock unit activity and the changes during the six months ended June 30, 2025 are as follows (in millions, except share and per share amounts): </w:t>
      </w:r>
    </w:p>
    <w:tbl>
      <w:tblPr>
        <w:tblW w:w="8845" w:type="dxa"/>
        <w:jc w:val="left"/>
        <w:tblInd w:w="0" w:type="dxa"/>
        <w:tblLayout w:type="fixed"/>
        <w:tblCellMar>
          <w:top w:w="28" w:type="dxa"/>
          <w:left w:w="28" w:type="dxa"/>
          <w:bottom w:w="28" w:type="dxa"/>
          <w:right w:w="28" w:type="dxa"/>
        </w:tblCellMar>
      </w:tblPr>
      <w:tblGrid>
        <w:gridCol w:w="3421"/>
        <w:gridCol w:w="146"/>
        <w:gridCol w:w="146"/>
        <w:gridCol w:w="931"/>
        <w:gridCol w:w="166"/>
        <w:gridCol w:w="146"/>
        <w:gridCol w:w="516"/>
        <w:gridCol w:w="2019"/>
        <w:gridCol w:w="146"/>
        <w:gridCol w:w="146"/>
        <w:gridCol w:w="235"/>
        <w:gridCol w:w="63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2025, there was approximately $53.2 million of total unrecognized compensation cost related to unvested restricted stock units granted under the 2021 Equity Incentive Plan. That cost is expected to be recognized over a weighted average period of approximately three years as of June 30, 2025.</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status of the Company's performance restricted stock unit activity and the changes during the six months ended June 30, 2025 are as follows (in millions, except share and per share amounts):</w:t>
      </w:r>
    </w:p>
    <w:tbl>
      <w:tblPr>
        <w:tblW w:w="8800" w:type="dxa"/>
        <w:jc w:val="left"/>
        <w:tblInd w:w="0" w:type="dxa"/>
        <w:tblLayout w:type="fixed"/>
        <w:tblCellMar>
          <w:top w:w="28" w:type="dxa"/>
          <w:left w:w="28" w:type="dxa"/>
          <w:bottom w:w="28" w:type="dxa"/>
          <w:right w:w="28" w:type="dxa"/>
        </w:tblCellMar>
      </w:tblPr>
      <w:tblGrid>
        <w:gridCol w:w="3526"/>
        <w:gridCol w:w="146"/>
        <w:gridCol w:w="146"/>
        <w:gridCol w:w="781"/>
        <w:gridCol w:w="166"/>
        <w:gridCol w:w="146"/>
        <w:gridCol w:w="516"/>
        <w:gridCol w:w="2019"/>
        <w:gridCol w:w="146"/>
        <w:gridCol w:w="146"/>
        <w:gridCol w:w="271"/>
        <w:gridCol w:w="600"/>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2025, there was approximately $9.6 million of total unrecognized compensation cost related to unvested performance restricted stock units granted under the 2021 Equity Incentive Plan. That cost is expected to be recognized over a weighted average period of approximately two years as of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stock-based compensation cost for the three and six months ended June 30, 2025 and 2024 were as follows (in thousands): </w:t>
      </w:r>
    </w:p>
    <w:p>
      <w:pPr>
        <w:pStyle w:val="TextBody"/>
        <w:bidi w:val="0"/>
        <w:spacing w:before="120" w:after="283"/>
        <w:jc w:val="left"/>
        <w:rPr/>
      </w:pPr>
      <w:r>
        <w:rPr/>
        <w:t> </w:t>
      </w:r>
    </w:p>
    <w:tbl>
      <w:tblPr>
        <w:tblW w:w="7887" w:type="dxa"/>
        <w:jc w:val="left"/>
        <w:tblInd w:w="0" w:type="dxa"/>
        <w:tblLayout w:type="fixed"/>
        <w:tblCellMar>
          <w:top w:w="28" w:type="dxa"/>
          <w:left w:w="28" w:type="dxa"/>
          <w:bottom w:w="28" w:type="dxa"/>
          <w:right w:w="28" w:type="dxa"/>
        </w:tblCellMar>
      </w:tblPr>
      <w:tblGrid>
        <w:gridCol w:w="2926"/>
        <w:gridCol w:w="146"/>
        <w:gridCol w:w="257"/>
        <w:gridCol w:w="697"/>
        <w:gridCol w:w="178"/>
        <w:gridCol w:w="178"/>
        <w:gridCol w:w="257"/>
        <w:gridCol w:w="697"/>
        <w:gridCol w:w="146"/>
        <w:gridCol w:w="146"/>
        <w:gridCol w:w="211"/>
        <w:gridCol w:w="677"/>
        <w:gridCol w:w="146"/>
        <w:gridCol w:w="146"/>
        <w:gridCol w:w="211"/>
        <w:gridCol w:w="677"/>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full valuation allowance has been established against our net U.S. federal and state deferred tax assets and foreign deferred tax assets, including net operating loss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less than $0.1 million of benefit for income taxes for each of the three and six months ended June 30, 2025 and 2024. This estimated annual effective tax rate of 0.1% differs from the U.S. federal statutory rate primarily due to the effects of certain permanent items, foreign tax rate differences, and increases in the valuation allowance against deferred tax assets.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 used to compute net loss per share attributable to common stockholders, basic and diluted,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50,699,914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48,840,100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50,518,492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48,709,040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tbl>
      <w:tblPr>
        <w:tblW w:w="6654" w:type="dxa"/>
        <w:jc w:val="left"/>
        <w:tblInd w:w="0" w:type="dxa"/>
        <w:tblLayout w:type="fixed"/>
        <w:tblCellMar>
          <w:top w:w="28" w:type="dxa"/>
          <w:left w:w="28" w:type="dxa"/>
          <w:bottom w:w="28" w:type="dxa"/>
          <w:right w:w="28" w:type="dxa"/>
        </w:tblCellMar>
      </w:tblPr>
      <w:tblGrid>
        <w:gridCol w:w="3661"/>
        <w:gridCol w:w="146"/>
        <w:gridCol w:w="146"/>
        <w:gridCol w:w="1036"/>
        <w:gridCol w:w="146"/>
        <w:gridCol w:w="146"/>
        <w:gridCol w:w="146"/>
        <w:gridCol w:w="103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2,499,664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charitable contribution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5,123,624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10,891,999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Debt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2030 Convertible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2025, we issued $250.0 million aggregate principal amount of 0.75% convertible senior notes due in 2030 (the “2030 Notes”), including the exercise in full of the initial purchasers’ option to purchase up to an additional $25.0 million principal amount of the 2030 Notes, pursuant to an indenture dated June 12, 2025. The 2030 Notes were sold in a private offering to qualified institutional buyers pursuant to Rule 144A under the Securities Act. The net proceeds from the issuance of the 2030 Notes were $242.2 million, net of debt issuance costs. The debt issuance costs are amortized to interest expense using the effective interest rate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any calendar quarter commencing after the calendar quarter ending on September 30, 2025 (and only during such calendar quarter), if the last reported sale price of our Class A common stock for at least 20</w:t>
      </w:r>
      <w:r>
        <w:rPr>
          <w:color w:val="000000"/>
        </w:rPr>
        <w:t xml:space="preserve"> </w:t>
      </w:r>
      <w:r>
        <w:rPr>
          <w:rFonts w:ascii="Times New Roman" w:hAnsi="Times New Roman"/>
          <w:color w:val="000000"/>
          <w:sz w:val="20"/>
        </w:rPr>
        <w:t>trading days (whether or not consecutive) during the period of 30</w:t>
      </w:r>
      <w:r>
        <w:rPr>
          <w:color w:val="000000"/>
        </w:rPr>
        <w:t xml:space="preserve"> </w:t>
      </w:r>
      <w:r>
        <w:rPr>
          <w:rFonts w:ascii="Times New Roman" w:hAnsi="Times New Roman"/>
          <w:color w:val="000000"/>
          <w:sz w:val="20"/>
        </w:rPr>
        <w:t>consecutive trading days ending on the last trading day of the preceding calendar quarter is greater than or equal to 130% of the applicable conversion price of the 2030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in which the trading price per $1,000</w:t>
      </w:r>
      <w:r>
        <w:rPr>
          <w:color w:val="000000"/>
        </w:rPr>
        <w:t xml:space="preserve"> </w:t>
      </w:r>
      <w:r>
        <w:rPr>
          <w:rFonts w:ascii="Times New Roman" w:hAnsi="Times New Roman"/>
          <w:color w:val="000000"/>
          <w:sz w:val="20"/>
        </w:rPr>
        <w:t>principal amount of the 2030 Notes for each day of such ten consecutive trading day period was less than 98% of the product of the last reported sale price of our Class A common stock and the applicable conversion rate of the 2030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March 15, 2030, the 2030 Notes are convertible at any time until the close of business on the second scheduled trading day immediately preceding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 fundamental change (as defined in the indenture governing the 2030 Notes), subject to certain conditions and limited exceptions, holders of the 2030 Notes may require us to repurchase for cash all or a portion of the 2030 Notes at a price equal to 100%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principal amount of the 2030 Notes to be repurchased, plus accrued and unpaid interest, if any, to, but excluding, the fundamental change repurchase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accounted for the issuance of the 2030 Notes as a single liability measured at its amortized cost, as no other embedded features require bifurcation and recognition as derivatives.</w:t>
      </w:r>
    </w:p>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2022, we issued $287.5 million aggregate principal amount of 1.00% convertible senior notes due in 2027 (the “2027 Notes” and collectively with the 2030 Notes, the “Convertible Notes”) pursuant to an indenture dated February 4, 2022. The 2027 Notes were sold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any calendar quarter commencing after the calendar quarter ending on June 30, 2022 (and only during such quarter), if the last reported sale price of our Class A common stock for at least 20</w:t>
      </w:r>
      <w:r>
        <w:rPr>
          <w:color w:val="000000"/>
        </w:rPr>
        <w:t xml:space="preserve"> </w:t>
      </w:r>
      <w:r>
        <w:rPr>
          <w:rFonts w:ascii="Times New Roman" w:hAnsi="Times New Roman"/>
          <w:color w:val="000000"/>
          <w:sz w:val="20"/>
        </w:rPr>
        <w:t>trading days (whether or not consecutive) during the period of 30</w:t>
      </w:r>
      <w:r>
        <w:rPr>
          <w:color w:val="000000"/>
        </w:rPr>
        <w:t xml:space="preserve"> </w:t>
      </w:r>
      <w:r>
        <w:rPr>
          <w:rFonts w:ascii="Times New Roman" w:hAnsi="Times New Roman"/>
          <w:color w:val="000000"/>
          <w:sz w:val="20"/>
        </w:rPr>
        <w:t>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in which the trading price per $1,000</w:t>
      </w:r>
      <w:r>
        <w:rPr>
          <w:color w:val="000000"/>
        </w:rPr>
        <w:t xml:space="preserve"> </w:t>
      </w:r>
      <w:r>
        <w:rPr>
          <w:rFonts w:ascii="Times New Roman" w:hAnsi="Times New Roman"/>
          <w:color w:val="000000"/>
          <w:sz w:val="20"/>
        </w:rPr>
        <w:t>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or after November 1, 2026, the 2027 Notes are convertible at any time until the close of business on the second scheduled trading day immediately preceding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other embedded features require bifurcation and recognition as derivatives.</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Partial Repurchase of 2027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used a portion of the net proceeds from the issuance of the 2030 Notes to repurchase approximately $201.7 million in aggregate principal amount of outstanding 2027 Notes. The total cash paid in connection with this repurchase was approximately $216.7 million, which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Condensed 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this partial repurchase, approximately $85.8 million aggregate principal amount of the 2027 Notes remain outstanding on our Condensed Consolidated Balance Sheet. The original terms and conditions continue to apply to the remaining 2027 Notes, and the unamortized debt discount and issuance costs related to these notes will continue to accreted to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outstanding principal amount and carrying value of the Convertible Notes as of the dates indicated (in thousands):</w:t>
      </w:r>
    </w:p>
    <w:tbl>
      <w:tblPr>
        <w:tblW w:w="9176" w:type="dxa"/>
        <w:jc w:val="left"/>
        <w:tblInd w:w="0" w:type="dxa"/>
        <w:tblLayout w:type="fixed"/>
        <w:tblCellMar>
          <w:top w:w="28" w:type="dxa"/>
          <w:left w:w="28" w:type="dxa"/>
          <w:bottom w:w="28" w:type="dxa"/>
          <w:right w:w="28" w:type="dxa"/>
        </w:tblCellMar>
      </w:tblPr>
      <w:tblGrid>
        <w:gridCol w:w="1051"/>
        <w:gridCol w:w="146"/>
        <w:gridCol w:w="211"/>
        <w:gridCol w:w="781"/>
        <w:gridCol w:w="146"/>
        <w:gridCol w:w="146"/>
        <w:gridCol w:w="529"/>
        <w:gridCol w:w="1586"/>
        <w:gridCol w:w="166"/>
        <w:gridCol w:w="146"/>
        <w:gridCol w:w="630"/>
        <w:gridCol w:w="1890"/>
        <w:gridCol w:w="166"/>
        <w:gridCol w:w="146"/>
        <w:gridCol w:w="265"/>
        <w:gridCol w:w="980"/>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effective interest rate for the 2027 Notes and the 2030 Notes were approximately 1.6% and 1.5%, respectively. Interest expense related to the Convertible Notes for the periods presented below was as follows (in thousands):</w:t>
      </w:r>
    </w:p>
    <w:tbl>
      <w:tblPr>
        <w:tblW w:w="7147" w:type="dxa"/>
        <w:jc w:val="left"/>
        <w:tblInd w:w="0" w:type="dxa"/>
        <w:tblLayout w:type="fixed"/>
        <w:tblCellMar>
          <w:top w:w="28" w:type="dxa"/>
          <w:left w:w="28" w:type="dxa"/>
          <w:bottom w:w="28" w:type="dxa"/>
          <w:right w:w="28" w:type="dxa"/>
        </w:tblCellMar>
      </w:tblPr>
      <w:tblGrid>
        <w:gridCol w:w="2806"/>
        <w:gridCol w:w="146"/>
        <w:gridCol w:w="211"/>
        <w:gridCol w:w="571"/>
        <w:gridCol w:w="146"/>
        <w:gridCol w:w="146"/>
        <w:gridCol w:w="211"/>
        <w:gridCol w:w="571"/>
        <w:gridCol w:w="146"/>
        <w:gridCol w:w="146"/>
        <w:gridCol w:w="211"/>
        <w:gridCol w:w="571"/>
        <w:gridCol w:w="146"/>
        <w:gridCol w:w="146"/>
        <w:gridCol w:w="211"/>
        <w:gridCol w:w="57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Coupon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estimates the fair value of the Convertible Notes with inputs that are unobservable. The following table presents the carrying value and estimated fair value of the Convertible Notes as of the date indicated (in thousands):</w:t>
      </w:r>
    </w:p>
    <w:tbl>
      <w:tblPr>
        <w:tblW w:w="8219" w:type="dxa"/>
        <w:jc w:val="left"/>
        <w:tblInd w:w="0" w:type="dxa"/>
        <w:tblLayout w:type="fixed"/>
        <w:tblCellMar>
          <w:top w:w="28" w:type="dxa"/>
          <w:left w:w="28" w:type="dxa"/>
          <w:bottom w:w="28" w:type="dxa"/>
          <w:right w:w="28" w:type="dxa"/>
        </w:tblCellMar>
      </w:tblPr>
      <w:tblGrid>
        <w:gridCol w:w="2086"/>
        <w:gridCol w:w="146"/>
        <w:gridCol w:w="306"/>
        <w:gridCol w:w="1134"/>
        <w:gridCol w:w="146"/>
        <w:gridCol w:w="146"/>
        <w:gridCol w:w="217"/>
        <w:gridCol w:w="803"/>
        <w:gridCol w:w="146"/>
        <w:gridCol w:w="146"/>
        <w:gridCol w:w="306"/>
        <w:gridCol w:w="1134"/>
        <w:gridCol w:w="146"/>
        <w:gridCol w:w="146"/>
        <w:gridCol w:w="217"/>
        <w:gridCol w:w="803"/>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2027 Notes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2030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As of June 30, 2025 and December 31, 2024, the fair value of the Convertible Notes, as applicable, was measured using Level 2 inputs based on the frequency of trading on our debt at the end of the period.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issuance of the 2030 Notes, we entered into capped call transactions (the “Capped Calls”) with respect to its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used approximately $17.5 million of the net proceeds from the 2030 Notes to pay the cost of the Capped Calls. These instruments are classified as equity and recorded as a reduction of additional paid-in capital in the Condensed Consolidated Statements of Changes in Stockholders’ Equity. The Capped Call are not accounted for as derivatives and will not be remeasured; they will remain in stockholder's equity until expiration or settlement.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Purchase of Treasury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Condensed Consolidated Statements of Changes in Stockholders’ Equity.</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 </w:t>
      </w:r>
    </w:p>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2025, the Company initiated a restructuring action to help improve efficiency and align resources by reducing our workforce. During the three and six months ended June 30, 2025, the Company incurred $0.1 million and $1.6 million for employee termination costs related to the restructuring,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total amount incurred and the liability, which was recorded in accrued expenses in the Condensed Consolidated Balance Sheets, for restructuring-related employee termination benefits as of December 31, 2024 and June 30, 2025 (in thousands):</w:t>
      </w:r>
    </w:p>
    <w:tbl>
      <w:tblPr>
        <w:tblW w:w="8668" w:type="dxa"/>
        <w:jc w:val="left"/>
        <w:tblInd w:w="0" w:type="dxa"/>
        <w:tblLayout w:type="fixed"/>
        <w:tblCellMar>
          <w:top w:w="28" w:type="dxa"/>
          <w:left w:w="28" w:type="dxa"/>
          <w:bottom w:w="28" w:type="dxa"/>
          <w:right w:w="28" w:type="dxa"/>
        </w:tblCellMar>
      </w:tblPr>
      <w:tblGrid>
        <w:gridCol w:w="5941"/>
        <w:gridCol w:w="146"/>
        <w:gridCol w:w="638"/>
        <w:gridCol w:w="1732"/>
        <w:gridCol w:w="2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Termination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costs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incurred during the 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paid during the period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costs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total restructuring costs incurred during the three and six months ended June 30, 2025 and 2024 (in thousands):</w:t>
      </w:r>
    </w:p>
    <w:tbl>
      <w:tblPr>
        <w:tblW w:w="7855" w:type="dxa"/>
        <w:jc w:val="left"/>
        <w:tblInd w:w="0" w:type="dxa"/>
        <w:tblLayout w:type="fixed"/>
        <w:tblCellMar>
          <w:top w:w="28" w:type="dxa"/>
          <w:left w:w="28" w:type="dxa"/>
          <w:bottom w:w="28" w:type="dxa"/>
          <w:right w:w="28" w:type="dxa"/>
        </w:tblCellMar>
      </w:tblPr>
      <w:tblGrid>
        <w:gridCol w:w="2311"/>
        <w:gridCol w:w="146"/>
        <w:gridCol w:w="318"/>
        <w:gridCol w:w="635"/>
        <w:gridCol w:w="250"/>
        <w:gridCol w:w="220"/>
        <w:gridCol w:w="318"/>
        <w:gridCol w:w="522"/>
        <w:gridCol w:w="146"/>
        <w:gridCol w:w="146"/>
        <w:gridCol w:w="343"/>
        <w:gridCol w:w="929"/>
        <w:gridCol w:w="237"/>
        <w:gridCol w:w="237"/>
        <w:gridCol w:w="343"/>
        <w:gridCol w:w="56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Defined Contribution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a defined contribution plan for qualifying employees, including a 401(k) Plan in the United States to which it makes matching contributions of 50% of participating employee contributions up to 6% of eligible income. The Company's total matching contribution to the 401(k) Plan was $0.7 million and $0.5 million for the three months ended June 30, 2025 and 2024, respectively, and was $1.3 million and $1.2 million for the six months ended June 30, 2025 and 2024,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(10)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intangible assets (dollars in thousands): </w:t>
      </w:r>
    </w:p>
    <w:p>
      <w:pPr>
        <w:pStyle w:val="TextBody"/>
        <w:bidi w:val="0"/>
        <w:jc w:val="left"/>
        <w:rPr/>
      </w:pPr>
      <w:r>
        <w:rPr/>
        <w:t> </w:t>
      </w:r>
    </w:p>
    <w:tbl>
      <w:tblPr>
        <w:tblW w:w="8255" w:type="dxa"/>
        <w:jc w:val="left"/>
        <w:tblInd w:w="0" w:type="dxa"/>
        <w:tblLayout w:type="fixed"/>
        <w:tblCellMar>
          <w:top w:w="28" w:type="dxa"/>
          <w:left w:w="28" w:type="dxa"/>
          <w:bottom w:w="28" w:type="dxa"/>
          <w:right w:w="28" w:type="dxa"/>
        </w:tblCellMar>
      </w:tblPr>
      <w:tblGrid>
        <w:gridCol w:w="3166"/>
        <w:gridCol w:w="146"/>
        <w:gridCol w:w="332"/>
        <w:gridCol w:w="719"/>
        <w:gridCol w:w="146"/>
        <w:gridCol w:w="146"/>
        <w:gridCol w:w="211"/>
        <w:gridCol w:w="676"/>
        <w:gridCol w:w="146"/>
        <w:gridCol w:w="146"/>
        <w:gridCol w:w="250"/>
        <w:gridCol w:w="801"/>
        <w:gridCol w:w="146"/>
        <w:gridCol w:w="146"/>
        <w:gridCol w:w="211"/>
        <w:gridCol w:w="67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In-place Lease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Above Market Lease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8255" w:type="dxa"/>
        <w:jc w:val="left"/>
        <w:tblInd w:w="0" w:type="dxa"/>
        <w:tblLayout w:type="fixed"/>
        <w:tblCellMar>
          <w:top w:w="28" w:type="dxa"/>
          <w:left w:w="28" w:type="dxa"/>
          <w:bottom w:w="28" w:type="dxa"/>
          <w:right w:w="28" w:type="dxa"/>
        </w:tblCellMar>
      </w:tblPr>
      <w:tblGrid>
        <w:gridCol w:w="3166"/>
        <w:gridCol w:w="146"/>
        <w:gridCol w:w="332"/>
        <w:gridCol w:w="719"/>
        <w:gridCol w:w="146"/>
        <w:gridCol w:w="146"/>
        <w:gridCol w:w="211"/>
        <w:gridCol w:w="676"/>
        <w:gridCol w:w="146"/>
        <w:gridCol w:w="146"/>
        <w:gridCol w:w="250"/>
        <w:gridCol w:w="801"/>
        <w:gridCol w:w="146"/>
        <w:gridCol w:w="146"/>
        <w:gridCol w:w="211"/>
        <w:gridCol w:w="67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In-place Lease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Above Market Lease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roll forward of the carrying amount of goodwill (in thousands): </w:t>
      </w:r>
    </w:p>
    <w:tbl>
      <w:tblPr>
        <w:tblW w:w="7469" w:type="dxa"/>
        <w:jc w:val="left"/>
        <w:tblInd w:w="0" w:type="dxa"/>
        <w:tblLayout w:type="fixed"/>
        <w:tblCellMar>
          <w:top w:w="28" w:type="dxa"/>
          <w:left w:w="28" w:type="dxa"/>
          <w:bottom w:w="28" w:type="dxa"/>
          <w:right w:w="28" w:type="dxa"/>
        </w:tblCellMar>
      </w:tblPr>
      <w:tblGrid>
        <w:gridCol w:w="4816"/>
        <w:gridCol w:w="146"/>
        <w:gridCol w:w="211"/>
        <w:gridCol w:w="781"/>
        <w:gridCol w:w="166"/>
        <w:gridCol w:w="146"/>
        <w:gridCol w:w="211"/>
        <w:gridCol w:w="781"/>
        <w:gridCol w:w="21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impairments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goodwill as of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acquired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foreign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goodwill as of June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262,686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and December 31, 2024, Xometry had $263.8 million and $262.7 million, respectively of goodwill. As of June 30, 2025, $258.0 million was part of Xometry’s U.S. operating segment and $5.8 million was part of Xometry’s International operating segment. As of December 31, 2024, $258.0 million was part of Xometry's U.S. operating segment and $4.7 million was part of Xometry's International operating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estimated amortization expense for intangible assets for the remainder of 2025 and the next five years is: $1.8 million in 2025, $3.2 million in 2026, $2.6 million in 2027, $2.6 million in 2028, $2.6 million in 2029, $2.6 million in 2030 and $14.9 million thereafter.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expense for the three and six months ended June 30, 2025 and 2024 was as follows (in thousands): </w:t>
      </w:r>
    </w:p>
    <w:tbl>
      <w:tblPr>
        <w:tblW w:w="7482" w:type="dxa"/>
        <w:jc w:val="left"/>
        <w:tblInd w:w="0" w:type="dxa"/>
        <w:tblLayout w:type="fixed"/>
        <w:tblCellMar>
          <w:top w:w="28" w:type="dxa"/>
          <w:left w:w="28" w:type="dxa"/>
          <w:bottom w:w="28" w:type="dxa"/>
          <w:right w:w="28" w:type="dxa"/>
        </w:tblCellMar>
      </w:tblPr>
      <w:tblGrid>
        <w:gridCol w:w="2521"/>
        <w:gridCol w:w="146"/>
        <w:gridCol w:w="307"/>
        <w:gridCol w:w="613"/>
        <w:gridCol w:w="212"/>
        <w:gridCol w:w="212"/>
        <w:gridCol w:w="307"/>
        <w:gridCol w:w="613"/>
        <w:gridCol w:w="146"/>
        <w:gridCol w:w="146"/>
        <w:gridCol w:w="235"/>
        <w:gridCol w:w="637"/>
        <w:gridCol w:w="162"/>
        <w:gridCol w:w="162"/>
        <w:gridCol w:w="235"/>
        <w:gridCol w:w="637"/>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Amortization of the lease related intangible assets is recorded as operating lease expense in general and administrative.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Subsequent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was enacted into law in the United States. The OBBBA includes significant provisions, such as the permanent extension of certain expiring provisions that were originally enacted in the 2017 Tax Cuts and Jobs Act and were set to expire on December 31, 2025,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OBBBA’s impact on its condensed consolidated financial statements.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16" w:name="i_item2"/>
      <w:bookmarkEnd w:id="16"/>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2024. Our historical results are not necessarily indicative of the results that may be expected in the future and our current quarterly results are not necessarily indicative of the results expected for the full year or any other period.</w:t>
      </w:r>
      <w:r>
        <w:rPr>
          <w:rFonts w:ascii="Times New Roman" w:hAnsi="Times New Roman"/>
          <w:color w:val="000000"/>
          <w:sz w:val="20"/>
        </w:rPr>
        <w:t xml:space="preserve"> </w:t>
      </w:r>
    </w:p>
    <w:p>
      <w:pPr>
        <w:pStyle w:val="TextBody"/>
        <w:bidi w:val="0"/>
        <w:spacing w:before="300" w:after="283"/>
        <w:jc w:val="center"/>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Xometry, Inc. (“Xometry”, the “Company”, “we”, or “our”) was incorporated in the State of Delaware in May 2013 and our corporate headquarters is located in North Bethesda, Maryland. Xometry operates a global artificial intelligence (“AI”) powered online manufacturing marketplace, a leading North American industrial sourcing platform Thomasnet® and a suite of cloud-based services including Workcenter and Teamspace that are rapidly digitizing the manufacturing industry. Together, these platforms provide manufacturers the critical resources they need to grow their business and make it easy for buyers to create resilient supply chains. Xometry's marketplaces uses proprietary AI to help buyers efficiently source custom-manufactured parts and assemblies and attain instant pricing and lead times. The AI enables our rapidly growing network of manufacturers to select the optimal jobs to fill their capacity. Our suite of cloud-based services and our Thomasnet industrial sourcing platform helps manufacturers and industrial service providers grow their businesses using our advertising, marketing and financial services.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Xometry’s AI-enabled marketplace, which is available in multiple local platforms and 18 languages, is powered by proprietary machine learning algorithms and datasets. Our two-sided marketplace is rapidly digitizing the manufacturing industry, helping customers strengthen their supply chains. Buyers can procure the products they want utilizing our AI powered instant quoting engine, and suppliers can reach new customers throughout the world. Our rapidly growing active supplier base enables companies to accelerate their product development and go-to-market strategies, as well as reduce the cost and lead times for ongoing production work. More than 4,375 global suppliers are active on the Xometry Marketplace across four continents. Each interaction on our marketplace provides rich data insights that allow us to continuously improve our AI models and create new products and services, fueling powerful network effects as we scale.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 as well as larger production orders of single parts. Xometry’s Teamspace offers enterprise-wide collaboration software that unites engineers, managers and purchasing executives to expedite procurement of custom-manufacturing services. We continue to improve features on Xometry and expand the offering with the launch of Teamspace in Europe in the second quarter of 2025.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pStyle w:val="TextBody"/>
        <w:bidi w:val="0"/>
        <w:jc w:val="left"/>
        <w:rPr>
          <w:rFonts w:ascii="Times New Roman" w:hAnsi="Times New Roman"/>
          <w:color w:val="000000"/>
          <w:sz w:val="20"/>
        </w:rPr>
      </w:pPr>
      <w:r>
        <w:rPr>
          <w:rFonts w:ascii="Times New Roman" w:hAnsi="Times New Roman"/>
          <w:color w:val="000000"/>
          <w:sz w:val="20"/>
        </w:rPr>
        <w:t>Our business benefits from a virtuous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supplier services, including our financial services or the purchase of tools and materials.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Industrial, Medical Devices, Automotive, Consumer Goods, Defense, Government, Energy, Education and Robotics.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empower suppliers to grow their manufacturing businesses and improve machine utilization by providing access to an extensive, diverse base of buyers. We also offer suppliers supporting services to meet their unique needs. The Thomasnet product sourcing and supplier discovery digital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to generate leads and boost the awareness and reach of suppliers. In addition, our supplier services include financial service products to facilitate faster payments and a cloud-based manufacturing execution system (“Workcenter”) to help suppliers optimize their productivity. Workcenter digitally enables qualifying and on-boarding suppliers and allows suppliers to manage all their Xometry and non-Xometry work and provides for expedited payment terms in support of their business.</w:t>
      </w:r>
    </w:p>
    <w:p>
      <w:pPr>
        <w:pStyle w:val="TextBody"/>
        <w:bidi w:val="0"/>
        <w:jc w:val="left"/>
        <w:rPr>
          <w:rFonts w:ascii="Times New Roman" w:hAnsi="Times New Roman"/>
          <w:color w:val="000000"/>
          <w:sz w:val="20"/>
        </w:rPr>
      </w:pPr>
      <w:r>
        <w:rPr>
          <w:rFonts w:ascii="Times New Roman" w:hAnsi="Times New Roman"/>
          <w:color w:val="000000"/>
          <w:sz w:val="20"/>
        </w:rPr>
        <w:t>Unfavorable conditions in the economy both in the United States and abroad may negatively affect the growth of our business and our results of operations. For example, macroeconomic events, fluctuations in inflation and interest rates, volatile market conditions, impacts from tariffs,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our Annual Report on Form 10-K for the year ended December 31, 2024.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Convertible Notes Transactions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2025, we issued $250.0 million aggregate principal amount of 0.75% Convertible Senior Notes due 2030. The net proceeds from the issuance of the 2030 Notes were approximately $242.2 million, net of debt issuance costs. We used a portion of the net proceeds to (i) repurchase a portion of our outstanding 1.00% convertible senior notes due 2027, (ii) enter into capped call transactions and (iii) repurchase shares of our Class A common stock. Refer to Note 9, </w:t>
      </w:r>
      <w:r>
        <w:rPr>
          <w:rFonts w:ascii="Times New Roman" w:hAnsi="Times New Roman"/>
          <w:i/>
          <w:color w:val="000000"/>
          <w:sz w:val="20"/>
        </w:rPr>
        <w:t xml:space="preserve">Debt Commitments and Contingencies </w:t>
      </w:r>
      <w:r>
        <w:rPr>
          <w:rFonts w:ascii="Times New Roman" w:hAnsi="Times New Roman"/>
          <w:color w:val="000000"/>
          <w:sz w:val="20"/>
        </w:rPr>
        <w:t>for our consolidated financial statements included elsewhere in this Quarterly Report on Form 10-Q.</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Restructuring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2025, we initiated restructuring actions to help improve efficiency and align resources by reducing our workforce by approximately 5%. The workforce reduction focused on realigning our staffing levels to help us meet the current and future objectives of our business. For the three and six months ended June 30, 2025, we incurred $0.1 million and $1.6 million, respectively, for employee termination costs related to our restructuring. Refer to Note 9, </w:t>
      </w:r>
      <w:r>
        <w:rPr>
          <w:rFonts w:ascii="Times New Roman" w:hAnsi="Times New Roman"/>
          <w:i/>
          <w:color w:val="000000"/>
          <w:sz w:val="20"/>
        </w:rPr>
        <w:t xml:space="preserve">Debt Commitments and Contingencies—Restructuring </w:t>
      </w:r>
      <w:r>
        <w:rPr>
          <w:rFonts w:ascii="Times New Roman" w:hAnsi="Times New Roman"/>
          <w:color w:val="000000"/>
          <w:sz w:val="20"/>
        </w:rPr>
        <w:t>for our consolidated financial statements included elsewhere in this Quarterly Report on Form 10-Q.</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 Tax Legislation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into law in the United States. The OBBBA includes significant provisions, such as the permanent extension of certain expiring provisions that were originally enacted in the 2017 Tax Cuts and Jobs Act and were set to expire on December 31, 2025,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OBBBA’s impact on its consolidated financial statements. Based on our preliminary assessment, we do not believe the legislation will have a material impact on our condensed financial statements.</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360" w:after="283"/>
        <w:jc w:val="center"/>
        <w:rPr>
          <w:rFonts w:ascii="Times New Roman" w:hAnsi="Times New Roman"/>
          <w:sz w:val="20"/>
        </w:rPr>
      </w:pPr>
      <w:r>
        <w:rPr>
          <w:rFonts w:ascii="Times New Roman" w:hAnsi="Times New Roman"/>
          <w:b/>
          <w:color w:val="000000"/>
          <w:sz w:val="20"/>
        </w:rPr>
        <w:t>Key Marketplace Operational and Business Metrics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 </w:t>
      </w:r>
    </w:p>
    <w:p>
      <w:pPr>
        <w:pStyle w:val="TextBody"/>
        <w:bidi w:val="0"/>
        <w:spacing w:before="360" w:after="283"/>
        <w:jc w:val="left"/>
        <w:rPr>
          <w:rFonts w:ascii="Times New Roman" w:hAnsi="Times New Roman"/>
          <w:sz w:val="20"/>
        </w:rPr>
      </w:pPr>
      <w:r>
        <w:rPr>
          <w:rFonts w:ascii="Times New Roman" w:hAnsi="Times New Roman"/>
          <w:b/>
          <w:i/>
          <w:color w:val="000000"/>
          <w:sz w:val="20"/>
        </w:rPr>
        <w:t>Active Buyers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Active Buyers as the number of buyers who have made at least one purchase on our marketplace during the last twelve months. An increase or decrease in the number of Active Buyers is a key indicator of our ability to attract, retain and engage buyers on our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Active Buyers has consistently grown over time. The number of Active Buyers on our platform reached 74,777 as of June 30, 2025, up 22% from 61,530 as of June 30, 2024. The key drivers of Active Buyer growth are continued account and buyer engagement and the success of our strategy to attract new buyers. </w:t>
      </w:r>
    </w:p>
    <w:p>
      <w:pPr>
        <w:pStyle w:val="TextBody"/>
        <w:bidi w:val="0"/>
        <w:spacing w:before="240" w:after="283"/>
        <w:jc w:val="left"/>
        <w:rPr/>
      </w:pPr>
      <w:r>
        <w:rPr/>
        <w:drawing>
          <wp:inline distT="0" distB="0" distL="0" distR="0">
            <wp:extent cx="4067175" cy="449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67175" cy="4495800"/>
                    </a:xfrm>
                    <a:prstGeom prst="rect">
                      <a:avLst/>
                    </a:prstGeom>
                  </pic:spPr>
                </pic:pic>
              </a:graphicData>
            </a:graphic>
          </wp:inline>
        </w:drawing>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i/>
          <w:color w:val="000000"/>
          <w:sz w:val="20"/>
        </w:rPr>
        <w:t>Percentage of Revenue from Existing Accounts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quarter ended June 30, 2025, 98% of our revenue was generated from existing accounts. We believe the repeat purchase activity from existing accounts reflects the underlying strength of our business and provides us with substantial revenue visibility and predictability. </w:t>
      </w:r>
    </w:p>
    <w:p>
      <w:pPr>
        <w:pStyle w:val="TextBody"/>
        <w:bidi w:val="0"/>
        <w:spacing w:before="240" w:after="283"/>
        <w:jc w:val="left"/>
        <w:rPr/>
      </w:pPr>
      <w:r>
        <w:rPr/>
        <w:drawing>
          <wp:inline distT="0" distB="0" distL="0" distR="0">
            <wp:extent cx="4276725" cy="4914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76725" cy="4914900"/>
                    </a:xfrm>
                    <a:prstGeom prst="rect">
                      <a:avLst/>
                    </a:prstGeom>
                  </pic:spPr>
                </pic:pic>
              </a:graphicData>
            </a:graphic>
          </wp:inline>
        </w:drawing>
      </w:r>
    </w:p>
    <w:p>
      <w:pPr>
        <w:pStyle w:val="TextBody"/>
        <w:bidi w:val="0"/>
        <w:spacing w:before="240" w:after="283"/>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with Last Twelve-Month Spend of At Least $50,000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1,653 as of June 30, 2025, up 15%</w:t>
      </w:r>
      <w:r>
        <w:rPr>
          <w:rFonts w:ascii="Times New Roman" w:hAnsi="Times New Roman"/>
          <w:color w:val="FF0000"/>
          <w:sz w:val="20"/>
        </w:rPr>
        <w:t xml:space="preserve"> </w:t>
      </w:r>
      <w:r>
        <w:rPr>
          <w:rFonts w:ascii="Times New Roman" w:hAnsi="Times New Roman"/>
          <w:color w:val="000000"/>
          <w:sz w:val="20"/>
        </w:rPr>
        <w:t>from 1,436 as of June 30,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center"/>
        <w:rPr/>
      </w:pPr>
      <w:r>
        <w:rPr/>
        <w:drawing>
          <wp:inline distT="0" distB="0" distL="0" distR="0">
            <wp:extent cx="4067175" cy="4829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67175" cy="482917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Adjusted EBITDA as net loss, adjusted for interest expense, interest and dividend income, other expenses, and certain other non-cash or non-recurring items impacting net loss from time to time, principally comprised of depreciation and amortization, amortization of lease intangible, benefit for income taxes, stock-based compensation, payroll tax expense related to stock-based compensation, charitable contributions of common stock, income from unconsolidated joint venture, restructuring charges,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074"/>
        <w:gridCol w:w="146"/>
        <w:gridCol w:w="215"/>
        <w:gridCol w:w="753"/>
        <w:gridCol w:w="169"/>
        <w:gridCol w:w="148"/>
        <w:gridCol w:w="215"/>
        <w:gridCol w:w="753"/>
        <w:gridCol w:w="166"/>
        <w:gridCol w:w="146"/>
        <w:gridCol w:w="211"/>
        <w:gridCol w:w="736"/>
        <w:gridCol w:w="166"/>
        <w:gridCol w:w="146"/>
        <w:gridCol w:w="211"/>
        <w:gridCol w:w="736"/>
        <w:gridCol w:w="214"/>
      </w:tblGrid>
      <w:tr>
        <w:trPr/>
        <w:tc>
          <w:tcPr>
            <w:tcW w:w="5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expense, interest and dividend income and other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(10,093</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Includes loss on debt extinguishment.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Adjusted EBITDA was $3.9 million, as compared to Adjusted EBITDA loss of $(2.6) million for the same quarter in 2024. For the three months ended June 30, 2025, Adjusted EBITDA Margin was 2.4% of revenue, as compared to (2.0)% of revenue for the same quarter in 2024. For the six months ended June 30, 2025, Adjusted EBITDA was $4.0 million, as compared to Adjusted EBITDA loss of $(10.1) million for the same period in 2024. For the six months ended June 30, 2025, Adjusted EBITDA Margin was 1.3% of revenue, as compared to (4.0)% of revenue for the same period in 2024. The increase in Adjusted EBITDA was driven primarily by increased operating efficiencies as we continue to grow our revenue and margins faster than our expenses.</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Net Income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Non-GAAP net income (loss), as net loss adjusted for depreciation and amortization, stock-based compensation, payroll tax expense related to stock-based compensation, amortization of lease intangible, amortization of deferred costs on convertible notes, gain on sale of property and equipment, charitable contributions of common stock, lease termination, restructuring charges, loss on debt extinguishment and acquisition and other adjustments not reflective of our ongoing business, such as adjustments related to purchase accounting, the revaluation of contingent consideration, transaction costs and executive severance. </w:t>
      </w:r>
    </w:p>
    <w:p>
      <w:pPr>
        <w:pStyle w:val="TextBody"/>
        <w:bidi w:val="0"/>
        <w:spacing w:before="120" w:after="283"/>
        <w:jc w:val="left"/>
        <w:rPr/>
      </w:pPr>
      <w:r>
        <w:rPr/>
        <w:t> </w:t>
      </w:r>
    </w:p>
    <w:tbl>
      <w:tblPr>
        <w:tblW w:w="9792" w:type="dxa"/>
        <w:jc w:val="left"/>
        <w:tblInd w:w="0" w:type="dxa"/>
        <w:tblLayout w:type="fixed"/>
        <w:tblCellMar>
          <w:top w:w="28" w:type="dxa"/>
          <w:left w:w="28" w:type="dxa"/>
          <w:bottom w:w="28" w:type="dxa"/>
          <w:right w:w="28" w:type="dxa"/>
        </w:tblCellMar>
      </w:tblPr>
      <w:tblGrid>
        <w:gridCol w:w="4711"/>
        <w:gridCol w:w="146"/>
        <w:gridCol w:w="211"/>
        <w:gridCol w:w="736"/>
        <w:gridCol w:w="166"/>
        <w:gridCol w:w="146"/>
        <w:gridCol w:w="211"/>
        <w:gridCol w:w="736"/>
        <w:gridCol w:w="166"/>
        <w:gridCol w:w="146"/>
        <w:gridCol w:w="211"/>
        <w:gridCol w:w="736"/>
        <w:gridCol w:w="166"/>
        <w:gridCol w:w="146"/>
        <w:gridCol w:w="211"/>
        <w:gridCol w:w="73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Non-GAAP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costs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June 30, 2025, Non-GAAP net income was $4.7 million, as compared to Non-GAAP net loss of $(0.6) million for the same quarter in 2024. For the quarter ended June 30, 2025, Non-GAAP net income (loss) was 2.9% of revenue, as compared to (0.5)% of revenue for the same quarter in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Non-GAAP net income was $5.5 million, as compared to Non-GAAP net loss of $(6.3) million for the same period in 2024. For the six months ended June 30, 2025, Non-GAAP net income (loss) was 1.8% of revenue, as compared to (2.5)% of revenue for the same period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and Non-GAAP net income (loss) are non-GAAP financial measures that we use, in addition to our GAAP financial measures, to evaluate our business. We have included Adjusted EBITDA and Non-GAAP net income (loss) in this filing because they are key measures used by our management to evaluate our operating performance. Accordingly, we believe that Adjusted EBITDA and Non-GAAP net income (loss) provide useful information to investors and others in understanding and evaluating our operating results in the same manner as our management team and board of directors. Our calculation of Adjusted EBITDA and Non-GAAP net income (loss) may differ from similarly titled non-GAAP measures, if any, reported by our peer companies and therefore may not serve as an accurate basis of comparison among companies. Adjusted EBITDA and Non-GAAP net income (loss) should not be considered in isolation from, or as a substitute for, financial information prepared in accordance with GAAP. </w:t>
      </w:r>
    </w:p>
    <w:p>
      <w:pPr>
        <w:pStyle w:val="TextBody"/>
        <w:bidi w:val="0"/>
        <w:spacing w:before="360" w:after="283"/>
        <w:jc w:val="center"/>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marketplace revenue is primarily comprised of sales of parts and assemblies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Supplier services revenue includes the sale of marketing and advertising services, and to a lesser extent financial service products and SaaS-based solutions. </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for supplier services primarily consists of internal and external production costs and website hosting.</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sales and marketing, operations and support, product development, general and administrative functions and impairment of assets. </w:t>
      </w:r>
    </w:p>
    <w:p>
      <w:pPr>
        <w:pStyle w:val="TextBody"/>
        <w:bidi w:val="0"/>
        <w:spacing w:before="12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restructuring charges, certain depreciation and amortization expense and software costs used in delivering buyer and suppliers services. We expect operations and support expense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 </w:t>
      </w:r>
    </w:p>
    <w:p>
      <w:pPr>
        <w:pStyle w:val="TextBody"/>
        <w:bidi w:val="0"/>
        <w:spacing w:before="120" w:after="283"/>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costs that are not eligible for capitalization are expensed as incurred. This account also includes compensation expenses, including stock-based compensation expenses to our employees performing these functions, restructuring charges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primarily consist of compensation expenses, including stock-based compensation expenses, for executive, finance, legal and other administrative personnel, professional service fees, restructuring charges and certain depreciation and amortization expense. We expect general and administrative expenses to fluctuate as a result of operating as a public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of interest incurred on our outstanding borrowings under our outstanding convertible notes or other borrowings.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dividend income consists of interest and dividends on our cash, cash equivalents and marketable securities.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Expenses</w:t>
      </w:r>
    </w:p>
    <w:p>
      <w:pPr>
        <w:pStyle w:val="TextBody"/>
        <w:bidi w:val="0"/>
        <w:spacing w:before="120" w:after="283"/>
        <w:jc w:val="left"/>
        <w:rPr>
          <w:rFonts w:ascii="Times New Roman" w:hAnsi="Times New Roman"/>
          <w:sz w:val="20"/>
        </w:rPr>
      </w:pPr>
      <w:r>
        <w:rPr>
          <w:rFonts w:ascii="Times New Roman" w:hAnsi="Times New Roman"/>
          <w:color w:val="000000"/>
          <w:sz w:val="20"/>
        </w:rPr>
        <w:t>Other expenses consist primarily of loss on debt extinguishment, realized foreign exchange gains and/or losses and other expenses.</w:t>
      </w:r>
      <w:r>
        <w:rPr>
          <w:rFonts w:ascii="Times New Roman" w:hAnsi="Times New Roman"/>
          <w:color w:val="FF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from unconsolidated joint venture consists of our share of the joint venture's income.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Comparison of the Three Months Ended June 30, 2025 and 2024</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our unaudited statements of operations data for the periods indicated: </w:t>
      </w:r>
    </w:p>
    <w:tbl>
      <w:tblPr>
        <w:tblW w:w="6539" w:type="dxa"/>
        <w:jc w:val="left"/>
        <w:tblInd w:w="0" w:type="dxa"/>
        <w:tblLayout w:type="fixed"/>
        <w:tblCellMar>
          <w:top w:w="28" w:type="dxa"/>
          <w:left w:w="28" w:type="dxa"/>
          <w:bottom w:w="28" w:type="dxa"/>
          <w:right w:w="28" w:type="dxa"/>
        </w:tblCellMar>
      </w:tblPr>
      <w:tblGrid>
        <w:gridCol w:w="3886"/>
        <w:gridCol w:w="146"/>
        <w:gridCol w:w="211"/>
        <w:gridCol w:w="781"/>
        <w:gridCol w:w="166"/>
        <w:gridCol w:w="146"/>
        <w:gridCol w:w="211"/>
        <w:gridCol w:w="781"/>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our unaudited statements of operations data expressed as a percentage of total revenue for the periods indicated: </w:t>
      </w:r>
    </w:p>
    <w:tbl>
      <w:tblPr>
        <w:tblW w:w="6673" w:type="dxa"/>
        <w:jc w:val="left"/>
        <w:tblInd w:w="0" w:type="dxa"/>
        <w:tblLayout w:type="fixed"/>
        <w:tblCellMar>
          <w:top w:w="28" w:type="dxa"/>
          <w:left w:w="28" w:type="dxa"/>
          <w:bottom w:w="28" w:type="dxa"/>
          <w:right w:w="28" w:type="dxa"/>
        </w:tblCellMar>
      </w:tblPr>
      <w:tblGrid>
        <w:gridCol w:w="3886"/>
        <w:gridCol w:w="146"/>
        <w:gridCol w:w="173"/>
        <w:gridCol w:w="677"/>
        <w:gridCol w:w="392"/>
        <w:gridCol w:w="173"/>
        <w:gridCol w:w="173"/>
        <w:gridCol w:w="677"/>
        <w:gridCol w:w="37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and SaaS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and cost of revenue is presented in the following tables for the three months ended June 30, 2025 and 2024 (in thousands):</w:t>
      </w:r>
    </w:p>
    <w:tbl>
      <w:tblPr>
        <w:tblW w:w="4424" w:type="dxa"/>
        <w:jc w:val="left"/>
        <w:tblInd w:w="0" w:type="dxa"/>
        <w:tblLayout w:type="fixed"/>
        <w:tblCellMar>
          <w:top w:w="28" w:type="dxa"/>
          <w:left w:w="28" w:type="dxa"/>
          <w:bottom w:w="28" w:type="dxa"/>
          <w:right w:w="28" w:type="dxa"/>
        </w:tblCellMar>
      </w:tblPr>
      <w:tblGrid>
        <w:gridCol w:w="1561"/>
        <w:gridCol w:w="146"/>
        <w:gridCol w:w="211"/>
        <w:gridCol w:w="781"/>
        <w:gridCol w:w="271"/>
        <w:gridCol w:w="146"/>
        <w:gridCol w:w="211"/>
        <w:gridCol w:w="781"/>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increased $30.0 million, or 23%, from $132.6 million for the three months ended June 30, 2024 to $162.5 million for the three months ended June 30, 2025. This growth was a result of an increase in marketplace revenue, partially offset by a decrease in supplier services revenue. Marketplace revenue increased $30.9 million, or 26%, from $117.3 million for the three months ended June 30, 2024 to $148.2 million for the three months ended June 30, 2025. The increase in marketplace revenue was primarily due to increased buyer activity on the platform, particularly with respect to enterprise customers, for the three months ended June 30, 2025 as compared to the prior year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Supplier services revenue decreased $1.0 million, or 6% from $15.3 million for the three months ended June 30, 2024 to $14.3 million for the three months ended June 30, 2025. The decrease in revenue was due to reductions in Thomas advertising and marketing services and to a lesser extent a decrease in Thomas non-core services partly offset by growth in financial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for the three months ended June 30, 2025 and 2024 was $135.7 million and $112.2 million, respectively, for the U.S. operating segment and $26.8 million and $20.4 million, respectively, for the International operating segment.</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cost of revenue increased $17.7 million, or 22%, from $79.7 million for the three months ended June 30, 2024 to $97.4 million for the three months ended June 30, 2025. This increase was primarily the result of an increase in marketplace cost of revenue. Total cost of revenue from marketplace and supplier services for the three months ended June 30, 2025 was $95.8 million and $1.6 million, respectively, as compared to $78.0 million and $1.7 million, respectively, for the three months ended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Marketplace cost of revenue was driven by order growth and increased activity on our marketplace.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increased $12.3 million, or 23%, from $52.9 million for the three months ended June 30, 2024 to $65.2 million for the three months ended June 30, 2025. The increase in gross profit was primarily due to increases in revenue from marketplace and improved marketplace gross margins as compared to the prior year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gross margin was 40.1% for three months ended June 30, 2025 as compared to 39.9% for the three months ended June 30, 2024. The increase was primarily driven by higher marketplace gross margin as compared to the prior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margin for marketplace was 35.4% for the three months ended June 30, 2025, as compared to 33.5% for the three months ended June 30, 2024. The improvement was due largely to our AI-driven platform and expanding network of active suppliers which optimizes pricing to buyers and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margin for our supplier services remained flat at 89% for the three months ended June 30, 2025 and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 increased $2.3 million, or 8%, from $27.5 million for the three months ended June 30, 2024 to $29.8 million for the three months ended June 30, 2025, primarily due to additional sales and marketing employees and their compensation and benefit costs and increased advertising costs. As a percent of total revenue, sales and marketing expenses decreased to 18.3% for the three months ended June 30, 2025 from 20.7% for the three months ended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expense increased 5%, from $8.8 million for the three months ended June 30, 2024 to $9.2 million for the three months ended June 30, 2025 primarily due to increased marketplace advertising.</w:t>
      </w:r>
    </w:p>
    <w:p>
      <w:pPr>
        <w:pStyle w:val="TextBody"/>
        <w:bidi w:val="0"/>
        <w:spacing w:before="120" w:after="283"/>
        <w:jc w:val="left"/>
        <w:rPr>
          <w:rFonts w:ascii="Times New Roman" w:hAnsi="Times New Roman"/>
          <w:sz w:val="20"/>
        </w:rPr>
      </w:pPr>
      <w:r>
        <w:rPr>
          <w:rFonts w:ascii="Times New Roman" w:hAnsi="Times New Roman"/>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 increased $3.6 million, or 25%, from $14.2 million for the three months ended June 30, 2024 to $17.7 million for the three months ended June 30, 2025, primarily due to additional employees and their compensation cost including stock based compensation, consulting expense and increases in severance costs. As a percent of total revenue, operations and support expenses increased to 10.9% for the three months ended June 30, 2025 from 10.7% for the three months ended June 30, 2024. </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expense increased $1.0 million, or 10%, from $10.0 million for the three months ended June 30, 2024 to $11.0 million for the three months ended June 30, 2025, primarily as a result of increases in amortization expense related to capitalized internal-use software development costs, increases in software costs and increases in severance costs. As a percent of total revenue, product development expenses decreased to 6.8% for the three months ended June 30, 2025 as compared to 7.6% for the three months ended June 30, 2024.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 increased $0.5 million, or 3%, from $16.5 million for the three months ended June 30, 2024 to $16.9 million for the three months ended June 30, 2025. The increase was due to increases in the cost of charitable contributions of Class A common stock, reserves for bad debt, consulting costs and software and maintenance costs. As a percent of total revenue, general and administrative expenses decreased to 10.4% for the three months ended June 30, 2025 from 12.4% for the three months ended June 30,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remained flat at $1.2 million for the three months ended June 30, 2025 and 2024. Interest expense is primarily due to the interest on the 2027 convertible notes issued in February 2022.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dividend income decreased $0.6 million, or 21%, from $2.8 million for the three months ended June 30, 2024 to $2.2 million for the three months ended June 30, 2025. The decrease was primarily due to lower investment in the money market account as the Company funds ongoing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expenses increased by $17.1 million, from $0.2 million for the three months ended June 30, 2024 to $17.4 million for the three months ended June 30, 2025. The increase was primarily attributable to a $16.4 million loss on debt extinguishment recognized in connection with the partial repurchase of 2027 Notes, and to a lesser extent to the increase in foreign exchange losses.</w:t>
      </w:r>
    </w:p>
    <w:p>
      <w:pPr>
        <w:pStyle w:val="TextBody"/>
        <w:bidi w:val="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from unconsolidated joint venture remained flat at $0.2 million for the three months ended June 30, 2025 and 2024. </w:t>
      </w:r>
    </w:p>
    <w:p>
      <w:pPr>
        <w:pStyle w:val="TextBody"/>
        <w:bidi w:val="0"/>
        <w:spacing w:before="120" w:after="283"/>
        <w:jc w:val="left"/>
        <w:rPr>
          <w:rFonts w:ascii="Times New Roman" w:hAnsi="Times New Roman"/>
          <w:sz w:val="20"/>
        </w:rPr>
      </w:pPr>
      <w:r>
        <w:rPr>
          <w:rFonts w:ascii="Times New Roman" w:hAnsi="Times New Roman"/>
          <w:i/>
          <w:color w:val="000000"/>
          <w:sz w:val="20"/>
        </w:rPr>
        <w:t>Additional Segment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Total segment Adjusted EBITDA from our U.S. reportable segment for the three months ended June 30, 2025 and 2024 was $6.9 million and $0.2 million, respectively. Total segment Adjusted EBITDA from our International reportable segment was $(2.9) million for both three-month periods ended June 30, 2025 and 2024.</w:t>
      </w:r>
      <w:r>
        <w:rPr>
          <w:rFonts w:ascii="Times New Roman" w:hAnsi="Times New Roman"/>
          <w:color w:val="FF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5, </w:t>
      </w:r>
      <w:r>
        <w:rPr>
          <w:rFonts w:ascii="Times New Roman" w:hAnsi="Times New Roman"/>
          <w:i/>
          <w:color w:val="000000"/>
          <w:sz w:val="20"/>
        </w:rPr>
        <w:t xml:space="preserve">Segments </w:t>
      </w:r>
      <w:r>
        <w:rPr>
          <w:rFonts w:ascii="Times New Roman" w:hAnsi="Times New Roman"/>
          <w:color w:val="000000"/>
          <w:sz w:val="20"/>
        </w:rPr>
        <w:t xml:space="preserve">as we changed our measure of segment profit or loss in 2024 to segment Adjusted EBITDA and recast prior year data.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Comparison of the Six Months Ended June 30, 2025 and 2024</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our unaudited statements of operations data for the periods indicated: </w:t>
      </w:r>
    </w:p>
    <w:tbl>
      <w:tblPr>
        <w:tblW w:w="7304" w:type="dxa"/>
        <w:jc w:val="left"/>
        <w:tblInd w:w="0" w:type="dxa"/>
        <w:tblLayout w:type="fixed"/>
        <w:tblCellMar>
          <w:top w:w="28" w:type="dxa"/>
          <w:left w:w="28" w:type="dxa"/>
          <w:bottom w:w="28" w:type="dxa"/>
          <w:right w:w="28" w:type="dxa"/>
        </w:tblCellMar>
      </w:tblPr>
      <w:tblGrid>
        <w:gridCol w:w="4651"/>
        <w:gridCol w:w="146"/>
        <w:gridCol w:w="211"/>
        <w:gridCol w:w="781"/>
        <w:gridCol w:w="166"/>
        <w:gridCol w:w="146"/>
        <w:gridCol w:w="211"/>
        <w:gridCol w:w="78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147,188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133,925</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our unaudited statements of operations data expressed as a percentage of total revenue for the periods indicated:</w:t>
      </w:r>
    </w:p>
    <w:tbl>
      <w:tblPr>
        <w:tblW w:w="7241" w:type="dxa"/>
        <w:jc w:val="left"/>
        <w:tblInd w:w="0" w:type="dxa"/>
        <w:tblLayout w:type="fixed"/>
        <w:tblCellMar>
          <w:top w:w="28" w:type="dxa"/>
          <w:left w:w="28" w:type="dxa"/>
          <w:bottom w:w="28" w:type="dxa"/>
          <w:right w:w="28" w:type="dxa"/>
        </w:tblCellMar>
      </w:tblPr>
      <w:tblGrid>
        <w:gridCol w:w="4651"/>
        <w:gridCol w:w="146"/>
        <w:gridCol w:w="158"/>
        <w:gridCol w:w="618"/>
        <w:gridCol w:w="358"/>
        <w:gridCol w:w="158"/>
        <w:gridCol w:w="158"/>
        <w:gridCol w:w="618"/>
        <w:gridCol w:w="376"/>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3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and SaaS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and cost of revenue is presented in the following tables for the six months ended June 30, 2025 and 2024 (in thousands):</w:t>
      </w:r>
    </w:p>
    <w:tbl>
      <w:tblPr>
        <w:tblW w:w="4424" w:type="dxa"/>
        <w:jc w:val="left"/>
        <w:tblInd w:w="0" w:type="dxa"/>
        <w:tblLayout w:type="fixed"/>
        <w:tblCellMar>
          <w:top w:w="28" w:type="dxa"/>
          <w:left w:w="28" w:type="dxa"/>
          <w:bottom w:w="28" w:type="dxa"/>
          <w:right w:w="28" w:type="dxa"/>
        </w:tblCellMar>
      </w:tblPr>
      <w:tblGrid>
        <w:gridCol w:w="1561"/>
        <w:gridCol w:w="146"/>
        <w:gridCol w:w="211"/>
        <w:gridCol w:w="781"/>
        <w:gridCol w:w="271"/>
        <w:gridCol w:w="146"/>
        <w:gridCol w:w="211"/>
        <w:gridCol w:w="781"/>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increased $58.2 million, or 23%, from $255.3 million for the six months ended June 30, 2024 to $313.5 million for the six months ended June 30, 2025. This growth was a result of an increase in marketplace revenue, partially offset by a decrease in supplier services revenue. Marketplace revenue increased $60.1 million, or 27%, from $224.5 million for the six months ended June 30, 2024 to $284.6 million for the six months ended June 30, 2025. The increase in marketplace revenue was primarily due to increased buyer activity on the platform, particularly with respect to enterprise customers, for the six months ended June 30, 2025 as compared to the prior year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Supplier services revenue decreased $1.9 million, or 6%, from $30.8 million for the six months ended June 30, 20244 to $28.9 million for the six months ended June 30, 2025. The decrease in revenue was due to reductions in Thomas advertising and marketing services and to a lesser extent a decrease in Thomas non-core services partly offset by growth in financial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for the six months ended June 30, 2025 and 2024, was $263.6 million and $215.5 million, respectively, for the U.S. operating segment, and $50.0 million and $39.8 million, respectively, for the International operating segment.</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cost of revenue increased $37.5 million, or 24%, from $154.5 million for the six months ended June 30, 2024 to $192.0 million for the six months ended June 30, 2025. This increase was primarily the result of an increase in marketplace cost of revenue. Total cost of revenue from marketplace and supplier services for the six months ended June 30, 2025 was $188.8 million and $3.2 million, respectively, as compared to $150.9 million and $3.6 million, respectively, for the six months ended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Marketplace cost of revenue was driven by increased payments to suppliers on our platform due to order growth and increased activity on our marketplace.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increased $20.7 million, or 21%, from $100.8 million for the six months ended June 30, 2024 to $121.5 million for the six months ended June 30, 2025. The increase in gross profit was primarily due to increases in revenue from marketplace and improved marketplace gross margins as compared to the prior year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gross margin was 38.8% for six months ended June 30, 2025 as compared to 39.5% for the six months ended June 30, 2024. The decrease is primarily driven by faster growth and associated mix shift to marketplace revenue which has lower gross margin than supplier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margin for marketplace was 33.7% for the six months ended June 30, 2025, as compared to 32.8% for the six months ended June 30, 2024. The improvement was due largely to our AI-driven platform and expanding network of active suppliers which optimizes pricing to buyers and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for our supplier services improved slightly to 88.9% for the six months ended June 30, 2025, as compared to 88.4% for the prior year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 increased $1.5 million, or 3%, from $54.7 million for the six months ended June 30, 2024 to $56.2 million for the six months ended June 30, 2025, primarily due to additional sales and marketing employees and their compensation costs, including stock-based compensation, along with consulting and travel costs. These increases were offset by a reduction in marketing and advertising expense. As a percent of total revenue, sales and marketing expenses decreased to 17.9% for the six months ended June 30, 2025 from 21.4% for the six months ended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expense decreased 6%, from $17.1 million for the six months ended June 30, 2024 to $16.0 million for the six months ended June 30, 2025 primarily due to decreased marketplace advertising. </w:t>
      </w:r>
    </w:p>
    <w:p>
      <w:pPr>
        <w:pStyle w:val="TextBody"/>
        <w:bidi w:val="0"/>
        <w:spacing w:before="120" w:after="283"/>
        <w:jc w:val="left"/>
        <w:rPr>
          <w:rFonts w:ascii="Times New Roman" w:hAnsi="Times New Roman"/>
          <w:sz w:val="20"/>
        </w:rPr>
      </w:pPr>
      <w:r>
        <w:rPr>
          <w:rFonts w:ascii="Times New Roman" w:hAnsi="Times New Roman"/>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support expense increased $6.6 million, or 23%, from $28.2 million for the six months ended June 30, 2024 to $34.8 million for the six months ended June 30, 2025, primarily due to hiring of additional operations and support employees and their compensation costs including stock-based compensation, increase in consulting costs, and severance costs related to the restructuring. As a percent of total revenue, operations and support expenses remained flat at 11.1% for the six months ended June 30, 2025 and 2024. </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expense increased $2.6 million, or 13%, from $19.6 million for the six months ended June 30, 2024 to $22.2 million for the six months ended June 30, 2025, primarily as a result of increases in amortization expense related to capitalized internal-use software development costs, increases in software costs, severance costs related to restructuring and consulting costs. As a percent of total revenue, product development expenses decreased to 7.1% for the six months ended June 30, 2025 from 7.7% for the six months ended June 30, 2024.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 increased $2.6 million, or 8%, from $31.4 million for the six months ended June 30, 2024 to $34.0 million for the six months ended June 30, 2025. The increase was primarily driven by an increase in reserves for bad debt, general and administrative employees and their compensation costs, software costs, consulting costs and severance costs related to restructuring. These increases were offset by reductions in professional fees. As a percent of total revenue, general and administrative expenses decreased to 10.8% for the six months ended June 30, 2025 from 12.3% for the six months ended June 30, 2024.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remained flat at $2.4 million for the six months ended June 30, 2025 and 2024. Interest expense is primarily due to the interest on the 2027 convertible notes issued in February 2022.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dividend income decreased by $1.0 million, or 19%, from $5.5 million for the six months ended June 30, 2024 to $4.5 million for the six months ended June 30, 2025. The decrease was primarily due to lower investment in the money market account as the Company funds ongoing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increased by $17.6 million, from $0.6 million for the six months ended June 30, 2024 to $18.2 million for the six months ended June 30, 2025. The increase was primarily attributable to a $16.4 million loss on debt extinguishment recognized in connection with the partial repurchase of 2027 notes, and to a lesser extent to the increases in foreign exchange losses and non-income based taxes.</w:t>
      </w:r>
    </w:p>
    <w:p>
      <w:pPr>
        <w:pStyle w:val="TextBody"/>
        <w:bidi w:val="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from unconsolidated joint venture remained flat at $0.3 million for the six months ended June 30, 2025 and 2024. </w:t>
      </w:r>
    </w:p>
    <w:p>
      <w:pPr>
        <w:pStyle w:val="TextBody"/>
        <w:bidi w:val="0"/>
        <w:spacing w:before="120" w:after="283"/>
        <w:jc w:val="left"/>
        <w:rPr>
          <w:rFonts w:ascii="Times New Roman" w:hAnsi="Times New Roman"/>
          <w:sz w:val="20"/>
        </w:rPr>
      </w:pPr>
      <w:r>
        <w:rPr>
          <w:rFonts w:ascii="Times New Roman" w:hAnsi="Times New Roman"/>
          <w:i/>
          <w:color w:val="000000"/>
          <w:sz w:val="20"/>
        </w:rPr>
        <w:t>Additional Segment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Total segment Adjusted EBITDA from our U.S. reportable segment for the six months ended June 30, 2025 and 2024 was $9.9 million and $(5.2) million, respectively. Total segment Adjusted EBITDA from our International reportable segment for the six months ended June 30, 2025 and 2024 was $(5.9) million and $(4.9) million, respectively.</w:t>
      </w:r>
      <w:r>
        <w:rPr>
          <w:rFonts w:ascii="Times New Roman" w:hAnsi="Times New Roman"/>
          <w:color w:val="FF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5, </w:t>
      </w:r>
      <w:r>
        <w:rPr>
          <w:rFonts w:ascii="Times New Roman" w:hAnsi="Times New Roman"/>
          <w:i/>
          <w:color w:val="000000"/>
          <w:sz w:val="20"/>
        </w:rPr>
        <w:t xml:space="preserve">Segments </w:t>
      </w:r>
      <w:r>
        <w:rPr>
          <w:rFonts w:ascii="Times New Roman" w:hAnsi="Times New Roman"/>
          <w:color w:val="000000"/>
          <w:sz w:val="20"/>
        </w:rPr>
        <w:t>as we changed our measure of segment profit or loss in 2024 to segment Adjusted EBITDA and recast prior year data.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financed our operations primarily through sales of our equity securities and borrowings under our convertible notes. As of June 30, 2025, our cash and cash equivalents and marketable securities totaled $225.8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capital expenditures consist primarily of internal-use software costs, manufacturing equipment, computers and peripheral equipment, furniture and fixtures and leasehold improvements and patents.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Notes due 2030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2025, we issued $250.0 million aggregate principal amount of 2030 Notes pursuant to an indenture dated June 12, 2025, including the exercise in full of the initial purchasers’ option to purchase up to an addition $25.0 million principal amount of the 2030 Notes. The 2030 Notes were sold in a private offering to qualified institutional buyers pursuant to Rule 144A under the Securities Act. The net proceeds from the issuance of the 2030 Notes were $242.2 million, net of debt issuance costs. The debt issuance costs are amortized to interest expense using the effective interest rate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any calendar quarter commencing after the calendar quarter ending on September 30, 2025 (and only during such calendar quarter), 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2030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five business day period after any ten consecutive trading day period in which the trading price per $1,000 principal amount of the 2030 Notes for each day of such ten consecutive trading day period was less than 98% of the product of the last reported sale price of our Class A common stock and the applicable conversion rate of the 2030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March 15, 2030, the 2030 Notes are convertible at any time until the close of business on the second scheduled trading day immediately preceding the maturity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accounted for the issuance of the 2030 Notes as a single liability measured at its amortized cost, as no other embedded features require bifurcation and recognition as 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2030 Notes have a carrying value of approximately $241.5 million with an effective annual interest rate of 1.5%.</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Notes due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we issued $287.5 million aggregate principal amount of 2027 Notes pursuant to an indenture dated February 4, 2022. The 2027 Notes were issued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 or additional interest,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any calendar quarter commencing after the calendar quarter ending on June 30, 2022 (and only during such quarter), 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November 1, 2026, the 2027 Notes are convertible at any time until the close of business on the second scheduled trading day immediately preceding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other embedded features require bifurcation and recognition as derivatives.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repurchase our convertible senior notes using cash on hand, either on the open market or in privately negotiated transactions.</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Partial Repurchase of 2027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Condensed 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this partial repurchase, approximately $85.8 million aggregate principal amount of the 2027 Notes remain outstanding on our Condensed Consolidated Balance Sheet. The original terms and conditions continue to apply to the remaining notes, and the unamortized debt discount and issuance costs related to these notes will continue to be deferred and accreted.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2027 Notes have a carrying value of approximately $84.9 million with an effective annual interest rate of 1.6%.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2030 Notes, we entered into capped call transactions (the “Capped Calls”) with respect to its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used approximately $17.5 million of the net proceeds from the 2030 Notes to pay the cost of the Capped Calls. These instruments are classified as equity and recorded as a reduction of additional paid-in capital in the Condensed Consolidated Statements of Changes in Stockholders’ Equity. The Capped Call are not accounted for as derivatives and will not be remeasured; they will remain in stockholder's equity until expiration or settlement.</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Purchase of Treasury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Condensed Consolidated Statements of Changes in Stockholders’ Equity.</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a summary of our cash flows from operating, investing, and financing activities for the six months ended June 30, 2025 and 2024. </w:t>
      </w:r>
    </w:p>
    <w:tbl>
      <w:tblPr>
        <w:tblW w:w="5924" w:type="dxa"/>
        <w:jc w:val="left"/>
        <w:tblInd w:w="0" w:type="dxa"/>
        <w:tblLayout w:type="fixed"/>
        <w:tblCellMar>
          <w:top w:w="28" w:type="dxa"/>
          <w:left w:w="28" w:type="dxa"/>
          <w:bottom w:w="28" w:type="dxa"/>
          <w:right w:w="28" w:type="dxa"/>
        </w:tblCellMar>
      </w:tblPr>
      <w:tblGrid>
        <w:gridCol w:w="3466"/>
        <w:gridCol w:w="146"/>
        <w:gridCol w:w="211"/>
        <w:gridCol w:w="631"/>
        <w:gridCol w:w="166"/>
        <w:gridCol w:w="146"/>
        <w:gridCol w:w="211"/>
        <w:gridCol w:w="73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net cash used in operating activities was $4.1 million, primarily due to a net loss of $(41.5) million adjusted for non-cash charges of $44.5 million and a net decrease in our operating assets and liabilities of $(7.1) million. The non-cash adjustments primarily relate to a loss on debt extinguishment of $16.4 million, stock-based compensation of $15.2 million, depreciation and amortization of $8.7 million and a $2.2 million of reduction to our right of use lease assets. The net decrease in operating assets and liabilities is primarily driven by the changes in accounts receivable of $13.5 million due to increased sales and a reduction in lease liabilities of $3.2 million, offset by changes in accounts payable and accrued cost of revenue of $6.4 million due to timing of payments and growth, changes in contract liabilities of $2.1 million and changes in other accrued expenses of $2.0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2024, net cash used in operating activities was $20.8 million, primarily due to a net loss of $(30.3) million adjusted for non-cash charges of $24.4 million and a net decrease in our operating assets and liabilities of $(14.9) million. The non-cash adjustments primarily relate to stock-based compensation of $14.2 million, depreciation and amortization of $6.4 million, and a $2.2 million of reduction to our right of use lease assets. The net decrease in operating assets and liabilities is primarily driven by changes in accounts payable of $14.4 million due to the timing of payments and reductions in lease liabilities of $3.4 million, offset by changes in other assets of $2.6 million.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2025, net cash used in investing activities was $3.8 million, primarily due to the purchase of property and equipment (which includes the internal-use software development costs) of $12.5 million and the purchase of marketable securities of $4.4 million offset by the sale of marketable securities of $13.0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2024, net cash used in investing activities was $12.1 million, primarily due to the purchase of marketable securities of $13.5 million and purchase of property and equipment (which includes the internal-use software development costs) of $8.8 million offset from the sale of marketable securities of $10.0 million.</w:t>
      </w:r>
    </w:p>
    <w:p>
      <w:pPr>
        <w:pStyle w:val="TextBody"/>
        <w:bidi w:val="0"/>
        <w:spacing w:before="12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net cash provided by financing activities was $2.0 million, primarily resulting from $242.2 million in net proceeds from the issuance of the 2030 Notes (net of issuance costs) and approximately $1.4 million from the exercise of stock options largely offset by outflows of $216.0 million to repurchase a portion of the 2027 Notes, approximately $17.5 million to purchase capped calls, and approximately $8.1 million to purchase 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2024, net cash provided by financing activities was $1.8 million, relating to proceeds from the exercise of stock options.</w:t>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rFonts w:ascii="Times New Roman" w:hAnsi="Times New Roman"/>
          <w:sz w:val="20"/>
        </w:rPr>
      </w:pPr>
      <w:r>
        <w:rPr>
          <w:rFonts w:ascii="Times New Roman" w:hAnsi="Times New Roman"/>
          <w:color w:val="000000"/>
          <w:sz w:val="20"/>
        </w:rPr>
        <w:t xml:space="preserve">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Annual Report on Form 10-K for the year ended December 31, 2024 as well as Note 2, </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in the notes to the condensed consolidated financial statements included in Part I, Item 1, of this Quarterly Report on Form 10-Q. There have been no material changes to our critical accounting policies and accounting estimates as compared to those disclosed in our Annual Report on Form 10-K for the year ended December 31, 2024.</w:t>
      </w:r>
    </w:p>
    <w:p>
      <w:pPr>
        <w:pStyle w:val="TextBody"/>
        <w:bidi w:val="0"/>
        <w:spacing w:before="360" w:after="120"/>
        <w:jc w:val="center"/>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For a description of our recently adopted accounting pronouncements and recently issued accounting standards not yet adopted, see Note 2, </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in the notes to the condensed consolidated financial statements included in Part I, Item 1, of this Quarterly Report on Form 10-Q.</w:t>
      </w:r>
    </w:p>
    <w:p>
      <w:pPr>
        <w:pStyle w:val="TextBody"/>
        <w:bidi w:val="0"/>
        <w:spacing w:before="240" w:after="283"/>
        <w:jc w:val="left"/>
        <w:rPr>
          <w:rFonts w:ascii="Times New Roman" w:hAnsi="Times New Roman"/>
          <w:b/>
          <w:color w:val="000000"/>
          <w:sz w:val="20"/>
        </w:rPr>
      </w:pPr>
      <w:bookmarkStart w:id="17" w:name="i_item3"/>
      <w:bookmarkEnd w:id="17"/>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 </w:t>
      </w:r>
    </w:p>
    <w:p>
      <w:pPr>
        <w:pStyle w:val="TextBody"/>
        <w:bidi w:val="0"/>
        <w:spacing w:before="12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 approximately 16% of our revenues for the six months ended June 30, 2025, of which a majority is generated in Euros. If the average exchange rate of Euros changed unfavorably by 10%, our revenues for the six months ended June 30, 2025 would have decreased by 1.3%. During the six months ended June 30, 2025, our revenues were slightly impacted as the average exchange rate experienced modest fluctuations during the six month periods ending June 30, 2025 and June 30,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 </w:t>
      </w:r>
    </w:p>
    <w:p>
      <w:pPr>
        <w:pStyle w:val="TextBody"/>
        <w:bidi w:val="0"/>
        <w:spacing w:before="240" w:after="283"/>
        <w:jc w:val="left"/>
        <w:rPr>
          <w:rFonts w:ascii="Times New Roman" w:hAnsi="Times New Roman"/>
          <w:b/>
          <w:color w:val="000000"/>
          <w:sz w:val="20"/>
        </w:rPr>
      </w:pPr>
      <w:bookmarkStart w:id="18" w:name="i_item4"/>
      <w:bookmarkEnd w:id="18"/>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Rules 13a-15(e) and 15d-15(e) under the Exchange Act, our management, with the participation of our Chief Executive Officer and Chief Financial Officer, performed an evaluation of the effectiveness of our disclosure controls and procedures as of June 30, 2025. Based on such evaluation, our Chief Executive Officer and Chief Financial Officer concluded that our disclosure controls and procedures were effective at a reasonable assurance level as of June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our internal control over financial reporting identified in connection with the evaluation required by Rule 13a-15(d) and 15d-15(d) of the Exchange Act that occurred during the quarter ended June 30, 2025, that have materially affected, or are reasonably likely to materially affect, our internal control over financial reporting.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bookmarkStart w:id="19" w:name="part_ii"/>
      <w:bookmarkEnd w:id="19"/>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20" w:name="ii_item1"/>
      <w:bookmarkEnd w:id="20"/>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period ended June 30, 2025, there were no material legal proceedings brought against us nor were there any material developments to any ongoing legal proceedings which constituted reportable events.</w:t>
      </w:r>
    </w:p>
    <w:p>
      <w:pPr>
        <w:pStyle w:val="TextBody"/>
        <w:bidi w:val="0"/>
        <w:spacing w:before="360" w:after="283"/>
        <w:jc w:val="left"/>
        <w:rPr>
          <w:rFonts w:ascii="Times New Roman" w:hAnsi="Times New Roman"/>
          <w:b/>
          <w:color w:val="000000"/>
          <w:sz w:val="20"/>
        </w:rPr>
      </w:pPr>
      <w:bookmarkStart w:id="21" w:name="ii_item1a"/>
      <w:bookmarkEnd w:id="21"/>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Investing in our Class A common stock involves a high degree of risk. You should carefully consider the risks and uncertainties described in our Annual Report on Form 10</w:t>
        <w:noBreakHyphen/>
        <w:t>K for the year ended December 31, 2024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than as set forth below, there have been no material changes to our risk factors as previously disclosed in Item 1A. contained in Part I of our Annual Report on Form 10</w:t>
        <w:noBreakHyphen/>
        <w:t>K for the year ended December 31, 2024.</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U.S. and international trade policies could adversely impact our business,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The recent announcements of substantial new tariffs and other restrictive trade policies have created a dynamic and unpredictable trade landscape, which may adversely impact our business. Current or future tariffs or other restrictive trade measures may raise the cost of raw materials, components or finished goods. We derive the majority of our revenue from the sale of parts and assemblies to our customers on our marketplace. Our business is therefore dependent upon the availability and price of raw materials, tools and components for assembly in various countries around the world. To the extent that significant tariffs, sanctions or similar restrictions are placed on certain goods imported into the United States or tariffs and similar measures, including retaliatory measures, are imposed by foreign governments, we could also face significant challenges in maintaining our cost-effectiveness, and we and our network of suppliers may be required to raise prices, thereby making our marketplace less attractive to buyers. To the extent suppliers increase their costs and we are unable to sufficiently pass such price increases on to our customers, or if the level of demand for the products and services we offer decreases as a result of any price increases, we may not be able to achieve or maintain profitability or otherwise maintain our historical margins. Our suppliers, and we as a result, may experience supply chain disruptions as a result of increased costs and uncertainty, including risks to the long-term viability of such suppliers, which may impact our ability to meet customer demand or cause reputational harm if we are unable to deliver products on expected timelines or if any price increases are poorly received by customers. In addition, many of our customers operate businesses that may be impacted by trade policies, which may result in decreased demand on our marketplace or extended sales cycles as customers assess the impact of evolving trade policies on their operations and face increased costs or decreased revenue due to tariffs and trade restrictions. As a result of the foregoing factors, our business, financial condition and results of operations could be materially and adversely affected.</w:t>
      </w:r>
    </w:p>
    <w:p>
      <w:pPr>
        <w:pStyle w:val="TextBody"/>
        <w:bidi w:val="0"/>
        <w:jc w:val="left"/>
        <w:rPr>
          <w:rFonts w:ascii="Times New Roman" w:hAnsi="Times New Roman"/>
          <w:color w:val="000000"/>
          <w:sz w:val="20"/>
        </w:rPr>
      </w:pPr>
      <w:r>
        <w:rPr>
          <w:rFonts w:ascii="Times New Roman" w:hAnsi="Times New Roman"/>
          <w:color w:val="000000"/>
          <w:sz w:val="20"/>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products on our marketplace,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Class A common stock.</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 Further, international suppliers may elect not to continue engaging us, limiting our sourcing options and increasing our dependency on domestic suppliers.</w:t>
      </w:r>
    </w:p>
    <w:p>
      <w:pPr>
        <w:pStyle w:val="TextBody"/>
        <w:bidi w:val="0"/>
        <w:jc w:val="left"/>
        <w:rPr>
          <w:rFonts w:ascii="Times New Roman" w:hAnsi="Times New Roman"/>
          <w:color w:val="000000"/>
          <w:sz w:val="20"/>
        </w:rPr>
      </w:pPr>
      <w:r>
        <w:rPr>
          <w:rFonts w:ascii="Times New Roman" w:hAnsi="Times New Roman"/>
          <w:color w:val="000000"/>
          <w:sz w:val="20"/>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our Annual Report for the fiscal year ended December 31, 2024.</w:t>
      </w:r>
    </w:p>
    <w:p>
      <w:pPr>
        <w:pStyle w:val="TextBody"/>
        <w:bidi w:val="0"/>
        <w:spacing w:before="360" w:after="283"/>
        <w:jc w:val="left"/>
        <w:rPr>
          <w:rFonts w:ascii="Times New Roman" w:hAnsi="Times New Roman"/>
          <w:b/>
          <w:color w:val="000000"/>
          <w:sz w:val="20"/>
        </w:rPr>
      </w:pPr>
      <w:bookmarkStart w:id="22" w:name="ii_item2"/>
      <w:bookmarkEnd w:id="22"/>
      <w:r>
        <w:rPr>
          <w:rFonts w:ascii="Times New Roman" w:hAnsi="Times New Roman"/>
          <w:b/>
          <w:color w:val="000000"/>
          <w:sz w:val="20"/>
        </w:rPr>
        <w:t>Item 2. Unregistered Sales of Equity Securities and Use of Proceeds.</w:t>
      </w:r>
    </w:p>
    <w:p>
      <w:pPr>
        <w:pStyle w:val="TextBody"/>
        <w:bidi w:val="0"/>
        <w:spacing w:before="200" w:after="24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00" w:after="240"/>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Purchases of Equity Securities by the Issuer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information regarding our purchases of our Class A common stock during the three months ended June 30, 2025 (in thousands, except per share data):</w:t>
      </w:r>
    </w:p>
    <w:tbl>
      <w:tblPr>
        <w:tblW w:w="8664" w:type="dxa"/>
        <w:jc w:val="left"/>
        <w:tblInd w:w="0" w:type="dxa"/>
        <w:tblLayout w:type="fixed"/>
        <w:tblCellMar>
          <w:top w:w="28" w:type="dxa"/>
          <w:left w:w="28" w:type="dxa"/>
          <w:bottom w:w="28" w:type="dxa"/>
          <w:right w:w="28" w:type="dxa"/>
        </w:tblCellMar>
      </w:tblPr>
      <w:tblGrid>
        <w:gridCol w:w="2041"/>
        <w:gridCol w:w="3226"/>
        <w:gridCol w:w="146"/>
        <w:gridCol w:w="622"/>
        <w:gridCol w:w="2438"/>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Total Number of Shares Purchased</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Average Price Paid per Share ($)</w:t>
            </w:r>
            <w:r>
              <w:rPr>
                <w:rFonts w:ascii="Times New Roman" w:hAnsi="Times New Roman"/>
                <w:b/>
                <w:color w:val="000000"/>
                <w:sz w:val="13"/>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to June 30, 2025</w:t>
            </w:r>
          </w:p>
        </w:tc>
        <w:tc>
          <w:tcPr>
            <w:tcW w:w="32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rFonts w:ascii="Times New Roman" w:hAnsi="Times New Roman"/>
          <w:sz w:val="20"/>
        </w:rPr>
      </w:pPr>
      <w:r>
        <w:rPr>
          <w:rFonts w:ascii="Times New Roman" w:hAnsi="Times New Roman"/>
          <w:color w:val="000000"/>
          <w:sz w:val="18"/>
        </w:rPr>
        <w:t>(1) On June 9, 2025, in connection with the issuance of the 2030 Notes, we entered into privately negotiated transactions effected with or through one of the initial purchasers of the 2030 Notes or one of its affiliates with certain purchasers of the 2030 Notes to repurchase for cash 220,994 shares of our Class A common stock equal to the last reported sale price per share of our Class A common stock on the Nasdaq Global Select Market on June 9, 2025.</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23" w:name="ii_item3"/>
      <w:bookmarkEnd w:id="23"/>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bookmarkStart w:id="24" w:name="ii_item4"/>
      <w:bookmarkEnd w:id="24"/>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left"/>
        <w:rPr>
          <w:rFonts w:ascii="Times New Roman" w:hAnsi="Times New Roman"/>
          <w:b/>
          <w:color w:val="000000"/>
          <w:sz w:val="20"/>
        </w:rPr>
      </w:pPr>
      <w:bookmarkStart w:id="25" w:name="ii_item5"/>
      <w:bookmarkEnd w:id="25"/>
      <w:r>
        <w:rPr>
          <w:rFonts w:ascii="Times New Roman" w:hAnsi="Times New Roman"/>
          <w:b/>
          <w:color w:val="000000"/>
          <w:sz w:val="20"/>
        </w:rPr>
        <w:t>Item 5. Other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During our last fiscal quarter, our directors and officers (as defined in Rule 16a-1(f) under the Securities and Exchange Act of 1934, as amended) adopted or terminated the contracts, instructions or written plans for the purchase or sale of the Company’s securities, as set forth in the table below.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93"/>
        <w:gridCol w:w="146"/>
        <w:gridCol w:w="1091"/>
        <w:gridCol w:w="146"/>
        <w:gridCol w:w="1293"/>
        <w:gridCol w:w="146"/>
        <w:gridCol w:w="640"/>
        <w:gridCol w:w="454"/>
        <w:gridCol w:w="517"/>
        <w:gridCol w:w="146"/>
        <w:gridCol w:w="146"/>
        <w:gridCol w:w="207"/>
        <w:gridCol w:w="964"/>
        <w:gridCol w:w="146"/>
        <w:gridCol w:w="146"/>
        <w:gridCol w:w="612"/>
        <w:gridCol w:w="698"/>
        <w:gridCol w:w="146"/>
        <w:gridCol w:w="146"/>
        <w:gridCol w:w="1122"/>
      </w:tblGrid>
      <w:tr>
        <w:trPr/>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020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r>
      <w:tr>
        <w:trPr/>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Adoption/Termination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Class A Common Stock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Class A Common Stock to be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Vaidy Raghavan </w:t>
            </w:r>
            <w:r>
              <w:rPr>
                <w:rFonts w:ascii="Times New Roman" w:hAnsi="Times New Roman"/>
                <w:i/>
                <w:color w:val="000000"/>
                <w:sz w:val="20"/>
              </w:rPr>
              <w:t>Chief Technology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10/1/2027</w:t>
            </w:r>
          </w:p>
        </w:tc>
      </w:tr>
      <w:tr>
        <w:trPr/>
        <w:tc>
          <w:tcPr>
            <w:tcW w:w="1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James Miln </w:t>
            </w:r>
            <w:r>
              <w:rPr>
                <w:rFonts w:ascii="Times New Roman" w:hAnsi="Times New Roman"/>
                <w:i/>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Terminated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3/15/2026</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James Miln </w:t>
            </w:r>
            <w:r>
              <w:rPr>
                <w:rFonts w:ascii="Times New Roman" w:hAnsi="Times New Roman"/>
                <w:i/>
                <w:color w:val="000000"/>
                <w:sz w:val="20"/>
              </w:rPr>
              <w:t>Chief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Adopted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6/1/2027</w:t>
            </w:r>
          </w:p>
        </w:tc>
      </w:tr>
    </w:tbl>
    <w:p>
      <w:pPr>
        <w:pStyle w:val="TextBody"/>
        <w:bidi w:val="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8"/>
        </w:rPr>
        <w:t>Contract, instruction or written plan intended to satisfy the affirmative defense conditions of Rule 10b5-1(c) under the Exchange Act.</w:t>
        <w:br/>
        <w:t>** “Non-Rule 10b5-1 trading arrangement” as defined in Item 408(c) of Regulation S-K under the Exchange Act.</w:t>
      </w:r>
    </w:p>
    <w:p>
      <w:pPr>
        <w:pStyle w:val="TextBody"/>
        <w:bidi w:val="0"/>
        <w:jc w:val="left"/>
        <w:rPr>
          <w:rFonts w:ascii="Times New Roman" w:hAnsi="Times New Roman"/>
          <w:color w:val="000000"/>
          <w:sz w:val="18"/>
        </w:rPr>
      </w:pPr>
      <w:r>
        <w:rPr>
          <w:rFonts w:ascii="Times New Roman" w:hAnsi="Times New Roman"/>
          <w:color w:val="000000"/>
          <w:sz w:val="18"/>
        </w:rPr>
        <w:t>(1) Represents the modification, as described in Rule 10b5-1(c)(1)(iv) under the Exchange Act, of a written plan adopted on September 12, 2024 that was intended to satisfy the affirmative defense conditions of Rule 10b5-1(c) under the Exchange Act.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6" w:name="ii_item6"/>
      <w:bookmarkEnd w:id="26"/>
      <w:r>
        <w:rPr>
          <w:rFonts w:ascii="Times New Roman" w:hAnsi="Times New Roman"/>
          <w:b/>
          <w:color w:val="000000"/>
          <w:sz w:val="20"/>
        </w:rPr>
        <w:t>Item 6.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documents listed in the Exhibit Index of this Quarterly Report on Form 10-Q are herein incorporated by reference or are filed with this Quarterly Report on Form 10-Q, in each case as indicated therein (numbered in accordance with Item 601 of Regulation S-K).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
        <w:gridCol w:w="146"/>
        <w:gridCol w:w="9300"/>
      </w:tblGrid>
      <w:tr>
        <w:trPr/>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5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Certificate of Incorporation of Xometry, Inc., (incorporated herein by reference to Exhibit 3.1 to the Company’s Current Report on Form 8-K (File No. 001-40546), filed with the SEC on July 2, 2021).</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Xometry, Inc., (incorporated herein by reference to Exhibit 3.2 to the Company’s Current Report on Form 8-K (File No. 001-40546), filed with the SEC on July 2, 2021).</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Indenture, dated as of June 12, 2025, by and between Xometry, Inc. and U.S. Bank Trust Company, National Association as Trustee, (incorporated herein by reference to Exhibit 4.1 to the Company’s Current Report on Form 8-K (File No. 001-40546), filed with the SEC on June 12, 2025).</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Global Note representing Xometry, Inc.’s 0.75% Convertible Senior Notes due 2030 (incorporated herein by reference to Exhibit 4.2 to the Company’s Current Report on Form 8-K (File No. 001-40546), filed with the SEC on June 12, 2025).</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Confirmation for Capped Call Transactions (incorporated herein by reference to Exhibit 10.1 to the Company’s Current Report on Form 8-K (File No. 001-40546), filed with the SEC on June 12, 2025).</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7" w:name="signatures"/>
      <w:bookmarkEnd w:id="2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XOMETRY,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bookmarkStart w:id="28" w:name="xmtr-ex31_1.htm"/>
      <w:bookmarkStart w:id="29" w:name="ksxmtr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Randolph Altschuler,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54" w:type="dxa"/>
        <w:jc w:val="left"/>
        <w:tblInd w:w="0" w:type="dxa"/>
        <w:tblLayout w:type="fixed"/>
        <w:tblCellMar>
          <w:top w:w="28" w:type="dxa"/>
          <w:left w:w="28" w:type="dxa"/>
          <w:bottom w:w="28" w:type="dxa"/>
          <w:right w:w="28" w:type="dxa"/>
        </w:tblCellMar>
      </w:tblPr>
      <w:tblGrid>
        <w:gridCol w:w="1846"/>
        <w:gridCol w:w="146"/>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xmtr-ex31_2.htm"/>
      <w:bookmarkStart w:id="31" w:name="ksxmtr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Miln,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1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xmtr-ex32_1.htm"/>
      <w:bookmarkStart w:id="33" w:name="ksxmtr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Xometry, Inc. (the “Company”) on Form 10-Q for the period ended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w:t>
      </w:r>
    </w:p>
    <w:p>
      <w:pPr>
        <w:pStyle w:val="TextBody"/>
        <w:bidi w:val="0"/>
        <w:jc w:val="left"/>
        <w:rPr>
          <w:rFonts w:ascii="Times New Roman" w:hAnsi="Times New Roman"/>
          <w:color w:val="000000"/>
          <w:sz w:val="20"/>
        </w:rPr>
      </w:pPr>
      <w:r>
        <w:rPr>
          <w:rFonts w:ascii="Times New Roman" w:hAnsi="Times New Roman"/>
          <w:color w:val="000000"/>
          <w:sz w:val="20"/>
        </w:rPr>
        <w:t>operations of the Company.</w:t>
      </w:r>
    </w:p>
    <w:p>
      <w:pPr>
        <w:pStyle w:val="TextBody"/>
        <w:bidi w:val="0"/>
        <w:jc w:val="left"/>
        <w:rPr/>
      </w:pPr>
      <w:r>
        <w:rPr/>
        <w:t> </w:t>
      </w:r>
    </w:p>
    <w:tbl>
      <w:tblPr>
        <w:tblW w:w="5654" w:type="dxa"/>
        <w:jc w:val="left"/>
        <w:tblInd w:w="0" w:type="dxa"/>
        <w:tblLayout w:type="fixed"/>
        <w:tblCellMar>
          <w:top w:w="28" w:type="dxa"/>
          <w:left w:w="28" w:type="dxa"/>
          <w:bottom w:w="28" w:type="dxa"/>
          <w:right w:w="28" w:type="dxa"/>
        </w:tblCellMar>
      </w:tblPr>
      <w:tblGrid>
        <w:gridCol w:w="1846"/>
        <w:gridCol w:w="146"/>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xmtr-ex32_2.htm"/>
      <w:bookmarkStart w:id="35" w:name="ksxmtr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Xometry, Inc. (the “Company”) on Form 10-Q for the period ended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1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0001657573/000119312521207643/d184650dex31.htm" TargetMode="External"/><Relationship Id="rId6" Type="http://schemas.openxmlformats.org/officeDocument/2006/relationships/hyperlink" Target="https://www.sec.gov/Archives/edgar/data/0001657573/000119312521207643/d184650dex32.htm" TargetMode="External"/><Relationship Id="rId7" Type="http://schemas.openxmlformats.org/officeDocument/2006/relationships/hyperlink" Target="https://www.sec.gov/Archives/edgar/data/1657573/000119312525139895/d936959dex41.htm" TargetMode="External"/><Relationship Id="rId8" Type="http://schemas.openxmlformats.org/officeDocument/2006/relationships/hyperlink" Target="https://www.sec.gov/Archives/edgar/data/1657573/000119312525139895/d936959dex41.htm" TargetMode="External"/><Relationship Id="rId9" Type="http://schemas.openxmlformats.org/officeDocument/2006/relationships/hyperlink" Target="https://www.sec.gov/Archives/edgar/data/1657573/000119312525139895/d936959d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28102</Words>
  <Characters>152528</Characters>
  <CharactersWithSpaces>182383</CharactersWithSpaces>
  <Paragraphs>8699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