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9952d8k.htm"/>
      <w:bookmarkStart w:id="1" w:name="ksd1099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Xometry,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001-40546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32-0415449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6116 Executive Blvd, Suite 800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North Bethesda, 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20852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(240) 252-1138</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5210"/>
        <w:gridCol w:w="60"/>
        <w:gridCol w:w="740"/>
        <w:gridCol w:w="60"/>
        <w:gridCol w:w="2825"/>
      </w:tblGrid>
      <w:tr>
        <w:trPr/>
        <w:tc>
          <w:tcPr>
            <w:tcW w:w="5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52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210" w:type="dxa"/>
            <w:tcBorders/>
            <w:vAlign w:val="center"/>
          </w:tcPr>
          <w:p>
            <w:pPr>
              <w:pStyle w:val="TableContents"/>
              <w:bidi w:val="0"/>
              <w:spacing w:before="0" w:after="283"/>
              <w:jc w:val="center"/>
              <w:rPr/>
            </w:pPr>
            <w:r>
              <w:rPr/>
              <w:t>Class A common stock, par value $0.000001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XMTR</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 2026, Xometry, Inc. (the “Company”) entered into an underwriting agreement (the “Underwriting Agreement”) with J.P. Morgan Securities LLC and Goldman Sachs &amp; Co. LLC, as representatives of the several underwriters named therein (collectively, the “Underwriters”), relating to the issuance and sale in an underwritten public offering (the “Offering”) of 2,647,059 shares of the Company’s Class A common stock, par value $0.000001 per share (the “Common Stock”), at a public offering price of $85.00 per share, less underwriting discounts and commissions. The Company estimates the net proceeds from the Offering will be approximately $215.2 million, after deducting underwriting discounts and commissions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Offering is expected to occur on June 3, 2026, subject to the satisfaction of customary closing conditions. In addition, the Company granted the Underwriters an option, exercisable for 30 days, to purchase up to 397,058 additional shares of Common Stock at the public offering price, less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automatic shelf registration statement on Form S-3 and accompanying prospectus (File No. 333-296394), filed with the Securities and Exchange Commission (the “SEC”) on June 1, 2026, and a related prospectus supplement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Underwriting Agreement does not purport to be complete and is qualified in its entirety by reference to the Underwriting Agreement, a copy of which is filed as Exhibit 1.1 hereto. A copy of the opinion of Cooley LLP relating to the legality of the issuance and sale of the shares of Common Stock in the Offering is attached as Exhibit 5.1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9952dex11.htm">
              <w:r>
                <w:rPr>
                  <w:rStyle w:val="InternetLink"/>
                </w:rPr>
                <w:t xml:space="preserve">Underwriting Agreement, dated June 1, 2026, among Xometry, Inc. and J.P. Morgan Securities LLC and Goldman Sachs &amp; Co. LLC, as representatives of the several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9952dex51.htm">
              <w:r>
                <w:rPr>
                  <w:rStyle w:val="InternetLink"/>
                </w:rPr>
                <w:t xml:space="preserve">Opinion of Cooley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9952dex51.htm">
              <w:r>
                <w:rPr>
                  <w:rStyle w:val="InternetLink"/>
                </w:rPr>
                <w:t xml:space="preserve">Consent of Cooley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4688" w:type="dxa"/>
        <w:jc w:val="left"/>
        <w:tblInd w:w="0" w:type="dxa"/>
        <w:tblLayout w:type="fixed"/>
        <w:tblCellMar>
          <w:top w:w="0" w:type="dxa"/>
          <w:left w:w="0" w:type="dxa"/>
          <w:bottom w:w="0" w:type="dxa"/>
          <w:right w:w="0" w:type="dxa"/>
        </w:tblCellMar>
      </w:tblPr>
      <w:tblGrid>
        <w:gridCol w:w="1820"/>
        <w:gridCol w:w="60"/>
        <w:gridCol w:w="23"/>
        <w:gridCol w:w="60"/>
        <w:gridCol w:w="365"/>
        <w:gridCol w:w="60"/>
        <w:gridCol w:w="230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b/>
              </w:rPr>
            </w:pPr>
            <w:r>
              <w:rPr>
                <w:b/>
              </w:rPr>
              <w:t>XOMETRY,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Randolph Altschuler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Randolph Altschuler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09952dex11.htm"/>
      <w:bookmarkStart w:id="3" w:name="ksd109952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Xometry, Inc. </w:t>
      </w:r>
    </w:p>
    <w:p>
      <w:pPr>
        <w:pStyle w:val="TextBody"/>
        <w:bidi w:val="0"/>
        <w:spacing w:before="120" w:after="0"/>
        <w:jc w:val="center"/>
        <w:rPr>
          <w:rFonts w:ascii="Times New Roman" w:hAnsi="Times New Roman"/>
          <w:sz w:val="20"/>
        </w:rPr>
      </w:pPr>
      <w:r>
        <w:rPr>
          <w:rFonts w:ascii="Times New Roman" w:hAnsi="Times New Roman"/>
          <w:sz w:val="20"/>
        </w:rPr>
        <w:t xml:space="preserve">2,647,059 Shares of Class A Common Stock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June 1,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pPr>
      <w:r>
        <w:rPr/>
        <w:t> </w:t>
      </w:r>
      <w:r>
        <w:rPr>
          <w:rFonts w:ascii="Times New Roman" w:hAnsi="Times New Roman"/>
          <w:sz w:val="20"/>
        </w:rPr>
        <w:t xml:space="preserve">several Underwriters listed </w:t>
      </w:r>
    </w:p>
    <w:p>
      <w:pPr>
        <w:pStyle w:val="TextBody"/>
        <w:bidi w:val="0"/>
        <w:spacing w:before="0" w:after="0"/>
        <w:jc w:val="left"/>
        <w:rPr/>
      </w:pPr>
      <w:r>
        <w:rPr/>
        <w:t> </w:t>
      </w: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Xometry, Inc., a Delaware corporation (the “Company”), proposes to issue and sell to the several underwriters listed in Schedule 1 hereto (the “Underwriters”), for whom you are acting as representatives (the “Representatives”), an aggregate of 2,647,059 shares of Class A Common Stock, par value $0.000001 per share (the “Class A Common Stock”), of the Company (the “Underwritten Shares”) and, at the option of the Underwriters, up to an additional 397,058 shares of Class A Common Stock of the Company (the “Option Shares”). The Underwritten Shares and the Option Shares are herein referred to as the “Shares”. The shares of Class A Common Stock of the Company to be outstanding after giving effect to the sale of the Shares are referred to herein as the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(File No. 333-296394),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any preliminary prospectus supplement filed with the Commission pursuant to Rule 424(b) under the Securities Act together with the prospectus included in the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at the time of its effectiveness that omits Rule 430 Information (the “Base Prospectus”), and the term “Prospectus” means the prospectus supplement in the form first used (or made available upon request of purchasers pursuant to Rule 173 under the Securities Act) in connection with confirmation of sales of the Shares together with the Base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a Preliminary Prospectus dated June 1, 2026 and each “free-writing prospectus” (as defined pursuant to Rule 405 under the Securities Act) listed on Annex A hereto. </w:t>
      </w:r>
    </w:p>
    <w:p>
      <w:pPr>
        <w:pStyle w:val="TextBody"/>
        <w:bidi w:val="0"/>
        <w:spacing w:before="240" w:after="0"/>
        <w:jc w:val="left"/>
        <w:rPr/>
      </w:pPr>
      <w:r>
        <w:rPr/>
        <w:t>“</w:t>
      </w:r>
      <w:r>
        <w:rPr>
          <w:rFonts w:ascii="Times New Roman" w:hAnsi="Times New Roman"/>
          <w:sz w:val="20"/>
        </w:rPr>
        <w:t xml:space="preserve">Applicable Time” means 8:00 P.M., New York City time, on June 1,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$81.60 (the “Purchase Price”) from the Company the respective number of Underwritten Shares set forth opposite such Underwriter’s name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w:t>
      </w:r>
    </w:p>
    <w:p>
      <w:pPr>
        <w:pStyle w:val="TextBody"/>
        <w:bidi w:val="0"/>
        <w:spacing w:before="24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its sole discretion shall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 provided that if such date and time of delivery are the same as the Closing Date, such notice may be given one business day prior to such date and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(c) Payment for the Shares shall be made by wire transfer in immediately available funds to the account specified by the Company to the Representatives in the case of the Underwritten Shares, at the offices of Davis Polk &amp; Wardwell LLP, 900 Middlefield Road, Redwood City, California 94063 at 10:00 A.M. New York City time on June 3, 2026,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to the Underwriters duly paid by the Company. Delivery of the Shares shall be made through the facilities of The Depository Trust Company (“DTC”)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Representatives and any other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w:t>
      </w:r>
      <w:r>
        <w:rPr>
          <w:rFonts w:ascii="Times New Roman" w:hAnsi="Times New Roman"/>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such approval not to be unreasonably withheld, conditioned, or delayed.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Testing-the-Waters Materials. </w:t>
      </w:r>
      <w:r>
        <w:rPr>
          <w:rFonts w:ascii="Times New Roman" w:hAnsi="Times New Roman"/>
          <w:sz w:val="20"/>
        </w:rPr>
        <w:t xml:space="preserve">The Company (i) has not alone engaged in any Testing-the-Waters Communications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as of the date of such amendment, the Registration Statement and any such post-effective amendment complied and as of the Closing Date or the Additional Closing Date, as the case may be, will comply in all material respects with the applicable requirements of the Securities Act, and did not as of the applicable effective date and will not as of the Closing Date or the Additional Closing Date, as the case may be,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Underwriter Information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Incorporated Documents.</w:t>
      </w:r>
      <w:r>
        <w:rPr>
          <w:rFonts w:ascii="Times New Roman" w:hAnsi="Times New Roman"/>
          <w:sz w:val="20"/>
        </w:rPr>
        <w:t xml:space="preserve"> The documents incorporated by reference in the Registration Statement, the Prospectus and the Pricing Disclosure Package, when they were or are filed with the Commission, conformed or will conform in all material respects to the applicable requirements of the Exchange Act and the applicable rules of the Commission thereunder. Such documents did not and will not, as of their respective dates, contain any untrue statement of a material fact or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Financial Statements.</w:t>
      </w:r>
      <w:r>
        <w:rPr>
          <w:rFonts w:ascii="Times New Roman" w:hAnsi="Times New Roman"/>
          <w:sz w:val="20"/>
        </w:rPr>
        <w:t xml:space="preserve"> The financial statements included or incorporated by reference in the Registration Statement, the Pricing Disclosure Package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The supporting schedules, if any, present fairly in accordance with GAAP the information required to be stated therein. The other financial information included or incorporated by reference in the Registration Statement, the Pricing Disclosure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Prospectus present fairly in all material respects the information shown therein and have been compiled on a basis consistent with that of the audited financial statements included or incorporated by reference therein. Except as included or incorporated by reference therein, no historical or pro forma financial statements or supporting schedules are required to be included or incorporated by reference in the Registration Statement, the Pricing Disclosure Package and the Prospectus. All disclosures contained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Material Adverse Effect.</w:t>
      </w:r>
      <w:r>
        <w:rPr>
          <w:rFonts w:ascii="Times New Roman" w:hAnsi="Times New Roman"/>
          <w:sz w:val="20"/>
        </w:rPr>
        <w:t xml:space="preserve"> Other than as set forth in the Registration Statement, the Pricing Disclosure Package and the Prospectus, neither the Company nor any of its subsidiaries has, since the date of the latest audited financial statements included or incorporated by reference in the Registration Statement, the Pricing Disclosure Package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since the respective dates as of which information is disclosed in the Registration Statement, the Pricing Disclosure Package and the Prospectus, there has not been (x) any change in the capital stock (other than as a result of (i) the exercise, if any, of stock options or warrants or settlement of any restricted stock units (including any “net” or “cashless” exercises or settlements) or the award, if any, of stock options or restricted stock units or other awards, in each case, in the ordinary course of business pursuant to the Company’s equity plans that are described in the Registration Statement, the Pricing Disclosure Package and the Prospectus or (ii) the issuance, if any, of stock upon conversion of Company securities as described in the Registration Statement, the Pricing Disclosure Package and the Prospectus) or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Prospectus, or (ii) the ability of the Company to perform its obligations under this Agreement, including the issuance and sale of the Shares, or to consummate the transactions contemplated in the Prospectus and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Organization and Good Standing.</w:t>
      </w:r>
      <w:r>
        <w:rPr>
          <w:rFonts w:ascii="Times New Roman" w:hAnsi="Times New Roman"/>
          <w:sz w:val="20"/>
        </w:rPr>
        <w:t xml:space="preserve"> The Company has been (i) duly organized and is validly existing and in good standing under the laws of the State of Delaware, with corporate power and authority to own its properties and conduct its business as described in the Registration Statement, the Pricing Disclosure Package and the Prospectus, and (ii) duly qualified as a foreign corporation for the transaction of business and is in good standing (to the extent such concept or functional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exists in such jurisdiction)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if any (as such term is defined in Rule 1-02 of Regulation S-X promulgated under the Securities Act) of the Company (each, a “significant subsidiary”) has been duly incorporated or organized and is validly existing as a corporation or other business organization in good standing under the laws of its jurisdiction of incorporation, formation or organization, and each other jurisdiction in which it owns or leases properties or conducts any business, as applicable (to the extent such concept or functional equivalent exists in such jurisdiction), except where the failure to be so qualified or in good standing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The Company has an authorized capitalization as set forth in the Registration Statement, the Pricing Disclosure Package and the Prospectus and all of the issued shares of capital stock of the Company have been duly and validly authorized and issued and are fully paid and non-assessable and conform in all material respects to the description of such capital stock contained or incorporated by reference in the Registration Statement, the Pricing Disclosure Package and the Prospectus; and all of the issued shares of capital stock of each corporate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rights that have been complied with or waived in writing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Descriptions.</w:t>
      </w:r>
      <w:r>
        <w:rPr>
          <w:rFonts w:ascii="Times New Roman" w:hAnsi="Times New Roman"/>
          <w:sz w:val="20"/>
        </w:rPr>
        <w:t xml:space="preserve"> The statements set forth in the Pricing Disclosure Package and the Prospectus under the caption “Description of Capital Stock”, insofar as they purport to constitute a summary of the terms of the Stock, under the caption “Material U.S. Federal Income Tax Consequences to Non-U.S. Holders”, and under the caption “Underwriting”, insofar as they purport to describe the provisions of the laws and documents referred to therein, are accurate, complete and fair in all material respects; provided, however, that this representation and warranty shall not apply to any statements or omissions made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No Conflicts. </w:t>
      </w:r>
      <w:r>
        <w:rPr>
          <w:rFonts w:ascii="Times New Roman" w:hAnsi="Times New Roman"/>
          <w:sz w:val="20"/>
        </w:rPr>
        <w:t xml:space="preserve">The issue and sale of the Shares to be sold by the Company and the compliance by the Company with this Agreement and the consummation of the transactions contemplated in this Agreement and the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 laws (or other applicable organizational document) of (1) the Company or (2) any of its subsidiaries, or (C) any statute or any judgment, order, rule or regulation of any court or governmental agency or body having jurisdiction over the Company or any of its subsidiaries or any of their properties, except, in the case of clauses (A), (B)(2) and (C),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and such consents, approvals, authorizations, registrations or qualifications as may be required by the Financial Industry Regulatory Authority, Inc. (“FINRA”) and under state securities or Blue Sky laws in connection with the purchase and distribution of the Shares by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Legal Proceedings.</w:t>
      </w:r>
      <w:r>
        <w:rPr>
          <w:rFonts w:ascii="Times New Roman" w:hAnsi="Times New Roman"/>
          <w:sz w:val="20"/>
        </w:rPr>
        <w:t xml:space="preserve"> Other than as set forth in the Registration Statement, the Pricing Disclosure Package and the Prospectus, there are no legal, governmental proceedings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Independent Accountants</w:t>
      </w:r>
      <w:r>
        <w:rPr>
          <w:rFonts w:ascii="Times New Roman" w:hAnsi="Times New Roman"/>
          <w:sz w:val="20"/>
        </w:rPr>
        <w:t xml:space="preserve">. KPMG LLP and Deloitte &amp; Touche LLP, who have each certified certain financial statements of the Company and its subsidiaries, are independent public accounting firms as required by the Securities Act and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Title to Real and Personal Property</w:t>
      </w:r>
      <w:r>
        <w:rPr>
          <w:rFonts w:ascii="Times New Roman" w:hAnsi="Times New Roman"/>
          <w:sz w:val="20"/>
        </w:rPr>
        <w:t xml:space="preserve">. The Company and its subsidiaries do not own any real property. The Company and its subsidiaries have good and marketable title to all personal property owned by them (other than with respect to Intellectual Property (as defined below), title to which is addressed exclusively in subsection (r), in each case free and clear of all liens, encumbrances and defects except such as are described in the Registration Statement, the Pricing Disclosure Package and the Prospectus or such as do not materially affect the value of such property and do not materially interfere with the use made and proposed to be made of such property by the Company and, if applicable, its subsidiaries; and any real property and buildings held under lease by the Company and its subsidiaries are held by them,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of such property and buildings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Intellectual Property.</w:t>
      </w:r>
      <w:r>
        <w:rPr>
          <w:rFonts w:ascii="Times New Roman" w:hAnsi="Times New Roman"/>
          <w:sz w:val="20"/>
        </w:rPr>
        <w:t xml:space="preserve"> Except as disclosed in the Registration Statement, the Pricing Disclosure Package and the Prospectus, and except as would not reasonably be expected to have a Material Adverse Effect, the Company and each of its subsidiaries (i) own, otherwise possess, or to the Company’s knowledge, can obtain on reasonable terms, adequate rights to use all patents, trademarks, service marks, trade names, domain names and other source identifiers, social media identifiers and accounts, inventions, copyrights and copyrightable works, licenses, know-how, software, systems, technology and all other intellectual property (including trade secrets and other unpatented and/or unpatentable proprietary or confidential information, systems or procedures, and including all registrations and applications for, and goodwill associated with, any of the foregoing) (collectively, “Intellectual Property Rights”) necessary for, used in or held for use in the conduct of their respective businesses, in each case, free and clear of all material liens, encumbrances, defects or other restrictions, and all such Intellectual Property Rights are valid, subsisting and enforceable, (ii) through the conduct of their respective businesses, to the Company’s knowledge do not infringe, misappropriate, conflict with or otherwise violate, and have not infringed, misappropriated, conflicted with or otherwise violated, the valid claims of any Intellectual Property Rights of others, and (iii) have not received any written notice of, and there is no pending or, to the Company’s knowledge, threatened action, suit, proceeding or claim, asserting infringement, misappropriation, conflict with or other violation of any Intellectual Property Rights of others or challenging the Company’s or any of its subsidiaries’ rights in or to, or the enforceability, validity or scope of, any of the Company Intellectual Property. The Company and each of its subsidiaries have taken commercially reasonable measures to protect their rights in confidential information and trade secrets. The Company and each of its subsidiaries have complied in all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with all agreements governing the protection of confidential information provided to them by any other party. The employees, consultants and contractors of the Company and each of its subsidiaries have each signed a confidentiality and invention assignment agreement that presently assign all rights, title, and interest in and to any Intellectual Property Rights developed in the scope of their employment to the Company or its applicable subsidiary. Contractors and consultants involved in the development of Intellectual Property Rights have each signed an agreement that presently assigns, to the Company or its applicable subsidiary, all of their rights, title, and interest in and to any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(s)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except where the failure to comply would not reasonably be expected to have a Material Adverse Effect on the Company and its subsidiaries, taken as a whole, (ii) neither the Company nor any of its subsidiaries use or distribute or have used or distributed any Open Source Software in any manner that, to the knowledge of the Company, requires or has required (1) the Company or its subsidiaries to permit reverse-engineering of any software code or other technology owned by the Company or its subsidiaries or (2) any software code or other technology owned by the Company or its subsidiaries to be disclosed or distributed in source code form, licensed for the purpose of making derivative works or redistributed at no charge, and (iii) neither the Company nor any of its subsidiaries has deposited into escrow the source code of any of its software and no such source code has been released to any third party, or is entitled to be released to any third party, by any escrow agent.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Investment Company Act</w:t>
      </w:r>
      <w:r>
        <w:rPr>
          <w:rFonts w:ascii="Times New Roman" w:hAnsi="Times New Roman"/>
          <w:sz w:val="20"/>
        </w:rPr>
        <w:t xml:space="preserve">. The Company is not and, immediately after giving effect to the offering and sale of the Shares and the application of the proceeds thereof as described in the Registration Statement, the Pricing Disclosure Package and the Prospectus, will not be, an “investment company”, as such term is defined in the Investment Company Act of 1940, as amended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Taxes.</w:t>
      </w:r>
      <w:r>
        <w:rPr>
          <w:rFonts w:ascii="Times New Roman" w:hAnsi="Times New Roman"/>
          <w:sz w:val="20"/>
        </w:rPr>
        <w:t xml:space="preserve"> The Company and each of its subsidiaries have filed all federal, state, local and foreign tax returns required to be filed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written notice or knowledge of any tax deficiency which could reasonably be expected to be determined adversely to the Company or its subsidiaries and which could reasonably be expected, individually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Licenses and Permits.</w:t>
      </w:r>
      <w:r>
        <w:rPr>
          <w:rFonts w:ascii="Times New Roman" w:hAnsi="Times New Roman"/>
          <w:sz w:val="20"/>
        </w:rPr>
        <w:t xml:space="preserve"> 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Disclosure Package and the Prospectus, except for any of the foregoing that would not, individually or in the aggregate, reasonably be expected to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No Labor Disputes.</w:t>
      </w:r>
      <w:r>
        <w:rPr>
          <w:rFonts w:ascii="Times New Roman" w:hAnsi="Times New Roman"/>
          <w:sz w:val="20"/>
        </w:rPr>
        <w:t xml:space="preserve"> No material labor dispute with or disturbance by the employees of the Company or any of its subsidiaries exists or is threatened, and neither the Company nor any of its subsidiaries has received written notice of any pending or threatened activities or proceedings by any labor union or similar entity to organize any employees of the Company or its subsidiaries that, individually or in the aggregate,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Certain Environmental Matters</w:t>
      </w:r>
      <w:r>
        <w:rPr>
          <w:rFonts w:ascii="Times New Roman" w:hAnsi="Times New Roman"/>
          <w:sz w:val="20"/>
        </w:rPr>
        <w:t xml:space="preserve">. (1) Neither the Company nor any of its subsidiaries is in material violation of any applicable statute, law, rule, regulation, ordinance, code, rule of common law or order of or with any governmental agency or body or any court, domestic or foreign, relating to the use, management, disposal or release of hazardous or toxic substances or wastes or relating to pollution or the protection of the environment or human health or relating to exposure to hazardous or toxic substances or wastes (collectively, “Environmental Laws”) applicable to such entity, (2) neither the Company nor any of its subsidiaries has received any written claim, written request for information or written notice of liability or investigation arising under, relating to or based upon any Environmental Laws, and (3) neither the Company nor any of its subsidiaries is aware of any pending or threatened notice, claim, proceeding or investigation which might lead to liability under Environmental Laws, except, in each case, where the failure to comply or the potential liability or obligation would not, individually or in the aggregate,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Compliance with ERISA</w:t>
      </w:r>
      <w:r>
        <w:rPr>
          <w:rFonts w:ascii="Times New Roman" w:hAnsi="Times New Roman"/>
          <w:sz w:val="20"/>
        </w:rPr>
        <w:t xml:space="preserve">.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Service Code of 1986, as amended (the “Code”)) would have any liability (each, a “Plan”)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 (ii) with respect to each Plan subject to Title IV of ERISA or Section 302 of ERISA or Section 412 and 430 of the Code (A) no “reportable event” (within the meaning of Section 4043(c) of ERISA) has occurred or is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expected to occur, (B) no failure to satisfy the minimum funding standard (within the meaning of Section 302 of ERISA or Section 412 and 430 of the Code), whether or not waived, has occurred or is reasonably expected to occur, (C) the fair market value of the assets under each Plan (excluding for these purposes accrued but unpaid contributions)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(iii) each Plan that is intended to be qualified under Section 401(a) of the Code is so qualified and, to the knowledge of the Company, nothing has occurred, whether by action or by failure to act, which would cause the loss of such qualification; and (iv) no prohibited transaction, within the meaning of Section 406 of ERISA or Section 4975 of the Code, has occurred with respect to any Plan excluding transactions to which a statutory or administrative prohibited transaction exemption applies; except in each case as would not, individually or in the aggregate, reasonably be likely to result in material liability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Disclosure Controls</w:t>
      </w:r>
      <w:r>
        <w:rPr>
          <w:rFonts w:ascii="Times New Roman" w:hAnsi="Times New Roman"/>
          <w:sz w:val="20"/>
        </w:rPr>
        <w:t xml:space="preserve">.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sufficient to provide reasonable assurance that (1) transactions are executed in accordance with management’s general or specific authorization, (2) transactions are recorded as necessary to permit preparation of financial statements in conformity with GAAP and to maintain accountability for assets, (3) access to assets is permitted only in accordance with management’s general or specific authorization and (4) the recorded accountability for assets is compared with the existing assets at reasonable intervals and appropriate action is taken with respect to any differences, and (5) interactive data in eXtensible Business Reporting Language included or incorporated by reference in the Registration Statement, the Pricing Disclosure Package and the Prospectus is prepared in accordance with the Commission’s rules and guidelines applicable thereto; and the Company’s internal control over financial reporting is effective and the Company is not aware of any material weaknesses in its internal control over financial reporting. Other than as set forth in the Registration Statement, the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Disclosure Package and the Prospectus, since the date of the latest audited financial statements included or incorporated by reference in the Pricing Disclosure Package and the Prospectus, there has been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Insurance. </w:t>
      </w:r>
      <w:r>
        <w:rPr>
          <w:rFonts w:ascii="Times New Roman" w:hAnsi="Times New Roman"/>
          <w:sz w:val="20"/>
        </w:rPr>
        <w:t xml:space="preserve">The Company and its subsidiaries, taken as a whole, are insured by insurers of recognized financial responsibility against such losses and risks and in such amounts as are, in the Company’s reasonable judgment, prudent and customary in the businesses in which they are engaged and as required by law; and the Company has no reason to believe that it will not be able to renew its existing insurance coverage as and when such coverage expires or to obtain similar coverage from similar insurers.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Cybersecurity; Data Protection. </w:t>
      </w:r>
      <w:r>
        <w:rPr>
          <w:rFonts w:ascii="Times New Roman" w:hAnsi="Times New Roman"/>
          <w:sz w:val="20"/>
        </w:rPr>
        <w:t xml:space="preserve">(i)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to the knowledge of the Company; (ii) the Company and its subsidiaries have implemented and maintained reasonable controls, policies, procedures, and safeguards designed to maintain and protect their material confidential information and the integrity, continuous operation, redundancy and security of all IT Systems and data (including all personal, personally identifiable, sensitive, confidential or regulated data and such data of their respective customers, employees, suppliers, vendors and any third-party data maintained by or on behalf of them (“Personal Data”)) collected, processed, stored, transmitted or otherwise used in connection with their businesses, and there have been no material breaches, violations, outages, unauthorized uses of or accesses to, or other compromises of same, except for those that have been remedied without material cost or liability or the legal duty to notify any other person, nor any incidents under internal review or investigations relating to the same; (iii)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collection, processing, storage, transmission and other use,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(dd) (i) The Company and its subsidiaries have complied, and are presently in compliance, in all material respects, with all internal and external privacy policies, binding contractual obligations, binding industry standards, applicable laws, statutes, judgments, orders, rules and regulations of any court or arbitrator or other governmental or regulatory authority and any legal obligations regarding the collection, use, transfer, import, export, storage, protection, disposal and disclosure by the Company and its subsidiaries of Personal Data (“Data Security Obligations”); (ii) neither the Company nor any of its subsidiaries has received any written notification of or written complaint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or are aware of any other facts that, individually or in the aggregate, would reasonably indicate non-compliance with any Data Security Obligation; and (iii) there is no pending, or to the knowledge of the Company, threatened, action, suit or proceeding by or before any court or governmental agency, authority or body pending or threatened alleging non-compliance with any Data Security Obligation. The Company and its subsidiaries have at all times taken steps reasonably necessary in accordance with industry standard practices (including, without limitation, implementing and monitoring compliance with adequate measures with respect to technical and physical security) to protect such information against loss and against unauthorized access, use, modification, disclosure or other misuse, except in each case to the extent that the failure to do so would not reasonably be expected to have a material adverse effect on the Company and its subsidiaries, taken as a whole. To the knowledge of the Company, except as disclosed in the Registration Statement, the Pricing Disclosure Package or the Prospectus or as would not individually or in the aggregate have a material adverse effect on the Company and its subsidiaries, taken as a whole, there has been no unauthorized access to such information, including Personal Data.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No Unlawful Payments.</w:t>
      </w:r>
      <w:r>
        <w:rPr>
          <w:rFonts w:ascii="Times New Roman" w:hAnsi="Times New Roman"/>
          <w:sz w:val="20"/>
        </w:rPr>
        <w:t xml:space="preserve"> Neither the Company nor any of its subsidiaries nor, to the knowledge of the Company, any director, officer, employee,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U.S. Foreign Corrupt Practices Act of 1977, as amended, the Bribery Act 2010 of the United Kingdom, to the extent applicable,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net proceeds of the sale of the Shares in furtherance of an offer, payment, promise to pay, or authorization of the payment or giving of money, or anything else of value, to any person in violation of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Compliance with Anti-Money Laundering Laws</w:t>
      </w:r>
      <w:r>
        <w:rPr>
          <w:rFonts w:ascii="Times New Roman" w:hAnsi="Times New Roman"/>
          <w:sz w:val="20"/>
        </w:rPr>
        <w:t xml:space="preserve">.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No Conflicts with Sanctions Laws. </w:t>
      </w:r>
      <w:r>
        <w:rPr>
          <w:rFonts w:ascii="Times New Roman" w:hAnsi="Times New Roman"/>
          <w:sz w:val="20"/>
        </w:rPr>
        <w:t xml:space="preserve">Neither the Company nor any of its subsidiaries nor, to the knowledge of the Company, any director, officer, agent, employee, other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the United Kingdom government (including the Foreign, Commonwealth &amp; Development Office), the United Nations Security Council, or other relevant sanctions authority (collectively, “Sanctions”), (ii) located, organized, or resident in a country or territory that is the subject or target of Sanctions broadly prohibiting dealings with such country or territory (including, without limitation, Cuba, Iran, North Korea, Syria (prior to July 1, 2025), the Crimea Region of Ukraine, the so-called Donetsk People’s Republic, the so-called Luhansk People’s Republic, and the non-government controlled areas of the Zaporizhzhia and Kherson Regions of Ukraine) (each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prohibiting such funding or (ii) in any other manner that will result in a violation by any person (including any person participating in the transaction, whether as Purchaser, advisor, investor or otherwise) of Sanctions; neither the Company nor any of its subsidiaries is engaged in, or has, at any time since April 24, 2019, engaged in, any dealings or transactions with or involving any individual or entity that was or is, as applicable, at the time of such dealing or transaction, the subject or target of Sanctions prohibiting such dealing or transaction or with any Sanctioned Jurisdiction; the Company and its subsidiaries have instituted, and maintain, policies and procedures designed to promote and achieve continued compliance with Sanctions.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Broker’s Fees.</w:t>
      </w:r>
      <w:r>
        <w:rPr>
          <w:rFonts w:ascii="Times New Roman" w:hAnsi="Times New Roman"/>
          <w:sz w:val="20"/>
        </w:rPr>
        <w:t xml:space="preserve"> Except as described in the Registration Statement, the Pricing Disclosure Package and the Prospectus, there are no contracts, agreements or understandings between the Company nor any of its subsidiaries and any person that would give rise to a valid claim against the Company or any of its subsidiaries or any Underwriter for a brokerage commission, finder’s fee or other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Registration Rights</w:t>
      </w:r>
      <w:r>
        <w:rPr>
          <w:rFonts w:ascii="Times New Roman" w:hAnsi="Times New Roman"/>
          <w:sz w:val="20"/>
        </w:rPr>
        <w:t xml:space="preserve">. There are no persons with registration rights or other similar rights to have any securities registered for sale or sold by the Company under the Securities Act except as have been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Stabilization.</w:t>
      </w:r>
      <w:r>
        <w:rPr>
          <w:rFonts w:ascii="Times New Roman" w:hAnsi="Times New Roman"/>
          <w:sz w:val="20"/>
        </w:rPr>
        <w:t xml:space="preserve"> 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Margin Rules</w:t>
      </w:r>
      <w:r>
        <w:rPr>
          <w:rFonts w:ascii="Times New Roman" w:hAnsi="Times New Roman"/>
          <w:sz w:val="20"/>
        </w:rPr>
        <w:t xml:space="preserve">. None of the transactions contemplated by this Agreement (including, without limitation, the use of the proceeds from the sale of the Shares) will violate or result in a violation of Section 7 of the Exchange Act, or any regulation promulgated thereunder, including, without limitation, Regulations T, U, and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(mm) Since the date as of which applicable information is given in the Pricing Disclosure Package and the Prospectus, and except as may otherwise be disclosed in the Registration Statement, Pricing Disclosure Package and the Prospectus, the Company has not (i) issued or granted any securities, other than pursuant to employee benefit plans, stock option plans or other employee compensation plans or pursuant to the exercise of outstanding options or warrants or settlement of other outstanding rights granted thereunder, (ii) incurred any liability or obligation, direct or contingent, other than liabilities and obligations which were incurred in the ordinary course of business, (iii) entered into any material transaction not in the ordinary course of business or (iv) declared or paid any dividends on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Pricing Disclosure Package and the Prospectus is not based on or derived from sources that the Company believes, after reasonable inquiry,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Ratings</w:t>
      </w:r>
      <w:r>
        <w:rPr>
          <w:rFonts w:ascii="Times New Roman" w:hAnsi="Times New Roman"/>
          <w:sz w:val="20"/>
        </w:rPr>
        <w:t xml:space="preserve">. There is no debt of, or guaranteed by, the Company or any of its subsidiaries that is rated by a “nationally recognized statistical rating organization,” as that term is defined by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Stamp Taxes</w:t>
      </w:r>
      <w:r>
        <w:rPr>
          <w:rFonts w:ascii="Times New Roman" w:hAnsi="Times New Roman"/>
          <w:sz w:val="20"/>
        </w:rPr>
        <w:t xml:space="preserve">. There are no transfer taxes, stamp duty or other similar fees or charges under U.S. federal law or the laws of any U.S. state, or any political subdivision thereof, required to be paid in connection with the execution and delivery of this Agreement or the sale, issuance and delivery of the Shares by the Company to the Underwriters through the facilities of the DTC.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Outbound Investments</w:t>
      </w:r>
      <w:r>
        <w:rPr>
          <w:rFonts w:ascii="Times New Roman" w:hAnsi="Times New Roman"/>
          <w:sz w:val="20"/>
        </w:rPr>
        <w:t xml:space="preserve">. Neither the Company nor any of its subsidiaries (1) is a “covered foreign person”, as that term is defined in 31 C.F.R. § 850.209 (“Covered Foreign Person”), or (2) plans to make any investment, become a party to any joint venture or other arrangement, or engage in any other activity as a result of which the Company would be or become a Covered Foreign Person. </w:t>
      </w:r>
    </w:p>
    <w:p>
      <w:pPr>
        <w:pStyle w:val="TextBody"/>
        <w:bidi w:val="0"/>
        <w:spacing w:before="120" w:after="0"/>
        <w:jc w:val="left"/>
        <w:rPr>
          <w:rFonts w:ascii="Times New Roman" w:hAnsi="Times New Roman"/>
          <w:sz w:val="20"/>
        </w:rPr>
      </w:pPr>
      <w:r>
        <w:rPr>
          <w:rFonts w:ascii="Times New Roman" w:hAnsi="Times New Roman"/>
          <w:sz w:val="20"/>
        </w:rPr>
        <w:t xml:space="preserve">(tt) There are no contracts or other documents of a character required to be described in the Registration Statement or to be filed as an exhibit to the Registration Statement that are not described or filed as required.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 for this offering within the time period required by Rule 456(b)(1) under the Securities Act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Upon written request of the Representatives, the Company will deliver, without charge, (i) to the Representatives, three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(which may be 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to the knowledge of the Company,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to the knowledge of the Company, the initiation or threatening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or any Additional Closing Date, as the case may be,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will use commercially reasonable efforts with Underwriters’ cooperation, if necessary, to qualify the Shares for offer and sale under the securities or Blue Sky laws of such jurisdictions as the Representatives shall reasonably request and will use commercially reasonable efforts to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reasonably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45 days after the date of the Prospectus (the “Lock-Up Period”), the Company will not, and will not publicly disclose the intention to, (i) offer, sell, contract to sell, pledge, grant any option to purchase, make any short sale, lend or otherwise transfer or dispose of, directly or indirectly, or file with or confidentially submit to the Commission a registration statement under the Securities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including, for the avoidance of doubt, Class B common stock, $0.000001 par value per share, of the Company (the “Class B Common Stock”) (collectively, the “Securities”) or (ii) enter into any hedging, swap or other agreement that transfers, in whole or in part, any of the economic consequences of ownership of the Stock or any Securities, whether any such transaction described in clause (i) or (ii) above is to be settled by delivery of Stock or any Securities, in cash or otherwise (other than the Shares to be sold hereunder), without the prior written consent of the Representatives; provided, however, that the foregoing restrictions shall not apply to (A) Shares to be sold hereunder; (B) the issuance by the Company of Stock upon the exercise of options or the settlement of restricted stock units (including any “net” or “cashless” exercises or settlements) outstanding as of the date of this Agreement or granted after the date of this Agreement pursuant to the Company’s equity plans described in the Registration Statement, Pricing Disclosure Package or the Prospectus or upon the exercise of warrants or the conversion or exchange of convertible or exchangeable securities outstanding as of the date of this Agreement (including the Company’s outstanding Class B Common Stock, 1.00% Convertible Senior Notes due 2027 and 0.75% Convertible Senior Notes due 2030); (C) the grant of options to purchase or issuance by the Company of shares of Stock or securities convertible into, exchangeable for or that represent the right to receive shares of Stock, in each case pursuant to the Company’s equity plans described in the Pricing Disclosure Package; (D) the issuance by the Company of shares of Stock or securities convertible into, exchangeable for or that represent the right to receive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joint ventures, commercial relationships and other strategic relationships; (E) the issuance of shares of Stock in charitable contributions pursuant to the program approved by our board of directors as described in our Form 10-K for the year ended December 31, 2025; (F) the filing of any registration statement(s) on Form S-8 relating to the securities granted or to be granted pursuant to (i) the Company’s equity plans that are described in the Registration Statement, Pricing Disclosure Package or the Prospectus or (ii) any assumed employee benefit plan contemplated by (D); or (G) the consummation of the transactions contemplated by, or termination of, capped call confirmations entered into in connection with the Company’s 0.75% Convertible Senior Notes due 2030; provided, that the aggregate number of shares of Stock that the Company may sell or issue or agree to sell or issue pursuant to clause (D) shall not exceed 10% of the total number of shares of common stock of the Company outstanding immediately following the issuance of the Shares contemplated by this Agreement; and provided further, that (except with respect to issuances by the Company of options or restricted stock units that do not vest during the Lock-Up Period), in the case of clause (B) and (C), the Company shall cause each recipient of such securities that is a member of the Company’s board of directors or an executive officer of the Company (including newly appointed members of the Company’s board of directors or executive officers that is a recipient of such securities) and, in the case of clause (D) and (E), each recipient of such securities shall execute and deliver to the Representatives, on or prior to the issuance of such securities, a lock-up letter on substantially the same terms as the lock-up letters referenced in Section 8 hereof for the remainder of the Lock-Up Period (as defined therein) (to the extent not already executed and delivered by such recipients as of the date hereof); and the Company shall enter stop transfer instructions with the Company’s transfer agent and registrar on such securities, which the Company agrees it will not waive or amend without the prior written consent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apply the net proceeds from the sale of the Shares as described in each of the Registration Statement,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Neither the Company nor its subsidiaries or affiliates will take, directly or indirectly, any action designed to or that could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will use its reasonable best efforts to list, subject to notice of issuance, the Shares on The Nasdaq Global Select Market (“Nasdaq”).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two years from the date of this Agreement, so long as the Company is subject to the reporting requirements of either Section 13 or Section 15(d) of the Exchange Act,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Representatives to the extent they are filed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Shelf Renewal</w:t>
      </w:r>
      <w:r>
        <w:rPr>
          <w:rFonts w:ascii="Times New Roman" w:hAnsi="Times New Roman"/>
          <w:sz w:val="20"/>
        </w:rPr>
        <w:t xml:space="preserve">. If immediately prior to the third anniversary (the “Renewal Deadline”) of the initial effective date of the 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Representatives. If the Company is not eligible to file an automatic shelf registration statement, the Company will, prior to the Renewal Deadline, if it has not already done so, file a new shelf registration statement relating to the Shares, in a form satisfactory to the Representatives,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hAnsi="Times New Roman"/>
          <w:i/>
          <w:sz w:val="20"/>
        </w:rPr>
        <w:t>provided</w:t>
      </w:r>
      <w:r>
        <w:rPr>
          <w:rFonts w:ascii="Times New Roman" w:hAnsi="Times New Roman"/>
          <w:sz w:val="20"/>
        </w:rPr>
        <w:t xml:space="preserve"> that Underwriters may use a term sheet substantially in the form of Annex C hereto without the consent of the Company; </w:t>
      </w:r>
      <w:r>
        <w:rPr>
          <w:rFonts w:ascii="Times New Roman" w:hAnsi="Times New Roman"/>
          <w:i/>
          <w:sz w:val="20"/>
        </w:rPr>
        <w:t>provided further</w:t>
      </w:r>
      <w:r>
        <w:rPr>
          <w:rFonts w:ascii="Times New Roman" w:hAnsi="Times New Roman"/>
          <w:sz w:val="20"/>
        </w:rPr>
        <w:t xml:space="preserve"> that any Underwriter using such term sheet shall notify the Company, and provide a copy of such term sheet to the Company, prior to, or substantially concurrently with, the first use of such term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Effect.</w:t>
      </w:r>
      <w:r>
        <w:rPr>
          <w:rFonts w:ascii="Times New Roman" w:hAnsi="Times New Roman"/>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or the Additional Closing Date, as the case 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(i) On the date of this Agreement and on the Closing Date or the Additional Closing Date, as the case may be, KPMG LLP and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 and 10b-5 Statement of Counsel for the Company.</w:t>
      </w:r>
      <w:r>
        <w:rPr>
          <w:rFonts w:ascii="Times New Roman" w:hAnsi="Times New Roman"/>
          <w:sz w:val="20"/>
        </w:rPr>
        <w:t xml:space="preserve"> Cooley LLP, counsel for the 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Exchange Listing.</w:t>
      </w:r>
      <w:r>
        <w:rPr>
          <w:rFonts w:ascii="Times New Roman" w:hAnsi="Times New Roman"/>
          <w:sz w:val="20"/>
        </w:rPr>
        <w:t xml:space="preserve"> The Shares to be delivered on the Closing Date or the Additional Closing Date, as the case may be, shall have been approved for listing on Nasdaq, subject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Lock-up Agreements</w:t>
      </w:r>
      <w:r>
        <w:rPr>
          <w:rFonts w:ascii="Times New Roman" w:hAnsi="Times New Roman"/>
          <w:sz w:val="20"/>
        </w:rPr>
        <w:t xml:space="preserve">. The “lock-up” agreements, each substantially in the form of Exhibit B hereto, between the Representatives and the executive officers and directors of the Company relating to sales and certain other dispositions of shares of Stock or certain other securities, delivered to you on or before the date hereof, shall be in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or incorporated by reference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or incorporated by reference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(such information,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transfer or similar taxes payable in connection with the sale and delivery of the Shares to the Underwriters;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reasonable and documented expenses and application fees incurred in connection with any filing with, and clearance of the offering by, FINRA; (viii) all expenses incurred by the Company in connection with any “road show” presentation to potential investors; and (ix) all expenses and application fees related to the listing of the Shares on Nasdaq; provided, however, that the reasonable fees and expenses of counsel for the Underwriters incurred pursuant to clauses (iv) and (vii) of this Section 11(a) shall not exceed $10,000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reasonable and documented out-of-pocket costs and expenses (including the reasonable and documented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otherwise provided in this Section 11 and in Section 7 titled “Indemnification and Contribution,” the Underwriters shall pay their own costs and expenses, including the fees and expenses of their counsel not contemplated herein, any transfer taxes on the resale of any Shares by them and the expenses of advertising any offering of the Shares made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270 Park Avenue, New York, New York 10017 (fax: (212) 622-8358); Attention: Equity Syndicate Desk and c/o Goldman Sachs &amp; Co. LLC, 200 West Street, New York, New York 10282-2198, Attention: Registration Department, Fax No.: (212) 902-9316, Email: registration-syndops@ny.email.gs.com. Notices to the Company shall be given to it at 6116 Executive Blvd., Ste. 800, North Bethesda, MD, 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16(e):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XOMETRY,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James Miln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James Miln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Olivia Sem</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Name: Olivia Sem</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William Connolly</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Name: William Connolly</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Severally on behalf of themselves and on behalf of each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4718"/>
        <w:gridCol w:w="396"/>
        <w:gridCol w:w="100"/>
        <w:gridCol w:w="1662"/>
        <w:gridCol w:w="63"/>
      </w:tblGrid>
      <w:tr>
        <w:trPr/>
        <w:tc>
          <w:tcPr>
            <w:tcW w:w="4718"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1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396"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63" w:type="dxa"/>
            <w:tcBorders/>
            <w:vAlign w:val="bottom"/>
          </w:tcPr>
          <w:p>
            <w:pPr>
              <w:pStyle w:val="TableContents"/>
              <w:bidi w:val="0"/>
              <w:spacing w:before="0" w:after="283"/>
              <w:jc w:val="left"/>
              <w:rPr/>
            </w:pPr>
            <w:r>
              <w:rPr/>
              <w:t> </w:t>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62" w:type="dxa"/>
            <w:tcBorders/>
            <w:shd w:fill="CCEEFF" w:val="clear"/>
            <w:vAlign w:val="bottom"/>
          </w:tcPr>
          <w:p>
            <w:pPr>
              <w:pStyle w:val="TableContents"/>
              <w:bidi w:val="0"/>
              <w:spacing w:before="0" w:after="283"/>
              <w:jc w:val="right"/>
              <w:rPr/>
            </w:pPr>
            <w:r>
              <w:rPr/>
              <w:t>976,103</w:t>
            </w:r>
          </w:p>
        </w:tc>
        <w:tc>
          <w:tcPr>
            <w:tcW w:w="63" w:type="dxa"/>
            <w:tcBorders/>
            <w:shd w:fill="CCEEFF" w:val="clear"/>
            <w:vAlign w:val="bottom"/>
          </w:tcPr>
          <w:p>
            <w:pPr>
              <w:pStyle w:val="TableContents"/>
              <w:bidi w:val="0"/>
              <w:spacing w:before="0" w:after="283"/>
              <w:jc w:val="left"/>
              <w:rPr/>
            </w:pPr>
            <w:r>
              <w:rPr/>
              <w:t> </w:t>
            </w:r>
          </w:p>
        </w:tc>
      </w:tr>
      <w:tr>
        <w:trPr/>
        <w:tc>
          <w:tcPr>
            <w:tcW w:w="4718"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9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62" w:type="dxa"/>
            <w:tcBorders/>
            <w:vAlign w:val="bottom"/>
          </w:tcPr>
          <w:p>
            <w:pPr>
              <w:pStyle w:val="TableContents"/>
              <w:bidi w:val="0"/>
              <w:spacing w:before="0" w:after="283"/>
              <w:jc w:val="right"/>
              <w:rPr/>
            </w:pPr>
            <w:r>
              <w:rPr/>
              <w:t>976,103</w:t>
            </w:r>
          </w:p>
        </w:tc>
        <w:tc>
          <w:tcPr>
            <w:tcW w:w="63" w:type="dxa"/>
            <w:tcBorders/>
            <w:vAlign w:val="bottom"/>
          </w:tcPr>
          <w:p>
            <w:pPr>
              <w:pStyle w:val="TableContents"/>
              <w:bidi w:val="0"/>
              <w:spacing w:before="0" w:after="283"/>
              <w:jc w:val="left"/>
              <w:rPr/>
            </w:pPr>
            <w:r>
              <w:rPr/>
              <w:t> </w:t>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3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62" w:type="dxa"/>
            <w:tcBorders/>
            <w:shd w:fill="CCEEFF" w:val="clear"/>
            <w:vAlign w:val="bottom"/>
          </w:tcPr>
          <w:p>
            <w:pPr>
              <w:pStyle w:val="TableContents"/>
              <w:bidi w:val="0"/>
              <w:spacing w:before="0" w:after="283"/>
              <w:jc w:val="right"/>
              <w:rPr/>
            </w:pPr>
            <w:r>
              <w:rPr/>
              <w:t>248,162</w:t>
            </w:r>
          </w:p>
        </w:tc>
        <w:tc>
          <w:tcPr>
            <w:tcW w:w="63" w:type="dxa"/>
            <w:tcBorders/>
            <w:shd w:fill="CCEEFF" w:val="clear"/>
            <w:vAlign w:val="bottom"/>
          </w:tcPr>
          <w:p>
            <w:pPr>
              <w:pStyle w:val="TableContents"/>
              <w:bidi w:val="0"/>
              <w:spacing w:before="0" w:after="283"/>
              <w:jc w:val="left"/>
              <w:rPr/>
            </w:pPr>
            <w:r>
              <w:rPr/>
              <w:t> </w:t>
            </w:r>
          </w:p>
        </w:tc>
      </w:tr>
      <w:tr>
        <w:trPr/>
        <w:tc>
          <w:tcPr>
            <w:tcW w:w="4718" w:type="dxa"/>
            <w:tcBorders/>
          </w:tcPr>
          <w:p>
            <w:pPr>
              <w:pStyle w:val="TableContents"/>
              <w:bidi w:val="0"/>
              <w:spacing w:before="0" w:after="0"/>
              <w:jc w:val="left"/>
              <w:rPr>
                <w:rFonts w:ascii="Times New Roman" w:hAnsi="Times New Roman"/>
                <w:sz w:val="20"/>
              </w:rPr>
            </w:pPr>
            <w:r>
              <w:rPr>
                <w:rFonts w:ascii="Times New Roman" w:hAnsi="Times New Roman"/>
                <w:sz w:val="20"/>
              </w:rPr>
              <w:t>Citizens JPM Securities, LLC</w:t>
            </w:r>
          </w:p>
        </w:tc>
        <w:tc>
          <w:tcPr>
            <w:tcW w:w="39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62" w:type="dxa"/>
            <w:tcBorders/>
            <w:vAlign w:val="bottom"/>
          </w:tcPr>
          <w:p>
            <w:pPr>
              <w:pStyle w:val="TableContents"/>
              <w:bidi w:val="0"/>
              <w:spacing w:before="0" w:after="283"/>
              <w:jc w:val="right"/>
              <w:rPr/>
            </w:pPr>
            <w:r>
              <w:rPr/>
              <w:t>198,529</w:t>
            </w:r>
          </w:p>
        </w:tc>
        <w:tc>
          <w:tcPr>
            <w:tcW w:w="63" w:type="dxa"/>
            <w:tcBorders/>
            <w:vAlign w:val="bottom"/>
          </w:tcPr>
          <w:p>
            <w:pPr>
              <w:pStyle w:val="TableContents"/>
              <w:bidi w:val="0"/>
              <w:spacing w:before="0" w:after="283"/>
              <w:jc w:val="left"/>
              <w:rPr/>
            </w:pPr>
            <w:r>
              <w:rPr/>
              <w:t> </w:t>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3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62" w:type="dxa"/>
            <w:tcBorders/>
            <w:shd w:fill="CCEEFF" w:val="clear"/>
            <w:vAlign w:val="bottom"/>
          </w:tcPr>
          <w:p>
            <w:pPr>
              <w:pStyle w:val="TableContents"/>
              <w:bidi w:val="0"/>
              <w:spacing w:before="0" w:after="283"/>
              <w:jc w:val="right"/>
              <w:rPr/>
            </w:pPr>
            <w:r>
              <w:rPr/>
              <w:t>124,081</w:t>
            </w:r>
          </w:p>
        </w:tc>
        <w:tc>
          <w:tcPr>
            <w:tcW w:w="63" w:type="dxa"/>
            <w:tcBorders/>
            <w:shd w:fill="CCEEFF" w:val="clear"/>
            <w:vAlign w:val="bottom"/>
          </w:tcPr>
          <w:p>
            <w:pPr>
              <w:pStyle w:val="TableContents"/>
              <w:bidi w:val="0"/>
              <w:spacing w:before="0" w:after="283"/>
              <w:jc w:val="left"/>
              <w:rPr/>
            </w:pPr>
            <w:r>
              <w:rPr/>
              <w:t> </w:t>
            </w:r>
          </w:p>
        </w:tc>
      </w:tr>
      <w:tr>
        <w:trPr/>
        <w:tc>
          <w:tcPr>
            <w:tcW w:w="4718" w:type="dxa"/>
            <w:tcBorders/>
          </w:tcPr>
          <w:p>
            <w:pPr>
              <w:pStyle w:val="TableContents"/>
              <w:bidi w:val="0"/>
              <w:spacing w:before="0" w:after="0"/>
              <w:jc w:val="left"/>
              <w:rPr>
                <w:rFonts w:ascii="Times New Roman" w:hAnsi="Times New Roman"/>
                <w:sz w:val="20"/>
              </w:rPr>
            </w:pPr>
            <w:r>
              <w:rPr>
                <w:rFonts w:ascii="Times New Roman" w:hAnsi="Times New Roman"/>
                <w:sz w:val="20"/>
              </w:rPr>
              <w:t>Craig-Hallum Capital Group LLC</w:t>
            </w:r>
          </w:p>
        </w:tc>
        <w:tc>
          <w:tcPr>
            <w:tcW w:w="39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62" w:type="dxa"/>
            <w:tcBorders/>
            <w:vAlign w:val="bottom"/>
          </w:tcPr>
          <w:p>
            <w:pPr>
              <w:pStyle w:val="TableContents"/>
              <w:bidi w:val="0"/>
              <w:spacing w:before="0" w:after="283"/>
              <w:jc w:val="right"/>
              <w:rPr/>
            </w:pPr>
            <w:r>
              <w:rPr/>
              <w:t>124,081</w:t>
            </w:r>
          </w:p>
        </w:tc>
        <w:tc>
          <w:tcPr>
            <w:tcW w:w="63"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62" w:type="dxa"/>
            <w:tcBorders/>
            <w:shd w:fill="CCEEFF" w:val="clear"/>
            <w:vAlign w:val="bottom"/>
          </w:tcPr>
          <w:p>
            <w:pPr>
              <w:pStyle w:val="TableContents"/>
              <w:bidi w:val="0"/>
              <w:spacing w:before="0" w:after="283"/>
              <w:jc w:val="right"/>
              <w:rPr/>
            </w:pPr>
            <w:r>
              <w:rPr/>
              <w:t>2,647,059</w:t>
            </w:r>
          </w:p>
        </w:tc>
        <w:tc>
          <w:tcPr>
            <w:tcW w:w="63"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66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r>
              <w:rPr>
                <w:rFonts w:ascii="Times New Roman" w:hAnsi="Times New Roman"/>
                <w:b/>
                <w:sz w:val="20"/>
              </w:rPr>
              <w:t xml:space="preserve">Free Writing Prospectuses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None.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Pricing Information Provided Orally by Underwriters</w:t>
            </w:r>
            <w:r>
              <w:rPr>
                <w:rFonts w:ascii="Times New Roman" w:hAnsi="Times New Roman"/>
                <w:sz w:val="20"/>
              </w:rPr>
              <w:t xml:space="preserv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96"/>
        <w:gridCol w:w="210"/>
        <w:gridCol w:w="3033"/>
      </w:tblGrid>
      <w:tr>
        <w:trPr/>
        <w:tc>
          <w:tcPr>
            <w:tcW w:w="369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10" w:type="dxa"/>
            <w:tcBorders/>
            <w:shd w:fill="CCEEFF" w:val="clear"/>
            <w:vAlign w:val="bottom"/>
          </w:tcPr>
          <w:p>
            <w:pPr>
              <w:pStyle w:val="TableContents"/>
              <w:bidi w:val="0"/>
              <w:spacing w:before="0" w:after="283"/>
              <w:jc w:val="left"/>
              <w:rPr/>
            </w:pPr>
            <w:r>
              <w:rPr/>
              <w:t>  </w:t>
            </w:r>
          </w:p>
        </w:tc>
        <w:tc>
          <w:tcPr>
            <w:tcW w:w="3033" w:type="dxa"/>
            <w:tcBorders/>
            <w:shd w:fill="CCEEFF" w:val="clear"/>
            <w:vAlign w:val="bottom"/>
          </w:tcPr>
          <w:p>
            <w:pPr>
              <w:pStyle w:val="TableContents"/>
              <w:bidi w:val="0"/>
              <w:spacing w:before="0" w:after="283"/>
              <w:jc w:val="left"/>
              <w:rPr/>
            </w:pPr>
            <w:r>
              <w:rPr/>
              <w:t>$85.00</w:t>
            </w:r>
          </w:p>
        </w:tc>
      </w:tr>
      <w:tr>
        <w:trPr>
          <w:trHeight w:val="120" w:hRule="atLeast"/>
        </w:trPr>
        <w:tc>
          <w:tcPr>
            <w:tcW w:w="3696"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w:t>
            </w:r>
          </w:p>
        </w:tc>
        <w:tc>
          <w:tcPr>
            <w:tcW w:w="210" w:type="dxa"/>
            <w:tcBorders/>
            <w:vAlign w:val="bottom"/>
          </w:tcPr>
          <w:p>
            <w:pPr>
              <w:pStyle w:val="TableContents"/>
              <w:bidi w:val="0"/>
              <w:spacing w:before="0" w:after="283"/>
              <w:jc w:val="left"/>
              <w:rPr/>
            </w:pPr>
            <w:r>
              <w:rPr/>
              <w:t>  </w:t>
            </w:r>
          </w:p>
        </w:tc>
        <w:tc>
          <w:tcPr>
            <w:tcW w:w="3033" w:type="dxa"/>
            <w:tcBorders/>
            <w:vAlign w:val="bottom"/>
          </w:tcPr>
          <w:p>
            <w:pPr>
              <w:pStyle w:val="TableContents"/>
              <w:bidi w:val="0"/>
              <w:jc w:val="left"/>
              <w:rPr/>
            </w:pPr>
            <w:r>
              <w:rPr/>
              <w:t>2,647,059 Underwritten Shares</w:t>
              <w:br/>
              <w:t>plus</w:t>
            </w:r>
          </w:p>
          <w:p>
            <w:pPr>
              <w:pStyle w:val="TableContents"/>
              <w:bidi w:val="0"/>
              <w:spacing w:before="0" w:after="20"/>
              <w:jc w:val="left"/>
              <w:rPr>
                <w:rFonts w:ascii="Times New Roman" w:hAnsi="Times New Roman"/>
                <w:sz w:val="20"/>
              </w:rPr>
            </w:pPr>
            <w:r>
              <w:rPr>
                <w:rFonts w:ascii="Times New Roman" w:hAnsi="Times New Roman"/>
                <w:sz w:val="20"/>
              </w:rPr>
              <w:t>397,058 Option 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None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C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None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Testing-the-Waters Authorization </w:t>
      </w:r>
    </w:p>
    <w:p>
      <w:pPr>
        <w:pStyle w:val="TextBody"/>
        <w:bidi w:val="0"/>
        <w:spacing w:before="120" w:after="0"/>
        <w:jc w:val="center"/>
        <w:rPr>
          <w:rFonts w:ascii="Times New Roman" w:hAnsi="Times New Roman"/>
          <w:sz w:val="20"/>
        </w:rPr>
      </w:pPr>
      <w:r>
        <w:rPr>
          <w:rFonts w:ascii="Times New Roman" w:hAnsi="Times New Roman"/>
          <w:sz w:val="20"/>
        </w:rPr>
        <w:t xml:space="preserve">(to be delivered by the issuer to J.P. Morgan in email or letter form) </w:t>
      </w:r>
    </w:p>
    <w:p>
      <w:pPr>
        <w:pStyle w:val="TextBody"/>
        <w:bidi w:val="0"/>
        <w:spacing w:before="240" w:after="0"/>
        <w:jc w:val="left"/>
        <w:rPr>
          <w:rFonts w:ascii="Times New Roman" w:hAnsi="Times New Roman"/>
          <w:sz w:val="20"/>
        </w:rPr>
      </w:pPr>
      <w:r>
        <w:rPr>
          <w:rFonts w:ascii="Times New Roman" w:hAnsi="Times New Roman"/>
          <w:sz w:val="20"/>
        </w:rPr>
        <w:t xml:space="preserve">In reliance on Rule 163B under the Securities Act of 1933, as amended (the “Act”), Xometry, Inc. (the “Issuer”) hereby authorizes J.P. Morgan Securities LLC (“J.P. Morgan”) and its affiliates and employees to engage on behalf of the Issuer in oral and written communications (“Testing-the-Waters Communications”) with potential investors that are reasonably believed to be “qualified institutional buyers”, as defined in Rule 144A under the Act, or institutions that are “accredited investors”, within the meaning of Rule 501(a)(1), (a)(2), (a)(3), (a)(7), (a)(8), (a)(9), (a)(12) or (a)(13) under the Act, to determine whether such investors might have an interest in the Issuer’s contemplated offering (the “Offering”). </w:t>
      </w:r>
    </w:p>
    <w:p>
      <w:pPr>
        <w:pStyle w:val="TextBody"/>
        <w:bidi w:val="0"/>
        <w:spacing w:before="240" w:after="0"/>
        <w:jc w:val="left"/>
        <w:rPr>
          <w:rFonts w:ascii="Times New Roman" w:hAnsi="Times New Roman"/>
          <w:sz w:val="20"/>
        </w:rPr>
      </w:pPr>
      <w:r>
        <w:rPr>
          <w:rFonts w:ascii="Times New Roman" w:hAnsi="Times New Roman"/>
          <w:sz w:val="20"/>
        </w:rPr>
        <w:t xml:space="preserve">A “Written Testing-the Waters Communication” means any Testing-the-Waters Communication that is a written communication within the meaning of Rule 405 under the Act. J.P. Morgan agrees that it will not distribute any Written Testing-the-Waters Communication that has not been approved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authorization is intended to limit or otherwise affect the ability of J.P. Morgan and its affiliates and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a written notice revoking this authorization, until the completion of the Offering, or until the Issuer notifies J.P. Morgan that the Offering is not proceeding. All notices as described herein shall be sent by email to the attention of Olivia Sem Buran at olivia.c.sem@jpmorgan.com.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___,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Xometry, Inc. – Lock-Up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you, as representatives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Agreement</w:t>
      </w:r>
      <w:r>
        <w:rPr>
          <w:rFonts w:ascii="Times New Roman" w:hAnsi="Times New Roman"/>
          <w:sz w:val="20"/>
        </w:rPr>
        <w:t>”) on behalf of the several Underwriters named in Schedule I to such agreement (collectively, the “</w:t>
      </w:r>
      <w:r>
        <w:rPr>
          <w:rFonts w:ascii="Times New Roman" w:hAnsi="Times New Roman"/>
          <w:b/>
          <w:sz w:val="20"/>
        </w:rPr>
        <w:t>Underwriters</w:t>
      </w:r>
      <w:r>
        <w:rPr>
          <w:rFonts w:ascii="Times New Roman" w:hAnsi="Times New Roman"/>
          <w:sz w:val="20"/>
        </w:rPr>
        <w:t>”), with Xometry, Inc., a Delaware corporation (the “</w:t>
      </w:r>
      <w:r>
        <w:rPr>
          <w:rFonts w:ascii="Times New Roman" w:hAnsi="Times New Roman"/>
          <w:b/>
          <w:sz w:val="20"/>
        </w:rPr>
        <w:t>Company</w:t>
      </w:r>
      <w:r>
        <w:rPr>
          <w:rFonts w:ascii="Times New Roman" w:hAnsi="Times New Roman"/>
          <w:sz w:val="20"/>
        </w:rPr>
        <w:t>”), providing for the public offering and sale (the “</w:t>
      </w:r>
      <w:r>
        <w:rPr>
          <w:rFonts w:ascii="Times New Roman" w:hAnsi="Times New Roman"/>
          <w:b/>
          <w:sz w:val="20"/>
        </w:rPr>
        <w:t>Offering</w:t>
      </w:r>
      <w:r>
        <w:rPr>
          <w:rFonts w:ascii="Times New Roman" w:hAnsi="Times New Roman"/>
          <w:sz w:val="20"/>
        </w:rPr>
        <w:t>”) of shares (the “</w:t>
      </w:r>
      <w:r>
        <w:rPr>
          <w:rFonts w:ascii="Times New Roman" w:hAnsi="Times New Roman"/>
          <w:b/>
          <w:sz w:val="20"/>
        </w:rPr>
        <w:t>Shares</w:t>
      </w:r>
      <w:r>
        <w:rPr>
          <w:rFonts w:ascii="Times New Roman" w:hAnsi="Times New Roman"/>
          <w:sz w:val="20"/>
        </w:rPr>
        <w:t>) of the Class A common stock, par value $0.000001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of the Company, pursuant to a Registration Statement on Form S-3ASR (the “</w:t>
      </w:r>
      <w:r>
        <w:rPr>
          <w:rFonts w:ascii="Times New Roman" w:hAnsi="Times New Roman"/>
          <w:b/>
          <w:sz w:val="20"/>
        </w:rPr>
        <w:t>Registration Statement</w:t>
      </w:r>
      <w:r>
        <w:rPr>
          <w:rFonts w:ascii="Times New Roman" w:hAnsi="Times New Roman"/>
          <w:sz w:val="20"/>
        </w:rPr>
        <w:t>”) to be filed with the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consideration of the agreement by the Underwriters to offer and sell the Shares in the Offering, and of other good and valuable consideration the receipt and sufficiency of which is hereby acknowledged, the undersigned agrees that, during the period beginning from the date of this letter (the “</w:t>
      </w:r>
      <w:r>
        <w:rPr>
          <w:rFonts w:ascii="Times New Roman" w:hAnsi="Times New Roman"/>
          <w:b/>
          <w:sz w:val="20"/>
        </w:rPr>
        <w:t>Lock-Up Agreement</w:t>
      </w:r>
      <w:r>
        <w:rPr>
          <w:rFonts w:ascii="Times New Roman" w:hAnsi="Times New Roman"/>
          <w:sz w:val="20"/>
        </w:rPr>
        <w:t>”) and continuing to and including the date 45 days after the date of the final prospectus supplement relating to the Offering (the “</w:t>
      </w:r>
      <w:r>
        <w:rPr>
          <w:rFonts w:ascii="Times New Roman" w:hAnsi="Times New Roman"/>
          <w:b/>
          <w:sz w:val="20"/>
        </w:rPr>
        <w:t>Prospectus</w:t>
      </w:r>
      <w:r>
        <w:rPr>
          <w:rFonts w:ascii="Times New Roman" w:hAnsi="Times New Roman"/>
          <w:sz w:val="20"/>
        </w:rPr>
        <w:t>” and such period, the “</w:t>
      </w:r>
      <w:r>
        <w:rPr>
          <w:rFonts w:ascii="Times New Roman" w:hAnsi="Times New Roman"/>
          <w:b/>
          <w:sz w:val="20"/>
        </w:rPr>
        <w:t>Lock-Up Period</w:t>
      </w:r>
      <w:r>
        <w:rPr>
          <w:rFonts w:ascii="Times New Roman" w:hAnsi="Times New Roman"/>
          <w:sz w:val="20"/>
        </w:rPr>
        <w:t>”), the undersigned shall not, and shall not cause or direct any of its affiliates to, (i) offer, sell, contract to sell, pledge, grant any option to purchase, lend or otherwise dispose of any shares of (a) Class A Common Stock, (b) Class B common stock of the Company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and together with the Class A Common Stock, the “</w:t>
      </w:r>
      <w:r>
        <w:rPr>
          <w:rFonts w:ascii="Times New Roman" w:hAnsi="Times New Roman"/>
          <w:b/>
          <w:sz w:val="20"/>
        </w:rPr>
        <w:t>Common Stock</w:t>
      </w:r>
      <w:r>
        <w:rPr>
          <w:rFonts w:ascii="Times New Roman" w:hAnsi="Times New Roman"/>
          <w:sz w:val="20"/>
        </w:rPr>
        <w:t>”), or (c) any options or warrants to purchase any shares of Common Stock of the Company, or any securities convertible into, exchangeable for or that represent the right to receive shares of Common Stock of the Company (such options, warrants, stock appreciation rights or other securities, collectively, the “</w:t>
      </w:r>
      <w:r>
        <w:rPr>
          <w:rFonts w:ascii="Times New Roman" w:hAnsi="Times New Roman"/>
          <w:b/>
          <w:sz w:val="20"/>
        </w:rPr>
        <w:t>Derivative Instruments</w:t>
      </w:r>
      <w:r>
        <w:rPr>
          <w:rFonts w:ascii="Times New Roman" w:hAnsi="Times New Roman"/>
          <w:sz w:val="20"/>
        </w:rPr>
        <w:t>”), including without limitation any such shares of Common Stock or Derivative Instruments now owned or hereafter acquired by the undersigned (collectively, the “</w:t>
      </w:r>
      <w:r>
        <w:rPr>
          <w:rFonts w:ascii="Times New Roman" w:hAnsi="Times New Roman"/>
          <w:b/>
          <w:sz w:val="20"/>
        </w:rPr>
        <w:t>Lock-Up Securities</w:t>
      </w:r>
      <w:r>
        <w:rPr>
          <w:rFonts w:ascii="Times New Roman" w:hAnsi="Times New Roman"/>
          <w:sz w:val="20"/>
        </w:rPr>
        <w:t xml:space="preserve">”),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Times New Roman" w:hAnsi="Times New Roman"/>
          <w:b/>
          <w:sz w:val="20"/>
        </w:rPr>
        <w:t>Transfer</w:t>
      </w:r>
      <w:r>
        <w:rPr>
          <w:rFonts w:ascii="Times New Roman" w:hAnsi="Times New Roman"/>
          <w:sz w:val="20"/>
        </w:rPr>
        <w:t xml:space="preserve">”)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w:t>
      </w:r>
    </w:p>
    <w:p>
      <w:pPr>
        <w:pStyle w:val="TextBody"/>
        <w:bidi w:val="0"/>
        <w:spacing w:before="240" w:after="0"/>
        <w:jc w:val="left"/>
        <w:rPr>
          <w:rFonts w:ascii="Times New Roman" w:hAnsi="Times New Roman"/>
          <w:sz w:val="20"/>
        </w:rPr>
      </w:pPr>
      <w:r>
        <w:rPr>
          <w:rFonts w:ascii="Times New Roman" w:hAnsi="Times New Roman"/>
          <w:sz w:val="20"/>
        </w:rPr>
        <w:t>If the undersigned is not a natural person, the undersigned represents and warrants that no single natural person, entity or “group” (within the meaning of Section 13(d)(3) of the Securities Exchange Act of 1934, as amended) (the “</w:t>
      </w:r>
      <w:r>
        <w:rPr>
          <w:rFonts w:ascii="Times New Roman" w:hAnsi="Times New Roman"/>
          <w:b/>
          <w:sz w:val="20"/>
        </w:rPr>
        <w:t>Exchange Act</w:t>
      </w:r>
      <w:r>
        <w:rPr>
          <w:rFonts w:ascii="Times New Roman" w:hAnsi="Times New Roman"/>
          <w:sz w:val="20"/>
        </w:rPr>
        <w:t xml:space="preserve">”),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the undersigned’s Lock-Up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or for </w:t>
            </w:r>
            <w:r>
              <w:rPr>
                <w:rFonts w:ascii="Times New Roman" w:hAnsi="Times New Roman"/>
                <w:i/>
                <w:sz w:val="20"/>
              </w:rPr>
              <w:t xml:space="preserve">bona fide </w:t>
            </w:r>
            <w:r>
              <w:rPr>
                <w:rFonts w:ascii="Times New Roman" w:hAnsi="Times New Roman"/>
                <w:sz w:val="20"/>
              </w:rPr>
              <w:t xml:space="preserve">estate planning purposes, </w:t>
            </w:r>
            <w:r>
              <w:rPr>
                <w:rFonts w:ascii="Times New Roman" w:hAnsi="Times New Roman"/>
                <w:i/>
                <w:sz w:val="20"/>
              </w:rPr>
              <w:t xml:space="preserve">provided </w:t>
            </w:r>
            <w:r>
              <w:rPr>
                <w:rFonts w:ascii="Times New Roman" w:hAnsi="Times New Roman"/>
                <w:sz w:val="20"/>
              </w:rPr>
              <w:t xml:space="preserve">that the donee or donees thereof agree to be bound in writing by the restrictions set forth herein, and </w:t>
            </w:r>
            <w:r>
              <w:rPr>
                <w:rFonts w:ascii="Times New Roman" w:hAnsi="Times New Roman"/>
                <w:i/>
                <w:sz w:val="20"/>
              </w:rPr>
              <w:t xml:space="preserve">provided further </w:t>
            </w:r>
            <w:r>
              <w:rPr>
                <w:rFonts w:ascii="Times New Roman" w:hAnsi="Times New Roman"/>
                <w:sz w:val="20"/>
              </w:rPr>
              <w:t xml:space="preserve">that any Section 16(a) filing required pursuant to the Exchange Act shall clearly state that such transfer is a </w:t>
            </w:r>
            <w:r>
              <w:rPr>
                <w:rFonts w:ascii="Times New Roman" w:hAnsi="Times New Roman"/>
                <w:i/>
                <w:sz w:val="20"/>
              </w:rPr>
              <w:t>bona fide</w:t>
            </w:r>
            <w:r>
              <w:rPr>
                <w:rFonts w:ascii="Times New Roman" w:hAnsi="Times New Roman"/>
                <w:sz w:val="20"/>
              </w:rPr>
              <w:t xml:space="preserve"> gift and that such shares remain subject to the restrictions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an immediate family member of the undersigned, </w:t>
            </w:r>
            <w:r>
              <w:rPr>
                <w:rFonts w:ascii="Times New Roman" w:hAnsi="Times New Roman"/>
                <w:i/>
                <w:sz w:val="20"/>
              </w:rPr>
              <w:t>provided</w:t>
            </w:r>
            <w:r>
              <w:rPr>
                <w:rFonts w:ascii="Times New Roman" w:hAnsi="Times New Roman"/>
                <w:sz w:val="20"/>
              </w:rPr>
              <w:t xml:space="preserve"> that the trustee of the trust agrees to be bound in writing by the restrictions set forth herein, </w:t>
            </w:r>
            <w:r>
              <w:rPr>
                <w:rFonts w:ascii="Times New Roman" w:hAnsi="Times New Roman"/>
                <w:i/>
                <w:sz w:val="20"/>
              </w:rPr>
              <w:t>provided further</w:t>
            </w:r>
            <w:r>
              <w:rPr>
                <w:rFonts w:ascii="Times New Roman" w:hAnsi="Times New Roman"/>
                <w:sz w:val="20"/>
              </w:rPr>
              <w:t xml:space="preserve"> that any such transfer shall not involve a disposition for value, and </w:t>
            </w:r>
            <w:r>
              <w:rPr>
                <w:rFonts w:ascii="Times New Roman" w:hAnsi="Times New Roman"/>
                <w:i/>
                <w:sz w:val="20"/>
              </w:rPr>
              <w:t xml:space="preserve">provided further </w:t>
            </w:r>
            <w:r>
              <w:rPr>
                <w:rFonts w:ascii="Times New Roman" w:hAnsi="Times New Roman"/>
                <w:sz w:val="20"/>
              </w:rPr>
              <w:t xml:space="preserve">that no filing under Section 16(a) of the Exchange Act, reporting such transfer of the undersigned’s shares of Common Stock, shall be required or shall be voluntarily made during the Lock-Up Period (other than any required Form 5 filing after the end of the calendar year in which such transaction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or by will, testamentary document or intestate succession, </w:t>
            </w:r>
            <w:r>
              <w:rPr>
                <w:rFonts w:ascii="Times New Roman" w:hAnsi="Times New Roman"/>
                <w:i/>
                <w:sz w:val="20"/>
              </w:rPr>
              <w:t xml:space="preserve">provided </w:t>
            </w:r>
            <w:r>
              <w:rPr>
                <w:rFonts w:ascii="Times New Roman" w:hAnsi="Times New Roman"/>
                <w:sz w:val="20"/>
              </w:rPr>
              <w:t xml:space="preserve">that the transferee agrees to be bound in writing by the restrictions set forth herein, </w:t>
            </w:r>
            <w:r>
              <w:rPr>
                <w:rFonts w:ascii="Times New Roman" w:hAnsi="Times New Roman"/>
                <w:i/>
                <w:sz w:val="20"/>
              </w:rPr>
              <w:t xml:space="preserve">provided further </w:t>
            </w:r>
            <w:r>
              <w:rPr>
                <w:rFonts w:ascii="Times New Roman" w:hAnsi="Times New Roman"/>
                <w:sz w:val="20"/>
              </w:rPr>
              <w:t xml:space="preserve">that any such transfer shall not involve a disposition for value, and </w:t>
            </w:r>
            <w:r>
              <w:rPr>
                <w:rFonts w:ascii="Times New Roman" w:hAnsi="Times New Roman"/>
                <w:i/>
                <w:sz w:val="20"/>
              </w:rPr>
              <w:t xml:space="preserve">provided further </w:t>
            </w:r>
            <w:r>
              <w:rPr>
                <w:rFonts w:ascii="Times New Roman" w:hAnsi="Times New Roman"/>
                <w:sz w:val="20"/>
              </w:rPr>
              <w:t xml:space="preserve">that no filing under Section 16(a) of the Exchange Act, reporting such transfer of the undersigned’s shares of Common Stock shall be voluntarily made during the Lock-Up Period and if the undersigned is required to file a report under Section 16(a) of the Exchange Act during the Lock-Up Period, the undersigned shall include a statement in such report to the effect that (A) such transfer relates to the circumstances described in this clause (iii), and (B) the shares received are subject to a lockup agreement with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 sale of the undersigned’s shares of Class A Common Stock acquired in open market transactions after the date of the Prospectus, </w:t>
            </w:r>
            <w:r>
              <w:rPr>
                <w:rFonts w:ascii="Times New Roman" w:hAnsi="Times New Roman"/>
                <w:i/>
                <w:sz w:val="20"/>
              </w:rPr>
              <w:t>provided</w:t>
            </w:r>
            <w:r>
              <w:rPr>
                <w:rFonts w:ascii="Times New Roman" w:hAnsi="Times New Roman"/>
                <w:sz w:val="20"/>
              </w:rPr>
              <w:t xml:space="preserve"> that it shall be a condition to the transfer that no filing under Section 16(a) of the Exchange Act, reporting such transfer of the undersigned’s shares of Class A Common Stock, shall be required or shall be voluntarily made during the Lock-Up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in connection with the exercise of options or the vesting or settlement of restricted stock units or other equity awards, including to the Company in connection with a “net” or “cashless” exercise or in the open market pursuant to a “sell-to-cover” transaction, for the payment of tax withholdings or remittance payments due as a result of the exercise of any such options or vesting or settlement of such restricted stock units or other equity awards, in all such cases, (A) pursuant to equity awards granted under a stock incentive plan or other equity award plan that is described in the Prospectus and (B) </w:t>
            </w:r>
            <w:r>
              <w:rPr>
                <w:rFonts w:ascii="Times New Roman" w:hAnsi="Times New Roman"/>
                <w:i/>
                <w:sz w:val="20"/>
              </w:rPr>
              <w:t>provided</w:t>
            </w:r>
            <w:r>
              <w:rPr>
                <w:rFonts w:ascii="Times New Roman" w:hAnsi="Times New Roman"/>
                <w:sz w:val="20"/>
              </w:rPr>
              <w:t xml:space="preserve"> that any shares of Common Stock received upon such exercise, vesting or settlement, in each case, that are not transferred to cover any such tax obligations shall be subject to the terms of this Lock-Up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(1) that no filing under Section 16(a) of the Exchange Act shall be required or shall be voluntarily made during the Lock-Up Period in connection with an option exercise described in this clause (v) unless such option would otherwise expire pursuant to its terms within the Lock-Up Period and (2) that any filing under Section 16(a) of the Exchange Act that occurs during the Lock-Up Period, or any other public filing or disclosure of such transfer by or on behalf of the undersigned, shall clearly indicate in the footnotes thereto that such transfer relates to the circumstances described in this clause (v);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partnership, limited liability company, corporation, trust or other business entity, (A) to another corporation, partnership, limited liability company, trust or other business entity that is an affiliate (within the meaning set forth in Rule 405 as promulgated by the SEC under the Securities Act of 1933, as amended, and including the subsidiaries of the undersigned) of the undersigned, (B)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(C) as part of a distribution, transfer or disposition by the undersigned to its stockholders, limited partners, general partners, limited liability company members or other equityholders or to the estate of any such stockholders, limited partners, general partners, limited liability company members or equityholders; </w:t>
            </w:r>
            <w:r>
              <w:rPr>
                <w:rFonts w:ascii="Times New Roman" w:hAnsi="Times New Roman"/>
                <w:i/>
                <w:sz w:val="20"/>
              </w:rPr>
              <w:t xml:space="preserve">provided </w:t>
            </w:r>
            <w:r>
              <w:rPr>
                <w:rFonts w:ascii="Times New Roman" w:hAnsi="Times New Roman"/>
                <w:sz w:val="20"/>
              </w:rPr>
              <w:t xml:space="preserve">that the transferee or distributee agrees to be bound in writing by the restrictions set forth herein; </w:t>
            </w:r>
            <w:r>
              <w:rPr>
                <w:rFonts w:ascii="Times New Roman" w:hAnsi="Times New Roman"/>
                <w:i/>
                <w:sz w:val="20"/>
              </w:rPr>
              <w:t xml:space="preserve">provided further </w:t>
            </w:r>
            <w:r>
              <w:rPr>
                <w:rFonts w:ascii="Times New Roman" w:hAnsi="Times New Roman"/>
                <w:sz w:val="20"/>
              </w:rPr>
              <w:t xml:space="preserve">that any such transfer shall not involve a disposition for value; and </w:t>
            </w:r>
            <w:r>
              <w:rPr>
                <w:rFonts w:ascii="Times New Roman" w:hAnsi="Times New Roman"/>
                <w:i/>
                <w:sz w:val="20"/>
              </w:rPr>
              <w:t xml:space="preserve">provided further </w:t>
            </w:r>
            <w:r>
              <w:rPr>
                <w:rFonts w:ascii="Times New Roman" w:hAnsi="Times New Roman"/>
                <w:sz w:val="20"/>
              </w:rPr>
              <w:t xml:space="preserve">that no filing under Section 16(a) of the Exchange Act, reporting such transfer of the undersigned’s shares of Common Stock, shall be required or shall be voluntarily made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such as pursuant to a qualified domestic order or in connection with a divorce settlement; </w:t>
            </w:r>
            <w:r>
              <w:rPr>
                <w:rFonts w:ascii="Times New Roman" w:hAnsi="Times New Roman"/>
                <w:i/>
                <w:sz w:val="20"/>
              </w:rPr>
              <w:t>provided</w:t>
            </w:r>
            <w:r>
              <w:rPr>
                <w:rFonts w:ascii="Times New Roman" w:hAnsi="Times New Roman"/>
                <w:sz w:val="20"/>
              </w:rPr>
              <w:t xml:space="preserve"> that the transferee agrees to be bound in writing by the restrictions set forth herein; and </w:t>
            </w:r>
            <w:r>
              <w:rPr>
                <w:rFonts w:ascii="Times New Roman" w:hAnsi="Times New Roman"/>
                <w:i/>
                <w:sz w:val="20"/>
              </w:rPr>
              <w:t xml:space="preserve">provided further </w:t>
            </w:r>
            <w:r>
              <w:rPr>
                <w:rFonts w:ascii="Times New Roman" w:hAnsi="Times New Roman"/>
                <w:sz w:val="20"/>
              </w:rPr>
              <w:t xml:space="preserve">that any filings under Section 16(a) of the Exchange Act, or any other public filing or disclosure of such transfer by or on behalf of the undersigned, shall clearly indicate in the footnotes thereto that such transfer relates to the circumstances described in this clause (vii);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the repurchase of shares of Common Stock issued pursuant to an employee benefit plan or stock plan disclosed in the Prospectus or pursuant to the agreements pursuant to which such shares were issued as disclosed in the Prospectus or the Registration Statement, in each case, upon termination of the undersigned’s relationship with the Company; </w:t>
            </w:r>
            <w:r>
              <w:rPr>
                <w:rFonts w:ascii="Times New Roman" w:hAnsi="Times New Roman"/>
                <w:i/>
                <w:sz w:val="20"/>
              </w:rPr>
              <w:t xml:space="preserve">provided </w:t>
            </w:r>
            <w:r>
              <w:rPr>
                <w:rFonts w:ascii="Times New Roman" w:hAnsi="Times New Roman"/>
                <w:sz w:val="20"/>
              </w:rPr>
              <w:t xml:space="preserve">that any filings under Section 16(a) of the Exchange Act, or any other public filing or disclosure of such transfer by or on behalf of the undersigned, shall clearly indicate in the footnotes thereto that such transfer relates to the circumstances described in this clause (viii);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bona fide third-party tender offer, merger, consolidation or other similar transaction made to all holders of the Company’s capital stock and approved by the board of directors of the Company, and the result of which is that any “person” (as defined in Section 13(d)(3) of the Exchange Act), or group of persons, becomes the beneficial owner (as defined in Rules 13d-3 and 13d-5 of the Exchange Act) of at least 50% of total voting power of the voting stock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or the surviving entity (a “</w:t>
            </w:r>
            <w:r>
              <w:rPr>
                <w:b/>
              </w:rPr>
              <w:t>Change of Control Transaction</w:t>
            </w:r>
            <w:r>
              <w:rPr/>
              <w:t xml:space="preserve">”); </w:t>
            </w:r>
            <w:r>
              <w:rPr>
                <w:i/>
              </w:rPr>
              <w:t xml:space="preserve">provided </w:t>
            </w:r>
            <w:r>
              <w:rPr/>
              <w:t xml:space="preserve">that in the event that the Change of Control Transaction is not completed, the undersigned’s shares shall remain subject to the provisions of this Lock-Up Agreement; </w:t>
            </w:r>
            <w:r>
              <w:rPr>
                <w:i/>
              </w:rPr>
              <w:t xml:space="preserve">provided, further </w:t>
            </w:r>
            <w:r>
              <w:rPr/>
              <w:t xml:space="preserve">that so long as the undersigned’s shares are not transferred, sold or tendered, such shares shall remain subject to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prior written consent of the Representatives on behalf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a written plan meeting the requirements of Rule 10b5-1 under the Exchange Act (a “</w:t>
            </w:r>
            <w:r>
              <w:rPr>
                <w:rFonts w:ascii="Times New Roman" w:hAnsi="Times New Roman"/>
                <w:b/>
                <w:sz w:val="20"/>
              </w:rPr>
              <w:t>10b5-1 Plan</w:t>
            </w:r>
            <w:r>
              <w:rPr>
                <w:rFonts w:ascii="Times New Roman" w:hAnsi="Times New Roman"/>
                <w:sz w:val="20"/>
              </w:rPr>
              <w:t xml:space="preserve">”) that was established prior to the date hereof; provided that, any filing under Section 16(a) of the Exchange Act that occurs during the Lock-Up Period, or any other public filing or disclosure of such transfer by or on behalf of the undersigned, shall clearly indicate in the footnotes thereto that such transfer relates to the circumstances described in this clause (xi);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enter into or amend a written plan meeting the requirements of a 10b5-1 Plan, relating to the transfer, sale or other disposition of securities of the undersigned, if then permitted by the Company, provided that the securities subject to the plan may not be sold during the Lock-Up Period (except to the extent otherwise allowed pursuant to clause (a) above); provided further that any filing under Section 16(a) of the Exchange Act that occurs during the Lock-Up Period, or any other public filing or disclosure of such transfer by or on behalf of the undersigned, shall clearly indicate in the footnotes thereto that such transfer relates to the circumstances described in this paragraph (b).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“immediate family member” shall mean any relationship by blood, marriage, domestic partnership or adoption, not more remote than first cousin. The undersigned now has, and, except as contemplated by clause (a) above, for the duration of this Lock-Up Agreement will have, good and marketable title to the undersigned’s shares of Common Stock of the Company, free and clear of all liens, encumbrances, and claims whatsoever. The undersigned also agrees and consents to the entry of stop transfer instructions with the Company’s transfer agent and registrar against the transfer of the undersigned’s shares of Common Stock of the Company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Lock-Up Agreement shall immediately be terminated and the undersigned shall be released from all obligations under this Lock-Up Agreement if (i) the Company notifies the Representatives, in writing, prior to the execution of the Agreement, that it has determined not to proceed with the Offering, (ii) the Agreement is executed but is then terminated (other than the provisions thereof which survive termination) prior to payment for and delivery of the Shares to be sold thereunder, or (iv) the Offering shall not have been completed by June 30, 2026, in the event the Agreement has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The Lock-Up Agreement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Lock-Up Agreement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Offering. The undersigned further understands that this Lock-Up Agreement is irrevocable and binding upon the undersigned’s heirs, legal representatives,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Exact Name of Shareholder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Authorized 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4" w:name="d109952dex51.htm"/>
      <w:bookmarkStart w:id="5" w:name="ksd10995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Eric Blanchard </w:t>
      </w:r>
    </w:p>
    <w:p>
      <w:pPr>
        <w:pStyle w:val="TextBody"/>
        <w:bidi w:val="0"/>
        <w:spacing w:before="0" w:after="0"/>
        <w:jc w:val="left"/>
        <w:rPr>
          <w:rFonts w:ascii="Times New Roman" w:hAnsi="Times New Roman"/>
          <w:sz w:val="20"/>
        </w:rPr>
      </w:pPr>
      <w:r>
        <w:rPr>
          <w:rFonts w:ascii="Times New Roman" w:hAnsi="Times New Roman"/>
          <w:sz w:val="20"/>
        </w:rPr>
        <w:t xml:space="preserve">+1 617 937 2445 </w:t>
      </w:r>
    </w:p>
    <w:p>
      <w:pPr>
        <w:pStyle w:val="TextBody"/>
        <w:bidi w:val="0"/>
        <w:spacing w:before="0" w:after="0"/>
        <w:jc w:val="left"/>
        <w:rPr>
          <w:rFonts w:ascii="Times New Roman" w:hAnsi="Times New Roman"/>
          <w:sz w:val="20"/>
        </w:rPr>
      </w:pPr>
      <w:r>
        <w:rPr>
          <w:rFonts w:ascii="Times New Roman" w:hAnsi="Times New Roman"/>
          <w:sz w:val="20"/>
        </w:rPr>
        <w:t xml:space="preserve">eblanchard@cooley.com </w:t>
      </w:r>
    </w:p>
    <w:p>
      <w:pPr>
        <w:pStyle w:val="TextBody"/>
        <w:bidi w:val="0"/>
        <w:spacing w:before="240" w:after="0"/>
        <w:jc w:val="left"/>
        <w:rPr>
          <w:rFonts w:ascii="Times New Roman" w:hAnsi="Times New Roman"/>
          <w:sz w:val="20"/>
        </w:rPr>
      </w:pPr>
      <w:r>
        <w:rPr>
          <w:rFonts w:ascii="Times New Roman" w:hAnsi="Times New Roman"/>
          <w:sz w:val="20"/>
        </w:rPr>
        <w:t xml:space="preserve">June 2, 2026 </w:t>
      </w:r>
    </w:p>
    <w:p>
      <w:pPr>
        <w:pStyle w:val="TextBody"/>
        <w:bidi w:val="0"/>
        <w:spacing w:before="240" w:after="0"/>
        <w:jc w:val="left"/>
        <w:rPr>
          <w:rFonts w:ascii="Times New Roman" w:hAnsi="Times New Roman"/>
          <w:sz w:val="20"/>
        </w:rPr>
      </w:pPr>
      <w:r>
        <w:rPr>
          <w:rFonts w:ascii="Times New Roman" w:hAnsi="Times New Roman"/>
          <w:sz w:val="20"/>
        </w:rPr>
        <w:t xml:space="preserve">Xometry, Inc. </w:t>
      </w:r>
    </w:p>
    <w:p>
      <w:pPr>
        <w:pStyle w:val="TextBody"/>
        <w:bidi w:val="0"/>
        <w:spacing w:before="0" w:after="0"/>
        <w:jc w:val="left"/>
        <w:rPr>
          <w:rFonts w:ascii="Times New Roman" w:hAnsi="Times New Roman"/>
          <w:sz w:val="20"/>
        </w:rPr>
      </w:pPr>
      <w:r>
        <w:rPr>
          <w:rFonts w:ascii="Times New Roman" w:hAnsi="Times New Roman"/>
          <w:sz w:val="20"/>
        </w:rPr>
        <w:t xml:space="preserve">6116 Executive Blvd </w:t>
      </w:r>
    </w:p>
    <w:p>
      <w:pPr>
        <w:pStyle w:val="TextBody"/>
        <w:bidi w:val="0"/>
        <w:spacing w:before="0" w:after="0"/>
        <w:jc w:val="left"/>
        <w:rPr>
          <w:rFonts w:ascii="Times New Roman" w:hAnsi="Times New Roman"/>
          <w:sz w:val="20"/>
        </w:rPr>
      </w:pPr>
      <w:r>
        <w:rPr>
          <w:rFonts w:ascii="Times New Roman" w:hAnsi="Times New Roman"/>
          <w:sz w:val="20"/>
        </w:rPr>
        <w:t xml:space="preserve">Suite 800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MD 20852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Xometry, Inc., a Delaware corporation (the “</w:t>
      </w:r>
      <w:r>
        <w:rPr>
          <w:rFonts w:ascii="Times New Roman" w:hAnsi="Times New Roman"/>
          <w:b/>
          <w:i/>
          <w:sz w:val="20"/>
        </w:rPr>
        <w:t>Company</w:t>
      </w:r>
      <w:r>
        <w:rPr>
          <w:rFonts w:ascii="Times New Roman" w:hAnsi="Times New Roman"/>
          <w:sz w:val="20"/>
        </w:rPr>
        <w:t>”), in connection with the offering by the Company of up to 3,044,117 shares (the “</w:t>
      </w:r>
      <w:r>
        <w:rPr>
          <w:rFonts w:ascii="Times New Roman" w:hAnsi="Times New Roman"/>
          <w:b/>
          <w:i/>
          <w:sz w:val="20"/>
        </w:rPr>
        <w:t>Shares</w:t>
      </w:r>
      <w:r>
        <w:rPr>
          <w:rFonts w:ascii="Times New Roman" w:hAnsi="Times New Roman"/>
          <w:sz w:val="20"/>
        </w:rPr>
        <w:t>”) of its Class A common stock, par value $0.000001 per share (“</w:t>
      </w:r>
      <w:r>
        <w:rPr>
          <w:rFonts w:ascii="Times New Roman" w:hAnsi="Times New Roman"/>
          <w:b/>
          <w:i/>
          <w:sz w:val="20"/>
        </w:rPr>
        <w:t>Common Stock</w:t>
      </w:r>
      <w:r>
        <w:rPr>
          <w:rFonts w:ascii="Times New Roman" w:hAnsi="Times New Roman"/>
          <w:sz w:val="20"/>
        </w:rPr>
        <w:t>”), including up to 397,058 shares of Common Stock that may be sold pursuant to the exercise of an option to purchase additional shares, pursuant to the Registration Statement on Form S-3 (File No. 333-296394) (the “</w:t>
      </w:r>
      <w:r>
        <w:rPr>
          <w:rFonts w:ascii="Times New Roman" w:hAnsi="Times New Roman"/>
          <w:b/>
          <w:i/>
          <w:sz w:val="20"/>
        </w:rPr>
        <w:t>Registration Statement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w:t>
      </w:r>
      <w:r>
        <w:rPr>
          <w:rFonts w:ascii="Times New Roman" w:hAnsi="Times New Roman"/>
          <w:sz w:val="20"/>
        </w:rPr>
        <w:t xml:space="preserve"> </w:t>
      </w:r>
      <w:r>
        <w:rPr>
          <w:rFonts w:ascii="Times New Roman" w:hAnsi="Times New Roman"/>
          <w:b/>
          <w:i/>
          <w:sz w:val="20"/>
        </w:rPr>
        <w:t>Act</w:t>
      </w:r>
      <w:r>
        <w:rPr>
          <w:rFonts w:ascii="Times New Roman" w:hAnsi="Times New Roman"/>
          <w:sz w:val="20"/>
        </w:rPr>
        <w:t>”), the prospectus included in the Registration Statement (the “</w:t>
      </w:r>
      <w:r>
        <w:rPr>
          <w:rFonts w:ascii="Times New Roman" w:hAnsi="Times New Roman"/>
          <w:b/>
          <w:i/>
          <w:sz w:val="20"/>
        </w:rPr>
        <w:t>Base Prospectus</w:t>
      </w:r>
      <w:r>
        <w:rPr>
          <w:rFonts w:ascii="Times New Roman" w:hAnsi="Times New Roman"/>
          <w:sz w:val="20"/>
        </w:rPr>
        <w:t>”) and the prospectus supplement relating to the Shares dated June 1, 2026 filed with the Commission pursuant to Rule 424(b) under the Securities Act (together with the Base Prospectus, the “</w:t>
      </w:r>
      <w:r>
        <w:rPr>
          <w:rFonts w:ascii="Times New Roman" w:hAnsi="Times New Roman"/>
          <w:b/>
          <w:i/>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against payment therefor as provided in the Registration Statement and the Prospectus,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heading “Legal Matters” in the Prospectus and to the filing of this opinion as an exhibit to the Current Report on Form 8-K to be filed by the Company with the Commission for incorporation by reference into the Registration Statement. In giving such consents, we do not thereby admit that we are within the category of persons whose consent is required under Section 7 of the Securities Act or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02116-3736 </w:t>
      </w:r>
    </w:p>
    <w:p>
      <w:pPr>
        <w:pStyle w:val="TextBody"/>
        <w:bidi w:val="0"/>
        <w:spacing w:before="0" w:after="0"/>
        <w:jc w:val="center"/>
        <w:rPr>
          <w:rFonts w:ascii="Times New Roman" w:hAnsi="Times New Roman"/>
          <w:sz w:val="20"/>
        </w:rPr>
      </w:pPr>
      <w:r>
        <w:rPr>
          <w:rFonts w:ascii="Times New Roman" w:hAnsi="Times New Roman"/>
          <w:sz w:val="20"/>
        </w:rPr>
        <w:t xml:space="preserve">t: (617) 937-2400 f: (617) 937-2300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Xometry, Inc.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Cooley LLP</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Eric Blanchard</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Eric Blanchard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02116-3736 </w:t>
      </w:r>
    </w:p>
    <w:p>
      <w:pPr>
        <w:pStyle w:val="TextBody"/>
        <w:bidi w:val="0"/>
        <w:spacing w:before="0" w:after="0"/>
        <w:jc w:val="center"/>
        <w:rPr>
          <w:rFonts w:ascii="Times New Roman" w:hAnsi="Times New Roman"/>
          <w:sz w:val="20"/>
        </w:rPr>
      </w:pPr>
      <w:r>
        <w:rPr>
          <w:rFonts w:ascii="Times New Roman" w:hAnsi="Times New Roman"/>
          <w:sz w:val="20"/>
        </w:rPr>
        <w:t xml:space="preserve">t: (617) 937-2400 f: (617) 937-2300 cooley.com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23036</Words>
  <Characters>122405</Characters>
  <CharactersWithSpaces>145521</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