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585470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1"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611505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100" w:firstLine="644"/>
        <w:spacing w:after="0" w:line="281" w:lineRule="auto"/>
        <w:rPr>
          <w:sz w:val="20"/>
          <w:szCs w:val="20"/>
          <w:color w:val="auto"/>
        </w:rPr>
      </w:pPr>
      <w:r>
        <w:rPr>
          <w:rFonts w:ascii="Times New Roman" w:cs="Times New Roman" w:eastAsia="Times New Roman" w:hAnsi="Times New Roman"/>
          <w:sz w:val="18"/>
          <w:szCs w:val="18"/>
          <w:color w:val="auto"/>
        </w:rPr>
        <w:t>On May 9, 2024, Xometry, Inc. (the “Company”) issued a press release announcing its first quarter financial results for the quarterly period ended March 31, 2024. A copy of the press release is furnished as Exhibit 99.1 to this report.</w:t>
      </w:r>
    </w:p>
    <w:p>
      <w:pPr>
        <w:spacing w:after="0" w:line="163" w:lineRule="exact"/>
        <w:rPr>
          <w:sz w:val="20"/>
          <w:szCs w:val="20"/>
          <w:color w:val="auto"/>
        </w:rPr>
      </w:pPr>
    </w:p>
    <w:p>
      <w:pPr>
        <w:ind w:right="140" w:firstLine="644"/>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9, 2024.</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1"/>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First Quarter 2024 Results</w:t>
      </w:r>
    </w:p>
    <w:p>
      <w:pPr>
        <w:spacing w:after="0" w:line="197" w:lineRule="exact"/>
        <w:rPr>
          <w:sz w:val="20"/>
          <w:szCs w:val="20"/>
          <w:color w:val="auto"/>
        </w:rPr>
      </w:pPr>
    </w:p>
    <w:p>
      <w:pPr>
        <w:ind w:left="102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revenue increased 16% year-over-year to $123 million driven by marketplace growth of 24% year-over-year.</w:t>
      </w:r>
    </w:p>
    <w:p>
      <w:pPr>
        <w:spacing w:after="0" w:line="106" w:lineRule="exact"/>
        <w:rPr>
          <w:rFonts w:ascii="Times New Roman" w:cs="Times New Roman" w:eastAsia="Times New Roman" w:hAnsi="Times New Roman"/>
          <w:sz w:val="20"/>
          <w:szCs w:val="20"/>
          <w:color w:val="auto"/>
        </w:rPr>
      </w:pPr>
    </w:p>
    <w:p>
      <w:pPr>
        <w:ind w:left="1020" w:right="38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gross profit increased 22% year-over-year driven by 37% growth in marketplace gross profit. Q1 marketplace gross margin increased 320 basis points year-over-year to a record 32.0%.</w:t>
      </w:r>
    </w:p>
    <w:p>
      <w:pPr>
        <w:spacing w:after="0" w:line="47" w:lineRule="exact"/>
        <w:rPr>
          <w:rFonts w:ascii="Times New Roman" w:cs="Times New Roman" w:eastAsia="Times New Roman" w:hAnsi="Times New Roman"/>
          <w:sz w:val="20"/>
          <w:szCs w:val="20"/>
          <w:color w:val="auto"/>
        </w:rPr>
      </w:pPr>
    </w:p>
    <w:p>
      <w:pPr>
        <w:ind w:left="1020" w:right="10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Adjusted EBITDA loss of $7.5 million, a 37% improvement year-over-year driven by higher revenue, gross profit, and operating efficiencies.</w:t>
      </w:r>
    </w:p>
    <w:p>
      <w:pPr>
        <w:spacing w:after="0" w:line="47" w:lineRule="exact"/>
        <w:rPr>
          <w:rFonts w:ascii="Times New Roman" w:cs="Times New Roman" w:eastAsia="Times New Roman" w:hAnsi="Times New Roman"/>
          <w:sz w:val="20"/>
          <w:szCs w:val="20"/>
          <w:color w:val="auto"/>
        </w:rPr>
      </w:pPr>
    </w:p>
    <w:p>
      <w:pPr>
        <w:ind w:left="1020" w:right="52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2024 growth initiatives include: expanding buyer and supplier networks; driving deeper enterprise engagement; expanding the marketplace menu; growing internationally and enhancing supplier services.</w:t>
      </w:r>
    </w:p>
    <w:p>
      <w:pPr>
        <w:spacing w:after="0" w:line="32"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NORTH BETHESDA, MD., May 9, 2024 /Globe Newswire/</w:t>
      </w:r>
      <w:r>
        <w:rPr>
          <w:rFonts w:ascii="Arial" w:cs="Arial" w:eastAsia="Arial" w:hAnsi="Arial"/>
          <w:sz w:val="20"/>
          <w:szCs w:val="20"/>
          <w:color w:val="auto"/>
        </w:rPr>
        <w:t>-- Xometry, Inc. (NASDAQ:XMTR), 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auto"/>
        </w:rPr>
        <w:t>marketplace connecting enterprise buyers with suppliers of manufacturing services, today reported financial results for the first quarter ended March 31, 2024.</w:t>
      </w:r>
    </w:p>
    <w:p>
      <w:pPr>
        <w:spacing w:after="0" w:line="169"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color w:val="auto"/>
        </w:rPr>
        <w:t>“Powered by AI, our marketplace continues to gain significant market share as buyers and suppliers realize the value, convenience and resiliency of our platform,” said Randy Altschuler, Xometry’s CEO. “In Q1 2024, we delivered better than expected revenue driven by strong 24% marketplace revenue growth. Marketplace growth was driven by robust 32% growth in Active Buyers. We expect our current initiatives to continue to drive long-term growth.”</w:t>
      </w:r>
    </w:p>
    <w:p>
      <w:pPr>
        <w:spacing w:after="0" w:line="17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“We delivered strong marketplace gross margin expansion to a record 32% and improved our Q1 Adjusted EBITDA loss by 37% year-over-year,” said James Miln, Xometry’s CFO. “We expect to continue to improve our year-over-year progress towards profitability in 2024 through operating leverage, partly offset by international and enterprise growth investments.”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2024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first quarter 2024 was $123 million, an increase of 16%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first quarter of 2024 was $107 million, an increase of 24% year-over-year.</w:t>
      </w:r>
    </w:p>
    <w:p>
      <w:pPr>
        <w:spacing w:after="0" w:line="106" w:lineRule="exact"/>
        <w:rPr>
          <w:rFonts w:ascii="Times New Roman" w:cs="Times New Roman" w:eastAsia="Times New Roman" w:hAnsi="Times New Roman"/>
          <w:sz w:val="20"/>
          <w:szCs w:val="20"/>
          <w:color w:val="auto"/>
        </w:rPr>
      </w:pPr>
    </w:p>
    <w:p>
      <w:pPr>
        <w:jc w:val="both"/>
        <w:ind w:left="1020" w:right="24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first quarter of 2024 was $15.5 million, a decrease of 17% year-over-year driven primarily by the exit of the lower-margin tools and materials business, which reduced revenue by approximately $2 million year-over-year.</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first quarter 2024 was $47.9 million, an increase of 22%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32% from 44,451 as of March 31, 2023 to 58,504 as of March 31, 2024.</w:t>
      </w:r>
    </w:p>
    <w:p>
      <w:pPr>
        <w:spacing w:after="0" w:line="106" w:lineRule="exact"/>
        <w:rPr>
          <w:rFonts w:ascii="Times New Roman" w:cs="Times New Roman" w:eastAsia="Times New Roman" w:hAnsi="Times New Roman"/>
          <w:sz w:val="20"/>
          <w:szCs w:val="20"/>
          <w:color w:val="auto"/>
        </w:rPr>
      </w:pPr>
    </w:p>
    <w:p>
      <w:pPr>
        <w:ind w:left="1020" w:right="30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25% from 1,109 as of March 31, 2023 to 1,381 as of March 31, 2024.</w:t>
      </w:r>
    </w:p>
    <w:p>
      <w:pPr>
        <w:spacing w:after="0" w:line="47" w:lineRule="exact"/>
        <w:rPr>
          <w:rFonts w:ascii="Times New Roman" w:cs="Times New Roman" w:eastAsia="Times New Roman" w:hAnsi="Times New Roman"/>
          <w:sz w:val="20"/>
          <w:szCs w:val="20"/>
          <w:color w:val="auto"/>
        </w:rPr>
      </w:pPr>
    </w:p>
    <w:p>
      <w:pPr>
        <w:ind w:left="1020" w:right="26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Active Paying Suppliers decreased 6% from 7,621 as of March 31, 2023 to 7,159 as of March 31, 2024. Excluding the exited tools and materials business, Active Paying Suppliers decreased 2% year-over-year.</w:t>
      </w:r>
    </w:p>
    <w:p>
      <w:pPr>
        <w:spacing w:after="0" w:line="47" w:lineRule="exact"/>
        <w:rPr>
          <w:rFonts w:ascii="Times New Roman" w:cs="Times New Roman" w:eastAsia="Times New Roman" w:hAnsi="Times New Roman"/>
          <w:sz w:val="20"/>
          <w:szCs w:val="20"/>
          <w:color w:val="auto"/>
        </w:rPr>
      </w:pPr>
    </w:p>
    <w:p>
      <w:pPr>
        <w:ind w:left="1020" w:right="10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$16.6 million for the quarter, a decrease of $1.7 million year-over-year. Net loss for Q1 2024 included $6.0 million of stock-based compensation and $3.2 million of depreciation and amortization expense.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 w:name="page5"/>
    <w:bookmarkEnd w:id="4"/>
    <w:p>
      <w:pPr>
        <w:ind w:left="10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was negative $7.5 million for the quarter, reflecting an improvement of $4.3 million year-over-year.</w:t>
      </w:r>
    </w:p>
    <w:p>
      <w:pPr>
        <w:spacing w:after="0" w:line="63"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First Quarter 2024 Business Highlights</w:t>
      </w:r>
    </w:p>
    <w:p>
      <w:pPr>
        <w:spacing w:after="0" w:line="95" w:lineRule="exact"/>
        <w:rPr>
          <w:rFonts w:ascii="Times New Roman" w:cs="Times New Roman" w:eastAsia="Times New Roman" w:hAnsi="Times New Roman"/>
          <w:sz w:val="20"/>
          <w:szCs w:val="20"/>
          <w:color w:val="auto"/>
        </w:rPr>
      </w:pPr>
    </w:p>
    <w:p>
      <w:pPr>
        <w:ind w:left="1020" w:right="200" w:hanging="504"/>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enhanced features for our Teamspace enterprise collaboration software. Teamspace moves the Xometry marketplace from a focus on individual buyers and parts to procurement teams managing essential programs. New features include enhanced collaboration, order management tools and comprehensive quote histories. Since the launch of Teamspace, over 2,300 teams have been created.</w:t>
      </w:r>
    </w:p>
    <w:p>
      <w:pPr>
        <w:spacing w:after="0" w:line="65" w:lineRule="exact"/>
        <w:rPr>
          <w:rFonts w:ascii="Times New Roman" w:cs="Times New Roman" w:eastAsia="Times New Roman" w:hAnsi="Times New Roman"/>
          <w:sz w:val="20"/>
          <w:szCs w:val="20"/>
          <w:color w:val="auto"/>
        </w:rPr>
      </w:pPr>
    </w:p>
    <w:p>
      <w:pPr>
        <w:ind w:left="1020" w:right="480" w:hanging="504"/>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 marketplace buyer dashboard for tooling processes, including injection molding. New dashboard provides engineers and procurement professionals details about their various tools, as well as a view of their tool production workflow (tracking everything from quoting, design-for-manufacturability and tool production and part production).</w:t>
      </w:r>
    </w:p>
    <w:p>
      <w:pPr>
        <w:spacing w:after="0" w:line="65" w:lineRule="exact"/>
        <w:rPr>
          <w:rFonts w:ascii="Times New Roman" w:cs="Times New Roman" w:eastAsia="Times New Roman" w:hAnsi="Times New Roman"/>
          <w:sz w:val="20"/>
          <w:szCs w:val="20"/>
          <w:color w:val="auto"/>
        </w:rPr>
      </w:pPr>
    </w:p>
    <w:p>
      <w:pPr>
        <w:ind w:left="1020" w:right="280" w:hanging="504"/>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the xometry.eu marketplace menu, including adding Vacuum Casting to the Instant Quoting engine allowing customers to take advantage of low-cost, high-quality plastic production. Added 200 classic RAL colors to our finishing options and launched Czech language on the site, xometry.eu/cs, marking Xometry’s 15th local-language.</w:t>
      </w:r>
    </w:p>
    <w:p>
      <w:pPr>
        <w:spacing w:after="0" w:line="65" w:lineRule="exact"/>
        <w:rPr>
          <w:rFonts w:ascii="Times New Roman" w:cs="Times New Roman" w:eastAsia="Times New Roman" w:hAnsi="Times New Roman"/>
          <w:sz w:val="20"/>
          <w:szCs w:val="20"/>
          <w:color w:val="auto"/>
        </w:rPr>
      </w:pPr>
    </w:p>
    <w:p>
      <w:pPr>
        <w:ind w:left="1020" w:right="200" w:hanging="504"/>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Started beta testing a number of new features for Thomas, including new self-serve tools for suppliers to create custom advertising campaigns on Thomasnet. The new tools let suppliers select from among 78,000 categories and keywords that best reflect their products and services and present a range of suggested budgets tailored to their marketing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line="227" w:lineRule="auto"/>
        <w:rPr>
          <w:sz w:val="20"/>
          <w:szCs w:val="20"/>
          <w:color w:val="auto"/>
        </w:rPr>
      </w:pPr>
      <w:r>
        <w:rPr>
          <w:rFonts w:ascii="Arial" w:cs="Arial" w:eastAsia="Arial" w:hAnsi="Arial"/>
          <w:sz w:val="20"/>
          <w:szCs w:val="20"/>
          <w:b w:val="1"/>
          <w:bCs w:val="1"/>
          <w:color w:val="auto"/>
        </w:rPr>
        <w:t>Financial Summary</w:t>
      </w:r>
    </w:p>
    <w:p>
      <w:pPr>
        <w:jc w:val="center"/>
        <w:ind w:right="100"/>
        <w:spacing w:after="0" w:line="225"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30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rPr>
              <w:t>For the Three Months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Ended March 31,</w:t>
            </w:r>
          </w:p>
        </w:tc>
        <w:tc>
          <w:tcPr>
            <w:tcW w:w="6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60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Consolidated</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122,690</w:t>
            </w:r>
          </w:p>
        </w:tc>
        <w:tc>
          <w:tcPr>
            <w:tcW w:w="2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105,326</w:t>
            </w:r>
          </w:p>
        </w:tc>
        <w:tc>
          <w:tcPr>
            <w:tcW w:w="2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16 %</w:t>
            </w:r>
          </w:p>
        </w:tc>
        <w:tc>
          <w:tcPr>
            <w:tcW w:w="0" w:type="dxa"/>
            <w:vAlign w:val="bottom"/>
          </w:tcPr>
          <w:p>
            <w:pPr>
              <w:spacing w:after="0"/>
              <w:rPr>
                <w:sz w:val="1"/>
                <w:szCs w:val="1"/>
                <w:color w:val="auto"/>
              </w:rPr>
            </w:pPr>
          </w:p>
        </w:tc>
      </w:tr>
      <w:tr>
        <w:trPr>
          <w:trHeight w:val="215"/>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47,902</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39,369</w:t>
            </w:r>
          </w:p>
        </w:tc>
        <w:tc>
          <w:tcPr>
            <w:tcW w:w="2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rPr>
                <w:sz w:val="20"/>
                <w:szCs w:val="20"/>
                <w:color w:val="auto"/>
              </w:rPr>
            </w:pPr>
            <w:r>
              <w:rPr>
                <w:rFonts w:ascii="Arial" w:cs="Arial" w:eastAsia="Arial" w:hAnsi="Arial"/>
                <w:sz w:val="16"/>
                <w:szCs w:val="16"/>
                <w:color w:val="auto"/>
              </w:rPr>
              <w:t>Net loss attributable to common stockholders</w:t>
            </w: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(16,616 )</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(18,344 )</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04"/>
        </w:trPr>
        <w:tc>
          <w:tcPr>
            <w:tcW w:w="6060" w:type="dxa"/>
            <w:vAlign w:val="bottom"/>
          </w:tcPr>
          <w:p>
            <w:pPr>
              <w:ind w:left="20"/>
              <w:spacing w:after="0"/>
              <w:rPr>
                <w:sz w:val="20"/>
                <w:szCs w:val="20"/>
                <w:color w:val="auto"/>
              </w:rPr>
            </w:pPr>
            <w:r>
              <w:rPr>
                <w:rFonts w:ascii="Arial" w:cs="Arial" w:eastAsia="Arial" w:hAnsi="Arial"/>
                <w:sz w:val="16"/>
                <w:szCs w:val="16"/>
                <w:color w:val="auto"/>
              </w:rPr>
              <w:t>EPS, basic and diluted, of Class A and Class B common stock</w:t>
            </w:r>
          </w:p>
        </w:tc>
        <w:tc>
          <w:tcPr>
            <w:tcW w:w="1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(0.34 )</w:t>
            </w:r>
          </w:p>
        </w:tc>
        <w:tc>
          <w:tcPr>
            <w:tcW w:w="106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(0.38 )</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(7,459 )</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(11,767 )</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16"/>
        </w:trPr>
        <w:tc>
          <w:tcPr>
            <w:tcW w:w="6060" w:type="dxa"/>
            <w:vAlign w:val="bottom"/>
          </w:tcPr>
          <w:p>
            <w:pPr>
              <w:ind w:left="20"/>
              <w:spacing w:after="0" w:line="216" w:lineRule="exact"/>
              <w:rPr>
                <w:sz w:val="20"/>
                <w:szCs w:val="20"/>
                <w:color w:val="auto"/>
              </w:rPr>
            </w:pPr>
            <w:r>
              <w:rPr>
                <w:rFonts w:ascii="Arial" w:cs="Arial" w:eastAsia="Arial" w:hAnsi="Arial"/>
                <w:sz w:val="16"/>
                <w:szCs w:val="16"/>
                <w:color w:val="auto"/>
              </w:rPr>
              <w:t>Non-GAAP net loss</w:t>
            </w:r>
            <w:r>
              <w:rPr>
                <w:rFonts w:ascii="Arial" w:cs="Arial" w:eastAsia="Arial" w:hAnsi="Arial"/>
                <w:sz w:val="21"/>
                <w:szCs w:val="21"/>
                <w:color w:val="auto"/>
                <w:vertAlign w:val="superscript"/>
              </w:rPr>
              <w:t>(1)</w:t>
            </w:r>
          </w:p>
        </w:tc>
        <w:tc>
          <w:tcPr>
            <w:tcW w:w="1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(5,742 )</w:t>
            </w:r>
          </w:p>
        </w:tc>
        <w:tc>
          <w:tcPr>
            <w:tcW w:w="106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(9,766 )</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89"/>
        </w:trPr>
        <w:tc>
          <w:tcPr>
            <w:tcW w:w="6060" w:type="dxa"/>
            <w:vAlign w:val="bottom"/>
          </w:tcPr>
          <w:p>
            <w:pPr>
              <w:ind w:left="20"/>
              <w:spacing w:after="0"/>
              <w:rPr>
                <w:sz w:val="20"/>
                <w:szCs w:val="20"/>
                <w:color w:val="auto"/>
              </w:rPr>
            </w:pPr>
            <w:r>
              <w:rPr>
                <w:rFonts w:ascii="Arial" w:cs="Arial" w:eastAsia="Arial" w:hAnsi="Arial"/>
                <w:sz w:val="16"/>
                <w:szCs w:val="16"/>
                <w:color w:val="auto"/>
              </w:rPr>
              <w:t>Non-GAAP EPS, basic and diluted</w:t>
            </w:r>
            <w:r>
              <w:rPr>
                <w:rFonts w:ascii="Arial" w:cs="Arial" w:eastAsia="Arial" w:hAnsi="Arial"/>
                <w:sz w:val="21"/>
                <w:szCs w:val="21"/>
                <w:color w:val="auto"/>
                <w:vertAlign w:val="superscript"/>
              </w:rPr>
              <w:t>(1)</w:t>
            </w:r>
            <w:r>
              <w:rPr>
                <w:rFonts w:ascii="Arial" w:cs="Arial" w:eastAsia="Arial" w:hAnsi="Arial"/>
                <w:sz w:val="16"/>
                <w:szCs w:val="16"/>
                <w:color w:val="auto"/>
              </w:rPr>
              <w:t>, of Class A and Class B common stock</w:t>
            </w:r>
          </w:p>
        </w:tc>
        <w:tc>
          <w:tcPr>
            <w:tcW w:w="112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(0.12 )</w:t>
            </w:r>
          </w:p>
        </w:tc>
        <w:tc>
          <w:tcPr>
            <w:tcW w:w="10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(0.20 )</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156"/>
        </w:trPr>
        <w:tc>
          <w:tcPr>
            <w:tcW w:w="6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Marketplace</w:t>
            </w:r>
          </w:p>
        </w:tc>
        <w:tc>
          <w:tcPr>
            <w:tcW w:w="1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107,186</w:t>
            </w:r>
          </w:p>
        </w:tc>
        <w:tc>
          <w:tcPr>
            <w:tcW w:w="2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86,680</w:t>
            </w:r>
          </w:p>
        </w:tc>
        <w:tc>
          <w:tcPr>
            <w:tcW w:w="2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24 %</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72,907</w:t>
            </w:r>
          </w:p>
        </w:tc>
        <w:tc>
          <w:tcPr>
            <w:tcW w:w="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61,747</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34,279</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24,933</w:t>
            </w:r>
          </w:p>
        </w:tc>
        <w:tc>
          <w:tcPr>
            <w:tcW w:w="2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37 %</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3.2 %</w:t>
            </w:r>
          </w:p>
        </w:tc>
        <w:tc>
          <w:tcPr>
            <w:tcW w:w="0" w:type="dxa"/>
            <w:vAlign w:val="bottom"/>
          </w:tcPr>
          <w:p>
            <w:pPr>
              <w:spacing w:after="0" w:line="20" w:lineRule="exact"/>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32.0 %</w:t>
            </w:r>
          </w:p>
        </w:tc>
        <w:tc>
          <w:tcPr>
            <w:tcW w:w="10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28.8 %</w:t>
            </w:r>
          </w:p>
        </w:tc>
        <w:tc>
          <w:tcPr>
            <w:tcW w:w="1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Supplier services</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20"/>
              <w:spacing w:after="0"/>
              <w:rPr>
                <w:sz w:val="20"/>
                <w:szCs w:val="20"/>
                <w:color w:val="auto"/>
              </w:rPr>
            </w:pPr>
            <w:r>
              <w:rPr>
                <w:rFonts w:ascii="Arial" w:cs="Arial" w:eastAsia="Arial" w:hAnsi="Arial"/>
                <w:sz w:val="16"/>
                <w:szCs w:val="16"/>
                <w:color w:val="auto"/>
              </w:rPr>
              <w:t>Revenue</w:t>
            </w: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15,504</w:t>
            </w:r>
          </w:p>
        </w:tc>
        <w:tc>
          <w:tcPr>
            <w:tcW w:w="24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18,646</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(17 )%</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1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4,210</w:t>
            </w:r>
          </w:p>
        </w:tc>
        <w:tc>
          <w:tcPr>
            <w:tcW w:w="200" w:type="dxa"/>
            <w:vAlign w:val="bottom"/>
          </w:tcPr>
          <w:p>
            <w:pPr>
              <w:spacing w:after="0"/>
              <w:rPr>
                <w:sz w:val="18"/>
                <w:szCs w:val="18"/>
                <w:color w:val="auto"/>
              </w:rPr>
            </w:pPr>
          </w:p>
        </w:tc>
        <w:tc>
          <w:tcPr>
            <w:tcW w:w="1360" w:type="dxa"/>
            <w:vAlign w:val="bottom"/>
            <w:gridSpan w:val="3"/>
          </w:tcPr>
          <w:p>
            <w:pPr>
              <w:jc w:val="right"/>
              <w:ind w:right="60"/>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13,623</w:t>
            </w:r>
          </w:p>
        </w:tc>
        <w:tc>
          <w:tcPr>
            <w:tcW w:w="24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14,436</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Gross Margin</w:t>
            </w: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line="20" w:lineRule="exact"/>
              <w:rPr>
                <w:sz w:val="1"/>
                <w:szCs w:val="1"/>
                <w:color w:val="auto"/>
              </w:rPr>
            </w:pPr>
          </w:p>
        </w:tc>
      </w:tr>
      <w:tr>
        <w:trPr>
          <w:trHeight w:val="195"/>
        </w:trPr>
        <w:tc>
          <w:tcPr>
            <w:tcW w:w="606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87.9 %</w:t>
            </w:r>
          </w:p>
        </w:tc>
        <w:tc>
          <w:tcPr>
            <w:tcW w:w="10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77.4 %</w:t>
            </w:r>
          </w:p>
        </w:tc>
        <w:tc>
          <w:tcPr>
            <w:tcW w:w="1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-2533015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-2258695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-1985010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-991870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-1299845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-298450</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4" w:lineRule="exact"/>
        <w:rPr>
          <w:sz w:val="20"/>
          <w:szCs w:val="20"/>
          <w:color w:val="auto"/>
        </w:rPr>
      </w:pPr>
    </w:p>
    <w:p>
      <w:pPr>
        <w:ind w:left="380" w:right="280" w:hanging="372"/>
        <w:spacing w:after="0" w:line="284"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89"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As of March 31,</w:t>
            </w:r>
          </w:p>
        </w:tc>
        <w:tc>
          <w:tcPr>
            <w:tcW w:w="13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190"/>
        </w:trPr>
        <w:tc>
          <w:tcPr>
            <w:tcW w:w="6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30"/>
              <w:spacing w:after="0" w:line="190" w:lineRule="exact"/>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r>
      <w:tr>
        <w:trPr>
          <w:trHeight w:val="235"/>
        </w:trPr>
        <w:tc>
          <w:tcPr>
            <w:tcW w:w="648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Pr>
          <w:p>
            <w:pPr>
              <w:spacing w:after="0"/>
              <w:rPr>
                <w:sz w:val="20"/>
                <w:szCs w:val="20"/>
                <w:color w:val="auto"/>
              </w:rPr>
            </w:pPr>
          </w:p>
        </w:tc>
      </w:tr>
      <w:tr>
        <w:trPr>
          <w:trHeight w:val="42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58,504</w:t>
            </w:r>
          </w:p>
        </w:tc>
        <w:tc>
          <w:tcPr>
            <w:tcW w:w="2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44,451</w:t>
            </w:r>
          </w:p>
        </w:tc>
        <w:tc>
          <w:tcPr>
            <w:tcW w:w="220" w:type="dxa"/>
            <w:vAlign w:val="bottom"/>
          </w:tcPr>
          <w:p>
            <w:pPr>
              <w:spacing w:after="0"/>
              <w:rPr>
                <w:sz w:val="24"/>
                <w:szCs w:val="24"/>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96 %</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1,109</w:t>
            </w:r>
          </w:p>
        </w:tc>
        <w:tc>
          <w:tcPr>
            <w:tcW w:w="22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r>
      <w:tr>
        <w:trPr>
          <w:trHeight w:val="274"/>
        </w:trPr>
        <w:tc>
          <w:tcPr>
            <w:tcW w:w="6480" w:type="dxa"/>
            <w:vAlign w:val="bottom"/>
          </w:tcPr>
          <w:p>
            <w:pPr>
              <w:ind w:left="20"/>
              <w:spacing w:after="0" w:line="274" w:lineRule="exact"/>
              <w:rPr>
                <w:sz w:val="20"/>
                <w:szCs w:val="20"/>
                <w:color w:val="auto"/>
              </w:rPr>
            </w:pPr>
            <w:r>
              <w:rPr>
                <w:rFonts w:ascii="Arial" w:cs="Arial" w:eastAsia="Arial" w:hAnsi="Arial"/>
                <w:sz w:val="18"/>
                <w:szCs w:val="18"/>
                <w:color w:val="auto"/>
              </w:rPr>
              <w:t>Active Paying Suppliers</w:t>
            </w:r>
            <w:r>
              <w:rPr>
                <w:rFonts w:ascii="Arial" w:cs="Arial" w:eastAsia="Arial" w:hAnsi="Arial"/>
                <w:sz w:val="24"/>
                <w:szCs w:val="24"/>
                <w:color w:val="auto"/>
                <w:vertAlign w:val="superscript"/>
              </w:rPr>
              <w:t>(3)(4)</w:t>
            </w:r>
          </w:p>
        </w:tc>
        <w:tc>
          <w:tcPr>
            <w:tcW w:w="1360" w:type="dxa"/>
            <w:vAlign w:val="bottom"/>
          </w:tcPr>
          <w:p>
            <w:pPr>
              <w:jc w:val="right"/>
              <w:spacing w:after="0"/>
              <w:rPr>
                <w:sz w:val="20"/>
                <w:szCs w:val="20"/>
                <w:color w:val="auto"/>
              </w:rPr>
            </w:pPr>
            <w:r>
              <w:rPr>
                <w:rFonts w:ascii="Arial" w:cs="Arial" w:eastAsia="Arial" w:hAnsi="Arial"/>
                <w:sz w:val="18"/>
                <w:szCs w:val="18"/>
                <w:color w:val="auto"/>
              </w:rPr>
              <w:t>7,159</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7,621</w:t>
            </w:r>
          </w:p>
        </w:tc>
        <w:tc>
          <w:tcPr>
            <w:tcW w:w="22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-593090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380" w:right="260" w:hanging="372"/>
        <w:spacing w:after="0" w:line="24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ind w:left="380" w:right="340" w:hanging="372"/>
        <w:spacing w:after="0" w:line="260"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Active Paying Suppliers are as of March 31, 2024 and 2023, and Percentage of Revenue from Existing Accounts is presented for the quarters ended March 31, 2024 and 2023.</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Excluding the impact of the exit of the tools and materials business, Active Paying Suppliers was down 2% year-over-year.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Q2 2024</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5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58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Low</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140" w:type="dxa"/>
            <w:vAlign w:val="bottom"/>
            <w:shd w:val="clear" w:color="auto" w:fill="CFF0FC"/>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127</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r>
      <w:tr>
        <w:trPr>
          <w:trHeight w:val="239"/>
        </w:trPr>
        <w:tc>
          <w:tcPr>
            <w:tcW w:w="75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(8 )</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(6 )</w:t>
            </w:r>
          </w:p>
        </w:tc>
      </w:tr>
    </w:tbl>
    <w:p>
      <w:pPr>
        <w:spacing w:after="0" w:line="400"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Expect Q2 2024 revenue growth of 14%-16% year-over-year to $127-$129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Expect Q2 2024 Adjusted EBITDA loss of $6.0-$8.0 million.</w:t>
      </w:r>
    </w:p>
    <w:p>
      <w:pPr>
        <w:spacing w:after="0" w:line="106" w:lineRule="exact"/>
        <w:rPr>
          <w:rFonts w:ascii="Times New Roman" w:cs="Times New Roman" w:eastAsia="Times New Roman" w:hAnsi="Times New Roman"/>
          <w:sz w:val="20"/>
          <w:szCs w:val="20"/>
          <w:color w:val="auto"/>
        </w:rPr>
      </w:pPr>
    </w:p>
    <w:p>
      <w:pPr>
        <w:ind w:left="1020" w:right="14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Expect fiscal 2024 marketplace revenue growth of at least 20% year-over-year and expect supplier services revenue to be down approximately 10% year-over-year.</w:t>
      </w:r>
    </w:p>
    <w:p>
      <w:pPr>
        <w:spacing w:after="0" w:line="47" w:lineRule="exact"/>
        <w:rPr>
          <w:rFonts w:ascii="Times New Roman" w:cs="Times New Roman" w:eastAsia="Times New Roman" w:hAnsi="Times New Roman"/>
          <w:sz w:val="20"/>
          <w:szCs w:val="20"/>
          <w:color w:val="auto"/>
        </w:rPr>
      </w:pPr>
    </w:p>
    <w:p>
      <w:pPr>
        <w:ind w:left="1020" w:right="14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For fiscal 2024, we expect improved operating leverage as compared to fiscal 2023, partly offset by international and enterprise growth investments.</w:t>
      </w:r>
    </w:p>
    <w:p>
      <w:pPr>
        <w:spacing w:after="0" w:line="156"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Xometry’s second quarter 2024 and full year 2024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32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120"/>
        <w:spacing w:after="0" w:line="227"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6" w:name="page7"/>
    <w:bookmarkEnd w:id="6"/>
    <w:p>
      <w:pPr>
        <w:spacing w:after="0" w:line="231" w:lineRule="auto"/>
        <w:rPr>
          <w:sz w:val="20"/>
          <w:szCs w:val="20"/>
          <w:color w:val="auto"/>
        </w:rPr>
      </w:pPr>
      <w:r>
        <w:rPr>
          <w:rFonts w:ascii="Arial" w:cs="Arial" w:eastAsia="Arial" w:hAnsi="Arial"/>
          <w:sz w:val="20"/>
          <w:szCs w:val="20"/>
          <w:color w:val="auto"/>
        </w:rPr>
        <w:t>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76" w:lineRule="exact"/>
        <w:rPr>
          <w:sz w:val="20"/>
          <w:szCs w:val="20"/>
          <w:color w:val="auto"/>
        </w:rPr>
      </w:pPr>
    </w:p>
    <w:p>
      <w:pPr>
        <w:ind w:right="20"/>
        <w:spacing w:after="0" w:line="231"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4" w:lineRule="exact"/>
        <w:rPr>
          <w:sz w:val="20"/>
          <w:szCs w:val="20"/>
          <w:color w:val="auto"/>
        </w:rPr>
      </w:pPr>
    </w:p>
    <w:p>
      <w:pPr>
        <w:ind w:right="4080"/>
        <w:spacing w:after="0" w:line="325"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9"/>
          <w:szCs w:val="19"/>
          <w:b w:val="1"/>
          <w:bCs w:val="1"/>
          <w:color w:val="auto"/>
        </w:rPr>
        <w:t xml:space="preserve">Supplier service revenue: </w:t>
      </w:r>
      <w:r>
        <w:rPr>
          <w:rFonts w:ascii="Arial" w:cs="Arial" w:eastAsia="Arial" w:hAnsi="Arial"/>
          <w:sz w:val="19"/>
          <w:szCs w:val="19"/>
          <w:color w:val="auto"/>
        </w:rPr>
        <w:t>includes the sales of marketing and advertising services and, to a lesser extent, financial service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SaaS-based solutions and the sale of tools and materials, which was discontinued during the second quarter of 2023.</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 We adjusted the number of our Q1 2023 active buyers in 2024 to reflect an immaterial correction.</w:t>
      </w:r>
    </w:p>
    <w:p>
      <w:pPr>
        <w:spacing w:after="0" w:line="35"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 or buy tools or materials.</w:t>
      </w:r>
    </w:p>
    <w:p>
      <w:pPr>
        <w:spacing w:after="0" w:line="35" w:lineRule="exact"/>
        <w:rPr>
          <w:sz w:val="20"/>
          <w:szCs w:val="20"/>
          <w:color w:val="auto"/>
        </w:rPr>
      </w:pPr>
    </w:p>
    <w:p>
      <w:pPr>
        <w:jc w:val="both"/>
        <w:ind w:right="14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5"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32"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Active Paying Suppliers: </w:t>
      </w:r>
      <w:r>
        <w:rPr>
          <w:rFonts w:ascii="Arial" w:cs="Arial" w:eastAsia="Arial" w:hAnsi="Arial"/>
          <w:sz w:val="20"/>
          <w:szCs w:val="20"/>
          <w:color w:val="auto"/>
        </w:rPr>
        <w:t>The Company defines Active Paying Suppliers as individuals or businesses who have purchased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of our supplier services, including digital marketing services, data services, financial services or tools and materials on our platforms, during the last twelve months.</w:t>
      </w:r>
    </w:p>
    <w:p>
      <w:pPr>
        <w:spacing w:after="0" w:line="32" w:lineRule="exact"/>
        <w:rPr>
          <w:sz w:val="20"/>
          <w:szCs w:val="20"/>
          <w:color w:val="auto"/>
        </w:rPr>
      </w:pPr>
    </w:p>
    <w:p>
      <w:pPr>
        <w:spacing w:after="0" w:line="233"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income, provision for income taxes, and certain other non-cash or non-recurring items impacting net loss from time to time, principally comprised of depreciation and amortization, amortization of lease intangible, stock-based compensation, charitable contributions of common stock, income from unconsolidated joint venture, impairment of assets, and acquisition and other adjustments not reflective of the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 w:name="page8"/>
    <w:bookmarkEnd w:id="7"/>
    <w:p>
      <w:pPr>
        <w:ind w:right="40"/>
        <w:spacing w:after="0" w:line="257" w:lineRule="auto"/>
        <w:rPr>
          <w:sz w:val="20"/>
          <w:szCs w:val="20"/>
          <w:color w:val="auto"/>
        </w:rPr>
      </w:pPr>
      <w:r>
        <w:rPr>
          <w:rFonts w:ascii="Arial" w:cs="Arial" w:eastAsia="Arial" w:hAnsi="Arial"/>
          <w:sz w:val="20"/>
          <w:szCs w:val="20"/>
          <w:color w:val="auto"/>
        </w:rPr>
        <w:t>Company’s ongoing business, such as adjustments related to purchase accounting, the revaluation of contingent consideration, transaction costs and executive severance.</w:t>
      </w:r>
    </w:p>
    <w:p>
      <w:pPr>
        <w:spacing w:after="0" w:line="1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amortization of lease intangible, amortization of deferred costs on convertible notes, loss on sale of property and equipment, charitable contributions of common stock, impairment of assets, and acquisition and other adjustments not reflective of the Company’s ongoing business, such as adjustments related to purchase accounting, the revaluation of contingent consideration, transaction costs and executive severance.</w:t>
      </w:r>
    </w:p>
    <w:p>
      <w:pPr>
        <w:spacing w:after="0" w:line="38" w:lineRule="exact"/>
        <w:rPr>
          <w:sz w:val="20"/>
          <w:szCs w:val="20"/>
          <w:color w:val="auto"/>
        </w:rPr>
      </w:pPr>
    </w:p>
    <w:p>
      <w:pPr>
        <w:ind w:right="14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shares of common stock outstanding.</w:t>
      </w:r>
    </w:p>
    <w:p>
      <w:pPr>
        <w:spacing w:after="0" w:line="3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Xometry’s (NASDAQ:XMTR) AI-powered marketplace, popular Thomasnet® industrial sourcing platform and suite of cloud-based services are rapidly digitizing the $2 trillion manufacturing industry. Xometry provides manufacturers the critical resources they need to grow their business and makes it easy for buyers to create locally resilient supply chains. The Xometry Instant Quoting Engine® leverages millions of pieces of data to analyze complex parts in real-time, matches buyers with the right suppliers globally, and provides accurate pricing and lead times.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14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May 9, 2024. In addition to its press release announcing its first quarter 2024 financial results, Xometry will release an earnings presentation, which will be available on its investor website at investors.xometry.com.</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Xometry, Inc. First Quarter 2024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Thursday, May 9, 2024</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Please dial (888) 596-4144 (US/CAN) or (646) 968-2525 (International) to listen to the call</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To register please use the following Conference ID 2007915</w:t>
      </w:r>
    </w:p>
    <w:p>
      <w:pPr>
        <w:ind w:left="102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https://edge.media-server.com/mmc/p/wexbrys4/</w:t>
      </w:r>
    </w:p>
    <w:p>
      <w:pPr>
        <w:ind w:left="1020" w:right="100" w:hanging="504"/>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second quarter and full year of 2024, our expectations regarding our full year marketplace and supplier services revenue; and statements regarding our strategy,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2023,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180"/>
          </w:cols>
          <w:pgMar w:left="320" w:top="1087" w:right="399" w:bottom="1440" w:gutter="0" w:footer="0" w:header="0"/>
        </w:sectPr>
      </w:pPr>
    </w:p>
    <w:p>
      <w:pPr>
        <w:spacing w:after="0" w:line="18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Investor Contact: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Shawn Milne</w:t>
      </w:r>
    </w:p>
    <w:p>
      <w:pPr>
        <w:ind w:left="20"/>
        <w:spacing w:after="0" w:line="231" w:lineRule="auto"/>
        <w:rPr>
          <w:sz w:val="20"/>
          <w:szCs w:val="20"/>
          <w:color w:val="auto"/>
        </w:rPr>
      </w:pPr>
      <w:r>
        <w:rPr>
          <w:rFonts w:ascii="Arial" w:cs="Arial" w:eastAsia="Arial" w:hAnsi="Arial"/>
          <w:sz w:val="17"/>
          <w:szCs w:val="17"/>
          <w:color w:val="auto"/>
        </w:rPr>
        <w:t>VP Investor Relations</w:t>
      </w:r>
    </w:p>
    <w:p>
      <w:pPr>
        <w:ind w:left="20"/>
        <w:spacing w:after="0" w:line="232" w:lineRule="auto"/>
        <w:rPr>
          <w:sz w:val="20"/>
          <w:szCs w:val="20"/>
          <w:color w:val="auto"/>
        </w:rPr>
      </w:pPr>
      <w:r>
        <w:rPr>
          <w:rFonts w:ascii="Arial" w:cs="Arial" w:eastAsia="Arial" w:hAnsi="Arial"/>
          <w:sz w:val="17"/>
          <w:szCs w:val="17"/>
          <w:color w:val="auto"/>
        </w:rPr>
        <w:t>240-335-8132</w:t>
      </w:r>
    </w:p>
    <w:p>
      <w:pPr>
        <w:ind w:left="20"/>
        <w:spacing w:after="0"/>
        <w:rPr>
          <w:sz w:val="20"/>
          <w:szCs w:val="20"/>
          <w:color w:val="auto"/>
        </w:rPr>
      </w:pPr>
      <w:r>
        <w:rPr>
          <w:rFonts w:ascii="Arial" w:cs="Arial" w:eastAsia="Arial" w:hAnsi="Arial"/>
          <w:sz w:val="16"/>
          <w:szCs w:val="16"/>
          <w:color w:val="auto"/>
        </w:rPr>
        <w:t>shawn.milne@xometry.com</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1" w:lineRule="auto"/>
        <w:rPr>
          <w:sz w:val="20"/>
          <w:szCs w:val="20"/>
          <w:color w:val="auto"/>
        </w:rPr>
      </w:pPr>
      <w:r>
        <w:rPr>
          <w:rFonts w:ascii="Arial" w:cs="Arial" w:eastAsia="Arial" w:hAnsi="Arial"/>
          <w:sz w:val="17"/>
          <w:szCs w:val="17"/>
          <w:color w:val="auto"/>
        </w:rPr>
        <w:t>Corporate Communications for Xometry</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20" w:space="720"/>
            <w:col w:w="5540"/>
          </w:cols>
          <w:pgMar w:left="320" w:top="1087" w:right="39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7" w:right="39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5" w:lineRule="auto"/>
        <w:rPr>
          <w:sz w:val="20"/>
          <w:szCs w:val="20"/>
          <w:color w:val="auto"/>
        </w:rPr>
      </w:pPr>
      <w:r>
        <w:rPr>
          <w:rFonts w:ascii="Arial" w:cs="Arial" w:eastAsia="Arial" w:hAnsi="Arial"/>
          <w:sz w:val="20"/>
          <w:szCs w:val="20"/>
          <w:color w:val="auto"/>
        </w:rPr>
        <w:t>(In thousands, except share and per share data)</w:t>
      </w:r>
    </w:p>
    <w:p>
      <w:pPr>
        <w:jc w:val="center"/>
        <w:spacing w:after="0"/>
        <w:rPr>
          <w:sz w:val="20"/>
          <w:szCs w:val="20"/>
          <w:color w:val="auto"/>
        </w:rPr>
      </w:pPr>
      <w:r>
        <w:rPr>
          <w:rFonts w:ascii="Arial" w:cs="Arial" w:eastAsia="Arial" w:hAnsi="Arial"/>
          <w:sz w:val="20"/>
          <w:szCs w:val="20"/>
          <w:color w:val="auto"/>
        </w:rPr>
        <w:t>(Unaudited)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45,701</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53,424</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208,078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215,352</w:t>
            </w:r>
          </w:p>
        </w:tc>
        <w:tc>
          <w:tcPr>
            <w:tcW w:w="100" w:type="dxa"/>
            <w:vAlign w:val="bottom"/>
          </w:tcPr>
          <w:p>
            <w:pPr>
              <w:spacing w:after="0"/>
              <w:rPr>
                <w:sz w:val="19"/>
                <w:szCs w:val="19"/>
                <w:color w:val="auto"/>
              </w:rPr>
            </w:pP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receivable, less allowance for credit losses of $2.4 million and $2.4 million as of</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March 31, 2024 and December 31, 2023</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69,324</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70,102</w:t>
            </w:r>
          </w:p>
        </w:tc>
        <w:tc>
          <w:tcPr>
            <w:tcW w:w="100" w:type="dxa"/>
            <w:vAlign w:val="bottom"/>
            <w:shd w:val="clear" w:color="auto" w:fill="CFF0FC"/>
          </w:tcPr>
          <w:p>
            <w:pPr>
              <w:spacing w:after="0"/>
              <w:rPr>
                <w:sz w:val="20"/>
                <w:szCs w:val="20"/>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Pr>
          <w:p>
            <w:pPr>
              <w:spacing w:after="0"/>
              <w:rPr>
                <w:sz w:val="19"/>
                <w:szCs w:val="19"/>
                <w:color w:val="auto"/>
              </w:rPr>
            </w:pPr>
          </w:p>
        </w:tc>
      </w:tr>
      <w:tr>
        <w:trPr>
          <w:trHeight w:val="223"/>
        </w:trPr>
        <w:tc>
          <w:tcPr>
            <w:tcW w:w="79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341,357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356,231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35,637</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12,251</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4,211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35,768</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262,827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262,915</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692,471</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13,989</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24,710</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46,193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41,845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83,195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Convertible notes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282,234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281,769</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10,951</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9"/>
                <w:szCs w:val="19"/>
                <w:color w:val="auto"/>
              </w:rPr>
            </w:pPr>
          </w:p>
        </w:tc>
      </w:tr>
      <w:tr>
        <w:trPr>
          <w:trHeight w:val="223"/>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370,876</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outstanding as of March 31, 2024 and December 31, 2023, respectively</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$0.000001 par value. Authorized; 750,000,000 shares; 46,010,987</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796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45,489,379 shares issued and outstanding as of March 31, 2024 and December</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31, 2023, respectively</w:t>
            </w:r>
          </w:p>
        </w:tc>
        <w:tc>
          <w:tcPr>
            <w:tcW w:w="22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960" w:type="dxa"/>
            <w:vAlign w:val="bottom"/>
          </w:tcPr>
          <w:p>
            <w:pPr>
              <w:ind w:left="28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960" w:type="dxa"/>
            <w:vAlign w:val="bottom"/>
          </w:tcPr>
          <w:p>
            <w:pPr>
              <w:ind w:left="280"/>
              <w:spacing w:after="0"/>
              <w:rPr>
                <w:sz w:val="20"/>
                <w:szCs w:val="20"/>
                <w:color w:val="auto"/>
              </w:rPr>
            </w:pPr>
            <w:r>
              <w:rPr>
                <w:rFonts w:ascii="Arial" w:cs="Arial" w:eastAsia="Arial" w:hAnsi="Arial"/>
                <w:sz w:val="18"/>
                <w:szCs w:val="18"/>
                <w:color w:val="auto"/>
              </w:rPr>
              <w:t>shares issued and outstanding as of March 31, 2024 and December 31, 2023, respectively</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656,554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648,317</w:t>
            </w:r>
          </w:p>
        </w:tc>
        <w:tc>
          <w:tcPr>
            <w:tcW w:w="100" w:type="dxa"/>
            <w:vAlign w:val="bottom"/>
            <w:shd w:val="clear" w:color="auto" w:fill="CFF0FC"/>
          </w:tcPr>
          <w:p>
            <w:pPr>
              <w:spacing w:after="0"/>
              <w:rPr>
                <w:sz w:val="19"/>
                <w:szCs w:val="19"/>
                <w:color w:val="auto"/>
              </w:rPr>
            </w:pPr>
          </w:p>
        </w:tc>
      </w:tr>
      <w:tr>
        <w:trPr>
          <w:trHeight w:val="229"/>
        </w:trPr>
        <w:tc>
          <w:tcPr>
            <w:tcW w:w="79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r>
      <w:tr>
        <w:trPr>
          <w:trHeight w:val="229"/>
        </w:trPr>
        <w:tc>
          <w:tcPr>
            <w:tcW w:w="7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(336,488 )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(319,872 )</w:t>
            </w:r>
          </w:p>
        </w:tc>
      </w:tr>
      <w:tr>
        <w:trPr>
          <w:trHeight w:val="223"/>
        </w:trPr>
        <w:tc>
          <w:tcPr>
            <w:tcW w:w="7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320,447</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329,300</w:t>
            </w:r>
          </w:p>
        </w:tc>
        <w:tc>
          <w:tcPr>
            <w:tcW w:w="100" w:type="dxa"/>
            <w:vAlign w:val="bottom"/>
            <w:tcBorders>
              <w:top w:val="single" w:sz="8" w:color="CFF0FC"/>
            </w:tcBorders>
          </w:tcPr>
          <w:p>
            <w:pPr>
              <w:spacing w:after="0"/>
              <w:rPr>
                <w:sz w:val="19"/>
                <w:szCs w:val="19"/>
                <w:color w:val="auto"/>
              </w:rPr>
            </w:pPr>
          </w:p>
        </w:tc>
      </w:tr>
      <w:tr>
        <w:trPr>
          <w:trHeight w:val="229"/>
        </w:trPr>
        <w:tc>
          <w:tcPr>
            <w:tcW w:w="79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2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96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330,419</w:t>
            </w:r>
          </w:p>
        </w:tc>
        <w:tc>
          <w:tcPr>
            <w:tcW w:w="100" w:type="dxa"/>
            <w:vAlign w:val="bottom"/>
          </w:tcPr>
          <w:p>
            <w:pPr>
              <w:spacing w:after="0"/>
              <w:rPr>
                <w:sz w:val="19"/>
                <w:szCs w:val="19"/>
                <w:color w:val="auto"/>
              </w:rPr>
            </w:pPr>
          </w:p>
        </w:tc>
      </w:tr>
      <w:tr>
        <w:trPr>
          <w:trHeight w:val="263"/>
        </w:trPr>
        <w:tc>
          <w:tcPr>
            <w:tcW w:w="7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692,471</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707,387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5989955</wp:posOffset>
            </wp:positionH>
            <wp:positionV relativeFrom="paragraph">
              <wp:posOffset>-4408805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-4408805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-3210560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-3210560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-2319655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-2319655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-633095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-633095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-333375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-24765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8"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704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160" w:type="dxa"/>
            <w:vAlign w:val="bottom"/>
          </w:tcPr>
          <w:p>
            <w:pPr>
              <w:spacing w:after="0"/>
              <w:rPr>
                <w:sz w:val="15"/>
                <w:szCs w:val="15"/>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w:t>
            </w:r>
          </w:p>
        </w:tc>
        <w:tc>
          <w:tcPr>
            <w:tcW w:w="110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122,690</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105,326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74,788</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Gross profit</w:t>
            </w:r>
          </w:p>
        </w:tc>
        <w:tc>
          <w:tcPr>
            <w:tcW w:w="1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47,902</w:t>
            </w:r>
          </w:p>
        </w:tc>
        <w:tc>
          <w:tcPr>
            <w:tcW w:w="3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39,369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27,200</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22,439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Operations and support</w:t>
            </w: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14,047</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12,608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Product development</w:t>
            </w:r>
          </w:p>
        </w:tc>
        <w:tc>
          <w:tcPr>
            <w:tcW w:w="1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9,590</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14,922</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15,957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Impairment of assets</w:t>
            </w: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operating expenses</w:t>
            </w:r>
          </w:p>
        </w:tc>
        <w:tc>
          <w:tcPr>
            <w:tcW w:w="1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65,759</w:t>
            </w:r>
          </w:p>
        </w:tc>
        <w:tc>
          <w:tcPr>
            <w:tcW w:w="3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59,156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200"/>
              <w:spacing w:after="0"/>
              <w:rPr>
                <w:sz w:val="20"/>
                <w:szCs w:val="20"/>
                <w:color w:val="auto"/>
              </w:rPr>
            </w:pPr>
            <w:r>
              <w:rPr>
                <w:rFonts w:ascii="Arial" w:cs="Arial" w:eastAsia="Arial" w:hAnsi="Arial"/>
                <w:sz w:val="14"/>
                <w:szCs w:val="14"/>
                <w:b w:val="1"/>
                <w:bCs w:val="1"/>
                <w:color w:val="auto"/>
              </w:rPr>
              <w:t>Loss from operations</w:t>
            </w:r>
          </w:p>
        </w:tc>
        <w:tc>
          <w:tcPr>
            <w:tcW w:w="1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(17,857 )</w:t>
            </w:r>
          </w:p>
        </w:tc>
        <w:tc>
          <w:tcPr>
            <w:tcW w:w="42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(19,787 )</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income (expenses)</w:t>
            </w: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(1,189 )</w:t>
            </w:r>
          </w:p>
        </w:tc>
        <w:tc>
          <w:tcPr>
            <w:tcW w:w="42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(1,198 )</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dividend income</w:t>
            </w: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2,732</w:t>
            </w: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Other (expenses) income</w:t>
            </w:r>
          </w:p>
        </w:tc>
        <w:tc>
          <w:tcPr>
            <w:tcW w:w="1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(387 )</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from unconsolidated joint venture</w:t>
            </w:r>
          </w:p>
        </w:tc>
        <w:tc>
          <w:tcPr>
            <w:tcW w:w="1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97</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20"/>
              <w:spacing w:after="0"/>
              <w:rPr>
                <w:sz w:val="20"/>
                <w:szCs w:val="20"/>
                <w:color w:val="auto"/>
              </w:rPr>
            </w:pPr>
            <w:r>
              <w:rPr>
                <w:rFonts w:ascii="Arial" w:cs="Arial" w:eastAsia="Arial" w:hAnsi="Arial"/>
                <w:sz w:val="14"/>
                <w:szCs w:val="14"/>
                <w:color w:val="auto"/>
              </w:rPr>
              <w:t>Total other income</w:t>
            </w:r>
          </w:p>
        </w:tc>
        <w:tc>
          <w:tcPr>
            <w:tcW w:w="1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w:t>
            </w: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Loss before income taxes</w:t>
            </w:r>
          </w:p>
        </w:tc>
        <w:tc>
          <w:tcPr>
            <w:tcW w:w="1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(16,604 )</w:t>
            </w:r>
          </w:p>
        </w:tc>
        <w:tc>
          <w:tcPr>
            <w:tcW w:w="4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(18,207 )</w:t>
            </w: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w:t>
            </w:r>
          </w:p>
        </w:tc>
        <w:tc>
          <w:tcPr>
            <w:tcW w:w="1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(16,604 )</w:t>
            </w:r>
          </w:p>
        </w:tc>
        <w:tc>
          <w:tcPr>
            <w:tcW w:w="42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(18,343 )</w:t>
            </w:r>
          </w:p>
        </w:tc>
        <w:tc>
          <w:tcPr>
            <w:tcW w:w="0" w:type="dxa"/>
            <w:vAlign w:val="bottom"/>
          </w:tcPr>
          <w:p>
            <w:pPr>
              <w:spacing w:after="0"/>
              <w:rPr>
                <w:sz w:val="1"/>
                <w:szCs w:val="1"/>
                <w:color w:val="auto"/>
              </w:rPr>
            </w:pPr>
          </w:p>
        </w:tc>
      </w:tr>
      <w:tr>
        <w:trPr>
          <w:trHeight w:val="189"/>
        </w:trPr>
        <w:tc>
          <w:tcPr>
            <w:tcW w:w="71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Net loss attributable to common stockholders</w:t>
            </w:r>
          </w:p>
        </w:tc>
        <w:tc>
          <w:tcPr>
            <w:tcW w:w="1100" w:type="dxa"/>
            <w:vAlign w:val="bottom"/>
            <w:shd w:val="clear" w:color="auto" w:fill="CFF0FC"/>
          </w:tcPr>
          <w:p>
            <w:pPr>
              <w:jc w:val="right"/>
              <w:ind w:right="9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(16,616 )</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(18,344 )</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60" w:type="dxa"/>
            <w:vAlign w:val="bottom"/>
          </w:tcPr>
          <w:p>
            <w:pPr>
              <w:ind w:left="20"/>
              <w:spacing w:after="0" w:line="147" w:lineRule="exact"/>
              <w:rPr>
                <w:sz w:val="20"/>
                <w:szCs w:val="20"/>
                <w:color w:val="auto"/>
              </w:rPr>
            </w:pPr>
            <w:r>
              <w:rPr>
                <w:rFonts w:ascii="Arial" w:cs="Arial" w:eastAsia="Arial" w:hAnsi="Arial"/>
                <w:sz w:val="14"/>
                <w:szCs w:val="14"/>
                <w:color w:val="auto"/>
              </w:rPr>
              <w:t>Net loss per share, basic and diluted, of Class A and Class B common</w:t>
            </w:r>
          </w:p>
        </w:tc>
        <w:tc>
          <w:tcPr>
            <w:tcW w:w="1100" w:type="dxa"/>
            <w:vAlign w:val="bottom"/>
            <w:vMerge w:val="restart"/>
          </w:tcPr>
          <w:p>
            <w:pPr>
              <w:jc w:val="right"/>
              <w:ind w:right="928"/>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(0.34 )</w:t>
            </w:r>
          </w:p>
        </w:tc>
        <w:tc>
          <w:tcPr>
            <w:tcW w:w="420" w:type="dxa"/>
            <w:vAlign w:val="bottom"/>
            <w:vMerge w:val="restart"/>
          </w:tcPr>
          <w:p>
            <w:pPr>
              <w:jc w:val="right"/>
              <w:ind w:right="268"/>
              <w:spacing w:after="0"/>
              <w:rPr>
                <w:sz w:val="20"/>
                <w:szCs w:val="20"/>
                <w:color w:val="auto"/>
              </w:rPr>
            </w:pPr>
            <w:r>
              <w:rPr>
                <w:rFonts w:ascii="Arial" w:cs="Arial" w:eastAsia="Arial" w:hAnsi="Arial"/>
                <w:sz w:val="14"/>
                <w:szCs w:val="14"/>
                <w:color w:val="auto"/>
                <w:w w:val="76"/>
              </w:rPr>
              <w:t>$</w:t>
            </w:r>
          </w:p>
        </w:tc>
        <w:tc>
          <w:tcPr>
            <w:tcW w:w="15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(0.38 )</w:t>
            </w:r>
          </w:p>
        </w:tc>
        <w:tc>
          <w:tcPr>
            <w:tcW w:w="0" w:type="dxa"/>
            <w:vAlign w:val="bottom"/>
          </w:tcPr>
          <w:p>
            <w:pPr>
              <w:spacing w:after="0"/>
              <w:rPr>
                <w:sz w:val="1"/>
                <w:szCs w:val="1"/>
                <w:color w:val="auto"/>
              </w:rPr>
            </w:pPr>
          </w:p>
        </w:tc>
      </w:tr>
      <w:tr>
        <w:trPr>
          <w:trHeight w:val="144"/>
        </w:trPr>
        <w:tc>
          <w:tcPr>
            <w:tcW w:w="7160" w:type="dxa"/>
            <w:vAlign w:val="bottom"/>
          </w:tcPr>
          <w:p>
            <w:pPr>
              <w:ind w:left="140"/>
              <w:spacing w:after="0" w:line="124" w:lineRule="exact"/>
              <w:rPr>
                <w:sz w:val="20"/>
                <w:szCs w:val="20"/>
                <w:color w:val="auto"/>
              </w:rPr>
            </w:pPr>
            <w:r>
              <w:rPr>
                <w:rFonts w:ascii="Arial" w:cs="Arial" w:eastAsia="Arial" w:hAnsi="Arial"/>
                <w:sz w:val="14"/>
                <w:szCs w:val="14"/>
                <w:color w:val="auto"/>
              </w:rPr>
              <w:t>stock</w:t>
            </w:r>
          </w:p>
        </w:tc>
        <w:tc>
          <w:tcPr>
            <w:tcW w:w="110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160" w:type="dxa"/>
            <w:vAlign w:val="bottom"/>
            <w:shd w:val="clear" w:color="auto" w:fill="CFF0FC"/>
          </w:tcPr>
          <w:p>
            <w:pPr>
              <w:ind w:left="20"/>
              <w:spacing w:after="0" w:line="147" w:lineRule="exact"/>
              <w:rPr>
                <w:sz w:val="20"/>
                <w:szCs w:val="20"/>
                <w:color w:val="auto"/>
              </w:rPr>
            </w:pPr>
            <w:r>
              <w:rPr>
                <w:rFonts w:ascii="Arial" w:cs="Arial" w:eastAsia="Arial" w:hAnsi="Arial"/>
                <w:sz w:val="14"/>
                <w:szCs w:val="14"/>
                <w:color w:val="auto"/>
              </w:rPr>
              <w:t>Weighted-average number of shares outstanding used to compute</w:t>
            </w:r>
          </w:p>
        </w:tc>
        <w:tc>
          <w:tcPr>
            <w:tcW w:w="1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net loss per share, basic and diluted, of Class A and Class B</w:t>
            </w:r>
          </w:p>
        </w:tc>
        <w:tc>
          <w:tcPr>
            <w:tcW w:w="1100" w:type="dxa"/>
            <w:vAlign w:val="bottom"/>
            <w:shd w:val="clear" w:color="auto" w:fill="CFF0FC"/>
          </w:tcPr>
          <w:p>
            <w:pPr>
              <w:spacing w:after="0"/>
              <w:rPr>
                <w:sz w:val="14"/>
                <w:szCs w:val="14"/>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99"/>
              </w:rPr>
              <w:t>48,577,980</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47,699,561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7160" w:type="dxa"/>
            <w:vAlign w:val="bottom"/>
            <w:tcBorders>
              <w:bottom w:val="single" w:sz="8" w:color="CFF0FC"/>
            </w:tcBorders>
            <w:shd w:val="clear" w:color="auto" w:fill="CFF0FC"/>
          </w:tcPr>
          <w:p>
            <w:pPr>
              <w:ind w:left="140"/>
              <w:spacing w:after="0" w:line="124" w:lineRule="exact"/>
              <w:rPr>
                <w:sz w:val="20"/>
                <w:szCs w:val="20"/>
                <w:color w:val="auto"/>
              </w:rPr>
            </w:pPr>
            <w:r>
              <w:rPr>
                <w:rFonts w:ascii="Arial" w:cs="Arial" w:eastAsia="Arial" w:hAnsi="Arial"/>
                <w:sz w:val="14"/>
                <w:szCs w:val="14"/>
                <w:color w:val="auto"/>
              </w:rPr>
              <w:t>common stock</w:t>
            </w:r>
          </w:p>
        </w:tc>
        <w:tc>
          <w:tcPr>
            <w:tcW w:w="1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Net loss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(16,604 )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(18,343 )</w:t>
            </w:r>
          </w:p>
        </w:tc>
        <w:tc>
          <w:tcPr>
            <w:tcW w:w="0" w:type="dxa"/>
            <w:vAlign w:val="bottom"/>
          </w:tcPr>
          <w:p>
            <w:pPr>
              <w:spacing w:after="0"/>
              <w:rPr>
                <w:sz w:val="1"/>
                <w:szCs w:val="1"/>
                <w:color w:val="auto"/>
              </w:rPr>
            </w:pPr>
          </w:p>
        </w:tc>
      </w:tr>
      <w:tr>
        <w:trPr>
          <w:trHeight w:val="189"/>
        </w:trPr>
        <w:tc>
          <w:tcPr>
            <w:tcW w:w="71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Comprehensive loss:</w:t>
            </w: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160" w:type="dxa"/>
            <w:vAlign w:val="bottom"/>
          </w:tcPr>
          <w:p>
            <w:pPr>
              <w:ind w:left="380"/>
              <w:spacing w:after="0"/>
              <w:rPr>
                <w:sz w:val="20"/>
                <w:szCs w:val="20"/>
                <w:color w:val="auto"/>
              </w:rPr>
            </w:pPr>
            <w:r>
              <w:rPr>
                <w:rFonts w:ascii="Arial" w:cs="Arial" w:eastAsia="Arial" w:hAnsi="Arial"/>
                <w:sz w:val="14"/>
                <w:szCs w:val="14"/>
                <w:color w:val="auto"/>
              </w:rPr>
              <w:t>Foreign currency translation</w:t>
            </w:r>
          </w:p>
        </w:tc>
        <w:tc>
          <w:tcPr>
            <w:tcW w:w="110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(457 )</w:t>
            </w:r>
          </w:p>
        </w:tc>
        <w:tc>
          <w:tcPr>
            <w:tcW w:w="4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other comprehensive (loss) income</w:t>
            </w:r>
          </w:p>
        </w:tc>
        <w:tc>
          <w:tcPr>
            <w:tcW w:w="110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(457 )</w:t>
            </w:r>
          </w:p>
        </w:tc>
        <w:tc>
          <w:tcPr>
            <w:tcW w:w="4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Comprehensive loss</w:t>
            </w:r>
          </w:p>
        </w:tc>
        <w:tc>
          <w:tcPr>
            <w:tcW w:w="1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(17,061 )</w:t>
            </w:r>
          </w:p>
        </w:tc>
        <w:tc>
          <w:tcPr>
            <w:tcW w:w="42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(18,208 )</w:t>
            </w:r>
          </w:p>
        </w:tc>
        <w:tc>
          <w:tcPr>
            <w:tcW w:w="0" w:type="dxa"/>
            <w:vAlign w:val="bottom"/>
          </w:tcPr>
          <w:p>
            <w:pPr>
              <w:spacing w:after="0"/>
              <w:rPr>
                <w:sz w:val="1"/>
                <w:szCs w:val="1"/>
                <w:color w:val="auto"/>
              </w:rPr>
            </w:pPr>
          </w:p>
        </w:tc>
      </w:tr>
      <w:tr>
        <w:trPr>
          <w:trHeight w:val="189"/>
        </w:trPr>
        <w:tc>
          <w:tcPr>
            <w:tcW w:w="7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Comprehensive income attributable to noncontrolling interest</w:t>
            </w:r>
          </w:p>
        </w:tc>
        <w:tc>
          <w:tcPr>
            <w:tcW w:w="11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320" w:type="dxa"/>
            <w:vAlign w:val="bottom"/>
            <w:tcBorders>
              <w:bottom w:val="single" w:sz="8" w:color="CFF0FC"/>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160" w:type="dxa"/>
            <w:vAlign w:val="bottom"/>
          </w:tcPr>
          <w:p>
            <w:pPr>
              <w:ind w:left="20"/>
              <w:spacing w:after="0"/>
              <w:rPr>
                <w:sz w:val="20"/>
                <w:szCs w:val="20"/>
                <w:color w:val="auto"/>
              </w:rPr>
            </w:pPr>
            <w:r>
              <w:rPr>
                <w:rFonts w:ascii="Arial" w:cs="Arial" w:eastAsia="Arial" w:hAnsi="Arial"/>
                <w:sz w:val="14"/>
                <w:szCs w:val="14"/>
                <w:b w:val="1"/>
                <w:bCs w:val="1"/>
                <w:color w:val="auto"/>
              </w:rPr>
              <w:t>Total comprehensive loss attributable to common stockholders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(17,090 )</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40"/>
              <w:spacing w:after="0"/>
              <w:rPr>
                <w:sz w:val="20"/>
                <w:szCs w:val="20"/>
                <w:color w:val="auto"/>
              </w:rPr>
            </w:pPr>
            <w:r>
              <w:rPr>
                <w:rFonts w:ascii="Arial" w:cs="Arial" w:eastAsia="Arial" w:hAnsi="Arial"/>
                <w:sz w:val="14"/>
                <w:szCs w:val="14"/>
                <w:color w:val="auto"/>
              </w:rPr>
              <w:t>(18,213 )</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-3801110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-3801110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-3064510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-2336800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-1583690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-1566545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-1583690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-1566545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-1035685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-1018540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-1018540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-401955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-153670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840" w:type="dxa"/>
            <w:vAlign w:val="bottom"/>
            <w:tcBorders>
              <w:bottom w:val="single" w:sz="8" w:color="auto"/>
            </w:tcBorders>
            <w:gridSpan w:val="5"/>
          </w:tcPr>
          <w:p>
            <w:pPr>
              <w:jc w:val="right"/>
              <w:ind w:right="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77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(16,604 )</w:t>
            </w:r>
          </w:p>
        </w:tc>
        <w:tc>
          <w:tcPr>
            <w:tcW w:w="14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(18,343 )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Impairment of assets</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1,096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1,935</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based compensation</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6,036</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4,694</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Income from unconsolidated joint venture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(66 )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Donation of common stock</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taxes benefit</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(23 )</w:t>
            </w:r>
          </w:p>
        </w:tc>
      </w:tr>
      <w:tr>
        <w:trPr>
          <w:trHeight w:val="189"/>
        </w:trPr>
        <w:tc>
          <w:tcPr>
            <w:tcW w:w="7740" w:type="dxa"/>
            <w:vAlign w:val="bottom"/>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 net</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(2,804 )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Inventory</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(40 )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(433 )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(442 )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(3,687 )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(10,649 )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(503 )</w:t>
            </w: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(2,119 )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(1,671 )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(970 )</w:t>
            </w:r>
          </w:p>
        </w:tc>
      </w:tr>
      <w:tr>
        <w:trPr>
          <w:trHeight w:val="189"/>
        </w:trPr>
        <w:tc>
          <w:tcPr>
            <w:tcW w:w="77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(276 )</w:t>
            </w: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FF0FC"/>
          </w:tcPr>
          <w:p>
            <w:pPr>
              <w:spacing w:after="0"/>
              <w:rPr>
                <w:sz w:val="16"/>
                <w:szCs w:val="16"/>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(11,734 )</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(16,455 )</w:t>
            </w:r>
          </w:p>
        </w:tc>
      </w:tr>
      <w:tr>
        <w:trPr>
          <w:trHeight w:val="182"/>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Purchases of marketable securities</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(2,726 )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(2,688 )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(4,347 )</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(4,186 )</w:t>
            </w: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4"/>
                <w:szCs w:val="14"/>
                <w:color w:val="auto"/>
              </w:rPr>
              <w:t>Cash paid for business combination, net of cash acquired</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(3,349 )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774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(10,000 )</w:t>
            </w:r>
          </w:p>
        </w:tc>
      </w:tr>
      <w:tr>
        <w:trPr>
          <w:trHeight w:val="182"/>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5"/>
                <w:szCs w:val="15"/>
                <w:color w:val="auto"/>
              </w:rPr>
            </w:pPr>
          </w:p>
        </w:tc>
      </w:tr>
      <w:tr>
        <w:trPr>
          <w:trHeight w:val="182"/>
        </w:trPr>
        <w:tc>
          <w:tcPr>
            <w:tcW w:w="7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10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(149 )</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FF0FC"/>
          </w:tcPr>
          <w:p>
            <w:pPr>
              <w:spacing w:after="0"/>
              <w:rPr>
                <w:sz w:val="15"/>
                <w:szCs w:val="15"/>
                <w:color w:val="auto"/>
              </w:rPr>
            </w:pP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4"/>
                <w:szCs w:val="14"/>
                <w:b w:val="1"/>
                <w:bCs w:val="1"/>
                <w:color w:val="auto"/>
              </w:rPr>
              <w:t>Net decrease in cash and cash equivalents</w:t>
            </w:r>
          </w:p>
        </w:tc>
        <w:tc>
          <w:tcPr>
            <w:tcW w:w="1000" w:type="dxa"/>
            <w:vAlign w:val="bottom"/>
          </w:tcPr>
          <w:p>
            <w:pPr>
              <w:spacing w:after="0"/>
              <w:rPr>
                <w:sz w:val="15"/>
                <w:szCs w:val="15"/>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(7,723 )</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(25,957 )</w:t>
            </w: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100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53,424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65,662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the period</w:t>
            </w:r>
          </w:p>
        </w:tc>
        <w:tc>
          <w:tcPr>
            <w:tcW w:w="100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45,701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39,705</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Cash paid for interest</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8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10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1000" w:type="dxa"/>
            <w:vAlign w:val="bottom"/>
          </w:tcPr>
          <w:p>
            <w:pPr>
              <w:spacing w:after="0"/>
              <w:rPr>
                <w:sz w:val="16"/>
                <w:szCs w:val="16"/>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consideration in connection with business combination</w:t>
            </w:r>
          </w:p>
        </w:tc>
        <w:tc>
          <w:tcPr>
            <w:tcW w:w="10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-2491105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-2491105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-1506220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-1257935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-1257935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-1001395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-753110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-753110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5" w:lineRule="auto"/>
        <w:rPr>
          <w:sz w:val="20"/>
          <w:szCs w:val="20"/>
          <w:color w:val="auto"/>
        </w:rPr>
      </w:pPr>
      <w:r>
        <w:rPr>
          <w:rFonts w:ascii="Arial" w:cs="Arial" w:eastAsia="Arial" w:hAnsi="Arial"/>
          <w:sz w:val="20"/>
          <w:szCs w:val="20"/>
          <w:color w:val="auto"/>
        </w:rPr>
        <w:t>(In thousands, except share and per share amounts)</w:t>
      </w:r>
    </w:p>
    <w:p>
      <w:pPr>
        <w:jc w:val="center"/>
        <w:spacing w:after="0"/>
        <w:rPr>
          <w:sz w:val="20"/>
          <w:szCs w:val="20"/>
          <w:color w:val="auto"/>
        </w:rPr>
      </w:pPr>
      <w:r>
        <w:rPr>
          <w:rFonts w:ascii="Arial" w:cs="Arial" w:eastAsia="Arial" w:hAnsi="Arial"/>
          <w:sz w:val="20"/>
          <w:szCs w:val="20"/>
          <w:color w:val="auto"/>
        </w:rPr>
        <w:t>(Unaudited)</w:t>
      </w:r>
    </w:p>
    <w:p>
      <w:pPr>
        <w:spacing w:after="0" w:line="5"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For the Three Months</w:t>
      </w:r>
    </w:p>
    <w:p>
      <w:pPr>
        <w:spacing w:after="0" w:line="5" w:lineRule="exact"/>
        <w:rPr>
          <w:sz w:val="20"/>
          <w:szCs w:val="20"/>
          <w:color w:val="auto"/>
        </w:rPr>
      </w:pPr>
    </w:p>
    <w:p>
      <w:pPr>
        <w:jc w:val="center"/>
        <w:ind w:left="7300"/>
        <w:spacing w:after="0"/>
        <w:rPr>
          <w:sz w:val="20"/>
          <w:szCs w:val="20"/>
          <w:color w:val="auto"/>
        </w:rPr>
      </w:pPr>
      <w:r>
        <w:rPr>
          <w:rFonts w:ascii="Arial" w:cs="Arial" w:eastAsia="Arial" w:hAnsi="Arial"/>
          <w:sz w:val="16"/>
          <w:szCs w:val="16"/>
          <w:b w:val="1"/>
          <w:bCs w:val="1"/>
          <w:color w:val="auto"/>
        </w:rPr>
        <w:t>Ended March 31,</w:t>
      </w: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209"/>
        </w:trPr>
        <w:tc>
          <w:tcPr>
            <w:tcW w:w="14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189"/>
        </w:trPr>
        <w:tc>
          <w:tcPr>
            <w:tcW w:w="140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Adjusted EBITDA:</w:t>
            </w:r>
          </w:p>
        </w:tc>
        <w:tc>
          <w:tcPr>
            <w:tcW w:w="60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5"/>
        </w:trPr>
        <w:tc>
          <w:tcPr>
            <w:tcW w:w="74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jc w:val="right"/>
              <w:ind w:right="882"/>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(16,604 )</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(18,343 )</w:t>
            </w:r>
          </w:p>
        </w:tc>
      </w:tr>
      <w:tr>
        <w:trPr>
          <w:trHeight w:val="216"/>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7420" w:type="dxa"/>
            <w:vAlign w:val="bottom"/>
            <w:gridSpan w:val="2"/>
          </w:tcPr>
          <w:p>
            <w:pPr>
              <w:spacing w:after="0"/>
              <w:rPr>
                <w:sz w:val="20"/>
                <w:szCs w:val="20"/>
                <w:color w:val="auto"/>
              </w:rPr>
            </w:pPr>
            <w:r>
              <w:rPr>
                <w:rFonts w:ascii="Arial" w:cs="Arial" w:eastAsia="Arial" w:hAnsi="Arial"/>
                <w:sz w:val="16"/>
                <w:szCs w:val="16"/>
                <w:color w:val="auto"/>
              </w:rPr>
              <w:t>Interest expense, interest and dividend income and other (expenses) income</w:t>
            </w:r>
          </w:p>
        </w:tc>
        <w:tc>
          <w:tcPr>
            <w:tcW w:w="104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6"/>
                <w:szCs w:val="16"/>
                <w:color w:val="auto"/>
              </w:rPr>
              <w:t>(1,156 )</w:t>
            </w:r>
          </w:p>
        </w:tc>
        <w:tc>
          <w:tcPr>
            <w:tcW w:w="36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(1,514 )</w:t>
            </w:r>
          </w:p>
        </w:tc>
      </w:tr>
      <w:tr>
        <w:trPr>
          <w:trHeight w:val="216"/>
        </w:trPr>
        <w:tc>
          <w:tcPr>
            <w:tcW w:w="7420" w:type="dxa"/>
            <w:vAlign w:val="bottom"/>
            <w:gridSpan w:val="2"/>
            <w:shd w:val="clear" w:color="auto" w:fill="CFF0FC"/>
          </w:tcPr>
          <w:p>
            <w:pPr>
              <w:spacing w:after="0" w:line="217"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3,153</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2,566</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r>
      <w:tr>
        <w:trPr>
          <w:trHeight w:val="216"/>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gridSpan w:val="2"/>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6,036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4,694</w:t>
            </w:r>
          </w:p>
        </w:tc>
        <w:tc>
          <w:tcPr>
            <w:tcW w:w="100" w:type="dxa"/>
            <w:vAlign w:val="bottom"/>
          </w:tcPr>
          <w:p>
            <w:pPr>
              <w:spacing w:after="0"/>
              <w:rPr>
                <w:sz w:val="18"/>
                <w:szCs w:val="18"/>
                <w:color w:val="auto"/>
              </w:rPr>
            </w:pPr>
          </w:p>
        </w:tc>
      </w:tr>
      <w:tr>
        <w:trPr>
          <w:trHeight w:val="216"/>
        </w:trPr>
        <w:tc>
          <w:tcPr>
            <w:tcW w:w="742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(3)</w:t>
            </w:r>
          </w:p>
        </w:tc>
        <w:tc>
          <w:tcPr>
            <w:tcW w:w="10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8"/>
                <w:szCs w:val="18"/>
                <w:color w:val="auto"/>
              </w:rPr>
            </w:pPr>
          </w:p>
        </w:tc>
      </w:tr>
      <w:tr>
        <w:trPr>
          <w:trHeight w:val="215"/>
        </w:trPr>
        <w:tc>
          <w:tcPr>
            <w:tcW w:w="7420" w:type="dxa"/>
            <w:vAlign w:val="bottom"/>
            <w:gridSpan w:val="2"/>
          </w:tcPr>
          <w:p>
            <w:pPr>
              <w:spacing w:after="0"/>
              <w:rPr>
                <w:sz w:val="20"/>
                <w:szCs w:val="20"/>
                <w:color w:val="auto"/>
              </w:rPr>
            </w:pPr>
            <w:r>
              <w:rPr>
                <w:rFonts w:ascii="Arial" w:cs="Arial" w:eastAsia="Arial" w:hAnsi="Arial"/>
                <w:sz w:val="16"/>
                <w:szCs w:val="16"/>
                <w:color w:val="auto"/>
              </w:rPr>
              <w:t>Charitable contribution of common stock</w:t>
            </w:r>
          </w:p>
        </w:tc>
        <w:tc>
          <w:tcPr>
            <w:tcW w:w="10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r>
      <w:tr>
        <w:trPr>
          <w:trHeight w:val="216"/>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from unconsolidated joint venture</w:t>
            </w:r>
          </w:p>
        </w:tc>
        <w:tc>
          <w:tcPr>
            <w:tcW w:w="10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(97 )</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(66 )</w:t>
            </w:r>
          </w:p>
        </w:tc>
      </w:tr>
      <w:tr>
        <w:trPr>
          <w:trHeight w:val="215"/>
        </w:trPr>
        <w:tc>
          <w:tcPr>
            <w:tcW w:w="7420" w:type="dxa"/>
            <w:vAlign w:val="bottom"/>
            <w:gridSpan w:val="2"/>
          </w:tcPr>
          <w:p>
            <w:pPr>
              <w:spacing w:after="0"/>
              <w:rPr>
                <w:sz w:val="20"/>
                <w:szCs w:val="20"/>
                <w:color w:val="auto"/>
              </w:rPr>
            </w:pPr>
            <w:r>
              <w:rPr>
                <w:rFonts w:ascii="Arial" w:cs="Arial" w:eastAsia="Arial" w:hAnsi="Arial"/>
                <w:sz w:val="16"/>
                <w:szCs w:val="16"/>
                <w:color w:val="auto"/>
              </w:rPr>
              <w:t>Impairment of assets</w:t>
            </w:r>
          </w:p>
        </w:tc>
        <w:tc>
          <w:tcPr>
            <w:tcW w:w="1040" w:type="dxa"/>
            <w:vAlign w:val="bottom"/>
          </w:tcPr>
          <w:p>
            <w:pPr>
              <w:spacing w:after="0"/>
              <w:rPr>
                <w:sz w:val="18"/>
                <w:szCs w:val="18"/>
                <w:color w:val="auto"/>
              </w:rPr>
            </w:pPr>
          </w:p>
        </w:tc>
        <w:tc>
          <w:tcPr>
            <w:tcW w:w="90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r>
      <w:tr>
        <w:trPr>
          <w:trHeight w:val="249"/>
        </w:trPr>
        <w:tc>
          <w:tcPr>
            <w:tcW w:w="7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6"/>
                <w:szCs w:val="16"/>
                <w:b w:val="1"/>
                <w:bCs w:val="1"/>
                <w:color w:val="auto"/>
              </w:rPr>
              <w:t>Adjusted EBITDA</w:t>
            </w:r>
          </w:p>
        </w:tc>
        <w:tc>
          <w:tcPr>
            <w:tcW w:w="1040" w:type="dxa"/>
            <w:vAlign w:val="bottom"/>
            <w:tcBorders>
              <w:top w:val="single" w:sz="8" w:color="auto"/>
              <w:bottom w:val="single" w:sz="8" w:color="auto"/>
            </w:tcBorders>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(7,459</w:t>
            </w:r>
          </w:p>
        </w:tc>
        <w:tc>
          <w:tcPr>
            <w:tcW w:w="28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(11,767</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-170815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For the Three Months</w:t>
      </w:r>
    </w:p>
    <w:p>
      <w:pPr>
        <w:spacing w:after="0" w:line="21" w:lineRule="exact"/>
        <w:rPr>
          <w:sz w:val="20"/>
          <w:szCs w:val="20"/>
          <w:color w:val="auto"/>
        </w:rPr>
      </w:pPr>
    </w:p>
    <w:p>
      <w:pPr>
        <w:jc w:val="center"/>
        <w:ind w:left="7720"/>
        <w:spacing w:after="0"/>
        <w:rPr>
          <w:sz w:val="20"/>
          <w:szCs w:val="20"/>
          <w:color w:val="auto"/>
        </w:rPr>
      </w:pPr>
      <w:r>
        <w:rPr>
          <w:rFonts w:ascii="Arial" w:cs="Arial" w:eastAsia="Arial" w:hAnsi="Arial"/>
          <w:sz w:val="16"/>
          <w:szCs w:val="16"/>
          <w:b w:val="1"/>
          <w:bCs w:val="1"/>
          <w:color w:val="auto"/>
        </w:rPr>
        <w:t>Ended 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w w:val="99"/>
              </w:rPr>
              <w:t>Non-GAAP Net Loss:</w:t>
            </w:r>
          </w:p>
        </w:tc>
        <w:tc>
          <w:tcPr>
            <w:tcW w:w="622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(16,604 )</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(18,343 )</w:t>
            </w: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Add (deduct):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line="216" w:lineRule="exact"/>
              <w:rPr>
                <w:sz w:val="20"/>
                <w:szCs w:val="20"/>
                <w:color w:val="auto"/>
              </w:rPr>
            </w:pPr>
            <w:r>
              <w:rPr>
                <w:rFonts w:ascii="Arial" w:cs="Arial" w:eastAsia="Arial" w:hAnsi="Arial"/>
                <w:sz w:val="16"/>
                <w:szCs w:val="16"/>
                <w:color w:val="auto"/>
              </w:rPr>
              <w:t>Depreciation and amortization</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deferred costs on convertible notes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line="216" w:lineRule="exact"/>
              <w:rPr>
                <w:sz w:val="20"/>
                <w:szCs w:val="20"/>
                <w:color w:val="auto"/>
              </w:rPr>
            </w:pPr>
            <w:r>
              <w:rPr>
                <w:rFonts w:ascii="Arial" w:cs="Arial" w:eastAsia="Arial" w:hAnsi="Arial"/>
                <w:sz w:val="16"/>
                <w:szCs w:val="16"/>
                <w:color w:val="auto"/>
              </w:rPr>
              <w:t>Acquisition and other</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686</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Loss on sale of property and equipment</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Charitable contribution of common stock</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3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6"/>
                <w:szCs w:val="16"/>
                <w:b w:val="1"/>
                <w:bCs w:val="1"/>
                <w:color w:val="auto"/>
              </w:rPr>
              <w:t>Non-GAAP Net Loss</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(5,742</w:t>
            </w:r>
          </w:p>
        </w:tc>
        <w:tc>
          <w:tcPr>
            <w:tcW w:w="200" w:type="dxa"/>
            <w:vAlign w:val="bottom"/>
          </w:tcPr>
          <w:p>
            <w:pPr>
              <w:jc w:val="right"/>
              <w:ind w:right="5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(9,766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84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Weighted-average number of shares outstanding used to compute Non-GAAP Net Loss per share, basic</w:t>
            </w:r>
          </w:p>
        </w:tc>
        <w:tc>
          <w:tcPr>
            <w:tcW w:w="34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48,577,980</w:t>
            </w:r>
          </w:p>
        </w:tc>
        <w:tc>
          <w:tcPr>
            <w:tcW w:w="2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47,699,561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78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and diluted, of Class A and Class B common stock</w:t>
            </w:r>
          </w:p>
        </w:tc>
        <w:tc>
          <w:tcPr>
            <w:tcW w:w="34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7840" w:type="dxa"/>
            <w:vAlign w:val="bottom"/>
            <w:gridSpan w:val="2"/>
          </w:tcPr>
          <w:p>
            <w:pPr>
              <w:spacing w:after="0"/>
              <w:rPr>
                <w:sz w:val="20"/>
                <w:szCs w:val="20"/>
                <w:color w:val="auto"/>
              </w:rPr>
            </w:pPr>
            <w:r>
              <w:rPr>
                <w:rFonts w:ascii="Arial" w:cs="Arial" w:eastAsia="Arial" w:hAnsi="Arial"/>
                <w:sz w:val="16"/>
                <w:szCs w:val="16"/>
                <w:color w:val="auto"/>
              </w:rPr>
              <w:t>EPS, basic and diluted, of Class A and Class B common stock</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tcPr>
          <w:p>
            <w:pPr>
              <w:jc w:val="right"/>
              <w:ind w:right="59"/>
              <w:spacing w:after="0"/>
              <w:rPr>
                <w:sz w:val="20"/>
                <w:szCs w:val="20"/>
                <w:color w:val="auto"/>
              </w:rPr>
            </w:pPr>
            <w:r>
              <w:rPr>
                <w:rFonts w:ascii="Arial" w:cs="Arial" w:eastAsia="Arial" w:hAnsi="Arial"/>
                <w:sz w:val="16"/>
                <w:szCs w:val="16"/>
                <w:color w:val="auto"/>
              </w:rPr>
              <w:t>(0.34 )</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(0.38 )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shd w:val="clear" w:color="auto" w:fill="CFF0FC"/>
          </w:tcPr>
          <w:p>
            <w:pPr>
              <w:spacing w:after="0"/>
              <w:rPr>
                <w:sz w:val="18"/>
                <w:szCs w:val="18"/>
                <w:color w:val="auto"/>
              </w:rPr>
            </w:pPr>
          </w:p>
        </w:tc>
        <w:tc>
          <w:tcPr>
            <w:tcW w:w="78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EPS, basic and diluted, of Class A and Class B common stock</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(0.12 )</w:t>
            </w:r>
          </w:p>
        </w:tc>
        <w:tc>
          <w:tcPr>
            <w:tcW w:w="3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(0.20 )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6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-470535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4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60" w:type="dxa"/>
            <w:vAlign w:val="bottom"/>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103,363</w:t>
            </w:r>
          </w:p>
        </w:tc>
        <w:tc>
          <w:tcPr>
            <w:tcW w:w="320" w:type="dxa"/>
            <w:vAlign w:val="bottom"/>
          </w:tcPr>
          <w:p>
            <w:pPr>
              <w:spacing w:after="0"/>
              <w:rPr>
                <w:sz w:val="19"/>
                <w:szCs w:val="19"/>
                <w:color w:val="auto"/>
              </w:rPr>
            </w:pP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93,903</w:t>
            </w:r>
          </w:p>
        </w:tc>
        <w:tc>
          <w:tcPr>
            <w:tcW w:w="100" w:type="dxa"/>
            <w:vAlign w:val="bottom"/>
          </w:tcPr>
          <w:p>
            <w:pPr>
              <w:spacing w:after="0"/>
              <w:rPr>
                <w:sz w:val="19"/>
                <w:szCs w:val="19"/>
                <w:color w:val="auto"/>
              </w:rPr>
            </w:pPr>
          </w:p>
        </w:tc>
      </w:tr>
      <w:tr>
        <w:trPr>
          <w:trHeight w:val="229"/>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4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19,327</w:t>
            </w:r>
          </w:p>
        </w:tc>
        <w:tc>
          <w:tcPr>
            <w:tcW w:w="3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122,690</w:t>
            </w:r>
          </w:p>
        </w:tc>
        <w:tc>
          <w:tcPr>
            <w:tcW w:w="320" w:type="dxa"/>
            <w:vAlign w:val="bottom"/>
          </w:tcPr>
          <w:p>
            <w:pPr>
              <w:spacing w:after="0"/>
              <w:rPr>
                <w:sz w:val="19"/>
                <w:szCs w:val="19"/>
                <w:color w:val="auto"/>
              </w:rPr>
            </w:pPr>
          </w:p>
        </w:tc>
        <w:tc>
          <w:tcPr>
            <w:tcW w:w="148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105,326</w:t>
            </w:r>
          </w:p>
        </w:tc>
        <w:tc>
          <w:tcPr>
            <w:tcW w:w="100" w:type="dxa"/>
            <w:vAlign w:val="bottom"/>
          </w:tcPr>
          <w:p>
            <w:pPr>
              <w:spacing w:after="0"/>
              <w:rPr>
                <w:sz w:val="19"/>
                <w:szCs w:val="19"/>
                <w:color w:val="auto"/>
              </w:rPr>
            </w:pPr>
          </w:p>
        </w:tc>
      </w:tr>
      <w:tr>
        <w:trPr>
          <w:trHeight w:val="20"/>
        </w:trPr>
        <w:tc>
          <w:tcPr>
            <w:tcW w:w="64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14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U.S.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(11,818 )</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(12,937 )</w:t>
            </w:r>
          </w:p>
        </w:tc>
      </w:tr>
      <w:tr>
        <w:trPr>
          <w:trHeight w:val="229"/>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14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(4,798 )</w:t>
            </w:r>
          </w:p>
        </w:tc>
        <w:tc>
          <w:tcPr>
            <w:tcW w:w="14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(5,407 )</w:t>
            </w:r>
          </w:p>
        </w:tc>
      </w:tr>
      <w:tr>
        <w:trPr>
          <w:trHeight w:val="20"/>
        </w:trPr>
        <w:tc>
          <w:tcPr>
            <w:tcW w:w="64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46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(16,616 )</w:t>
            </w:r>
          </w:p>
        </w:tc>
        <w:tc>
          <w:tcPr>
            <w:tcW w:w="1480" w:type="dxa"/>
            <w:vAlign w:val="bottom"/>
          </w:tcPr>
          <w:p>
            <w:pPr>
              <w:jc w:val="right"/>
              <w:ind w:right="12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(18,344 )</w:t>
            </w:r>
          </w:p>
        </w:tc>
      </w:tr>
      <w:tr>
        <w:trPr>
          <w:trHeight w:val="20"/>
        </w:trPr>
        <w:tc>
          <w:tcPr>
            <w:tcW w:w="64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-941070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-179070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5"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13"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For the Three Months</w:t>
      </w:r>
    </w:p>
    <w:p>
      <w:pPr>
        <w:spacing w:after="0" w:line="13" w:lineRule="exact"/>
        <w:rPr>
          <w:sz w:val="20"/>
          <w:szCs w:val="20"/>
          <w:color w:val="auto"/>
        </w:rPr>
      </w:pPr>
    </w:p>
    <w:p>
      <w:pPr>
        <w:jc w:val="center"/>
        <w:ind w:left="6940"/>
        <w:spacing w:after="0"/>
        <w:rPr>
          <w:sz w:val="20"/>
          <w:szCs w:val="20"/>
          <w:color w:val="auto"/>
        </w:rPr>
      </w:pPr>
      <w:r>
        <w:rPr>
          <w:rFonts w:ascii="Arial" w:cs="Arial" w:eastAsia="Arial" w:hAnsi="Arial"/>
          <w:sz w:val="18"/>
          <w:szCs w:val="18"/>
          <w:b w:val="1"/>
          <w:bCs w:val="1"/>
          <w:color w:val="auto"/>
        </w:rPr>
        <w:t>Ended 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3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1,520</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9"/>
                <w:szCs w:val="19"/>
                <w:color w:val="auto"/>
              </w:rPr>
            </w:pPr>
          </w:p>
        </w:tc>
      </w:tr>
      <w:tr>
        <w:trPr>
          <w:trHeight w:val="229"/>
        </w:trPr>
        <w:tc>
          <w:tcPr>
            <w:tcW w:w="5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206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3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6,036</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34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185</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20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9"/>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20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FF0FC"/>
          </w:tcPr>
          <w:p>
            <w:pPr>
              <w:spacing w:after="0"/>
              <w:rPr>
                <w:sz w:val="19"/>
                <w:szCs w:val="19"/>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0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r>
      <w:tr>
        <w:trPr>
          <w:trHeight w:val="263"/>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340" w:type="dxa"/>
            <w:vAlign w:val="bottom"/>
            <w:gridSpan w:val="2"/>
            <w:shd w:val="clear" w:color="auto" w:fill="CFF0FC"/>
          </w:tcPr>
          <w:p>
            <w:pPr>
              <w:jc w:val="right"/>
              <w:ind w:right="10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3,153</w:t>
            </w:r>
          </w:p>
        </w:tc>
        <w:tc>
          <w:tcPr>
            <w:tcW w:w="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100" w:type="dxa"/>
            <w:vAlign w:val="bottom"/>
            <w:shd w:val="clear" w:color="auto" w:fill="CFF0FC"/>
          </w:tcPr>
          <w:p>
            <w:pPr>
              <w:spacing w:after="0"/>
              <w:rPr>
                <w:sz w:val="22"/>
                <w:szCs w:val="22"/>
                <w:color w:val="auto"/>
              </w:rPr>
            </w:pPr>
          </w:p>
        </w:tc>
      </w:tr>
      <w:tr>
        <w:trPr>
          <w:trHeight w:val="843"/>
        </w:trPr>
        <w:tc>
          <w:tcPr>
            <w:tcW w:w="5020" w:type="dxa"/>
            <w:vAlign w:val="bottom"/>
            <w:tcBorders>
              <w:top w:val="single" w:sz="8" w:color="CFF0FC"/>
            </w:tcBorders>
          </w:tcPr>
          <w:p>
            <w:pPr>
              <w:spacing w:after="0"/>
              <w:rPr>
                <w:sz w:val="24"/>
                <w:szCs w:val="24"/>
                <w:color w:val="auto"/>
              </w:rPr>
            </w:pPr>
          </w:p>
        </w:tc>
        <w:tc>
          <w:tcPr>
            <w:tcW w:w="2060" w:type="dxa"/>
            <w:vAlign w:val="bottom"/>
            <w:tcBorders>
              <w:top w:val="single" w:sz="8" w:color="CFF0FC"/>
            </w:tcBorders>
          </w:tcPr>
          <w:p>
            <w:pPr>
              <w:jc w:val="right"/>
              <w:ind w:right="1270"/>
              <w:spacing w:after="0"/>
              <w:rPr>
                <w:sz w:val="20"/>
                <w:szCs w:val="20"/>
                <w:color w:val="auto"/>
              </w:rPr>
            </w:pPr>
            <w:r>
              <w:rPr>
                <w:rFonts w:ascii="Times New Roman" w:cs="Times New Roman" w:eastAsia="Times New Roman" w:hAnsi="Times New Roman"/>
                <w:sz w:val="18"/>
                <w:szCs w:val="18"/>
                <w:color w:val="auto"/>
              </w:rPr>
              <w:t>11</w:t>
            </w:r>
          </w:p>
        </w:tc>
        <w:tc>
          <w:tcPr>
            <w:tcW w:w="1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50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-2422525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-1069975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-1052830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-1069975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-1052830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2024-05-09T06:30:54Z</dcterms:created>
  <dcterms:modified xsi:type="dcterms:W3CDTF">2024-05-09T06:30:54Z</dcterms:modified>
</cp:coreProperties>
</file>