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mtr-20251104.htm"/>
      <w:bookmarkStart w:id="1" w:name="ksxmtr20251104"/>
      <w:bookmarkEnd w:id="0"/>
      <w:bookmarkEnd w:id="1"/>
      <w:r>
        <w:rPr/>
        <w:t> </w:t>
      </w:r>
    </w:p>
    <w:p>
      <w:pPr>
        <w:pStyle w:val="TextBody"/>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04,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Xometry,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(240)</w:t>
            </w:r>
            <w:r>
              <w:rPr>
                <w:rFonts w:ascii="Times New Roman" w:hAnsi="Times New Roman"/>
                <w:color w:val="000000"/>
                <w:sz w:val="20"/>
              </w:rPr>
              <w:t xml:space="preserve"> </w:t>
            </w:r>
            <w:r>
              <w:rPr>
                <w:rFonts w:ascii="Times New Roman" w:hAnsi="Times New Roman"/>
                <w:b/>
                <w:color w:val="000000"/>
                <w:sz w:val="20"/>
              </w:rPr>
              <w:t>252-1138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4, 2025, Xometry, Inc. (the “Company”) issued a press release announcing its third quarter financial results for the quarterly period ended September 30, 2025. A copy of the press release is furnished as Exhibit 99.1 to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772" w:type="dxa"/>
        <w:jc w:val="left"/>
        <w:tblInd w:w="0" w:type="dxa"/>
        <w:tblLayout w:type="fixed"/>
        <w:tblCellMar>
          <w:top w:w="28" w:type="dxa"/>
          <w:left w:w="28" w:type="dxa"/>
          <w:bottom w:w="28" w:type="dxa"/>
          <w:right w:w="28" w:type="dxa"/>
        </w:tblCellMar>
      </w:tblPr>
      <w:tblGrid>
        <w:gridCol w:w="1081"/>
        <w:gridCol w:w="6691"/>
      </w:tblGrid>
      <w:tr>
        <w:trPr/>
        <w:tc>
          <w:tcPr>
            <w:tcW w:w="1081"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xmtr-ex99_1.htm">
              <w:r>
                <w:rPr>
                  <w:rStyle w:val="InternetLink"/>
                  <w:rFonts w:ascii="Times New Roman" w:hAnsi="Times New Roman"/>
                  <w:color w:val="0000FF"/>
                  <w:sz w:val="20"/>
                  <w:u w:val="single"/>
                </w:rPr>
                <w:t>99.1</w:t>
              </w:r>
            </w:hyperlink>
          </w:p>
        </w:tc>
        <w:tc>
          <w:tcPr>
            <w:tcW w:w="6691" w:type="dxa"/>
            <w:tcBorders/>
            <w:tcMar>
              <w:top w:w="0" w:type="dxa"/>
              <w:left w:w="0" w:type="dxa"/>
              <w:bottom w:w="0" w:type="dxa"/>
              <w:right w:w="0" w:type="dxa"/>
            </w:tcMar>
            <w:vAlign w:val="center"/>
          </w:tcPr>
          <w:p>
            <w:pPr>
              <w:pStyle w:val="TableContents"/>
              <w:bidi w:val="0"/>
              <w:spacing w:before="0" w:after="283"/>
              <w:jc w:val="left"/>
              <w:rPr/>
            </w:pPr>
            <w:hyperlink w:anchor="xmtr-ex99_1.htm">
              <w:r>
                <w:rPr>
                  <w:rStyle w:val="InternetLink"/>
                  <w:rFonts w:ascii="Times New Roman" w:hAnsi="Times New Roman"/>
                  <w:color w:val="0000FF"/>
                  <w:sz w:val="20"/>
                  <w:u w:val="single"/>
                </w:rPr>
                <w:t>Press Release of Xometry, Inc. issued on November 4, 2025.</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699" w:type="dxa"/>
        <w:jc w:val="left"/>
        <w:tblInd w:w="0" w:type="dxa"/>
        <w:tblLayout w:type="fixed"/>
        <w:tblCellMar>
          <w:top w:w="28" w:type="dxa"/>
          <w:left w:w="28" w:type="dxa"/>
          <w:bottom w:w="28" w:type="dxa"/>
          <w:right w:w="28" w:type="dxa"/>
        </w:tblCellMar>
      </w:tblPr>
      <w:tblGrid>
        <w:gridCol w:w="556"/>
        <w:gridCol w:w="1606"/>
        <w:gridCol w:w="451"/>
        <w:gridCol w:w="2086"/>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sz w:val="20"/>
              </w:rPr>
            </w:pPr>
            <w:r>
              <w:rPr>
                <w:rFonts w:ascii="Times New Roman" w:hAnsi="Times New Roman"/>
                <w:b/>
                <w:color w:val="000000"/>
                <w:sz w:val="20"/>
              </w:rPr>
              <w:t>XOMETRY,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4,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u w:val="single"/>
              </w:rPr>
            </w:pPr>
            <w:r>
              <w:rPr>
                <w:rFonts w:ascii="Times New Roman" w:hAnsi="Times New Roman"/>
                <w:color w:val="000000"/>
                <w:sz w:val="20"/>
                <w:u w:val="single"/>
              </w:rPr>
              <w:t>/s/ Randolph Altschuler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Randolph Altschuler</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xmtr-ex99_1.htm"/>
      <w:bookmarkStart w:id="3" w:name="ksxmtrex99_1"/>
      <w:bookmarkEnd w:id="2"/>
      <w:bookmarkEnd w:id="3"/>
      <w:r>
        <w:rPr/>
        <w:t> </w:t>
      </w:r>
      <w:r>
        <w:br w:type="page"/>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center"/>
        <w:rPr>
          <w:rFonts w:ascii="Arial" w:hAnsi="Arial"/>
          <w:b/>
          <w:color w:val="000000"/>
          <w:sz w:val="22"/>
        </w:rPr>
      </w:pPr>
      <w:r>
        <w:rPr>
          <w:rFonts w:ascii="Arial" w:hAnsi="Arial"/>
          <w:b/>
          <w:color w:val="000000"/>
          <w:sz w:val="22"/>
        </w:rPr>
        <w:t>Xometry Reports Record Third Quarter 2025 Results</w:t>
      </w:r>
    </w:p>
    <w:p>
      <w:pPr>
        <w:pStyle w:val="TextBody"/>
        <w:bidi w:val="0"/>
        <w:spacing w:before="0" w:after="24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Q3 revenue increased 28% year-over-year to a record $181 million, driven by robust marketplace growth.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Q3 marketplace revenue growth accelerated to 31% year-over-year, driven by strong enterprise growth and expanded networks of buyers and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Q3 gross profit increased 29% year-over-year to a record $72.0 million, driven by record marketplace gross margin of 35.7%.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Q3 Adjusted EBITDA improved $6.8 million year-over-year to Adjusted EBITDA of $6.1 million driven by expanding marketplace gross margin and strong operating expense leverage.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Strong operating results were driven by consistent execution across growth initiatives: expanding buyer and supplier networks, driving deeper enterprise engagement, further expanding the marketplace platform, growing internationally, and enhancing supplier services. </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b/>
          <w:color w:val="000000"/>
          <w:sz w:val="22"/>
        </w:rPr>
        <w:t>NORTH BETHESDA, MD., November 4, 2025 /Globe Newswire/</w:t>
      </w:r>
      <w:r>
        <w:rPr>
          <w:rFonts w:ascii="Arial" w:hAnsi="Arial"/>
          <w:color w:val="000000"/>
          <w:sz w:val="22"/>
        </w:rPr>
        <w:t>-- Xometry, Inc. (NASDAQ: XMTR), the global AI-powered marketplace connecting buyers and suppliers of custom manufacturing, today announced its financial results for the third quarter ended September 30, 2025.</w:t>
      </w:r>
    </w:p>
    <w:p>
      <w:pPr>
        <w:pStyle w:val="TextBody"/>
        <w:bidi w:val="0"/>
        <w:spacing w:before="0" w:after="240"/>
        <w:jc w:val="left"/>
        <w:rPr/>
      </w:pPr>
      <w:r>
        <w:rPr>
          <w:color w:val="000000"/>
        </w:rPr>
        <w:t>“</w:t>
      </w:r>
      <w:r>
        <w:rPr>
          <w:rFonts w:ascii="Arial" w:hAnsi="Arial"/>
          <w:color w:val="000000"/>
          <w:sz w:val="22"/>
        </w:rPr>
        <w:t>This was another record quarter for Xometry as enterprise customers rapidly adopt our supply chain solutions,” said Randy Altschuler, CEO at Xometry. “In Q3, we delivered 31% marketplace revenue growth year-over-year underscoring the strength of our platform and strategic global network.”</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Arial" w:hAnsi="Arial"/>
          <w:color w:val="000000"/>
          <w:sz w:val="22"/>
        </w:rPr>
        <w:t>In Q3, we delivered accelerated marketplace revenue growth and a robust marketplace gross margin which increased 210 basis points year-over-year to 35.7%,” said James Miln, Xometry’s CFO. “Our Adjusted EBITDA improved by $6.8 million year-over-year to $6.1 million. We expect to deliver 20% annual incremental Adjusted EBITDA margins as we scale to $1 billion in revenue.”</w:t>
      </w:r>
      <w:r>
        <w:rPr>
          <w:rFonts w:ascii="Times New Roman" w:hAnsi="Times New Roman"/>
          <w:color w:val="000000"/>
          <w:sz w:val="20"/>
        </w:rPr>
        <w:t xml:space="preserve"> </w:t>
      </w:r>
    </w:p>
    <w:p>
      <w:pPr>
        <w:pStyle w:val="TextBody"/>
        <w:bidi w:val="0"/>
        <w:jc w:val="left"/>
        <w:rPr>
          <w:rFonts w:ascii="Arial" w:hAnsi="Arial"/>
          <w:b/>
          <w:color w:val="000000"/>
          <w:sz w:val="22"/>
        </w:rPr>
      </w:pPr>
      <w:r>
        <w:rPr>
          <w:rFonts w:ascii="Arial" w:hAnsi="Arial"/>
          <w:b/>
          <w:color w:val="000000"/>
          <w:sz w:val="22"/>
        </w:rPr>
        <w:t>Third Quarter 2025 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Marketplace revenue for the third quarter of 2025 was $167 million, an increase of 31%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Marketplace Active Buyers increased 21% from 64,851 as of September 30, 2024 to 78,282 as of September 30, 2025.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Marketplace Accounts with Last Twelve-Months Spend of at least $50,000 increased 14% from 1,506 as of September 30, 2024 to 1,724 as of September 30, 2025.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Supplier services revenue for the third quarter of 2025 was $14.1 million, a decrease of 4% year-over-year.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Net loss attributable to common stockholders for the third quarter of 2025 was $11.6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Adjusted EBITDA for the third quarter of 2025 was $6.1 million, reflecting an improvement of $6.8 million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Non-GAAP net income for the third quarter of 2025 was $6.2 million, as compared to a Non-GAAP net income of $1.1 million in the third quarter of 2024.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Cash, cash equivalents and marketable securities were $225 million as of September 30, 2025.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color w:val="000000"/>
          <w:sz w:val="22"/>
        </w:rPr>
        <w:t>Business highlights since Xometry’s last earnings announcement include:</w:t>
      </w:r>
      <w:r>
        <w:rPr>
          <w:rFonts w:ascii="Times New Roman" w:hAnsi="Times New Roman"/>
          <w:color w:val="000000"/>
          <w:sz w:val="20"/>
        </w:rPr>
        <w:t xml:space="preserve"> </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Xometry launched the new Workcenter mobile app. The Workcenter platform is Xometry’s proprietary all-in-one quote-to-cash solution enabling its partners to source and consolidate work, manage operations, monitor performance and secure cash flow. This powerful new app is designed to help suppliers within the Xometry partner network manage job offers, production workflows and shop performance – anytime, anywhere. Additionally, the new app provides for better communication flow to ensure partners are quickly informed of critical updates and job opportunities. The app also enables seamless data capture through photos, certifications, signatures, and status updates to improve accuracy and get information flowing quickly, delivering greater quality, transparency, and responsiveness to customers.</w:t>
      </w:r>
    </w:p>
    <w:p>
      <w:pPr>
        <w:pStyle w:val="TextBody"/>
        <w:bidi w:val="0"/>
        <w:spacing w:before="0" w:after="200"/>
        <w:jc w:val="left"/>
        <w:rPr>
          <w:color w:val="1D1C1D"/>
        </w:rPr>
      </w:pPr>
      <w:r>
        <w:rPr>
          <w:color w:val="1D1C1D"/>
        </w:rPr>
        <w:t>•</w:t>
      </w:r>
    </w:p>
    <w:p>
      <w:pPr>
        <w:pStyle w:val="TextBody"/>
        <w:bidi w:val="0"/>
        <w:spacing w:before="0" w:after="200"/>
        <w:jc w:val="left"/>
        <w:rPr>
          <w:rFonts w:ascii="Arial" w:hAnsi="Arial"/>
          <w:color w:val="1D1C1D"/>
          <w:sz w:val="22"/>
        </w:rPr>
      </w:pPr>
      <w:r>
        <w:rPr>
          <w:rFonts w:ascii="Arial" w:hAnsi="Arial"/>
          <w:color w:val="1D1C1D"/>
          <w:sz w:val="22"/>
        </w:rPr>
        <w:t>Xometry launched auto-quotes for injection molding services in the U.S., following a launch earlier this year in Europe. Xometry’s new auto-quoting capability simplifies the injection molding manufacturing process in a seamless digital experience, to enable customers to move quickly from design to finished part. Xometry’s proprietary AI-powered platform manages the full lifecycle of injection molding needs from initial quoting to delivery to reordering. The platform enables a spectrum of injection molding options – from prototype and low-volume bridge tooling to high-volume, multi-cavity production tooling in over 35 different materials, colors and finishes.</w:t>
      </w:r>
    </w:p>
    <w:p>
      <w:pPr>
        <w:pStyle w:val="TextBody"/>
        <w:bidi w:val="0"/>
        <w:spacing w:before="0" w:after="200"/>
        <w:jc w:val="left"/>
        <w:rPr>
          <w:color w:val="1D1C1D"/>
        </w:rPr>
      </w:pPr>
      <w:r>
        <w:rPr>
          <w:color w:val="1D1C1D"/>
        </w:rPr>
        <w:t>•</w:t>
      </w:r>
    </w:p>
    <w:p>
      <w:pPr>
        <w:pStyle w:val="TextBody"/>
        <w:bidi w:val="0"/>
        <w:spacing w:before="0" w:after="200"/>
        <w:jc w:val="left"/>
        <w:rPr>
          <w:rFonts w:ascii="Arial" w:hAnsi="Arial"/>
          <w:color w:val="1D1C1D"/>
          <w:sz w:val="22"/>
        </w:rPr>
      </w:pPr>
      <w:r>
        <w:rPr>
          <w:rFonts w:ascii="Arial" w:hAnsi="Arial"/>
          <w:color w:val="1D1C1D"/>
          <w:sz w:val="22"/>
        </w:rPr>
        <w:t xml:space="preserve">Thomas launched a new dynamic ad-serving technology platform. The new pay-for-performance platform enables advertisers to set budgets, better define their target audience, maximize ad effectiveness and improve return on investment (ROI) tracking. </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Xometry advanced its AI-powered Design for Manufacturing (DFM) capabilities, expanding its automated extraction engine that interprets technical drawings and CAD files. This enhancement improves the accuracy of quotes and supplier matching by automatically identifying key manufacturing attributes (such as materials, processes or tolerances) directly from the part's design.</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Xometry EU expanded its marketplace with new materials and faster lead times. Xometry EU added over two dozen new materials including new metals (bronze) and engineering plastics (acrylics). Additionally, the EU marketplace expanded its delivery options, offering express manufacturing options for CNC, sheet metal and 3D printing.</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Arial" w:hAnsi="Arial"/>
          <w:color w:val="000000"/>
          <w:sz w:val="22"/>
        </w:rPr>
        <w:t>Xometry EU launched its parts library. The library simplifies how customers manage and reuse part data across projects. It automatically gathers all 3D models and drawings from past quotes and orders, making it easier to reorder parts and reuse designs. Buyers can also view project history, see where each part was used, and download models and drawings directly from the library.</w:t>
        <w:br/>
      </w:r>
      <w:r>
        <w:rPr>
          <w:color w:val="000000"/>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6" w:space="1" w:color="000000"/>
        </w:pBdr>
        <w:bidi w:val="0"/>
        <w:jc w:val="center"/>
        <w:rPr>
          <w:rFonts w:ascii="Arial" w:hAnsi="Arial"/>
          <w:b/>
          <w:color w:val="000000"/>
          <w:sz w:val="22"/>
        </w:rPr>
      </w:pPr>
      <w:r>
        <w:rPr>
          <w:rFonts w:ascii="Arial" w:hAnsi="Arial"/>
          <w:b/>
          <w:color w:val="000000"/>
          <w:sz w:val="22"/>
        </w:rPr>
        <w:t>Financial Summary</w:t>
      </w:r>
    </w:p>
    <w:p>
      <w:pPr>
        <w:pStyle w:val="TextBody"/>
        <w:bidi w:val="0"/>
        <w:jc w:val="center"/>
        <w:rPr>
          <w:rFonts w:ascii="Arial" w:hAnsi="Arial"/>
          <w:b/>
          <w:color w:val="000000"/>
          <w:sz w:val="22"/>
        </w:rPr>
      </w:pPr>
      <w:r>
        <w:rPr>
          <w:rFonts w:ascii="Arial" w:hAnsi="Arial"/>
          <w:b/>
          <w:color w:val="000000"/>
          <w:sz w:val="22"/>
        </w:rPr>
        <w:t>(In thousands, except per share amounts)</w:t>
      </w:r>
    </w:p>
    <w:p>
      <w:pPr>
        <w:pStyle w:val="TextBody"/>
        <w:bidi w:val="0"/>
        <w:spacing w:before="0" w:after="200"/>
        <w:jc w:val="center"/>
        <w:rPr>
          <w:rFonts w:ascii="Arial" w:hAnsi="Arial"/>
          <w:b/>
          <w:color w:val="000000"/>
          <w:sz w:val="22"/>
        </w:rPr>
      </w:pPr>
      <w:r>
        <w:rPr>
          <w:rFonts w:ascii="Arial" w:hAnsi="Arial"/>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880"/>
        <w:gridCol w:w="146"/>
        <w:gridCol w:w="196"/>
        <w:gridCol w:w="691"/>
        <w:gridCol w:w="256"/>
        <w:gridCol w:w="146"/>
        <w:gridCol w:w="196"/>
        <w:gridCol w:w="691"/>
        <w:gridCol w:w="256"/>
        <w:gridCol w:w="146"/>
        <w:gridCol w:w="916"/>
        <w:gridCol w:w="146"/>
        <w:gridCol w:w="196"/>
        <w:gridCol w:w="691"/>
        <w:gridCol w:w="256"/>
        <w:gridCol w:w="146"/>
        <w:gridCol w:w="196"/>
        <w:gridCol w:w="691"/>
        <w:gridCol w:w="256"/>
        <w:gridCol w:w="146"/>
        <w:gridCol w:w="961"/>
      </w:tblGrid>
      <w:tr>
        <w:trPr/>
        <w:tc>
          <w:tcPr>
            <w:tcW w:w="2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w:t>
              <w:br/>
              <w:t>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Nine Months</w:t>
              <w:br/>
              <w:t>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Consolidated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180,715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141,698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494,234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396,983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24%</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72,029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193,536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156,604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24%</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31%</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EPS, basic and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27%</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Adjusted EBITDA</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195%</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Non-GAAP net income (loss)</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324%</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Non-GAAP EPS, basic</w:t>
            </w:r>
            <w:r>
              <w:rPr>
                <w:rFonts w:ascii="Arial" w:hAnsi="Arial"/>
                <w:color w:val="000000"/>
                <w:sz w:val="11"/>
              </w:rPr>
              <w:t>(1)</w:t>
            </w:r>
            <w:r>
              <w:rPr>
                <w:rFonts w:ascii="Arial" w:hAnsi="Arial"/>
                <w:color w:val="000000"/>
                <w:sz w:val="16"/>
              </w:rPr>
              <w:t>,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309%</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Non-GAAP EPS, diluted</w:t>
            </w:r>
            <w:r>
              <w:rPr>
                <w:rFonts w:ascii="Arial" w:hAnsi="Arial"/>
                <w:color w:val="000000"/>
                <w:sz w:val="11"/>
              </w:rPr>
              <w:t>(1)</w:t>
            </w:r>
            <w:r>
              <w:rPr>
                <w:rFonts w:ascii="Arial" w:hAnsi="Arial"/>
                <w:color w:val="000000"/>
                <w:sz w:val="16"/>
              </w:rPr>
              <w:t>,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300%</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166,592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126,965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451,168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351,438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28%</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107,086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84,347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295,891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235,278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26%</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59,506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42,618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155,277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116,160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34%</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1.3%</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Supplier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13,207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38,259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40,444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0.0%</w:t>
            </w:r>
          </w:p>
        </w:tc>
      </w:tr>
    </w:tbl>
    <w:p>
      <w:pPr>
        <w:pStyle w:val="TextBody"/>
        <w:bidi w:val="0"/>
        <w:spacing w:before="0" w:after="200"/>
        <w:jc w:val="left"/>
        <w:rPr>
          <w:rFonts w:ascii="Arial" w:hAnsi="Arial"/>
          <w:color w:val="000000"/>
          <w:sz w:val="16"/>
        </w:rPr>
      </w:pPr>
      <w:r>
        <w:rPr>
          <w:rFonts w:ascii="Arial" w:hAnsi="Arial"/>
          <w:color w:val="000000"/>
          <w:sz w:val="16"/>
        </w:rPr>
        <w:t>(1)</w:t>
      </w:r>
    </w:p>
    <w:p>
      <w:pPr>
        <w:pStyle w:val="TextBody"/>
        <w:bidi w:val="0"/>
        <w:spacing w:before="0" w:after="200"/>
        <w:jc w:val="left"/>
        <w:rPr>
          <w:rFonts w:ascii="Arial" w:hAnsi="Arial"/>
          <w:color w:val="000000"/>
          <w:sz w:val="16"/>
        </w:rPr>
      </w:pPr>
      <w:r>
        <w:rPr>
          <w:rFonts w:ascii="Arial" w:hAnsi="Arial"/>
          <w:color w:val="000000"/>
          <w:sz w:val="16"/>
        </w:rPr>
        <w:t>These non-GAAP financial measures, and the reasons why we believe these non-GAAP financial measures are useful, are described below and reconciled to their most directly comparable GAAP measures in the accompanying tables.</w:t>
      </w:r>
    </w:p>
    <w:p>
      <w:pPr>
        <w:pStyle w:val="TextBody"/>
        <w:bidi w:val="0"/>
        <w:spacing w:before="0" w:after="200"/>
        <w:jc w:val="left"/>
        <w:rPr>
          <w:rFonts w:ascii="Times New Roman" w:hAnsi="Times New Roman"/>
          <w:sz w:val="20"/>
        </w:rPr>
      </w:pPr>
      <w:r>
        <w:rPr>
          <w:rFonts w:ascii="Arial" w:hAnsi="Arial"/>
          <w:b/>
          <w:color w:val="000000"/>
          <w:sz w:val="22"/>
        </w:rPr>
        <w:t>Key Operating Metrics</w:t>
      </w:r>
      <w:r>
        <w:rPr>
          <w:rFonts w:ascii="Arial" w:hAnsi="Arial"/>
          <w:b/>
          <w:color w:val="000000"/>
          <w:sz w:val="15"/>
        </w:rPr>
        <w:t>(2)</w:t>
      </w:r>
      <w:r>
        <w:rPr>
          <w:rFonts w:ascii="Arial" w:hAnsi="Arial"/>
          <w:b/>
          <w:color w:val="000000"/>
          <w:sz w:val="22"/>
        </w:rPr>
        <w:t>:</w:t>
      </w:r>
    </w:p>
    <w:tbl>
      <w:tblPr>
        <w:tblW w:w="8972" w:type="dxa"/>
        <w:jc w:val="left"/>
        <w:tblInd w:w="0" w:type="dxa"/>
        <w:tblLayout w:type="fixed"/>
        <w:tblCellMar>
          <w:top w:w="28" w:type="dxa"/>
          <w:left w:w="28" w:type="dxa"/>
          <w:bottom w:w="28" w:type="dxa"/>
          <w:right w:w="28" w:type="dxa"/>
        </w:tblCellMar>
      </w:tblPr>
      <w:tblGrid>
        <w:gridCol w:w="5266"/>
        <w:gridCol w:w="146"/>
        <w:gridCol w:w="146"/>
        <w:gridCol w:w="676"/>
        <w:gridCol w:w="271"/>
        <w:gridCol w:w="146"/>
        <w:gridCol w:w="146"/>
        <w:gridCol w:w="676"/>
        <w:gridCol w:w="271"/>
        <w:gridCol w:w="146"/>
        <w:gridCol w:w="242"/>
        <w:gridCol w:w="524"/>
        <w:gridCol w:w="31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 </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Active Buyers</w:t>
            </w:r>
            <w:r>
              <w:rPr>
                <w:rFonts w:ascii="Arial" w:hAnsi="Arial"/>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Percentage of Revenue from Existing Accounts</w:t>
            </w:r>
            <w:r>
              <w:rPr>
                <w:rFonts w:ascii="Arial" w:hAnsi="Arial"/>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Accounts with Last Twelve-Months Spend of at Least $50,000</w:t>
            </w:r>
            <w:r>
              <w:rPr>
                <w:rFonts w:ascii="Arial" w:hAnsi="Arial"/>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 xml:space="preserve">These key operating metrics are for Marketplace. See “Key Terms for our Key Metrics and Non-GAAP Financial Measures” below for definitions of these metrics. </w:t>
      </w:r>
    </w:p>
    <w:p>
      <w:pPr>
        <w:pStyle w:val="TextBody"/>
        <w:bidi w:val="0"/>
        <w:spacing w:before="0" w:after="200"/>
        <w:jc w:val="left"/>
        <w:rPr>
          <w:rFonts w:ascii="Arial" w:hAnsi="Arial"/>
          <w:color w:val="000000"/>
          <w:sz w:val="16"/>
        </w:rPr>
      </w:pPr>
      <w:r>
        <w:rPr>
          <w:rFonts w:ascii="Arial" w:hAnsi="Arial"/>
          <w:color w:val="000000"/>
          <w:sz w:val="16"/>
        </w:rPr>
        <w:t>(3)</w:t>
      </w:r>
    </w:p>
    <w:p>
      <w:pPr>
        <w:pStyle w:val="TextBody"/>
        <w:bidi w:val="0"/>
        <w:spacing w:before="0" w:after="200"/>
        <w:jc w:val="left"/>
        <w:rPr>
          <w:rFonts w:ascii="Arial" w:hAnsi="Arial"/>
          <w:color w:val="000000"/>
          <w:sz w:val="16"/>
        </w:rPr>
      </w:pPr>
      <w:r>
        <w:rPr>
          <w:rFonts w:ascii="Arial" w:hAnsi="Arial"/>
          <w:color w:val="000000"/>
          <w:sz w:val="16"/>
        </w:rPr>
        <w:t xml:space="preserve">Amounts shown for Active Buyers, Accounts with Last Twelve-Months Spend of at Least $50,000 and Percentage of Revenue from Existing Accounts is presented for the quarters ended September 30, 2025 and 2024. </w:t>
      </w:r>
    </w:p>
    <w:p>
      <w:pPr>
        <w:pStyle w:val="TextBody"/>
        <w:bidi w:val="0"/>
        <w:spacing w:before="0" w:after="200"/>
        <w:jc w:val="left"/>
        <w:rPr>
          <w:rFonts w:ascii="Arial" w:hAnsi="Arial"/>
          <w:b/>
          <w:color w:val="000000"/>
          <w:sz w:val="22"/>
        </w:rPr>
      </w:pPr>
      <w:r>
        <w:rPr>
          <w:rFonts w:ascii="Arial" w:hAnsi="Arial"/>
          <w:b/>
          <w:color w:val="000000"/>
          <w:sz w:val="22"/>
        </w:rPr>
        <w:t>Financial Guidance and Outlook:</w:t>
      </w:r>
    </w:p>
    <w:tbl>
      <w:tblPr>
        <w:tblW w:w="5272" w:type="dxa"/>
        <w:jc w:val="left"/>
        <w:tblInd w:w="0" w:type="dxa"/>
        <w:tblLayout w:type="fixed"/>
        <w:tblCellMar>
          <w:top w:w="28" w:type="dxa"/>
          <w:left w:w="28" w:type="dxa"/>
          <w:bottom w:w="28" w:type="dxa"/>
          <w:right w:w="28" w:type="dxa"/>
        </w:tblCellMar>
      </w:tblPr>
      <w:tblGrid>
        <w:gridCol w:w="1531"/>
        <w:gridCol w:w="146"/>
        <w:gridCol w:w="211"/>
        <w:gridCol w:w="421"/>
        <w:gridCol w:w="146"/>
        <w:gridCol w:w="146"/>
        <w:gridCol w:w="211"/>
        <w:gridCol w:w="421"/>
        <w:gridCol w:w="146"/>
        <w:gridCol w:w="146"/>
        <w:gridCol w:w="211"/>
        <w:gridCol w:w="421"/>
        <w:gridCol w:w="146"/>
        <w:gridCol w:w="146"/>
        <w:gridCol w:w="211"/>
        <w:gridCol w:w="42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Q4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FY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High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High</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color w:val="1D1C1D"/>
        </w:rPr>
      </w:pPr>
      <w:r>
        <w:rPr>
          <w:color w:val="1D1C1D"/>
        </w:rPr>
        <w:t>•</w:t>
      </w:r>
    </w:p>
    <w:p>
      <w:pPr>
        <w:pStyle w:val="TextBody"/>
        <w:bidi w:val="0"/>
        <w:spacing w:before="120" w:after="283"/>
        <w:jc w:val="left"/>
        <w:rPr>
          <w:rFonts w:ascii="Arial" w:hAnsi="Arial"/>
          <w:color w:val="1D1C1D"/>
          <w:sz w:val="22"/>
        </w:rPr>
      </w:pPr>
      <w:r>
        <w:rPr>
          <w:rFonts w:ascii="Arial" w:hAnsi="Arial"/>
          <w:color w:val="1D1C1D"/>
          <w:sz w:val="22"/>
        </w:rPr>
        <w:t xml:space="preserve">For Q4 2025, expect revenue of $182-$184 million, representing 23-24% growth year-over-year. </w:t>
      </w:r>
    </w:p>
    <w:p>
      <w:pPr>
        <w:pStyle w:val="TextBody"/>
        <w:bidi w:val="0"/>
        <w:spacing w:before="120" w:after="283"/>
        <w:jc w:val="left"/>
        <w:rPr>
          <w:color w:val="1D1C1D"/>
        </w:rPr>
      </w:pPr>
      <w:r>
        <w:rPr>
          <w:color w:val="1D1C1D"/>
        </w:rPr>
        <w:t>•</w:t>
      </w:r>
    </w:p>
    <w:p>
      <w:pPr>
        <w:pStyle w:val="TextBody"/>
        <w:bidi w:val="0"/>
        <w:spacing w:before="120" w:after="283"/>
        <w:jc w:val="left"/>
        <w:rPr>
          <w:rFonts w:ascii="Arial" w:hAnsi="Arial"/>
          <w:color w:val="1D1C1D"/>
          <w:sz w:val="22"/>
        </w:rPr>
      </w:pPr>
      <w:r>
        <w:rPr>
          <w:rFonts w:ascii="Arial" w:hAnsi="Arial"/>
          <w:color w:val="1D1C1D"/>
          <w:sz w:val="22"/>
        </w:rPr>
        <w:t xml:space="preserve">For Q4 2025, expect Adjusted EBITDA of $6-$7 million, an improvement from an Adjusted EBITDA of $1.0 million in Q4 2024. </w:t>
      </w:r>
    </w:p>
    <w:p>
      <w:pPr>
        <w:pStyle w:val="TextBody"/>
        <w:bidi w:val="0"/>
        <w:spacing w:before="120" w:after="283"/>
        <w:jc w:val="left"/>
        <w:rPr>
          <w:color w:val="1D1C1D"/>
        </w:rPr>
      </w:pPr>
      <w:r>
        <w:rPr>
          <w:color w:val="1D1C1D"/>
        </w:rPr>
        <w:t>•</w:t>
      </w:r>
    </w:p>
    <w:p>
      <w:pPr>
        <w:pStyle w:val="TextBody"/>
        <w:bidi w:val="0"/>
        <w:spacing w:before="120" w:after="283"/>
        <w:jc w:val="left"/>
        <w:rPr>
          <w:rFonts w:ascii="Arial" w:hAnsi="Arial"/>
          <w:color w:val="1D1C1D"/>
          <w:sz w:val="22"/>
        </w:rPr>
      </w:pPr>
      <w:r>
        <w:rPr>
          <w:rFonts w:ascii="Arial" w:hAnsi="Arial"/>
          <w:color w:val="1D1C1D"/>
          <w:sz w:val="22"/>
        </w:rPr>
        <w:t xml:space="preserve">For the full year 2025, we are raising our revenue guidance to $676-$678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1D1C1D"/>
        </w:rPr>
      </w:pPr>
      <w:r>
        <w:rPr>
          <w:color w:val="1D1C1D"/>
        </w:rPr>
        <w:t>•</w:t>
      </w:r>
    </w:p>
    <w:p>
      <w:pPr>
        <w:pStyle w:val="TextBody"/>
        <w:bidi w:val="0"/>
        <w:spacing w:before="120" w:after="283"/>
        <w:jc w:val="left"/>
        <w:rPr>
          <w:rFonts w:ascii="Arial" w:hAnsi="Arial"/>
          <w:color w:val="1D1C1D"/>
          <w:sz w:val="22"/>
        </w:rPr>
      </w:pPr>
      <w:r>
        <w:rPr>
          <w:rFonts w:ascii="Arial" w:hAnsi="Arial"/>
          <w:color w:val="1D1C1D"/>
          <w:sz w:val="22"/>
        </w:rPr>
        <w:t>For the full year 2025, we are raising our Adjusted EBITDA guidance to $16-$17 million.</w:t>
      </w:r>
    </w:p>
    <w:p>
      <w:pPr>
        <w:pStyle w:val="TextBody"/>
        <w:bidi w:val="0"/>
        <w:jc w:val="left"/>
        <w:rPr/>
      </w:pPr>
      <w:r>
        <w:rPr/>
        <w:t> </w:t>
      </w:r>
    </w:p>
    <w:p>
      <w:pPr>
        <w:pStyle w:val="TextBody"/>
        <w:bidi w:val="0"/>
        <w:spacing w:before="0" w:after="200"/>
        <w:jc w:val="left"/>
        <w:rPr>
          <w:rFonts w:ascii="Arial" w:hAnsi="Arial"/>
          <w:color w:val="000000"/>
          <w:sz w:val="22"/>
        </w:rPr>
      </w:pPr>
      <w:r>
        <w:rPr>
          <w:rFonts w:ascii="Arial" w:hAnsi="Arial"/>
          <w:color w:val="000000"/>
          <w:sz w:val="22"/>
        </w:rPr>
        <w:t>Xometry’s fourth quarter 2025 and full year 2025 financial outlook is based on a number of assumptions that are subject to change and may be outside of its control. If actual results vary from these assumptions, Xometry’s expectations may change. There can be no assurance that Xometry will achieve these results.</w:t>
      </w:r>
    </w:p>
    <w:p>
      <w:pPr>
        <w:pStyle w:val="TextBody"/>
        <w:bidi w:val="0"/>
        <w:spacing w:before="0" w:after="200"/>
        <w:jc w:val="left"/>
        <w:rPr>
          <w:rFonts w:ascii="Times New Roman" w:hAnsi="Times New Roman"/>
          <w:sz w:val="20"/>
        </w:rPr>
      </w:pPr>
      <w:r>
        <w:rPr>
          <w:rFonts w:ascii="Arial" w:hAnsi="Arial"/>
          <w:color w:val="000000"/>
          <w:sz w:val="22"/>
        </w:rPr>
        <w:t>Reconciliation of Adjusted EBITDA on a forward-looking basis to net loss, the most directly comparable GAAP measure, is not available without unreasonable efforts due to the high variability and complexity and low visibility with respect to certain charges excluded from this non-GAAP measure, including interest and dividend income, benefit (provision) for income taxes, charitable contributions of common stock and impairment of assets. Xometry expects the variability of these items could have a significant, and potentially unpredictable, impact on its future GAAP financial results.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color w:val="000000"/>
          <w:sz w:val="22"/>
        </w:rPr>
        <w:t>Use of Non-GAAP Financial Measures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2"/>
        </w:rPr>
        <w:t>To supplement its consolidated financial statements, which are prepared and presented in accordance with generally accepted accounting principles in the United States of America (“GAAP”), Xometry, Inc. (“Xometry”, the “Company”, “we” or “our”) uses Adjusted EBITDA, non-GAAP net income (loss)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2"/>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Arial" w:hAnsi="Arial"/>
          <w:b/>
          <w:color w:val="000000"/>
          <w:sz w:val="22"/>
        </w:rPr>
      </w:pPr>
      <w:r>
        <w:rPr>
          <w:rFonts w:ascii="Arial" w:hAnsi="Arial"/>
          <w:b/>
          <w:color w:val="000000"/>
          <w:sz w:val="22"/>
        </w:rPr>
        <w:t>Key Terms for our Key Metrics and Non-GAAP Financial Measures</w:t>
      </w:r>
    </w:p>
    <w:p>
      <w:pPr>
        <w:pStyle w:val="TextBody"/>
        <w:bidi w:val="0"/>
        <w:spacing w:before="0" w:after="200"/>
        <w:jc w:val="left"/>
        <w:rPr>
          <w:rFonts w:ascii="Times New Roman" w:hAnsi="Times New Roman"/>
          <w:sz w:val="20"/>
        </w:rPr>
      </w:pPr>
      <w:r>
        <w:rPr>
          <w:rFonts w:ascii="Arial" w:hAnsi="Arial"/>
          <w:b/>
          <w:color w:val="000000"/>
          <w:sz w:val="22"/>
        </w:rPr>
        <w:t xml:space="preserve">Marketplace revenue: </w:t>
      </w:r>
      <w:r>
        <w:rPr>
          <w:rFonts w:ascii="Arial" w:hAnsi="Arial"/>
          <w:color w:val="000000"/>
          <w:sz w:val="22"/>
        </w:rPr>
        <w:t>includes the sale of parts and assemblies on our platform.</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color w:val="000000"/>
          <w:sz w:val="22"/>
        </w:rPr>
        <w:t xml:space="preserve">Supplier services revenue: </w:t>
      </w:r>
      <w:r>
        <w:rPr>
          <w:rFonts w:ascii="Arial" w:hAnsi="Arial"/>
          <w:color w:val="000000"/>
          <w:sz w:val="22"/>
        </w:rPr>
        <w:t>includes the sales of marketing and advertising services and, to a lesser extent, financial service products and SaaS-based solutions.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color w:val="000000"/>
          <w:sz w:val="22"/>
        </w:rPr>
        <w:t>Active Buyers:</w:t>
      </w:r>
      <w:r>
        <w:rPr>
          <w:rFonts w:ascii="Times New Roman" w:hAnsi="Times New Roman"/>
          <w:color w:val="000000"/>
          <w:sz w:val="20"/>
        </w:rPr>
        <w:t xml:space="preserve"> </w:t>
      </w:r>
      <w:r>
        <w:rPr>
          <w:rFonts w:ascii="Arial" w:hAnsi="Arial"/>
          <w:color w:val="000000"/>
          <w:sz w:val="22"/>
        </w:rPr>
        <w:t>The Company defines “buyers” as individuals who have placed an order to purchase on-demand parts or assemblies on our marketplace. The Company defines Active Buyers</w:t>
      </w:r>
      <w:r>
        <w:rPr>
          <w:rFonts w:ascii="Times New Roman" w:hAnsi="Times New Roman"/>
          <w:color w:val="000000"/>
          <w:sz w:val="20"/>
        </w:rPr>
        <w:t xml:space="preserve"> </w:t>
      </w:r>
      <w:r>
        <w:rPr>
          <w:rFonts w:ascii="Arial" w:hAnsi="Arial"/>
          <w:color w:val="000000"/>
          <w:sz w:val="22"/>
        </w:rPr>
        <w:t>as the number of buyers who have made at least one purchase on our marketplace during the last twelve months.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color w:val="000000"/>
          <w:sz w:val="22"/>
        </w:rPr>
        <w:t>Active Suppliers:</w:t>
      </w:r>
      <w:r>
        <w:rPr>
          <w:rFonts w:ascii="Times New Roman" w:hAnsi="Times New Roman"/>
          <w:color w:val="000000"/>
          <w:sz w:val="20"/>
        </w:rPr>
        <w:t xml:space="preserve"> </w:t>
      </w:r>
      <w:r>
        <w:rPr>
          <w:rFonts w:ascii="Arial" w:hAnsi="Arial"/>
          <w:color w:val="000000"/>
          <w:sz w:val="22"/>
        </w:rPr>
        <w:t>The Company defines “suppliers” as individuals or businesses that have been approved by us to either 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color w:val="000000"/>
          <w:sz w:val="22"/>
        </w:rPr>
        <w:t xml:space="preserve">Percentage of Revenue from Existing Accounts: </w:t>
      </w:r>
      <w:r>
        <w:rPr>
          <w:rFonts w:ascii="Arial" w:hAnsi="Arial"/>
          <w:color w:val="000000"/>
          <w:sz w:val="22"/>
        </w:rPr>
        <w:t>The</w:t>
      </w:r>
      <w:r>
        <w:rPr>
          <w:rFonts w:ascii="Times New Roman" w:hAnsi="Times New Roman"/>
          <w:color w:val="000000"/>
          <w:sz w:val="20"/>
        </w:rPr>
        <w:t xml:space="preserve"> </w:t>
      </w:r>
      <w:r>
        <w:rPr>
          <w:rFonts w:ascii="Arial" w:hAnsi="Arial"/>
          <w:color w:val="000000"/>
          <w:sz w:val="22"/>
        </w:rPr>
        <w:t>Company defines an “account” as an individual entity, such as a sole proprietor with a single buyer or corporate entities with multiple buyers, having purchased at least one part on our marketplace. The Company defines an existing account as an account where at least one buyer has made a purchase on our marketplace.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color w:val="000000"/>
          <w:sz w:val="22"/>
        </w:rPr>
        <w:t xml:space="preserve">Accounts with Last Twelve-Month Spend of at Least $50,000: </w:t>
      </w:r>
      <w:r>
        <w:rPr>
          <w:rFonts w:ascii="Arial" w:hAnsi="Arial"/>
          <w:color w:val="000000"/>
          <w:sz w:val="22"/>
        </w:rPr>
        <w:t>The Company defines Accounts with Last Twelve-Month Spend of at Least $50,000 as an account that has spent at least $50,000 on our marketplace in the most recent twelve-month period.</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b/>
          <w:color w:val="000000"/>
          <w:sz w:val="22"/>
        </w:rPr>
        <w:t>Adjusted earnings before interest, taxes, depreciation and amortization (Adjusted EBITDA)</w:t>
      </w:r>
      <w:r>
        <w:rPr>
          <w:rFonts w:ascii="Arial" w:hAnsi="Arial"/>
          <w:color w:val="000000"/>
          <w:sz w:val="22"/>
        </w:rPr>
        <w:t>:</w:t>
      </w:r>
      <w:r>
        <w:rPr>
          <w:rFonts w:ascii="Times New Roman" w:hAnsi="Times New Roman"/>
          <w:color w:val="000000"/>
          <w:sz w:val="20"/>
        </w:rPr>
        <w:t xml:space="preserve"> </w:t>
      </w:r>
      <w:r>
        <w:rPr>
          <w:rFonts w:ascii="Arial" w:hAnsi="Arial"/>
          <w:color w:val="000000"/>
          <w:sz w:val="22"/>
        </w:rPr>
        <w:t>The Company defines Adjusted EBITDA</w:t>
      </w:r>
      <w:r>
        <w:rPr>
          <w:rFonts w:ascii="Times New Roman" w:hAnsi="Times New Roman"/>
          <w:color w:val="000000"/>
          <w:sz w:val="20"/>
        </w:rPr>
        <w:t xml:space="preserve"> </w:t>
      </w:r>
      <w:r>
        <w:rPr>
          <w:rFonts w:ascii="Arial" w:hAnsi="Arial"/>
          <w:color w:val="000000"/>
          <w:sz w:val="22"/>
        </w:rPr>
        <w:t>as net loss, adjusted for interest expense, interest and dividend income and other expenses, and certain other non-cash or non-recurring items impacting net loss from time to time, principally comprised of depreciation and amortization, amortization of lease intangible, (benefit) provision for income taxes, stock-based compensation, payroll tax expense related to stock-based compensation, charitable contributions of common stock, income from unconsolidated joint venture, impairment of assets, restructuring charges and acquisition and other adjustments not reflective of the Company’s ongoing business, such as adjustments related to purchase accounting, the revaluation of contingent consideration, transaction costs and executive severance.</w:t>
      </w:r>
    </w:p>
    <w:p>
      <w:pPr>
        <w:pStyle w:val="TextBody"/>
        <w:bidi w:val="0"/>
        <w:spacing w:before="0" w:after="200"/>
        <w:jc w:val="left"/>
        <w:rPr>
          <w:rFonts w:ascii="Times New Roman" w:hAnsi="Times New Roman"/>
          <w:sz w:val="20"/>
        </w:rPr>
      </w:pPr>
      <w:r>
        <w:rPr>
          <w:rFonts w:ascii="Arial" w:hAnsi="Arial"/>
          <w:b/>
          <w:color w:val="000000"/>
          <w:sz w:val="22"/>
        </w:rPr>
        <w:t xml:space="preserve">Non-GAAP net income (loss): </w:t>
      </w:r>
      <w:r>
        <w:rPr>
          <w:rFonts w:ascii="Arial" w:hAnsi="Arial"/>
          <w:color w:val="000000"/>
          <w:sz w:val="22"/>
        </w:rPr>
        <w:t>The Company defines non-GAAP net income (loss) as net loss adjusted for depreciation and amortization, stock-based compensation, payroll tax expense related to stock-based compensation, amortization of lease intangible, amortization of deferred costs on convertible notes, gain on sale of property and equipment, charitable contributions of common stock, lease termination, impairment of assets, restructuring charges, loss on debt extinguishment and acquisition and other adjustments not reflective of the Company’s ongoing business, such as adjustments related to purchase accounting, the revaluation of contingent consideration, transaction costs and executive severance.</w:t>
      </w:r>
    </w:p>
    <w:p>
      <w:pPr>
        <w:pStyle w:val="TextBody"/>
        <w:bidi w:val="0"/>
        <w:spacing w:before="0" w:after="200"/>
        <w:jc w:val="left"/>
        <w:rPr>
          <w:rFonts w:ascii="Times New Roman" w:hAnsi="Times New Roman"/>
          <w:sz w:val="20"/>
        </w:rPr>
      </w:pPr>
      <w:r>
        <w:rPr>
          <w:rFonts w:ascii="Arial" w:hAnsi="Arial"/>
          <w:b/>
          <w:color w:val="000000"/>
          <w:sz w:val="22"/>
        </w:rPr>
        <w:t xml:space="preserve">Non-GAAP Earnings Per Share, basic and diluted (Non-GAAP EPS, basic and diluted): </w:t>
      </w:r>
      <w:r>
        <w:rPr>
          <w:rFonts w:ascii="Arial" w:hAnsi="Arial"/>
          <w:color w:val="000000"/>
          <w:sz w:val="22"/>
        </w:rPr>
        <w:t>The Company calculates non-GAAP earnings per share, basic and diluted as non-GAAP net income (loss) divided by the weighted average number of basic or dilutive shares of common stock outstanding.</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Arial" w:hAnsi="Arial"/>
          <w:color w:val="000000"/>
          <w:sz w:val="22"/>
        </w:rPr>
        <w:t>Management believes that the exclusion of certain expenses and gains in calculating Adjusted EBITDA, non-GAAP net income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2"/>
        </w:rPr>
      </w:pPr>
      <w:r>
        <w:rPr>
          <w:rFonts w:ascii="Arial" w:hAnsi="Arial"/>
          <w:b/>
          <w:color w:val="000000"/>
          <w:sz w:val="22"/>
        </w:rPr>
        <w:t>About Xometry</w:t>
      </w:r>
    </w:p>
    <w:p>
      <w:pPr>
        <w:pStyle w:val="TextBody"/>
        <w:bidi w:val="0"/>
        <w:jc w:val="left"/>
        <w:rPr>
          <w:rFonts w:ascii="Times New Roman" w:hAnsi="Times New Roman"/>
          <w:sz w:val="20"/>
        </w:rPr>
      </w:pPr>
      <w:r>
        <w:rPr>
          <w:rFonts w:ascii="Arial" w:hAnsi="Arial"/>
          <w:sz w:val="22"/>
        </w:rPr>
        <w:t>Xometry’s</w:t>
      </w:r>
      <w:r>
        <w:rPr>
          <w:rFonts w:ascii="Times New Roman" w:hAnsi="Times New Roman"/>
          <w:color w:val="000000"/>
          <w:sz w:val="20"/>
        </w:rPr>
        <w:t xml:space="preserve"> </w:t>
      </w:r>
      <w:r>
        <w:rPr>
          <w:rFonts w:ascii="Arial" w:hAnsi="Arial"/>
          <w:color w:val="000000"/>
          <w:sz w:val="22"/>
        </w:rPr>
        <w:t xml:space="preserve">(NASDAQ: XMTR) </w:t>
      </w:r>
      <w:r>
        <w:rPr>
          <w:rFonts w:ascii="Arial" w:hAnsi="Arial"/>
          <w:sz w:val="22"/>
        </w:rPr>
        <w:t>AI-powered marketplace</w:t>
      </w:r>
      <w:r>
        <w:rPr>
          <w:rFonts w:ascii="Arial" w:hAnsi="Arial"/>
          <w:color w:val="000000"/>
          <w:sz w:val="22"/>
        </w:rPr>
        <w:t xml:space="preserve">, popular </w:t>
      </w:r>
      <w:r>
        <w:rPr>
          <w:rFonts w:ascii="Arial" w:hAnsi="Arial"/>
          <w:sz w:val="22"/>
        </w:rPr>
        <w:t>Thomasnet</w:t>
      </w:r>
      <w:r>
        <w:rPr>
          <w:rFonts w:ascii="Arial" w:hAnsi="Arial"/>
          <w:color w:val="000000"/>
          <w:sz w:val="22"/>
        </w:rPr>
        <w:t xml:space="preserve">® industrial sourcing platform and suite of cloud-based services are rapidly digitizing the manufacturing industry. Xometry provides manufacturers the critical resources they need to grow their business and streamlines the procurement process for buyers through real-time pricing and lead time data. Learn more at </w:t>
      </w:r>
      <w:r>
        <w:rPr>
          <w:rFonts w:ascii="Arial" w:hAnsi="Arial"/>
          <w:sz w:val="22"/>
        </w:rPr>
        <w:t>xometry.com</w:t>
      </w:r>
      <w:r>
        <w:rPr>
          <w:rFonts w:ascii="Times New Roman" w:hAnsi="Times New Roman"/>
          <w:color w:val="000000"/>
          <w:sz w:val="20"/>
        </w:rPr>
        <w:t xml:space="preserve"> </w:t>
      </w:r>
      <w:r>
        <w:rPr>
          <w:rFonts w:ascii="Arial" w:hAnsi="Arial"/>
          <w:color w:val="000000"/>
          <w:sz w:val="22"/>
        </w:rPr>
        <w:t xml:space="preserve">and </w:t>
      </w:r>
      <w:r>
        <w:rPr>
          <w:rFonts w:ascii="Arial" w:hAnsi="Arial"/>
          <w:sz w:val="22"/>
        </w:rPr>
        <w:t>xometry.eu</w:t>
      </w:r>
      <w:r>
        <w:rPr>
          <w:rFonts w:ascii="Arial" w:hAnsi="Arial"/>
          <w:color w:val="000000"/>
          <w:sz w:val="22"/>
        </w:rPr>
        <w:t>.</w:t>
      </w:r>
    </w:p>
    <w:p>
      <w:pPr>
        <w:pStyle w:val="TextBody"/>
        <w:bidi w:val="0"/>
        <w:spacing w:before="240" w:after="283"/>
        <w:jc w:val="left"/>
        <w:rPr>
          <w:rFonts w:ascii="Arial" w:hAnsi="Arial"/>
          <w:b/>
          <w:color w:val="000000"/>
          <w:sz w:val="22"/>
        </w:rPr>
      </w:pPr>
      <w:r>
        <w:rPr>
          <w:rFonts w:ascii="Arial" w:hAnsi="Arial"/>
          <w:b/>
          <w:color w:val="000000"/>
          <w:sz w:val="22"/>
        </w:rPr>
        <w:t>Conference Call and Webcast Information</w:t>
      </w:r>
    </w:p>
    <w:p>
      <w:pPr>
        <w:pStyle w:val="TextBody"/>
        <w:bidi w:val="0"/>
        <w:jc w:val="left"/>
        <w:rPr>
          <w:rFonts w:ascii="Times New Roman" w:hAnsi="Times New Roman"/>
          <w:sz w:val="20"/>
        </w:rPr>
      </w:pPr>
      <w:r>
        <w:rPr>
          <w:rFonts w:ascii="Arial" w:hAnsi="Arial"/>
          <w:color w:val="000000"/>
          <w:sz w:val="22"/>
        </w:rPr>
        <w:t xml:space="preserve">The Company will host a conference call and webcast to discuss the results at 8:30 a.m. ET (5:30 a.m. PT) on November 4, 2025. In addition to its press release announcing its third quarter 2025 financial results, Xometry will release an earnings presentation, which will be available on its investor website at </w:t>
      </w:r>
      <w:r>
        <w:rPr>
          <w:rFonts w:ascii="Arial" w:hAnsi="Arial"/>
          <w:sz w:val="22"/>
        </w:rPr>
        <w:t>investors.xometry.com</w:t>
      </w:r>
      <w:r>
        <w:rPr>
          <w:rFonts w:ascii="Arial" w:hAnsi="Arial"/>
          <w:color w:val="000000"/>
          <w:sz w:val="22"/>
        </w:rPr>
        <w:t>.</w:t>
      </w:r>
      <w:r>
        <w:rPr>
          <w:rFonts w:ascii="Times New Roman" w:hAnsi="Times New Roman"/>
          <w:color w:val="000000"/>
          <w:sz w:val="20"/>
        </w:rPr>
        <w:t xml:space="preserve"> </w:t>
      </w:r>
    </w:p>
    <w:p>
      <w:pPr>
        <w:pStyle w:val="TextBody"/>
        <w:bidi w:val="0"/>
        <w:spacing w:before="240" w:after="283"/>
        <w:jc w:val="left"/>
        <w:rPr>
          <w:rFonts w:ascii="Arial" w:hAnsi="Arial"/>
          <w:color w:val="000000"/>
          <w:sz w:val="22"/>
        </w:rPr>
      </w:pPr>
      <w:r>
        <w:rPr>
          <w:rFonts w:ascii="Arial" w:hAnsi="Arial"/>
          <w:color w:val="000000"/>
          <w:sz w:val="22"/>
        </w:rPr>
        <w:t>Xometry, Inc. Third Quarter 2025 Earnings Presentation and Conference Call</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Tuesday, November 4, 2025</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8:30 a.m. Eastern / 5:30 a.m. Pacific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 xml:space="preserve">To access the webcast use the following link: </w:t>
      </w:r>
      <w:r>
        <w:rPr>
          <w:rFonts w:ascii="Arial" w:hAnsi="Arial"/>
          <w:sz w:val="22"/>
        </w:rPr>
        <w:t>https://register-conf.media-server.com/register</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2"/>
        </w:rPr>
        <w:t xml:space="preserve">You may also visit the Xometry Investor Relations Homepage at </w:t>
      </w:r>
      <w:r>
        <w:rPr>
          <w:rFonts w:ascii="Arial" w:hAnsi="Arial"/>
          <w:sz w:val="22"/>
        </w:rPr>
        <w:t>investors.xometry.com</w:t>
      </w:r>
      <w:r>
        <w:rPr>
          <w:color w:val="000000"/>
        </w:rPr>
        <w:t xml:space="preserve"> </w:t>
      </w:r>
      <w:r>
        <w:rPr>
          <w:rFonts w:ascii="Arial" w:hAnsi="Arial"/>
          <w:color w:val="000000"/>
          <w:sz w:val="22"/>
        </w:rPr>
        <w:t>to listen to a live webcast of the call</w:t>
      </w:r>
    </w:p>
    <w:p>
      <w:pPr>
        <w:pStyle w:val="TextBody"/>
        <w:bidi w:val="0"/>
        <w:spacing w:before="240" w:after="283"/>
        <w:jc w:val="left"/>
        <w:rPr>
          <w:rFonts w:ascii="Arial" w:hAnsi="Arial"/>
          <w:b/>
          <w:color w:val="000000"/>
          <w:sz w:val="21"/>
        </w:rPr>
      </w:pPr>
      <w:r>
        <w:rPr>
          <w:rFonts w:ascii="Arial" w:hAnsi="Arial"/>
          <w:b/>
          <w:color w:val="000000"/>
          <w:sz w:val="21"/>
        </w:rPr>
        <w:t>Cautionary Information Regarding Forward-Looking Statements</w:t>
      </w:r>
    </w:p>
    <w:p>
      <w:pPr>
        <w:pStyle w:val="TextBody"/>
        <w:bidi w:val="0"/>
        <w:jc w:val="left"/>
        <w:rPr>
          <w:rFonts w:ascii="Times New Roman" w:hAnsi="Times New Roman"/>
          <w:sz w:val="20"/>
        </w:rPr>
      </w:pPr>
      <w:r>
        <w:rPr>
          <w:rFonts w:ascii="Arial" w:hAnsi="Arial"/>
          <w:color w:val="000000"/>
          <w:sz w:val="21"/>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fourth quarter of 2025 and the full year 2025; our expectations regarding our growth; and statements regarding our strategies, initiatives,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2024,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r>
        <w:rPr>
          <w:rFonts w:ascii="Times New Roman" w:hAnsi="Times New Roman"/>
          <w:color w:val="000000"/>
          <w:sz w:val="20"/>
        </w:rPr>
        <w:t xml:space="preserve"> </w:t>
      </w:r>
    </w:p>
    <w:tbl>
      <w:tblPr>
        <w:tblW w:w="5447" w:type="dxa"/>
        <w:jc w:val="left"/>
        <w:tblInd w:w="0" w:type="dxa"/>
        <w:tblLayout w:type="fixed"/>
        <w:tblCellMar>
          <w:top w:w="28" w:type="dxa"/>
          <w:left w:w="28" w:type="dxa"/>
          <w:bottom w:w="28" w:type="dxa"/>
          <w:right w:w="28" w:type="dxa"/>
        </w:tblCellMar>
      </w:tblPr>
      <w:tblGrid>
        <w:gridCol w:w="2536"/>
        <w:gridCol w:w="2911"/>
      </w:tblGrid>
      <w:tr>
        <w:trPr/>
        <w:tc>
          <w:tcPr>
            <w:tcW w:w="253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b/>
                <w:color w:val="000000"/>
                <w:sz w:val="19"/>
              </w:rPr>
              <w:t>Investor Contact:</w:t>
            </w:r>
            <w:r>
              <w:rPr>
                <w:rFonts w:ascii="Times New Roman" w:hAnsi="Times New Roman"/>
                <w:color w:val="000000"/>
                <w:sz w:val="19"/>
              </w:rPr>
              <w:t xml:space="preserve"> </w:t>
            </w:r>
          </w:p>
        </w:tc>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Media Contact:</w:t>
            </w:r>
          </w:p>
        </w:tc>
      </w:tr>
      <w:tr>
        <w:trPr/>
        <w:tc>
          <w:tcPr>
            <w:tcW w:w="2536" w:type="dxa"/>
            <w:tcBorders/>
            <w:tcMar>
              <w:top w:w="0" w:type="dxa"/>
              <w:left w:w="0" w:type="dxa"/>
              <w:bottom w:w="0" w:type="dxa"/>
              <w:right w:w="0" w:type="dxa"/>
            </w:tcMar>
            <w:vAlign w:val="center"/>
          </w:tcPr>
          <w:p>
            <w:pPr>
              <w:pStyle w:val="TableContents"/>
              <w:bidi w:val="0"/>
              <w:jc w:val="left"/>
              <w:rPr>
                <w:rFonts w:ascii="Arial" w:hAnsi="Arial"/>
                <w:color w:val="000000"/>
                <w:sz w:val="19"/>
              </w:rPr>
            </w:pPr>
            <w:r>
              <w:rPr>
                <w:rFonts w:ascii="Arial" w:hAnsi="Arial"/>
                <w:color w:val="000000"/>
                <w:sz w:val="19"/>
              </w:rPr>
              <w:t>Shawn Milne</w:t>
            </w:r>
          </w:p>
          <w:p>
            <w:pPr>
              <w:pStyle w:val="TableContents"/>
              <w:bidi w:val="0"/>
              <w:jc w:val="left"/>
              <w:rPr>
                <w:rFonts w:ascii="Arial" w:hAnsi="Arial"/>
                <w:color w:val="000000"/>
                <w:sz w:val="19"/>
              </w:rPr>
            </w:pPr>
            <w:r>
              <w:rPr>
                <w:rFonts w:ascii="Arial" w:hAnsi="Arial"/>
                <w:color w:val="000000"/>
                <w:sz w:val="19"/>
              </w:rPr>
              <w:t>VP Investor Relations</w:t>
            </w:r>
          </w:p>
          <w:p>
            <w:pPr>
              <w:pStyle w:val="TableContents"/>
              <w:bidi w:val="0"/>
              <w:jc w:val="left"/>
              <w:rPr>
                <w:rFonts w:ascii="Arial" w:hAnsi="Arial"/>
                <w:color w:val="000000"/>
                <w:sz w:val="19"/>
              </w:rPr>
            </w:pPr>
            <w:r>
              <w:rPr>
                <w:rFonts w:ascii="Arial" w:hAnsi="Arial"/>
                <w:color w:val="000000"/>
                <w:sz w:val="19"/>
              </w:rPr>
              <w:t>240-335-8132</w:t>
            </w:r>
          </w:p>
          <w:p>
            <w:pPr>
              <w:pStyle w:val="TableContents"/>
              <w:bidi w:val="0"/>
              <w:spacing w:before="0" w:after="283"/>
              <w:jc w:val="left"/>
              <w:rPr>
                <w:rFonts w:ascii="Arial" w:hAnsi="Arial"/>
                <w:color w:val="000000"/>
                <w:sz w:val="19"/>
              </w:rPr>
            </w:pPr>
            <w:r>
              <w:rPr>
                <w:rFonts w:ascii="Arial" w:hAnsi="Arial"/>
                <w:color w:val="000000"/>
                <w:sz w:val="19"/>
              </w:rPr>
              <w:t>shawn.milne@xometry.com</w:t>
            </w:r>
          </w:p>
        </w:tc>
        <w:tc>
          <w:tcPr>
            <w:tcW w:w="2911" w:type="dxa"/>
            <w:tcBorders/>
            <w:tcMar>
              <w:top w:w="0" w:type="dxa"/>
              <w:left w:w="0" w:type="dxa"/>
              <w:bottom w:w="0" w:type="dxa"/>
              <w:right w:w="0" w:type="dxa"/>
            </w:tcMar>
            <w:vAlign w:val="center"/>
          </w:tcPr>
          <w:p>
            <w:pPr>
              <w:pStyle w:val="TableContents"/>
              <w:bidi w:val="0"/>
              <w:jc w:val="left"/>
              <w:rPr>
                <w:rFonts w:ascii="Arial" w:hAnsi="Arial"/>
                <w:color w:val="000000"/>
                <w:sz w:val="19"/>
              </w:rPr>
            </w:pPr>
            <w:r>
              <w:rPr>
                <w:rFonts w:ascii="Arial" w:hAnsi="Arial"/>
                <w:color w:val="000000"/>
                <w:sz w:val="19"/>
              </w:rPr>
              <w:t>Lauran Cacciatori</w:t>
            </w:r>
          </w:p>
          <w:p>
            <w:pPr>
              <w:pStyle w:val="TableContents"/>
              <w:bidi w:val="0"/>
              <w:jc w:val="left"/>
              <w:rPr>
                <w:rFonts w:ascii="Arial" w:hAnsi="Arial"/>
                <w:color w:val="000000"/>
                <w:sz w:val="19"/>
              </w:rPr>
            </w:pPr>
            <w:r>
              <w:rPr>
                <w:rFonts w:ascii="Arial" w:hAnsi="Arial"/>
                <w:color w:val="000000"/>
                <w:sz w:val="19"/>
              </w:rPr>
              <w:t>VP Communications</w:t>
            </w:r>
          </w:p>
          <w:p>
            <w:pPr>
              <w:pStyle w:val="TableContents"/>
              <w:bidi w:val="0"/>
              <w:jc w:val="left"/>
              <w:rPr>
                <w:rFonts w:ascii="Arial" w:hAnsi="Arial"/>
                <w:color w:val="000000"/>
                <w:sz w:val="19"/>
              </w:rPr>
            </w:pPr>
            <w:r>
              <w:rPr>
                <w:rFonts w:ascii="Arial" w:hAnsi="Arial"/>
                <w:color w:val="000000"/>
                <w:sz w:val="19"/>
              </w:rPr>
              <w:t>773-610-0806</w:t>
            </w:r>
          </w:p>
          <w:p>
            <w:pPr>
              <w:pStyle w:val="TableContents"/>
              <w:bidi w:val="0"/>
              <w:spacing w:before="0" w:after="283"/>
              <w:jc w:val="left"/>
              <w:rPr>
                <w:rFonts w:ascii="Arial" w:hAnsi="Arial"/>
                <w:color w:val="000000"/>
                <w:sz w:val="19"/>
              </w:rPr>
            </w:pPr>
            <w:r>
              <w:rPr>
                <w:rFonts w:ascii="Arial" w:hAnsi="Arial"/>
                <w:color w:val="000000"/>
                <w:sz w:val="19"/>
              </w:rPr>
              <w:t>lauran.cacciatori@xometry.com</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2"/>
        </w:rPr>
        <w:t>Condensed Consolidated Balance Sheets</w:t>
      </w:r>
      <w:r>
        <w:rPr>
          <w:rFonts w:ascii="Times New Roman" w:hAnsi="Times New Roman"/>
          <w:color w:val="000000"/>
          <w:sz w:val="20"/>
        </w:rPr>
        <w:t xml:space="preserve"> </w:t>
      </w:r>
    </w:p>
    <w:p>
      <w:pPr>
        <w:pStyle w:val="TextBody"/>
        <w:bidi w:val="0"/>
        <w:jc w:val="center"/>
        <w:rPr>
          <w:rFonts w:ascii="Arial" w:hAnsi="Arial"/>
          <w:color w:val="000000"/>
          <w:sz w:val="22"/>
        </w:rPr>
      </w:pPr>
      <w:r>
        <w:rPr>
          <w:rFonts w:ascii="Arial" w:hAnsi="Arial"/>
          <w:color w:val="000000"/>
          <w:sz w:val="22"/>
        </w:rPr>
        <w:t>(In thousands, except share and per share data)</w:t>
      </w:r>
    </w:p>
    <w:p>
      <w:pPr>
        <w:pStyle w:val="TextBody"/>
        <w:bidi w:val="0"/>
        <w:spacing w:before="0" w:after="200"/>
        <w:jc w:val="center"/>
        <w:rPr>
          <w:rFonts w:ascii="Arial" w:hAnsi="Arial"/>
          <w:color w:val="000000"/>
          <w:sz w:val="22"/>
        </w:rPr>
      </w:pPr>
      <w:r>
        <w:rPr>
          <w:rFonts w:ascii="Arial" w:hAnsi="Arial"/>
          <w:color w:val="000000"/>
          <w:sz w:val="22"/>
        </w:rPr>
        <w:t>(Unaudited)</w:t>
      </w:r>
    </w:p>
    <w:tbl>
      <w:tblPr>
        <w:tblW w:w="10205" w:type="dxa"/>
        <w:jc w:val="left"/>
        <w:tblInd w:w="0" w:type="dxa"/>
        <w:tblLayout w:type="fixed"/>
        <w:tblCellMar>
          <w:top w:w="28" w:type="dxa"/>
          <w:left w:w="28" w:type="dxa"/>
          <w:bottom w:w="28" w:type="dxa"/>
          <w:right w:w="28" w:type="dxa"/>
        </w:tblCellMar>
      </w:tblPr>
      <w:tblGrid>
        <w:gridCol w:w="7415"/>
        <w:gridCol w:w="146"/>
        <w:gridCol w:w="221"/>
        <w:gridCol w:w="855"/>
        <w:gridCol w:w="166"/>
        <w:gridCol w:w="146"/>
        <w:gridCol w:w="215"/>
        <w:gridCol w:w="827"/>
        <w:gridCol w:w="214"/>
      </w:tblGrid>
      <w:tr>
        <w:trPr/>
        <w:tc>
          <w:tcPr>
            <w:tcW w:w="7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22,232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217,603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receivable, less allowance for credit losses of $6.5 million as of September 30, 2025 and $4.9 million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73,962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4,954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327,540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44,825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Investment in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32,139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262,686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698,877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680,129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 and accrued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35,023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7,948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6,436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74,787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283,628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364,533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Preferred stock, $0.000001 par value. Authorized; 50,000,000 shares; zero shares issued and outstanding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Class A Common stock, $0.000001 par value. Authorized; 750,000,000 shares; 49,557,368 shares and 48,289,274 shares issued and outstanding as of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Class B Common stock, $0.000001 par value. Authorized; 5,000,000 shares; 1,475,311 shares issued and outstanding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698,972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685,054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Treasury stock, at cost, 220,994 and zero shares as of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(370,273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314,453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315,596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698,877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680,129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Xometry, Inc. and Subsidiaries</w:t>
      </w:r>
    </w:p>
    <w:p>
      <w:pPr>
        <w:pStyle w:val="TextBody"/>
        <w:bidi w:val="0"/>
        <w:jc w:val="center"/>
        <w:rPr>
          <w:rFonts w:ascii="Arial" w:hAnsi="Arial"/>
          <w:color w:val="000000"/>
          <w:sz w:val="22"/>
        </w:rPr>
      </w:pPr>
      <w:r>
        <w:rPr>
          <w:rFonts w:ascii="Arial" w:hAnsi="Arial"/>
          <w:color w:val="000000"/>
          <w:sz w:val="22"/>
        </w:rPr>
        <w:t>Condensed Consolidated Statements of Operations and Comprehensive Loss</w:t>
      </w:r>
    </w:p>
    <w:p>
      <w:pPr>
        <w:pStyle w:val="TextBody"/>
        <w:bidi w:val="0"/>
        <w:jc w:val="center"/>
        <w:rPr>
          <w:rFonts w:ascii="Arial" w:hAnsi="Arial"/>
          <w:color w:val="000000"/>
          <w:sz w:val="22"/>
        </w:rPr>
      </w:pPr>
      <w:r>
        <w:rPr>
          <w:rFonts w:ascii="Arial" w:hAnsi="Arial"/>
          <w:color w:val="000000"/>
          <w:sz w:val="22"/>
        </w:rPr>
        <w:t>(In thousands, except share and per share amounts)</w:t>
      </w:r>
    </w:p>
    <w:p>
      <w:pPr>
        <w:pStyle w:val="TextBody"/>
        <w:bidi w:val="0"/>
        <w:spacing w:before="0" w:after="200"/>
        <w:jc w:val="center"/>
        <w:rPr>
          <w:rFonts w:ascii="Arial" w:hAnsi="Arial"/>
          <w:color w:val="000000"/>
          <w:sz w:val="22"/>
        </w:rPr>
      </w:pPr>
      <w:r>
        <w:rPr>
          <w:rFonts w:ascii="Arial" w:hAnsi="Arial"/>
          <w:color w:val="000000"/>
          <w:sz w:val="22"/>
        </w:rPr>
        <w:t>(Unaudited)</w:t>
      </w:r>
    </w:p>
    <w:tbl>
      <w:tblPr>
        <w:tblW w:w="10205" w:type="dxa"/>
        <w:jc w:val="left"/>
        <w:tblInd w:w="0" w:type="dxa"/>
        <w:tblLayout w:type="fixed"/>
        <w:tblCellMar>
          <w:top w:w="28" w:type="dxa"/>
          <w:left w:w="28" w:type="dxa"/>
          <w:bottom w:w="28" w:type="dxa"/>
          <w:right w:w="28" w:type="dxa"/>
        </w:tblCellMar>
      </w:tblPr>
      <w:tblGrid>
        <w:gridCol w:w="4464"/>
        <w:gridCol w:w="146"/>
        <w:gridCol w:w="196"/>
        <w:gridCol w:w="916"/>
        <w:gridCol w:w="166"/>
        <w:gridCol w:w="146"/>
        <w:gridCol w:w="196"/>
        <w:gridCol w:w="916"/>
        <w:gridCol w:w="166"/>
        <w:gridCol w:w="146"/>
        <w:gridCol w:w="196"/>
        <w:gridCol w:w="916"/>
        <w:gridCol w:w="166"/>
        <w:gridCol w:w="146"/>
        <w:gridCol w:w="196"/>
        <w:gridCol w:w="916"/>
        <w:gridCol w:w="21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396,983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240,379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156,604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81,891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47,470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201,231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share, basic and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Weighted-average number of shares outstanding used to compute net loss per share, basic and diluted,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50,920,588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49,282,164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50,653,997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48,901,475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comprehensive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Xometry, Inc. and Subsidiaries</w:t>
      </w:r>
    </w:p>
    <w:p>
      <w:pPr>
        <w:pStyle w:val="TextBody"/>
        <w:bidi w:val="0"/>
        <w:jc w:val="center"/>
        <w:rPr>
          <w:rFonts w:ascii="Arial" w:hAnsi="Arial"/>
          <w:color w:val="000000"/>
          <w:sz w:val="22"/>
        </w:rPr>
      </w:pPr>
      <w:r>
        <w:rPr>
          <w:rFonts w:ascii="Arial" w:hAnsi="Arial"/>
          <w:color w:val="000000"/>
          <w:sz w:val="22"/>
        </w:rPr>
        <w:t>Condensed Consolidated Statements of Cash Flows</w:t>
      </w:r>
    </w:p>
    <w:p>
      <w:pPr>
        <w:pStyle w:val="TextBody"/>
        <w:bidi w:val="0"/>
        <w:jc w:val="center"/>
        <w:rPr>
          <w:rFonts w:ascii="Arial" w:hAnsi="Arial"/>
          <w:color w:val="000000"/>
          <w:sz w:val="22"/>
        </w:rPr>
      </w:pPr>
      <w:r>
        <w:rPr>
          <w:rFonts w:ascii="Arial" w:hAnsi="Arial"/>
          <w:color w:val="000000"/>
          <w:sz w:val="22"/>
        </w:rPr>
        <w:t>(In thousands)</w:t>
      </w:r>
    </w:p>
    <w:p>
      <w:pPr>
        <w:pStyle w:val="TextBody"/>
        <w:bidi w:val="0"/>
        <w:spacing w:before="0" w:after="200"/>
        <w:jc w:val="center"/>
        <w:rPr>
          <w:rFonts w:ascii="Arial" w:hAnsi="Arial"/>
          <w:color w:val="000000"/>
          <w:sz w:val="22"/>
        </w:rPr>
      </w:pPr>
      <w:r>
        <w:rPr>
          <w:rFonts w:ascii="Arial" w:hAnsi="Arial"/>
          <w:color w:val="000000"/>
          <w:sz w:val="22"/>
        </w:rPr>
        <w:t>(Unaudited)</w:t>
      </w:r>
    </w:p>
    <w:p>
      <w:pPr>
        <w:pStyle w:val="TextBody"/>
        <w:bidi w:val="0"/>
        <w:jc w:val="left"/>
        <w:rPr/>
      </w:pPr>
      <w:r>
        <w:rPr/>
        <w:t> </w:t>
      </w:r>
    </w:p>
    <w:tbl>
      <w:tblPr>
        <w:tblW w:w="7859" w:type="dxa"/>
        <w:jc w:val="left"/>
        <w:tblInd w:w="0" w:type="dxa"/>
        <w:tblLayout w:type="fixed"/>
        <w:tblCellMar>
          <w:top w:w="28" w:type="dxa"/>
          <w:left w:w="28" w:type="dxa"/>
          <w:bottom w:w="28" w:type="dxa"/>
          <w:right w:w="28" w:type="dxa"/>
        </w:tblCellMar>
      </w:tblPr>
      <w:tblGrid>
        <w:gridCol w:w="5386"/>
        <w:gridCol w:w="146"/>
        <w:gridCol w:w="196"/>
        <w:gridCol w:w="751"/>
        <w:gridCol w:w="166"/>
        <w:gridCol w:w="146"/>
        <w:gridCol w:w="196"/>
        <w:gridCol w:w="661"/>
        <w:gridCol w:w="2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Reduction in carrying amount of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Revaluation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Donation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deferred costs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 and accrued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(14,734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issuance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Costs incurred in connection with 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for repurchase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foreign currency translation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and cash equivalents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consideration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2"/>
        </w:rPr>
        <w:t>Reconciliations of Non-GAAP Financial Measures</w:t>
      </w:r>
      <w:r>
        <w:rPr>
          <w:rFonts w:ascii="Times New Roman" w:hAnsi="Times New Roman"/>
          <w:color w:val="000000"/>
          <w:sz w:val="20"/>
        </w:rPr>
        <w:t xml:space="preserve"> </w:t>
      </w:r>
    </w:p>
    <w:p>
      <w:pPr>
        <w:pStyle w:val="TextBody"/>
        <w:bidi w:val="0"/>
        <w:jc w:val="center"/>
        <w:rPr>
          <w:rFonts w:ascii="Arial" w:hAnsi="Arial"/>
          <w:color w:val="000000"/>
          <w:sz w:val="22"/>
        </w:rPr>
      </w:pPr>
      <w:r>
        <w:rPr>
          <w:rFonts w:ascii="Arial" w:hAnsi="Arial"/>
          <w:color w:val="000000"/>
          <w:sz w:val="22"/>
        </w:rPr>
        <w:t>(In thousands, except share and per share amounts)</w:t>
      </w:r>
    </w:p>
    <w:p>
      <w:pPr>
        <w:pStyle w:val="TextBody"/>
        <w:bidi w:val="0"/>
        <w:spacing w:before="0" w:after="200"/>
        <w:jc w:val="center"/>
        <w:rPr>
          <w:rFonts w:ascii="Arial" w:hAnsi="Arial"/>
          <w:color w:val="000000"/>
          <w:sz w:val="22"/>
        </w:rPr>
      </w:pPr>
      <w:r>
        <w:rPr>
          <w:rFonts w:ascii="Arial" w:hAnsi="Arial"/>
          <w:color w:val="000000"/>
          <w:sz w:val="22"/>
        </w:rPr>
        <w:t>(Unaudited)</w:t>
      </w:r>
    </w:p>
    <w:tbl>
      <w:tblPr>
        <w:tblW w:w="9852" w:type="dxa"/>
        <w:jc w:val="left"/>
        <w:tblInd w:w="0" w:type="dxa"/>
        <w:tblLayout w:type="fixed"/>
        <w:tblCellMar>
          <w:top w:w="28" w:type="dxa"/>
          <w:left w:w="28" w:type="dxa"/>
          <w:bottom w:w="28" w:type="dxa"/>
          <w:right w:w="28" w:type="dxa"/>
        </w:tblCellMar>
      </w:tblPr>
      <w:tblGrid>
        <w:gridCol w:w="5131"/>
        <w:gridCol w:w="146"/>
        <w:gridCol w:w="196"/>
        <w:gridCol w:w="661"/>
        <w:gridCol w:w="166"/>
        <w:gridCol w:w="146"/>
        <w:gridCol w:w="196"/>
        <w:gridCol w:w="661"/>
        <w:gridCol w:w="166"/>
        <w:gridCol w:w="146"/>
        <w:gridCol w:w="196"/>
        <w:gridCol w:w="661"/>
        <w:gridCol w:w="166"/>
        <w:gridCol w:w="146"/>
        <w:gridCol w:w="196"/>
        <w:gridCol w:w="661"/>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Nine Months</w:t>
              <w:br/>
              <w:t>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Interest expense, interest and dividend income and other expenses</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Depreciation and amortization</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lease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Stock-based compensation</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Payroll tax expense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Acquisition and other</w:t>
            </w:r>
            <w:r>
              <w:rPr>
                <w:rFonts w:ascii="Arial" w:hAnsi="Arial"/>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Charitable contribution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Restructuring charges</w:t>
            </w: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64"/>
        <w:gridCol w:w="146"/>
        <w:gridCol w:w="196"/>
        <w:gridCol w:w="916"/>
        <w:gridCol w:w="166"/>
        <w:gridCol w:w="146"/>
        <w:gridCol w:w="196"/>
        <w:gridCol w:w="916"/>
        <w:gridCol w:w="166"/>
        <w:gridCol w:w="146"/>
        <w:gridCol w:w="196"/>
        <w:gridCol w:w="916"/>
        <w:gridCol w:w="166"/>
        <w:gridCol w:w="146"/>
        <w:gridCol w:w="196"/>
        <w:gridCol w:w="916"/>
        <w:gridCol w:w="21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Nine Months</w:t>
              <w:br/>
              <w:t>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Non-GAAP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Depreciation and amortization</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Stock-based compensation </w:t>
            </w:r>
            <w:r>
              <w:rPr>
                <w:rFonts w:ascii="Arial" w:hAnsi="Arial"/>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Payroll tax expense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lease intangible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deferred costs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Acquisition and other</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Charitable contribution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Restructuring charges</w:t>
            </w: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Non-GAAP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Weighted-average number of shares outstanding used to compute Non-GAAP Net Income (Loss) per share, basic and diluted,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50,920,588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49,282,164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50,653,997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48,901,475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weighted-average effect of potentially dilutive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9,957,018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4,768,815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weighted-average shares used to compute Non-GAAP Net Income (Loss)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60,877,606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49,282,164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55,422,812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48,901,475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EPS, basic and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EPS basic,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EPS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 xml:space="preserve">Other expenses includes loss on debt extinguishment. </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Represents depreciation expense of the Company’s long-lived tangible assets and amortization expense of its finite-lived intangible assets, as included in the Company’s GAAP results of operations.</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spacing w:before="0" w:after="0"/>
        <w:jc w:val="left"/>
        <w:rPr>
          <w:rFonts w:ascii="Arial" w:hAnsi="Arial"/>
          <w:color w:val="000000"/>
          <w:sz w:val="16"/>
        </w:rPr>
      </w:pPr>
      <w:r>
        <w:rPr>
          <w:rFonts w:ascii="Arial" w:hAnsi="Arial"/>
          <w:color w:val="000000"/>
          <w:sz w:val="16"/>
        </w:rPr>
        <w:t>Represents the non-cash expense related to stock-based awards granted to employees, as included in the Company’s GAAP results of operations.</w:t>
      </w:r>
    </w:p>
    <w:p>
      <w:pPr>
        <w:pStyle w:val="TextBody"/>
        <w:bidi w:val="0"/>
        <w:spacing w:before="0" w:after="0"/>
        <w:jc w:val="left"/>
        <w:rPr>
          <w:rFonts w:ascii="Arial" w:hAnsi="Arial"/>
          <w:color w:val="000000"/>
          <w:sz w:val="16"/>
        </w:rPr>
      </w:pPr>
      <w:r>
        <w:rPr>
          <w:rFonts w:ascii="Arial" w:hAnsi="Arial"/>
          <w:color w:val="000000"/>
          <w:sz w:val="16"/>
        </w:rPr>
        <w:t>(4)</w:t>
      </w:r>
    </w:p>
    <w:p>
      <w:pPr>
        <w:pStyle w:val="TextBody"/>
        <w:bidi w:val="0"/>
        <w:spacing w:before="0" w:after="0"/>
        <w:jc w:val="left"/>
        <w:rPr>
          <w:rFonts w:ascii="Arial" w:hAnsi="Arial"/>
          <w:color w:val="000000"/>
          <w:sz w:val="16"/>
        </w:rPr>
      </w:pPr>
      <w:r>
        <w:rPr>
          <w:rFonts w:ascii="Arial" w:hAnsi="Arial"/>
          <w:color w:val="000000"/>
          <w:sz w:val="16"/>
        </w:rPr>
        <w:t>Includes adjustments related to purchase accounting, the revaluation of contingent consideration, transaction costs and executive severance.</w:t>
      </w:r>
    </w:p>
    <w:p>
      <w:pPr>
        <w:pStyle w:val="TextBody"/>
        <w:bidi w:val="0"/>
        <w:spacing w:before="0" w:after="0"/>
        <w:jc w:val="left"/>
        <w:rPr>
          <w:rFonts w:ascii="Arial" w:hAnsi="Arial"/>
          <w:color w:val="000000"/>
          <w:sz w:val="16"/>
        </w:rPr>
      </w:pPr>
      <w:r>
        <w:rPr>
          <w:rFonts w:ascii="Arial" w:hAnsi="Arial"/>
          <w:color w:val="000000"/>
          <w:sz w:val="16"/>
        </w:rPr>
        <w:t>(5)</w:t>
      </w:r>
    </w:p>
    <w:p>
      <w:pPr>
        <w:pStyle w:val="TextBody"/>
        <w:bidi w:val="0"/>
        <w:jc w:val="left"/>
        <w:rPr>
          <w:rFonts w:ascii="Arial" w:hAnsi="Arial"/>
          <w:color w:val="000000"/>
          <w:sz w:val="16"/>
        </w:rPr>
      </w:pPr>
      <w:r>
        <w:rPr>
          <w:rFonts w:ascii="Arial" w:hAnsi="Arial"/>
          <w:color w:val="000000"/>
          <w:sz w:val="16"/>
        </w:rPr>
        <w:t>Costs associated with the 2025 reduction in workforce.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Xometry, Inc. and Subsidiaries</w:t>
      </w:r>
    </w:p>
    <w:p>
      <w:pPr>
        <w:pStyle w:val="TextBody"/>
        <w:bidi w:val="0"/>
        <w:jc w:val="center"/>
        <w:rPr>
          <w:rFonts w:ascii="Arial" w:hAnsi="Arial"/>
          <w:color w:val="000000"/>
          <w:sz w:val="22"/>
        </w:rPr>
      </w:pPr>
      <w:r>
        <w:rPr>
          <w:rFonts w:ascii="Arial" w:hAnsi="Arial"/>
          <w:color w:val="000000"/>
          <w:sz w:val="22"/>
        </w:rPr>
        <w:t>Reconciliation of GAAP EPS to Non-GAAP EPS</w:t>
      </w:r>
    </w:p>
    <w:p>
      <w:pPr>
        <w:pStyle w:val="TextBody"/>
        <w:bidi w:val="0"/>
        <w:spacing w:before="0" w:after="200"/>
        <w:jc w:val="center"/>
        <w:rPr>
          <w:rFonts w:ascii="Arial" w:hAnsi="Arial"/>
          <w:color w:val="000000"/>
          <w:sz w:val="22"/>
        </w:rPr>
      </w:pPr>
      <w:r>
        <w:rPr>
          <w:rFonts w:ascii="Arial" w:hAnsi="Arial"/>
          <w:color w:val="000000"/>
          <w:sz w:val="22"/>
        </w:rPr>
        <w:t>(Unaudited)</w:t>
      </w:r>
    </w:p>
    <w:tbl>
      <w:tblPr>
        <w:tblW w:w="9006" w:type="dxa"/>
        <w:jc w:val="left"/>
        <w:tblInd w:w="0" w:type="dxa"/>
        <w:tblLayout w:type="fixed"/>
        <w:tblCellMar>
          <w:top w:w="28" w:type="dxa"/>
          <w:left w:w="28" w:type="dxa"/>
          <w:bottom w:w="28" w:type="dxa"/>
          <w:right w:w="28" w:type="dxa"/>
        </w:tblCellMar>
      </w:tblPr>
      <w:tblGrid>
        <w:gridCol w:w="4741"/>
        <w:gridCol w:w="146"/>
        <w:gridCol w:w="213"/>
        <w:gridCol w:w="524"/>
        <w:gridCol w:w="180"/>
        <w:gridCol w:w="159"/>
        <w:gridCol w:w="213"/>
        <w:gridCol w:w="524"/>
        <w:gridCol w:w="166"/>
        <w:gridCol w:w="146"/>
        <w:gridCol w:w="210"/>
        <w:gridCol w:w="515"/>
        <w:gridCol w:w="177"/>
        <w:gridCol w:w="156"/>
        <w:gridCol w:w="210"/>
        <w:gridCol w:w="515"/>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Nine Months</w:t>
              <w:br/>
              <w:t>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Non-GAAP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EPS, diluted,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effect of potentially dilutive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Payroll tax expense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lease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deferred costs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Acquisition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Non-GAAP EPS,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0.11</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0.22</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Xometry, Inc. and Subsidiaries</w:t>
      </w:r>
    </w:p>
    <w:p>
      <w:pPr>
        <w:pStyle w:val="TextBody"/>
        <w:bidi w:val="0"/>
        <w:jc w:val="center"/>
        <w:rPr>
          <w:rFonts w:ascii="Arial" w:hAnsi="Arial"/>
          <w:color w:val="000000"/>
          <w:sz w:val="22"/>
        </w:rPr>
      </w:pPr>
      <w:r>
        <w:rPr>
          <w:rFonts w:ascii="Arial" w:hAnsi="Arial"/>
          <w:color w:val="000000"/>
          <w:sz w:val="22"/>
        </w:rPr>
        <w:t>Segment Results</w:t>
      </w:r>
    </w:p>
    <w:p>
      <w:pPr>
        <w:pStyle w:val="TextBody"/>
        <w:bidi w:val="0"/>
        <w:jc w:val="center"/>
        <w:rPr>
          <w:rFonts w:ascii="Arial" w:hAnsi="Arial"/>
          <w:color w:val="000000"/>
          <w:sz w:val="22"/>
        </w:rPr>
      </w:pPr>
      <w:r>
        <w:rPr>
          <w:rFonts w:ascii="Arial" w:hAnsi="Arial"/>
          <w:color w:val="000000"/>
          <w:sz w:val="22"/>
        </w:rPr>
        <w:t>(In thousands)</w:t>
      </w:r>
    </w:p>
    <w:p>
      <w:pPr>
        <w:pStyle w:val="TextBody"/>
        <w:bidi w:val="0"/>
        <w:spacing w:before="0" w:after="200"/>
        <w:jc w:val="center"/>
        <w:rPr>
          <w:rFonts w:ascii="Arial" w:hAnsi="Arial"/>
          <w:color w:val="000000"/>
          <w:sz w:val="22"/>
        </w:rPr>
      </w:pPr>
      <w:r>
        <w:rPr>
          <w:rFonts w:ascii="Arial" w:hAnsi="Arial"/>
          <w:color w:val="000000"/>
          <w:sz w:val="22"/>
        </w:rPr>
        <w:t>(Unaudited)</w:t>
      </w:r>
    </w:p>
    <w:tbl>
      <w:tblPr>
        <w:tblW w:w="7152" w:type="dxa"/>
        <w:jc w:val="left"/>
        <w:tblInd w:w="0" w:type="dxa"/>
        <w:tblLayout w:type="fixed"/>
        <w:tblCellMar>
          <w:top w:w="28" w:type="dxa"/>
          <w:left w:w="28" w:type="dxa"/>
          <w:bottom w:w="28" w:type="dxa"/>
          <w:right w:w="28" w:type="dxa"/>
        </w:tblCellMar>
      </w:tblPr>
      <w:tblGrid>
        <w:gridCol w:w="2311"/>
        <w:gridCol w:w="146"/>
        <w:gridCol w:w="196"/>
        <w:gridCol w:w="691"/>
        <w:gridCol w:w="166"/>
        <w:gridCol w:w="146"/>
        <w:gridCol w:w="196"/>
        <w:gridCol w:w="691"/>
        <w:gridCol w:w="166"/>
        <w:gridCol w:w="146"/>
        <w:gridCol w:w="196"/>
        <w:gridCol w:w="691"/>
        <w:gridCol w:w="166"/>
        <w:gridCol w:w="146"/>
        <w:gridCol w:w="196"/>
        <w:gridCol w:w="691"/>
        <w:gridCol w:w="2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Nine Months</w:t>
              <w:br/>
              <w:t>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63,870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396,983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Segment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240,379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Xometry, Inc. and Subsidiaries</w:t>
      </w:r>
      <w:r>
        <w:rPr>
          <w:rFonts w:ascii="Times New Roman" w:hAnsi="Times New Roman"/>
          <w:color w:val="000000"/>
          <w:sz w:val="20"/>
        </w:rPr>
        <w:t xml:space="preserve"> </w:t>
      </w:r>
    </w:p>
    <w:p>
      <w:pPr>
        <w:pStyle w:val="TextBody"/>
        <w:bidi w:val="0"/>
        <w:jc w:val="center"/>
        <w:rPr>
          <w:rFonts w:ascii="Arial" w:hAnsi="Arial"/>
          <w:color w:val="000000"/>
          <w:sz w:val="22"/>
        </w:rPr>
      </w:pPr>
      <w:r>
        <w:rPr>
          <w:rFonts w:ascii="Arial" w:hAnsi="Arial"/>
          <w:color w:val="000000"/>
          <w:sz w:val="22"/>
        </w:rPr>
        <w:t>Supplemental Information</w:t>
      </w:r>
    </w:p>
    <w:p>
      <w:pPr>
        <w:pStyle w:val="TextBody"/>
        <w:bidi w:val="0"/>
        <w:jc w:val="center"/>
        <w:rPr>
          <w:rFonts w:ascii="Arial" w:hAnsi="Arial"/>
          <w:color w:val="000000"/>
          <w:sz w:val="22"/>
        </w:rPr>
      </w:pPr>
      <w:r>
        <w:rPr>
          <w:rFonts w:ascii="Arial" w:hAnsi="Arial"/>
          <w:color w:val="000000"/>
          <w:sz w:val="22"/>
        </w:rPr>
        <w:t>(In thousands)</w:t>
      </w:r>
    </w:p>
    <w:p>
      <w:pPr>
        <w:pStyle w:val="TextBody"/>
        <w:bidi w:val="0"/>
        <w:spacing w:before="0" w:after="200"/>
        <w:jc w:val="center"/>
        <w:rPr>
          <w:rFonts w:ascii="Arial" w:hAnsi="Arial"/>
          <w:color w:val="000000"/>
          <w:sz w:val="22"/>
        </w:rPr>
      </w:pPr>
      <w:r>
        <w:rPr>
          <w:rFonts w:ascii="Arial" w:hAnsi="Arial"/>
          <w:color w:val="000000"/>
          <w:sz w:val="22"/>
        </w:rPr>
        <w:t>(Unaudited)</w:t>
      </w:r>
    </w:p>
    <w:tbl>
      <w:tblPr>
        <w:tblW w:w="10205" w:type="dxa"/>
        <w:jc w:val="left"/>
        <w:tblInd w:w="0" w:type="dxa"/>
        <w:tblLayout w:type="fixed"/>
        <w:tblCellMar>
          <w:top w:w="28" w:type="dxa"/>
          <w:left w:w="28" w:type="dxa"/>
          <w:bottom w:w="28" w:type="dxa"/>
          <w:right w:w="28" w:type="dxa"/>
        </w:tblCellMar>
      </w:tblPr>
      <w:tblGrid>
        <w:gridCol w:w="5874"/>
        <w:gridCol w:w="146"/>
        <w:gridCol w:w="196"/>
        <w:gridCol w:w="601"/>
        <w:gridCol w:w="166"/>
        <w:gridCol w:w="146"/>
        <w:gridCol w:w="196"/>
        <w:gridCol w:w="511"/>
        <w:gridCol w:w="146"/>
        <w:gridCol w:w="146"/>
        <w:gridCol w:w="196"/>
        <w:gridCol w:w="601"/>
        <w:gridCol w:w="146"/>
        <w:gridCol w:w="146"/>
        <w:gridCol w:w="196"/>
        <w:gridCol w:w="601"/>
        <w:gridCol w:w="191"/>
      </w:tblGrid>
      <w:tr>
        <w:trPr/>
        <w:tc>
          <w:tcPr>
            <w:tcW w:w="5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Summary of Stock-based Compensation Expense and Payroll Taxes Related to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Operations and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stock-based compensation expense and payroll taxes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Summary of 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Summary of 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5570</Words>
  <Characters>31183</Characters>
  <CharactersWithSpaces>37760</CharactersWithSpaces>
  <Paragraphs>3839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