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#98423F109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4,076,201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4,078,462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4,078,462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8.748%</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4,078,462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4,078,462</w:t>
      </w:r>
    </w:p>
    <w:p>
      <w:pPr>
        <w:spacing w:after="0"/>
        <w:rPr>
          <w:sz w:val="20"/>
          <w:szCs w:val="20"/>
          <w:color w:val="auto"/>
        </w:rPr>
      </w:pPr>
      <w:r>
        <w:rPr>
          <w:rFonts w:ascii="Courier New" w:cs="Courier New" w:eastAsia="Courier New" w:hAnsi="Courier New"/>
          <w:sz w:val="18"/>
          <w:szCs w:val="18"/>
          <w:color w:val="auto"/>
        </w:rPr>
        <w:t>Item 11: 8.748%</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6116 EXECUTIVE BOULEVARD, SUITE 800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4,078,462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8.748%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4,078,462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XOMETRY INC. No one other person's interest in the CLASS A COMMON STOCK of XOMETRY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ectPr>
          <w:pgSz w:w="11900" w:h="16838" w:orient="portrait"/>
          <w:cols w:equalWidth="0" w:num="1">
            <w:col w:w="10139"/>
          </w:cols>
          <w:pgMar w:left="320" w:top="110"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Entity beneficially owns 5% or greater of the outstanding shares of the</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CLASS A COMMON STOCK of XOMETRY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2024-11-12T09:43:32Z</dcterms:created>
  <dcterms:modified xsi:type="dcterms:W3CDTF">2024-11-12T09:43:32Z</dcterms:modified>
</cp:coreProperties>
</file>