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203200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324"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09"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90"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188595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175895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p>
      <w:pPr>
        <w:spacing w:after="0" w:line="200" w:lineRule="exact"/>
        <w:rPr>
          <w:sz w:val="24"/>
          <w:szCs w:val="24"/>
          <w:color w:val="auto"/>
        </w:rPr>
      </w:pPr>
    </w:p>
    <w:p>
      <w:pPr>
        <w:spacing w:after="0" w:line="279"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22"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32-0415449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63" w:lineRule="exact"/>
        <w:rPr>
          <w:sz w:val="24"/>
          <w:szCs w:val="24"/>
          <w:color w:val="auto"/>
        </w:rPr>
      </w:pPr>
    </w:p>
    <w:p>
      <w:pPr>
        <w:sectPr>
          <w:pgSz w:w="11900" w:h="16838" w:orient="portrait"/>
          <w:cols w:equalWidth="0" w:num="2">
            <w:col w:w="7220" w:space="720"/>
            <w:col w:w="3300"/>
          </w:cols>
          <w:pgMar w:left="320" w:top="678"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4"/>
        </w:trPr>
        <w:tc>
          <w:tcPr>
            <w:tcW w:w="4220" w:type="dxa"/>
            <w:vAlign w:val="bottom"/>
          </w:tcPr>
          <w:p>
            <w:pPr>
              <w:jc w:val="center"/>
              <w:ind w:right="2104"/>
              <w:spacing w:after="0"/>
              <w:rPr>
                <w:sz w:val="20"/>
                <w:szCs w:val="20"/>
                <w:color w:val="auto"/>
              </w:rPr>
            </w:pPr>
            <w:r>
              <w:rPr>
                <w:rFonts w:ascii="Arial" w:cs="Arial" w:eastAsia="Arial" w:hAnsi="Arial"/>
                <w:sz w:val="16"/>
                <w:szCs w:val="16"/>
                <w:b w:val="1"/>
                <w:bCs w:val="1"/>
                <w:color w:val="auto"/>
                <w:w w:val="88"/>
              </w:rPr>
              <w:t>7529 Standish Place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20" w:type="dxa"/>
            <w:vAlign w:val="bottom"/>
          </w:tcPr>
          <w:p>
            <w:pPr>
              <w:jc w:val="center"/>
              <w:ind w:right="2104"/>
              <w:spacing w:after="0" w:line="162" w:lineRule="exact"/>
              <w:rPr>
                <w:sz w:val="20"/>
                <w:szCs w:val="20"/>
                <w:color w:val="auto"/>
              </w:rPr>
            </w:pPr>
            <w:r>
              <w:rPr>
                <w:rFonts w:ascii="Arial" w:cs="Arial" w:eastAsia="Arial" w:hAnsi="Arial"/>
                <w:sz w:val="16"/>
                <w:szCs w:val="16"/>
                <w:b w:val="1"/>
                <w:bCs w:val="1"/>
                <w:color w:val="auto"/>
                <w:w w:val="91"/>
              </w:rPr>
              <w:t>Suite 200</w:t>
            </w:r>
          </w:p>
        </w:tc>
        <w:tc>
          <w:tcPr>
            <w:tcW w:w="2720" w:type="dxa"/>
            <w:vAlign w:val="bottom"/>
            <w:vMerge w:val="restart"/>
          </w:tcPr>
          <w:p>
            <w:pPr>
              <w:jc w:val="right"/>
              <w:ind w:right="8"/>
              <w:spacing w:after="0"/>
              <w:rPr>
                <w:sz w:val="20"/>
                <w:szCs w:val="20"/>
                <w:color w:val="auto"/>
              </w:rPr>
            </w:pPr>
            <w:r>
              <w:rPr>
                <w:rFonts w:ascii="Arial" w:cs="Arial" w:eastAsia="Arial" w:hAnsi="Arial"/>
                <w:sz w:val="16"/>
                <w:szCs w:val="16"/>
                <w:b w:val="1"/>
                <w:bCs w:val="1"/>
                <w:color w:val="auto"/>
              </w:rPr>
              <w:t>20855</w:t>
            </w:r>
          </w:p>
        </w:tc>
        <w:tc>
          <w:tcPr>
            <w:tcW w:w="0" w:type="dxa"/>
            <w:vAlign w:val="bottom"/>
          </w:tcPr>
          <w:p>
            <w:pPr>
              <w:spacing w:after="0"/>
              <w:rPr>
                <w:sz w:val="1"/>
                <w:szCs w:val="1"/>
                <w:color w:val="auto"/>
              </w:rPr>
            </w:pPr>
          </w:p>
        </w:tc>
      </w:tr>
      <w:tr>
        <w:trPr>
          <w:trHeight w:val="198"/>
        </w:trPr>
        <w:tc>
          <w:tcPr>
            <w:tcW w:w="4220" w:type="dxa"/>
            <w:vAlign w:val="bottom"/>
          </w:tcPr>
          <w:p>
            <w:pPr>
              <w:jc w:val="center"/>
              <w:ind w:right="2124"/>
              <w:spacing w:after="0"/>
              <w:rPr>
                <w:sz w:val="20"/>
                <w:szCs w:val="20"/>
                <w:color w:val="auto"/>
              </w:rPr>
            </w:pPr>
            <w:r>
              <w:rPr>
                <w:rFonts w:ascii="Arial" w:cs="Arial" w:eastAsia="Arial" w:hAnsi="Arial"/>
                <w:sz w:val="16"/>
                <w:szCs w:val="16"/>
                <w:b w:val="1"/>
                <w:bCs w:val="1"/>
                <w:color w:val="auto"/>
                <w:w w:val="95"/>
              </w:rPr>
              <w:t>Derwood, MD</w:t>
            </w: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20" w:type="dxa"/>
            <w:vAlign w:val="bottom"/>
          </w:tcPr>
          <w:p>
            <w:pPr>
              <w:jc w:val="center"/>
              <w:ind w:right="20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8"/>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188595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right="20" w:firstLine="644"/>
        <w:spacing w:after="0" w:line="19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60" w:firstLine="64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ind w:right="120" w:firstLine="644"/>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67" w:lineRule="exact"/>
        <w:rPr>
          <w:sz w:val="24"/>
          <w:szCs w:val="24"/>
          <w:color w:val="auto"/>
        </w:rPr>
      </w:pPr>
    </w:p>
    <w:p>
      <w:pPr>
        <w:ind w:right="460" w:firstLine="64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60" w:right="1940"/>
        <w:spacing w:after="0" w:line="24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2, 2022, the registrant had 44,763,937 shares of Class A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9"/>
            <w:vMerge w:val="restart"/>
          </w:tcPr>
          <w:p>
            <w:pPr>
              <w:spacing w:after="0"/>
              <w:rPr>
                <w:sz w:val="20"/>
                <w:szCs w:val="20"/>
                <w:color w:val="auto"/>
              </w:rPr>
            </w:pPr>
            <w:r>
              <w:rPr>
                <w:rFonts w:ascii="Arial" w:cs="Arial" w:eastAsia="Arial" w:hAnsi="Arial"/>
                <w:sz w:val="18"/>
                <w:szCs w:val="18"/>
                <w:color w:val="0563C1"/>
              </w:rPr>
              <w:t>FINANCIAL INFORMATION</w:t>
            </w: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0" w:type="dxa"/>
            <w:vAlign w:val="bottom"/>
            <w:gridSpan w:val="2"/>
            <w:vMerge w:val="continue"/>
          </w:tcPr>
          <w:p>
            <w:pPr>
              <w:spacing w:after="0"/>
              <w:rPr>
                <w:sz w:val="13"/>
                <w:szCs w:val="13"/>
                <w:color w:val="auto"/>
              </w:rPr>
            </w:pPr>
          </w:p>
        </w:tc>
        <w:tc>
          <w:tcPr>
            <w:tcW w:w="9420" w:type="dxa"/>
            <w:vAlign w:val="bottom"/>
            <w:gridSpan w:val="19"/>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40" w:type="dxa"/>
            <w:vAlign w:val="bottom"/>
            <w:tcBorders>
              <w:top w:val="single" w:sz="8" w:color="0563C1"/>
              <w:bottom w:val="single" w:sz="8" w:color="0563C1"/>
            </w:tcBorders>
            <w:gridSpan w:val="8"/>
          </w:tcPr>
          <w:p>
            <w:pPr>
              <w:spacing w:after="0" w:line="182" w:lineRule="exact"/>
              <w:rPr>
                <w:sz w:val="20"/>
                <w:szCs w:val="20"/>
                <w:color w:val="auto"/>
              </w:rPr>
            </w:pPr>
            <w:r>
              <w:rPr>
                <w:rFonts w:ascii="Arial" w:cs="Arial" w:eastAsia="Arial" w:hAnsi="Arial"/>
                <w:sz w:val="18"/>
                <w:szCs w:val="18"/>
                <w:color w:val="0563C1"/>
                <w:w w:val="83"/>
              </w:rPr>
              <w:t>Financial Statements (Unaudited)</w:t>
            </w:r>
          </w:p>
        </w:tc>
        <w:tc>
          <w:tcPr>
            <w:tcW w:w="80" w:type="dxa"/>
            <w:vAlign w:val="bottom"/>
            <w:tcBorders>
              <w:bottom w:val="single" w:sz="8" w:color="0563C1"/>
            </w:tcBorders>
          </w:tcPr>
          <w:p>
            <w:pPr>
              <w:spacing w:after="0"/>
              <w:rPr>
                <w:sz w:val="15"/>
                <w:szCs w:val="15"/>
                <w:color w:val="auto"/>
              </w:rPr>
            </w:pPr>
          </w:p>
        </w:tc>
        <w:tc>
          <w:tcPr>
            <w:tcW w:w="80" w:type="dxa"/>
            <w:vAlign w:val="bottom"/>
            <w:tcBorders>
              <w:bottom w:val="single" w:sz="8" w:color="0563C1"/>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10"/>
          </w:tcPr>
          <w:p>
            <w:pPr>
              <w:spacing w:after="0" w:line="182" w:lineRule="exact"/>
              <w:rPr>
                <w:sz w:val="20"/>
                <w:szCs w:val="20"/>
                <w:color w:val="auto"/>
              </w:rPr>
            </w:pPr>
            <w:r>
              <w:rPr>
                <w:rFonts w:ascii="Arial" w:cs="Arial" w:eastAsia="Arial" w:hAnsi="Arial"/>
                <w:sz w:val="18"/>
                <w:szCs w:val="18"/>
                <w:color w:val="0563C1"/>
                <w:w w:val="87"/>
              </w:rPr>
              <w:t>Condensed Consolidated Balance</w:t>
            </w:r>
          </w:p>
        </w:tc>
        <w:tc>
          <w:tcPr>
            <w:tcW w:w="7020" w:type="dxa"/>
            <w:vAlign w:val="bottom"/>
            <w:gridSpan w:val="9"/>
          </w:tcPr>
          <w:p>
            <w:pPr>
              <w:ind w:left="60"/>
              <w:spacing w:after="0" w:line="182" w:lineRule="exact"/>
              <w:rPr>
                <w:sz w:val="20"/>
                <w:szCs w:val="20"/>
                <w:color w:val="auto"/>
              </w:rPr>
            </w:pPr>
            <w:r>
              <w:rPr>
                <w:rFonts w:ascii="Arial" w:cs="Arial" w:eastAsia="Arial" w:hAnsi="Arial"/>
                <w:sz w:val="18"/>
                <w:szCs w:val="18"/>
                <w:color w:val="0563C1"/>
              </w:rPr>
              <w:t>Sheets</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tcBorders>
              <w:top w:val="single" w:sz="8" w:color="0563C1"/>
            </w:tcBorders>
            <w:gridSpan w:val="11"/>
          </w:tcPr>
          <w:p>
            <w:pPr>
              <w:spacing w:after="0" w:line="182" w:lineRule="exact"/>
              <w:rPr>
                <w:sz w:val="20"/>
                <w:szCs w:val="20"/>
                <w:color w:val="auto"/>
              </w:rPr>
            </w:pPr>
            <w:r>
              <w:rPr>
                <w:rFonts w:ascii="Arial" w:cs="Arial" w:eastAsia="Arial" w:hAnsi="Arial"/>
                <w:sz w:val="18"/>
                <w:szCs w:val="18"/>
                <w:color w:val="0563C1"/>
                <w:w w:val="91"/>
              </w:rPr>
              <w:t>Condensed Consolidated Statements of</w:t>
            </w:r>
          </w:p>
        </w:tc>
        <w:tc>
          <w:tcPr>
            <w:tcW w:w="6500" w:type="dxa"/>
            <w:vAlign w:val="bottom"/>
            <w:gridSpan w:val="8"/>
          </w:tcPr>
          <w:p>
            <w:pPr>
              <w:spacing w:after="0" w:line="182" w:lineRule="exact"/>
              <w:rPr>
                <w:sz w:val="20"/>
                <w:szCs w:val="20"/>
                <w:color w:val="auto"/>
              </w:rPr>
            </w:pPr>
            <w:r>
              <w:rPr>
                <w:rFonts w:ascii="Arial" w:cs="Arial" w:eastAsia="Arial" w:hAnsi="Arial"/>
                <w:sz w:val="18"/>
                <w:szCs w:val="18"/>
                <w:color w:val="0563C1"/>
              </w:rPr>
              <w:t>Operations and Comprehensive Loss</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20" w:type="dxa"/>
            <w:vAlign w:val="bottom"/>
            <w:gridSpan w:val="19"/>
          </w:tcPr>
          <w:p>
            <w:pPr>
              <w:spacing w:after="0" w:line="182" w:lineRule="exact"/>
              <w:rPr>
                <w:sz w:val="20"/>
                <w:szCs w:val="20"/>
                <w:color w:val="auto"/>
              </w:rPr>
            </w:pPr>
            <w:r>
              <w:rPr>
                <w:rFonts w:ascii="Arial" w:cs="Arial" w:eastAsia="Arial" w:hAnsi="Arial"/>
                <w:sz w:val="18"/>
                <w:szCs w:val="18"/>
                <w:color w:val="0000FF"/>
              </w:rPr>
              <w:t>Condensed Consolidated Statements of Changes in Convertible Preferred Stock and Stockholders' Equity (Deficit)</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4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563C1"/>
              </w:rPr>
              <w:t>Condensed Consolidated Statements of Cash Flows</w:t>
            </w: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80" w:type="dxa"/>
            <w:vAlign w:val="bottom"/>
            <w:tcBorders>
              <w:bottom w:val="single" w:sz="8" w:color="0563C1"/>
            </w:tcBorders>
            <w:gridSpan w:val="15"/>
          </w:tcPr>
          <w:p>
            <w:pPr>
              <w:spacing w:after="0" w:line="182" w:lineRule="exact"/>
              <w:rPr>
                <w:sz w:val="20"/>
                <w:szCs w:val="20"/>
                <w:color w:val="auto"/>
              </w:rPr>
            </w:pPr>
            <w:r>
              <w:rPr>
                <w:rFonts w:ascii="Arial" w:cs="Arial" w:eastAsia="Arial" w:hAnsi="Arial"/>
                <w:sz w:val="18"/>
                <w:szCs w:val="18"/>
                <w:color w:val="0563C1"/>
                <w:w w:val="89"/>
              </w:rPr>
              <w:t>Notes to Unaudited Condensed Consolidated Financial Statements</w:t>
            </w:r>
          </w:p>
        </w:tc>
        <w:tc>
          <w:tcPr>
            <w:tcW w:w="4640" w:type="dxa"/>
            <w:vAlign w:val="bottom"/>
            <w:gridSpan w:val="4"/>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20" w:type="dxa"/>
            <w:vAlign w:val="bottom"/>
            <w:gridSpan w:val="19"/>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563C1"/>
            </w:tcBorders>
            <w:gridSpan w:val="17"/>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980" w:type="dxa"/>
            <w:vAlign w:val="bottom"/>
            <w:gridSpan w:val="2"/>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60" w:type="dxa"/>
            <w:vAlign w:val="bottom"/>
            <w:tcBorders>
              <w:top w:val="single" w:sz="8" w:color="0563C1"/>
              <w:bottom w:val="single" w:sz="8" w:color="0563C1"/>
            </w:tcBorders>
            <w:gridSpan w:val="5"/>
          </w:tcPr>
          <w:p>
            <w:pPr>
              <w:spacing w:after="0" w:line="182" w:lineRule="exact"/>
              <w:rPr>
                <w:sz w:val="20"/>
                <w:szCs w:val="20"/>
                <w:color w:val="auto"/>
              </w:rPr>
            </w:pPr>
            <w:r>
              <w:rPr>
                <w:rFonts w:ascii="Arial" w:cs="Arial" w:eastAsia="Arial" w:hAnsi="Arial"/>
                <w:sz w:val="18"/>
                <w:szCs w:val="18"/>
                <w:color w:val="0563C1"/>
                <w:w w:val="87"/>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5060" w:type="dxa"/>
            <w:vAlign w:val="bottom"/>
            <w:gridSpan w:val="5"/>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780" w:type="dxa"/>
            <w:vAlign w:val="bottom"/>
            <w:tcBorders>
              <w:bottom w:val="single" w:sz="8" w:color="0563C1"/>
            </w:tcBorders>
            <w:gridSpan w:val="6"/>
          </w:tcPr>
          <w:p>
            <w:pPr>
              <w:spacing w:after="0" w:line="182" w:lineRule="exact"/>
              <w:rPr>
                <w:sz w:val="20"/>
                <w:szCs w:val="20"/>
                <w:color w:val="auto"/>
              </w:rPr>
            </w:pPr>
            <w:r>
              <w:rPr>
                <w:rFonts w:ascii="Arial" w:cs="Arial" w:eastAsia="Arial" w:hAnsi="Arial"/>
                <w:sz w:val="18"/>
                <w:szCs w:val="18"/>
                <w:color w:val="0563C1"/>
                <w:w w:val="90"/>
              </w:rPr>
              <w:t>OTHER INFORMATION</w:t>
            </w:r>
          </w:p>
        </w:tc>
        <w:tc>
          <w:tcPr>
            <w:tcW w:w="100" w:type="dxa"/>
            <w:vAlign w:val="bottom"/>
            <w:tcBorders>
              <w:bottom w:val="single" w:sz="8" w:color="0563C1"/>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5080" w:type="dxa"/>
            <w:vAlign w:val="bottom"/>
            <w:gridSpan w:val="6"/>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880" w:type="dxa"/>
            <w:vAlign w:val="bottom"/>
            <w:gridSpan w:val="7"/>
          </w:tcPr>
          <w:p>
            <w:pPr>
              <w:spacing w:after="0" w:line="182" w:lineRule="exact"/>
              <w:rPr>
                <w:sz w:val="20"/>
                <w:szCs w:val="20"/>
                <w:color w:val="auto"/>
              </w:rPr>
            </w:pPr>
            <w:r>
              <w:rPr>
                <w:rFonts w:ascii="Arial" w:cs="Arial" w:eastAsia="Arial" w:hAnsi="Arial"/>
                <w:sz w:val="18"/>
                <w:szCs w:val="18"/>
                <w:color w:val="0563C1"/>
              </w:rPr>
              <w:t>Legal Proceedings</w:t>
            </w: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5080" w:type="dxa"/>
            <w:vAlign w:val="bottom"/>
            <w:gridSpan w:val="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5080" w:type="dxa"/>
            <w:vAlign w:val="bottom"/>
            <w:gridSpan w:val="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563C1"/>
            </w:tcBorders>
            <w:gridSpan w:val="2"/>
          </w:tcPr>
          <w:p>
            <w:pPr>
              <w:spacing w:after="0" w:line="182" w:lineRule="exact"/>
              <w:rPr>
                <w:sz w:val="20"/>
                <w:szCs w:val="20"/>
                <w:color w:val="auto"/>
              </w:rPr>
            </w:pPr>
            <w:r>
              <w:rPr>
                <w:rFonts w:ascii="Arial" w:cs="Arial" w:eastAsia="Arial" w:hAnsi="Arial"/>
                <w:sz w:val="18"/>
                <w:szCs w:val="18"/>
                <w:color w:val="0563C1"/>
                <w:w w:val="85"/>
              </w:rPr>
              <w:t>Unregistered</w:t>
            </w:r>
          </w:p>
        </w:tc>
        <w:tc>
          <w:tcPr>
            <w:tcW w:w="8520" w:type="dxa"/>
            <w:vAlign w:val="bottom"/>
            <w:gridSpan w:val="17"/>
          </w:tcPr>
          <w:p>
            <w:pPr>
              <w:ind w:left="60"/>
              <w:spacing w:after="0" w:line="182" w:lineRule="exact"/>
              <w:rPr>
                <w:sz w:val="20"/>
                <w:szCs w:val="20"/>
                <w:color w:val="auto"/>
              </w:rPr>
            </w:pPr>
            <w:r>
              <w:rPr>
                <w:rFonts w:ascii="Arial" w:cs="Arial" w:eastAsia="Arial" w:hAnsi="Arial"/>
                <w:sz w:val="18"/>
                <w:szCs w:val="18"/>
                <w:color w:val="0563C1"/>
              </w:rPr>
              <w:t>Sales of Equity Securities and Use of Proceeds</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563C1"/>
            </w:tcBorders>
            <w:gridSpan w:val="13"/>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5080" w:type="dxa"/>
            <w:vAlign w:val="bottom"/>
            <w:gridSpan w:val="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563C1"/>
            </w:tcBorders>
            <w:gridSpan w:val="9"/>
          </w:tcPr>
          <w:p>
            <w:pPr>
              <w:spacing w:after="0" w:line="182" w:lineRule="exact"/>
              <w:rPr>
                <w:sz w:val="20"/>
                <w:szCs w:val="20"/>
                <w:color w:val="auto"/>
              </w:rPr>
            </w:pPr>
            <w:r>
              <w:rPr>
                <w:rFonts w:ascii="Arial" w:cs="Arial" w:eastAsia="Arial" w:hAnsi="Arial"/>
                <w:sz w:val="18"/>
                <w:szCs w:val="18"/>
                <w:color w:val="0563C1"/>
              </w:rPr>
              <w:t>Mine Safety Disclosures</w:t>
            </w:r>
          </w:p>
        </w:tc>
        <w:tc>
          <w:tcPr>
            <w:tcW w:w="7100" w:type="dxa"/>
            <w:vAlign w:val="bottom"/>
            <w:gridSpan w:val="10"/>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660" w:type="dxa"/>
            <w:vAlign w:val="bottom"/>
            <w:gridSpan w:val="14"/>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rPr>
              <w:t>Exhibits</w:t>
            </w:r>
          </w:p>
        </w:tc>
        <w:tc>
          <w:tcPr>
            <w:tcW w:w="8120" w:type="dxa"/>
            <w:vAlign w:val="bottom"/>
            <w:gridSpan w:val="1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2"/>
        </w:trPr>
        <w:tc>
          <w:tcPr>
            <w:tcW w:w="760" w:type="dxa"/>
            <w:vAlign w:val="bottom"/>
            <w:tcBorders>
              <w:bottom w:val="single" w:sz="8" w:color="0563C1"/>
            </w:tcBorders>
          </w:tcPr>
          <w:p>
            <w:pPr>
              <w:spacing w:after="0" w:line="182" w:lineRule="exact"/>
              <w:rPr>
                <w:sz w:val="20"/>
                <w:szCs w:val="20"/>
                <w:color w:val="auto"/>
              </w:rPr>
            </w:pPr>
            <w:r>
              <w:rPr>
                <w:rFonts w:ascii="Arial" w:cs="Arial" w:eastAsia="Arial" w:hAnsi="Arial"/>
                <w:sz w:val="18"/>
                <w:szCs w:val="18"/>
                <w:color w:val="0563C1"/>
                <w:w w:val="85"/>
              </w:rPr>
              <w:t>Signatures</w:t>
            </w:r>
          </w:p>
        </w:tc>
        <w:tc>
          <w:tcPr>
            <w:tcW w:w="300" w:type="dxa"/>
            <w:vAlign w:val="bottom"/>
          </w:tcPr>
          <w:p>
            <w:pPr>
              <w:spacing w:after="0"/>
              <w:rPr>
                <w:sz w:val="15"/>
                <w:szCs w:val="15"/>
                <w:color w:val="auto"/>
              </w:rPr>
            </w:pPr>
          </w:p>
        </w:tc>
        <w:tc>
          <w:tcPr>
            <w:tcW w:w="60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23" w:lineRule="exact"/>
        <w:rPr>
          <w:sz w:val="20"/>
          <w:szCs w:val="20"/>
          <w:color w:val="auto"/>
        </w:rPr>
      </w:pPr>
    </w:p>
    <w:p>
      <w:pPr>
        <w:ind w:right="200" w:firstLine="644"/>
        <w:spacing w:after="0" w:line="25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61" w:lineRule="exact"/>
        <w:rPr>
          <w:sz w:val="20"/>
          <w:szCs w:val="20"/>
          <w:color w:val="auto"/>
        </w:rPr>
      </w:pPr>
    </w:p>
    <w:p>
      <w:pPr>
        <w:ind w:left="800" w:hanging="226"/>
        <w:spacing w:after="0"/>
        <w:tabs>
          <w:tab w:leader="none" w:pos="800" w:val="left"/>
        </w:tabs>
        <w:numPr>
          <w:ilvl w:val="3"/>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97" w:lineRule="exact"/>
        <w:rPr>
          <w:rFonts w:ascii="Arial" w:cs="Arial" w:eastAsia="Arial" w:hAnsi="Arial"/>
          <w:sz w:val="18"/>
          <w:szCs w:val="18"/>
          <w:color w:val="auto"/>
        </w:rPr>
      </w:pPr>
    </w:p>
    <w:p>
      <w:pPr>
        <w:ind w:left="800" w:right="200" w:hanging="239"/>
        <w:spacing w:after="0" w:line="245" w:lineRule="auto"/>
        <w:tabs>
          <w:tab w:leader="none" w:pos="8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supplier services, our ability to effectively manage or sustain our growth and to achieve or sustain profitability;</w:t>
      </w:r>
    </w:p>
    <w:p>
      <w:pPr>
        <w:spacing w:after="0" w:line="184" w:lineRule="exact"/>
        <w:rPr>
          <w:rFonts w:ascii="Arial" w:cs="Arial" w:eastAsia="Arial" w:hAnsi="Arial"/>
          <w:sz w:val="18"/>
          <w:szCs w:val="18"/>
          <w:color w:val="auto"/>
        </w:rPr>
      </w:pPr>
    </w:p>
    <w:p>
      <w:pPr>
        <w:ind w:left="780" w:right="100" w:hanging="233"/>
        <w:spacing w:after="0" w:line="245"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ongoing effects of the COVID-19 pandemic or other macroeconomic factors and geopolitical tension, such as those associated with Russia's invasion of Ukraine, which may lead to periods of global economic uncertainty;</w:t>
      </w:r>
    </w:p>
    <w:p>
      <w:pPr>
        <w:spacing w:after="0" w:line="170" w:lineRule="exact"/>
        <w:rPr>
          <w:rFonts w:ascii="Arial" w:cs="Arial" w:eastAsia="Arial" w:hAnsi="Arial"/>
          <w:sz w:val="18"/>
          <w:szCs w:val="18"/>
          <w:color w:val="auto"/>
        </w:rPr>
      </w:pPr>
    </w:p>
    <w:p>
      <w:pPr>
        <w:ind w:left="780" w:hanging="219"/>
        <w:spacing w:after="0"/>
        <w:tabs>
          <w:tab w:leader="none" w:pos="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97" w:lineRule="exact"/>
        <w:rPr>
          <w:rFonts w:ascii="Arial" w:cs="Arial" w:eastAsia="Arial" w:hAnsi="Arial"/>
          <w:sz w:val="18"/>
          <w:szCs w:val="18"/>
          <w:color w:val="auto"/>
        </w:rPr>
      </w:pPr>
    </w:p>
    <w:p>
      <w:pPr>
        <w:ind w:left="760" w:hanging="22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buyers and suppliers and successfully engage new and existing buyers and suppliers;</w:t>
      </w:r>
    </w:p>
    <w:p>
      <w:pPr>
        <w:spacing w:after="0" w:line="211" w:lineRule="exact"/>
        <w:rPr>
          <w:rFonts w:ascii="Arial" w:cs="Arial" w:eastAsia="Arial" w:hAnsi="Arial"/>
          <w:sz w:val="18"/>
          <w:szCs w:val="18"/>
          <w:color w:val="auto"/>
        </w:rPr>
      </w:pPr>
    </w:p>
    <w:p>
      <w:pPr>
        <w:ind w:left="800" w:hanging="226"/>
        <w:spacing w:after="0"/>
        <w:tabs>
          <w:tab w:leader="none" w:pos="800"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97" w:lineRule="exact"/>
        <w:rPr>
          <w:rFonts w:ascii="Arial" w:cs="Arial" w:eastAsia="Arial" w:hAnsi="Arial"/>
          <w:sz w:val="18"/>
          <w:szCs w:val="18"/>
          <w:color w:val="auto"/>
        </w:rPr>
      </w:pPr>
    </w:p>
    <w:p>
      <w:pPr>
        <w:ind w:left="760" w:hanging="21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97" w:lineRule="exact"/>
        <w:rPr>
          <w:rFonts w:ascii="Arial" w:cs="Arial" w:eastAsia="Arial" w:hAnsi="Arial"/>
          <w:sz w:val="18"/>
          <w:szCs w:val="18"/>
          <w:color w:val="auto"/>
        </w:rPr>
      </w:pPr>
    </w:p>
    <w:p>
      <w:pPr>
        <w:ind w:left="800" w:hanging="239"/>
        <w:spacing w:after="0"/>
        <w:tabs>
          <w:tab w:leader="none" w:pos="800" w:val="left"/>
        </w:tabs>
        <w:numPr>
          <w:ilvl w:val="2"/>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211" w:lineRule="exact"/>
        <w:rPr>
          <w:rFonts w:ascii="Arial" w:cs="Arial" w:eastAsia="Arial" w:hAnsi="Arial"/>
          <w:sz w:val="18"/>
          <w:szCs w:val="18"/>
          <w:color w:val="auto"/>
        </w:rPr>
      </w:pPr>
    </w:p>
    <w:p>
      <w:pPr>
        <w:ind w:left="800" w:hanging="226"/>
        <w:spacing w:after="0"/>
        <w:tabs>
          <w:tab w:leader="none" w:pos="800" w:val="left"/>
        </w:tabs>
        <w:numPr>
          <w:ilvl w:val="3"/>
          <w:numId w:val="3"/>
        </w:numPr>
        <w:rPr>
          <w:rFonts w:ascii="Arial" w:cs="Arial" w:eastAsia="Arial" w:hAnsi="Arial"/>
          <w:sz w:val="17"/>
          <w:szCs w:val="17"/>
          <w:color w:val="auto"/>
        </w:rPr>
      </w:pPr>
      <w:r>
        <w:rPr>
          <w:rFonts w:ascii="Arial" w:cs="Arial" w:eastAsia="Arial" w:hAnsi="Arial"/>
          <w:sz w:val="17"/>
          <w:szCs w:val="17"/>
          <w:color w:val="auto"/>
        </w:rPr>
        <w:t>our ability to obtain, maintain, protect and enforce our intellectual property or other proprietary rights and any costs associated therewith;</w:t>
      </w:r>
    </w:p>
    <w:p>
      <w:pPr>
        <w:spacing w:after="0" w:line="209" w:lineRule="exact"/>
        <w:rPr>
          <w:rFonts w:ascii="Arial" w:cs="Arial" w:eastAsia="Arial" w:hAnsi="Arial"/>
          <w:sz w:val="17"/>
          <w:szCs w:val="17"/>
          <w:color w:val="auto"/>
        </w:rPr>
      </w:pPr>
    </w:p>
    <w:p>
      <w:pPr>
        <w:ind w:left="760" w:hanging="22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97" w:lineRule="exact"/>
        <w:rPr>
          <w:rFonts w:ascii="Arial" w:cs="Arial" w:eastAsia="Arial" w:hAnsi="Arial"/>
          <w:sz w:val="18"/>
          <w:szCs w:val="18"/>
          <w:color w:val="auto"/>
        </w:rPr>
      </w:pPr>
    </w:p>
    <w:p>
      <w:pPr>
        <w:ind w:left="800" w:hanging="226"/>
        <w:spacing w:after="0"/>
        <w:tabs>
          <w:tab w:leader="none" w:pos="800"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17" w:lineRule="exact"/>
        <w:rPr>
          <w:sz w:val="20"/>
          <w:szCs w:val="20"/>
          <w:color w:val="auto"/>
        </w:rPr>
      </w:pPr>
    </w:p>
    <w:p>
      <w:pPr>
        <w:ind w:firstLine="644"/>
        <w:spacing w:after="0" w:line="27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53" w:lineRule="exact"/>
        <w:rPr>
          <w:sz w:val="20"/>
          <w:szCs w:val="20"/>
          <w:color w:val="auto"/>
        </w:rPr>
      </w:pPr>
    </w:p>
    <w:p>
      <w:pPr>
        <w:ind w:firstLine="644"/>
        <w:spacing w:after="0" w:line="28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58" w:lineRule="exact"/>
        <w:rPr>
          <w:sz w:val="20"/>
          <w:szCs w:val="20"/>
          <w:color w:val="auto"/>
        </w:rPr>
      </w:pPr>
    </w:p>
    <w:p>
      <w:pPr>
        <w:ind w:firstLine="644"/>
        <w:spacing w:after="0" w:line="255" w:lineRule="auto"/>
        <w:rPr>
          <w:sz w:val="20"/>
          <w:szCs w:val="20"/>
          <w:color w:val="auto"/>
        </w:rPr>
      </w:pPr>
      <w:r>
        <w:rPr>
          <w:rFonts w:ascii="Arial" w:cs="Arial" w:eastAsia="Arial" w:hAnsi="Arial"/>
          <w:sz w:val="17"/>
          <w:szCs w:val="17"/>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Balance Sheets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85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55"/>
        </w:trPr>
        <w:tc>
          <w:tcPr>
            <w:tcW w:w="8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8"/>
              <w:spacing w:after="0"/>
              <w:rPr>
                <w:sz w:val="20"/>
                <w:szCs w:val="20"/>
                <w:color w:val="auto"/>
              </w:rPr>
            </w:pPr>
            <w:r>
              <w:rPr>
                <w:rFonts w:ascii="Arial" w:cs="Arial" w:eastAsia="Arial" w:hAnsi="Arial"/>
                <w:sz w:val="13"/>
                <w:szCs w:val="13"/>
                <w:b w:val="1"/>
                <w:bCs w:val="1"/>
                <w:color w:val="auto"/>
                <w:w w:val="87"/>
              </w:rPr>
              <w:t>(unaudited)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8"/>
              <w:spacing w:after="0"/>
              <w:rPr>
                <w:sz w:val="20"/>
                <w:szCs w:val="20"/>
                <w:color w:val="auto"/>
              </w:rPr>
            </w:pPr>
            <w:r>
              <w:rPr>
                <w:rFonts w:ascii="Arial" w:cs="Arial" w:eastAsia="Arial" w:hAnsi="Arial"/>
                <w:sz w:val="13"/>
                <w:szCs w:val="13"/>
                <w:b w:val="1"/>
                <w:bCs w:val="1"/>
                <w:color w:val="auto"/>
                <w:w w:val="91"/>
              </w:rPr>
              <w:t>(audited)</w:t>
            </w:r>
          </w:p>
        </w:tc>
        <w:tc>
          <w:tcPr>
            <w:tcW w:w="100" w:type="dxa"/>
            <w:vAlign w:val="bottom"/>
          </w:tcPr>
          <w:p>
            <w:pPr>
              <w:spacing w:after="0"/>
              <w:rPr>
                <w:sz w:val="13"/>
                <w:szCs w:val="13"/>
                <w:color w:val="auto"/>
              </w:rPr>
            </w:pPr>
          </w:p>
        </w:tc>
      </w:tr>
      <w:tr>
        <w:trPr>
          <w:trHeight w:val="175"/>
        </w:trPr>
        <w:tc>
          <w:tcPr>
            <w:tcW w:w="8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30,497</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310,694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30,465</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8"/>
              </w:rPr>
              <w:t>Accounts receivable, less allowance for credit losses of $1.6 million as of September 30, 2022 and $0.8 million as of December 31, 2021</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50,889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32,427</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6,664</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Other current assets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5"/>
                <w:szCs w:val="15"/>
                <w:color w:val="auto"/>
              </w:rPr>
            </w:pPr>
          </w:p>
        </w:tc>
      </w:tr>
      <w:tr>
        <w:trPr>
          <w:trHeight w:val="169"/>
        </w:trPr>
        <w:tc>
          <w:tcPr>
            <w:tcW w:w="85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409,744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163,431</w:t>
            </w:r>
          </w:p>
        </w:tc>
        <w:tc>
          <w:tcPr>
            <w:tcW w:w="100" w:type="dxa"/>
            <w:vAlign w:val="bottom"/>
            <w:shd w:val="clear" w:color="auto" w:fill="CFF0FC"/>
          </w:tcPr>
          <w:p>
            <w:pPr>
              <w:spacing w:after="0"/>
              <w:rPr>
                <w:sz w:val="14"/>
                <w:szCs w:val="14"/>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10,287</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27,489</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Investment in unconsolidated joint venture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40,287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41,736</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259,971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254,672</w:t>
            </w:r>
          </w:p>
        </w:tc>
        <w:tc>
          <w:tcPr>
            <w:tcW w:w="100" w:type="dxa"/>
            <w:vAlign w:val="bottom"/>
          </w:tcPr>
          <w:p>
            <w:pPr>
              <w:spacing w:after="0"/>
              <w:rPr>
                <w:sz w:val="15"/>
                <w:szCs w:val="15"/>
                <w:color w:val="auto"/>
              </w:rPr>
            </w:pPr>
          </w:p>
        </w:tc>
      </w:tr>
      <w:tr>
        <w:trPr>
          <w:trHeight w:val="175"/>
        </w:trPr>
        <w:tc>
          <w:tcPr>
            <w:tcW w:w="8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60" w:type="dxa"/>
            <w:vAlign w:val="bottom"/>
          </w:tcPr>
          <w:p>
            <w:pPr>
              <w:ind w:left="38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754,284</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502,586</w:t>
            </w:r>
          </w:p>
        </w:tc>
        <w:tc>
          <w:tcPr>
            <w:tcW w:w="100" w:type="dxa"/>
            <w:vAlign w:val="bottom"/>
          </w:tcPr>
          <w:p>
            <w:pPr>
              <w:spacing w:after="0"/>
              <w:rPr>
                <w:sz w:val="14"/>
                <w:szCs w:val="14"/>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12,075</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12,718</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30,905</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7,863</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Operating lease liabilities, current portion</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5,549</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Finance lease liabilities, current portion</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5"/>
                <w:szCs w:val="15"/>
                <w:color w:val="auto"/>
              </w:rPr>
            </w:pPr>
          </w:p>
        </w:tc>
      </w:tr>
      <w:tr>
        <w:trPr>
          <w:trHeight w:val="169"/>
        </w:trPr>
        <w:tc>
          <w:tcPr>
            <w:tcW w:w="856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65,049</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57,037</w:t>
            </w:r>
          </w:p>
        </w:tc>
        <w:tc>
          <w:tcPr>
            <w:tcW w:w="100" w:type="dxa"/>
            <w:vAlign w:val="bottom"/>
            <w:tcBorders>
              <w:top w:val="single" w:sz="8" w:color="CFF0FC"/>
            </w:tcBorders>
          </w:tcPr>
          <w:p>
            <w:pPr>
              <w:spacing w:after="0"/>
              <w:rPr>
                <w:sz w:val="14"/>
                <w:szCs w:val="14"/>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16,920</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Convertible notes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279,441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1,468</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15"/>
                <w:szCs w:val="15"/>
                <w:color w:val="auto"/>
              </w:rPr>
            </w:pPr>
          </w:p>
        </w:tc>
      </w:tr>
      <w:tr>
        <w:trPr>
          <w:trHeight w:val="169"/>
        </w:trPr>
        <w:tc>
          <w:tcPr>
            <w:tcW w:w="8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361,322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77,103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8560" w:type="dxa"/>
            <w:vAlign w:val="bottom"/>
          </w:tcPr>
          <w:p>
            <w:pPr>
              <w:ind w:left="200"/>
              <w:spacing w:after="0" w:line="143" w:lineRule="exact"/>
              <w:rPr>
                <w:sz w:val="20"/>
                <w:szCs w:val="20"/>
                <w:color w:val="auto"/>
              </w:rPr>
            </w:pPr>
            <w:r>
              <w:rPr>
                <w:rFonts w:ascii="Arial" w:cs="Arial" w:eastAsia="Arial" w:hAnsi="Arial"/>
                <w:sz w:val="14"/>
                <w:szCs w:val="14"/>
                <w:color w:val="auto"/>
                <w:w w:val="98"/>
              </w:rPr>
              <w:t>Preferred stock, $0.000001 par value. Authorized; 50,000,000 shares; zero shares issued and outstanding as of September 30, 2022 and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8560" w:type="dxa"/>
            <w:vAlign w:val="bottom"/>
          </w:tcPr>
          <w:p>
            <w:pPr>
              <w:ind w:left="200"/>
              <w:spacing w:after="0"/>
              <w:rPr>
                <w:sz w:val="20"/>
                <w:szCs w:val="20"/>
                <w:color w:val="auto"/>
              </w:rPr>
            </w:pPr>
            <w:r>
              <w:rPr>
                <w:rFonts w:ascii="Arial" w:cs="Arial" w:eastAsia="Arial" w:hAnsi="Arial"/>
                <w:sz w:val="14"/>
                <w:szCs w:val="14"/>
                <w:color w:val="auto"/>
              </w:rPr>
              <w:t>December 31, 2021, respectively</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85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Common stock, $0.000001 par value. Authorized; 750,000,000 shares; 44,721,409 shares and 43,998,404 shares issued and</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outstanding as of September 30, 2022 and December 31, 2021, respectively</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8560" w:type="dxa"/>
            <w:vAlign w:val="bottom"/>
          </w:tcPr>
          <w:p>
            <w:pPr>
              <w:ind w:left="200"/>
              <w:spacing w:after="0" w:line="143" w:lineRule="exact"/>
              <w:rPr>
                <w:sz w:val="20"/>
                <w:szCs w:val="20"/>
                <w:color w:val="auto"/>
              </w:rPr>
            </w:pPr>
            <w:r>
              <w:rPr>
                <w:rFonts w:ascii="Arial" w:cs="Arial" w:eastAsia="Arial" w:hAnsi="Arial"/>
                <w:sz w:val="14"/>
                <w:szCs w:val="14"/>
                <w:color w:val="auto"/>
                <w:w w:val="96"/>
              </w:rPr>
              <w:t>Class B Common stock, $0.000001 par value. Authorized; 5,000,000 shares; 2,676,154 shares issued and outstanding as of September 30,</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8560" w:type="dxa"/>
            <w:vAlign w:val="bottom"/>
          </w:tcPr>
          <w:p>
            <w:pPr>
              <w:ind w:left="200"/>
              <w:spacing w:after="0"/>
              <w:rPr>
                <w:sz w:val="20"/>
                <w:szCs w:val="20"/>
                <w:color w:val="auto"/>
              </w:rPr>
            </w:pPr>
            <w:r>
              <w:rPr>
                <w:rFonts w:ascii="Arial" w:cs="Arial" w:eastAsia="Arial" w:hAnsi="Arial"/>
                <w:sz w:val="14"/>
                <w:szCs w:val="14"/>
                <w:color w:val="auto"/>
              </w:rPr>
              <w:t>2022 and December 31, 2021, respectively</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617,278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597,641</w:t>
            </w:r>
          </w:p>
        </w:tc>
        <w:tc>
          <w:tcPr>
            <w:tcW w:w="100" w:type="dxa"/>
            <w:vAlign w:val="bottom"/>
            <w:shd w:val="clear" w:color="auto" w:fill="CFF0FC"/>
          </w:tcPr>
          <w:p>
            <w:pPr>
              <w:spacing w:after="0"/>
              <w:rPr>
                <w:sz w:val="15"/>
                <w:szCs w:val="15"/>
                <w:color w:val="auto"/>
              </w:rPr>
            </w:pPr>
          </w:p>
        </w:tc>
      </w:tr>
      <w:tr>
        <w:trPr>
          <w:trHeight w:val="175"/>
        </w:trPr>
        <w:tc>
          <w:tcPr>
            <w:tcW w:w="8560" w:type="dxa"/>
            <w:vAlign w:val="bottom"/>
          </w:tcPr>
          <w:p>
            <w:pPr>
              <w:ind w:left="20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(492 )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(224,943 )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(173,341 )</w:t>
            </w:r>
          </w:p>
        </w:tc>
      </w:tr>
      <w:tr>
        <w:trPr>
          <w:trHeight w:val="169"/>
        </w:trPr>
        <w:tc>
          <w:tcPr>
            <w:tcW w:w="85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391,843</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424,449</w:t>
            </w:r>
          </w:p>
        </w:tc>
        <w:tc>
          <w:tcPr>
            <w:tcW w:w="100" w:type="dxa"/>
            <w:vAlign w:val="bottom"/>
            <w:tcBorders>
              <w:top w:val="single" w:sz="8" w:color="CFF0FC"/>
            </w:tcBorders>
          </w:tcPr>
          <w:p>
            <w:pPr>
              <w:spacing w:after="0"/>
              <w:rPr>
                <w:sz w:val="14"/>
                <w:szCs w:val="14"/>
                <w:color w:val="auto"/>
              </w:rPr>
            </w:pPr>
          </w:p>
        </w:tc>
      </w:tr>
      <w:tr>
        <w:trPr>
          <w:trHeight w:val="175"/>
        </w:trPr>
        <w:tc>
          <w:tcPr>
            <w:tcW w:w="8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60" w:type="dxa"/>
            <w:vAlign w:val="bottom"/>
          </w:tcPr>
          <w:p>
            <w:pPr>
              <w:ind w:left="38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425,483</w:t>
            </w:r>
          </w:p>
        </w:tc>
        <w:tc>
          <w:tcPr>
            <w:tcW w:w="100" w:type="dxa"/>
            <w:vAlign w:val="bottom"/>
          </w:tcPr>
          <w:p>
            <w:pPr>
              <w:spacing w:after="0"/>
              <w:rPr>
                <w:sz w:val="14"/>
                <w:szCs w:val="14"/>
                <w:color w:val="auto"/>
              </w:rPr>
            </w:pPr>
          </w:p>
        </w:tc>
      </w:tr>
      <w:tr>
        <w:trPr>
          <w:trHeight w:val="209"/>
        </w:trPr>
        <w:tc>
          <w:tcPr>
            <w:tcW w:w="8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754,284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-3287395</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-3287395</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-2362835</wp:posOffset>
            </wp:positionV>
            <wp:extent cx="685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-1677670</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-495935</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-264795</wp:posOffset>
            </wp:positionV>
            <wp:extent cx="6858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103,571</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56,727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282,857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62,670</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42,233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171,321</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40,901</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14,494</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111,536</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21,416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58,846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36,158</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22,698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43,143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56,100</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28,757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161,289</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72,318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20" w:type="dxa"/>
            <w:vAlign w:val="bottom"/>
          </w:tcPr>
          <w:p>
            <w:pPr>
              <w:spacing w:after="0"/>
              <w:rPr>
                <w:sz w:val="18"/>
                <w:szCs w:val="18"/>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(15,199 )</w:t>
            </w:r>
          </w:p>
        </w:tc>
        <w:tc>
          <w:tcPr>
            <w:tcW w:w="460" w:type="dxa"/>
            <w:vAlign w:val="bottom"/>
          </w:tcPr>
          <w:p>
            <w:pPr>
              <w:spacing w:after="0"/>
              <w:rPr>
                <w:sz w:val="18"/>
                <w:szCs w:val="18"/>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(14,263 )</w:t>
            </w:r>
          </w:p>
        </w:tc>
        <w:tc>
          <w:tcPr>
            <w:tcW w:w="28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(49,753 )</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(36,113 )</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Other (expenses) income</w:t>
            </w:r>
          </w:p>
        </w:tc>
        <w:tc>
          <w:tcPr>
            <w:tcW w:w="3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(1,194 )</w:t>
            </w:r>
          </w:p>
        </w:tc>
        <w:tc>
          <w:tcPr>
            <w:tcW w:w="460" w:type="dxa"/>
            <w:vAlign w:val="bottom"/>
          </w:tcPr>
          <w:p>
            <w:pPr>
              <w:spacing w:after="0"/>
              <w:rPr>
                <w:sz w:val="18"/>
                <w:szCs w:val="18"/>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(79 )</w:t>
            </w:r>
          </w:p>
        </w:tc>
        <w:tc>
          <w:tcPr>
            <w:tcW w:w="28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(3,172 )</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(799 )</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1,914</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320" w:type="dxa"/>
            <w:vAlign w:val="bottom"/>
          </w:tcPr>
          <w:p>
            <w:pPr>
              <w:spacing w:after="0"/>
              <w:rPr>
                <w:sz w:val="18"/>
                <w:szCs w:val="18"/>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(289 )</w:t>
            </w:r>
          </w:p>
        </w:tc>
        <w:tc>
          <w:tcPr>
            <w:tcW w:w="460" w:type="dxa"/>
            <w:vAlign w:val="bottom"/>
          </w:tcPr>
          <w:p>
            <w:pPr>
              <w:spacing w:after="0"/>
              <w:rPr>
                <w:sz w:val="18"/>
                <w:szCs w:val="18"/>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(786 )</w:t>
            </w:r>
          </w:p>
        </w:tc>
        <w:tc>
          <w:tcPr>
            <w:tcW w:w="28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(1,733 )</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(1,021 )</w:t>
            </w:r>
          </w:p>
        </w:tc>
        <w:tc>
          <w:tcPr>
            <w:tcW w:w="0" w:type="dxa"/>
            <w:vAlign w:val="bottom"/>
          </w:tcPr>
          <w:p>
            <w:pPr>
              <w:spacing w:after="0"/>
              <w:rPr>
                <w:sz w:val="1"/>
                <w:szCs w:val="1"/>
                <w:color w:val="auto"/>
              </w:rPr>
            </w:pPr>
          </w:p>
        </w:tc>
      </w:tr>
      <w:tr>
        <w:trPr>
          <w:trHeight w:val="202"/>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rPr>
                <w:sz w:val="20"/>
                <w:szCs w:val="20"/>
                <w:color w:val="auto"/>
              </w:rPr>
            </w:pPr>
            <w:r>
              <w:rPr>
                <w:rFonts w:ascii="Arial" w:cs="Arial" w:eastAsia="Arial" w:hAnsi="Arial"/>
                <w:sz w:val="14"/>
                <w:szCs w:val="14"/>
                <w:color w:val="auto"/>
              </w:rPr>
              <w:t>Total other income (expenses)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(448 )</w:t>
            </w:r>
          </w:p>
        </w:tc>
        <w:tc>
          <w:tcPr>
            <w:tcW w:w="280" w:type="dxa"/>
            <w:vAlign w:val="bottom"/>
          </w:tcPr>
          <w:p>
            <w:pPr>
              <w:spacing w:after="0"/>
              <w:rPr>
                <w:sz w:val="17"/>
                <w:szCs w:val="17"/>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(2,391 )</w:t>
            </w:r>
          </w:p>
        </w:tc>
        <w:tc>
          <w:tcPr>
            <w:tcW w:w="4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(1,363 )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before income taxes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(15,041 )</w:t>
            </w: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(14,711 )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(52,144 )</w:t>
            </w:r>
          </w:p>
        </w:tc>
        <w:tc>
          <w:tcPr>
            <w:tcW w:w="4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(37,476 )</w:t>
            </w: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Arial" w:cs="Arial" w:eastAsia="Arial" w:hAnsi="Arial"/>
                <w:sz w:val="14"/>
                <w:szCs w:val="14"/>
                <w:color w:val="auto"/>
              </w:rPr>
              <w:t>Benefit for income taxes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(15,041 )</w:t>
            </w: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(14,711 )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(51,585 )</w:t>
            </w:r>
          </w:p>
        </w:tc>
        <w:tc>
          <w:tcPr>
            <w:tcW w:w="4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(37,476 )</w:t>
            </w: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320" w:type="dxa"/>
            <w:vAlign w:val="bottom"/>
          </w:tcPr>
          <w:p>
            <w:pPr>
              <w:spacing w:after="0"/>
              <w:rPr>
                <w:sz w:val="17"/>
                <w:szCs w:val="17"/>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(4 )</w:t>
            </w:r>
          </w:p>
        </w:tc>
        <w:tc>
          <w:tcPr>
            <w:tcW w:w="460" w:type="dxa"/>
            <w:vAlign w:val="bottom"/>
          </w:tcPr>
          <w:p>
            <w:pPr>
              <w:spacing w:after="0"/>
              <w:rPr>
                <w:sz w:val="17"/>
                <w:szCs w:val="17"/>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(15,037</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(14,711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(51,602</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56"/>
        </w:trPr>
        <w:tc>
          <w:tcPr>
            <w:tcW w:w="5380" w:type="dxa"/>
            <w:vAlign w:val="bottom"/>
          </w:tcPr>
          <w:p>
            <w:pPr>
              <w:ind w:left="20"/>
              <w:spacing w:after="0" w:line="156" w:lineRule="exact"/>
              <w:rPr>
                <w:sz w:val="20"/>
                <w:szCs w:val="20"/>
                <w:color w:val="auto"/>
              </w:rPr>
            </w:pPr>
            <w:r>
              <w:rPr>
                <w:rFonts w:ascii="Arial" w:cs="Arial" w:eastAsia="Arial" w:hAnsi="Arial"/>
                <w:sz w:val="14"/>
                <w:szCs w:val="14"/>
                <w:color w:val="auto"/>
              </w:rPr>
              <w:t>Net loss per share, basic and diluted</w:t>
            </w:r>
          </w:p>
        </w:tc>
        <w:tc>
          <w:tcPr>
            <w:tcW w:w="320" w:type="dxa"/>
            <w:vAlign w:val="bottom"/>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(0.32 )</w:t>
            </w:r>
          </w:p>
        </w:tc>
        <w:tc>
          <w:tcPr>
            <w:tcW w:w="460" w:type="dxa"/>
            <w:vAlign w:val="bottom"/>
          </w:tcPr>
          <w:p>
            <w:pPr>
              <w:jc w:val="right"/>
              <w:ind w:right="30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(0.33 )</w:t>
            </w:r>
          </w:p>
        </w:tc>
        <w:tc>
          <w:tcPr>
            <w:tcW w:w="280" w:type="dxa"/>
            <w:vAlign w:val="bottom"/>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(1.10 )</w:t>
            </w:r>
          </w:p>
        </w:tc>
        <w:tc>
          <w:tcPr>
            <w:tcW w:w="420" w:type="dxa"/>
            <w:vAlign w:val="bottom"/>
          </w:tcPr>
          <w:p>
            <w:pPr>
              <w:jc w:val="right"/>
              <w:ind w:right="248"/>
              <w:spacing w:after="0" w:line="156"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38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rPr>
              <w:t>Weighted-average number of shares outstanding used to compute</w:t>
            </w:r>
          </w:p>
        </w:tc>
        <w:tc>
          <w:tcPr>
            <w:tcW w:w="3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47,303,090</w:t>
            </w:r>
          </w:p>
        </w:tc>
        <w:tc>
          <w:tcPr>
            <w:tcW w:w="2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43,962,863</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47,057,521</w:t>
            </w:r>
          </w:p>
        </w:tc>
        <w:tc>
          <w:tcPr>
            <w:tcW w:w="2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20,092,600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380" w:type="dxa"/>
            <w:vAlign w:val="bottom"/>
            <w:tcBorders>
              <w:bottom w:val="single" w:sz="8" w:color="CFF0FC"/>
            </w:tcBorders>
            <w:shd w:val="clear" w:color="auto" w:fill="CFF0FC"/>
          </w:tcPr>
          <w:p>
            <w:pPr>
              <w:jc w:val="right"/>
              <w:ind w:right="3148"/>
              <w:spacing w:after="0" w:line="120" w:lineRule="exact"/>
              <w:rPr>
                <w:sz w:val="20"/>
                <w:szCs w:val="20"/>
                <w:color w:val="auto"/>
              </w:rPr>
            </w:pPr>
            <w:r>
              <w:rPr>
                <w:rFonts w:ascii="Arial" w:cs="Arial" w:eastAsia="Arial" w:hAnsi="Arial"/>
                <w:sz w:val="13"/>
                <w:szCs w:val="13"/>
                <w:color w:val="auto"/>
              </w:rPr>
              <w:t>net loss per share, basic and diluted</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89"/>
        </w:trPr>
        <w:tc>
          <w:tcPr>
            <w:tcW w:w="538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(559 )</w:t>
            </w: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(41 )</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(573 )</w:t>
            </w: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jc w:val="right"/>
              <w:ind w:right="3128"/>
              <w:spacing w:after="0"/>
              <w:rPr>
                <w:sz w:val="20"/>
                <w:szCs w:val="20"/>
                <w:color w:val="auto"/>
              </w:rPr>
            </w:pPr>
            <w:r>
              <w:rPr>
                <w:rFonts w:ascii="Arial" w:cs="Arial" w:eastAsia="Arial" w:hAnsi="Arial"/>
                <w:sz w:val="14"/>
                <w:szCs w:val="14"/>
                <w:color w:val="auto"/>
              </w:rPr>
              <w:t>Total other comprehensive loss</w:t>
            </w:r>
          </w:p>
        </w:tc>
        <w:tc>
          <w:tcPr>
            <w:tcW w:w="320" w:type="dxa"/>
            <w:vAlign w:val="bottom"/>
          </w:tcPr>
          <w:p>
            <w:pPr>
              <w:spacing w:after="0"/>
              <w:rPr>
                <w:sz w:val="17"/>
                <w:szCs w:val="17"/>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(559 )</w:t>
            </w:r>
          </w:p>
        </w:tc>
        <w:tc>
          <w:tcPr>
            <w:tcW w:w="460" w:type="dxa"/>
            <w:vAlign w:val="bottom"/>
          </w:tcPr>
          <w:p>
            <w:pPr>
              <w:spacing w:after="0"/>
              <w:rPr>
                <w:sz w:val="17"/>
                <w:szCs w:val="17"/>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(41 )</w:t>
            </w:r>
          </w:p>
        </w:tc>
        <w:tc>
          <w:tcPr>
            <w:tcW w:w="280" w:type="dxa"/>
            <w:vAlign w:val="bottom"/>
          </w:tcPr>
          <w:p>
            <w:pPr>
              <w:spacing w:after="0"/>
              <w:rPr>
                <w:sz w:val="17"/>
                <w:szCs w:val="17"/>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(573 )</w:t>
            </w:r>
          </w:p>
        </w:tc>
        <w:tc>
          <w:tcPr>
            <w:tcW w:w="4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(15,041 )</w:t>
            </w:r>
          </w:p>
        </w:tc>
        <w:tc>
          <w:tcPr>
            <w:tcW w:w="4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(14,711 )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(51,585 )</w:t>
            </w:r>
          </w:p>
        </w:tc>
        <w:tc>
          <w:tcPr>
            <w:tcW w:w="4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(37,476 )</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20" w:type="dxa"/>
            <w:vAlign w:val="bottom"/>
          </w:tcPr>
          <w:p>
            <w:pPr>
              <w:spacing w:after="0"/>
              <w:rPr>
                <w:sz w:val="18"/>
                <w:szCs w:val="18"/>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(15,600 )</w:t>
            </w:r>
          </w:p>
        </w:tc>
        <w:tc>
          <w:tcPr>
            <w:tcW w:w="460" w:type="dxa"/>
            <w:vAlign w:val="bottom"/>
          </w:tcPr>
          <w:p>
            <w:pPr>
              <w:spacing w:after="0"/>
              <w:rPr>
                <w:sz w:val="18"/>
                <w:szCs w:val="18"/>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(14,752 )</w:t>
            </w:r>
          </w:p>
        </w:tc>
        <w:tc>
          <w:tcPr>
            <w:tcW w:w="28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(52,158 )</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(37,500 )</w:t>
            </w:r>
          </w:p>
        </w:tc>
        <w:tc>
          <w:tcPr>
            <w:tcW w:w="0" w:type="dxa"/>
            <w:vAlign w:val="bottom"/>
          </w:tcPr>
          <w:p>
            <w:pPr>
              <w:spacing w:after="0"/>
              <w:rPr>
                <w:sz w:val="1"/>
                <w:szCs w:val="1"/>
                <w:color w:val="auto"/>
              </w:rPr>
            </w:pPr>
          </w:p>
        </w:tc>
      </w:tr>
      <w:tr>
        <w:trPr>
          <w:trHeight w:val="202"/>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auto"/>
              </w:rPr>
              <w:t>(15,614 )</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(14,752 )</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(52,243 )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(37,500 )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-4049395</wp:posOffset>
            </wp:positionV>
            <wp:extent cx="7683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-4049395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-4049395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-3227705</wp:posOffset>
            </wp:positionV>
            <wp:extent cx="7683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-3227705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-3227705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-2405380</wp:posOffset>
            </wp:positionV>
            <wp:extent cx="7683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-2405380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-2405380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-1600835</wp:posOffset>
            </wp:positionV>
            <wp:extent cx="284289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2895" cy="16256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-1257935</wp:posOffset>
            </wp:positionV>
            <wp:extent cx="2842895" cy="436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2895" cy="43688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-692785</wp:posOffset>
            </wp:positionV>
            <wp:extent cx="7683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-692785</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-692785</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-419100</wp:posOffset>
            </wp:positionV>
            <wp:extent cx="7683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-419100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-419100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-144780</wp:posOffset>
            </wp:positionV>
            <wp:extent cx="7683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-144780</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-144780</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060"/>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 (Deficit)</w:t>
      </w:r>
    </w:p>
    <w:p>
      <w:pPr>
        <w:jc w:val="center"/>
        <w:spacing w:after="0" w:line="234"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Three months ended September 30, 2022 and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tbl>
      <w:tblPr>
        <w:tblLayout w:type="fixed"/>
        <w:tblInd w:w="0" w:type="dxa"/>
        <w:tblCellMar>
          <w:top w:w="0" w:type="dxa"/>
          <w:left w:w="0" w:type="dxa"/>
          <w:bottom w:w="0" w:type="dxa"/>
          <w:right w:w="0" w:type="dxa"/>
        </w:tblCellMar>
      </w:tblPr>
      <w:tr>
        <w:trPr>
          <w:trHeight w:val="96"/>
        </w:trPr>
        <w:tc>
          <w:tcPr>
            <w:tcW w:w="2220" w:type="dxa"/>
            <w:vAlign w:val="bottom"/>
          </w:tcPr>
          <w:p>
            <w:pPr>
              <w:spacing w:after="0"/>
              <w:rPr>
                <w:sz w:val="8"/>
                <w:szCs w:val="8"/>
                <w:color w:val="auto"/>
              </w:rPr>
            </w:pPr>
          </w:p>
        </w:tc>
        <w:tc>
          <w:tcPr>
            <w:tcW w:w="1400" w:type="dxa"/>
            <w:vAlign w:val="bottom"/>
            <w:tcBorders>
              <w:right w:val="single" w:sz="8" w:color="auto"/>
            </w:tcBorders>
            <w:gridSpan w:val="5"/>
          </w:tcPr>
          <w:p>
            <w:pPr>
              <w:jc w:val="center"/>
              <w:ind w:right="180"/>
              <w:spacing w:after="0" w:line="96" w:lineRule="exact"/>
              <w:rPr>
                <w:sz w:val="20"/>
                <w:szCs w:val="20"/>
                <w:color w:val="auto"/>
              </w:rPr>
            </w:pPr>
            <w:r>
              <w:rPr>
                <w:rFonts w:ascii="Arial" w:cs="Arial" w:eastAsia="Arial" w:hAnsi="Arial"/>
                <w:sz w:val="11"/>
                <w:szCs w:val="11"/>
                <w:b w:val="1"/>
                <w:bCs w:val="1"/>
                <w:color w:val="auto"/>
                <w:w w:val="90"/>
              </w:rPr>
              <w:t>Convertible Preferred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780" w:type="dxa"/>
            <w:vAlign w:val="bottom"/>
            <w:gridSpan w:val="3"/>
          </w:tcPr>
          <w:p>
            <w:pPr>
              <w:jc w:val="center"/>
              <w:ind w:left="419"/>
              <w:spacing w:after="0"/>
              <w:rPr>
                <w:sz w:val="20"/>
                <w:szCs w:val="20"/>
                <w:color w:val="auto"/>
              </w:rPr>
            </w:pPr>
            <w:r>
              <w:rPr>
                <w:rFonts w:ascii="Arial" w:cs="Arial" w:eastAsia="Arial" w:hAnsi="Arial"/>
                <w:sz w:val="11"/>
                <w:szCs w:val="11"/>
                <w:b w:val="1"/>
                <w:bCs w:val="1"/>
                <w:color w:val="auto"/>
                <w:w w:val="86"/>
              </w:rPr>
              <w:t>Stock</w:t>
            </w: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1400" w:type="dxa"/>
            <w:vAlign w:val="bottom"/>
            <w:tcBorders>
              <w:right w:val="single" w:sz="8" w:color="auto"/>
            </w:tcBorders>
            <w:gridSpan w:val="5"/>
          </w:tcPr>
          <w:p>
            <w:pPr>
              <w:jc w:val="center"/>
              <w:ind w:right="160"/>
              <w:spacing w:after="0" w:line="116" w:lineRule="exact"/>
              <w:rPr>
                <w:sz w:val="20"/>
                <w:szCs w:val="20"/>
                <w:color w:val="auto"/>
              </w:rPr>
            </w:pPr>
            <w:r>
              <w:rPr>
                <w:rFonts w:ascii="Arial" w:cs="Arial" w:eastAsia="Arial" w:hAnsi="Arial"/>
                <w:sz w:val="11"/>
                <w:szCs w:val="11"/>
                <w:b w:val="1"/>
                <w:bCs w:val="1"/>
                <w:color w:val="auto"/>
                <w:w w:val="84"/>
              </w:rPr>
              <w:t>Seed-1, Seed-2, Series A-1,</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20"/>
              <w:spacing w:after="0" w:line="116" w:lineRule="exact"/>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1400" w:type="dxa"/>
            <w:vAlign w:val="bottom"/>
            <w:tcBorders>
              <w:right w:val="single" w:sz="8" w:color="auto"/>
            </w:tcBorders>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Series A-2, Series B,</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7"/>
              </w:rPr>
              <w:t>Class A - Common</w:t>
            </w:r>
          </w:p>
        </w:tc>
        <w:tc>
          <w:tcPr>
            <w:tcW w:w="120" w:type="dxa"/>
            <w:vAlign w:val="bottom"/>
          </w:tcPr>
          <w:p>
            <w:pPr>
              <w:spacing w:after="0"/>
              <w:rPr>
                <w:sz w:val="10"/>
                <w:szCs w:val="10"/>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7"/>
              </w:rPr>
              <w:t>Class B - Common</w:t>
            </w:r>
          </w:p>
        </w:tc>
        <w:tc>
          <w:tcPr>
            <w:tcW w:w="10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d Other</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57"/>
              <w:spacing w:after="0" w:line="122" w:lineRule="exact"/>
              <w:rPr>
                <w:sz w:val="20"/>
                <w:szCs w:val="20"/>
                <w:color w:val="auto"/>
              </w:rPr>
            </w:pPr>
            <w:r>
              <w:rPr>
                <w:rFonts w:ascii="Arial" w:cs="Arial" w:eastAsia="Arial" w:hAnsi="Arial"/>
                <w:sz w:val="11"/>
                <w:szCs w:val="11"/>
                <w:b w:val="1"/>
                <w:bCs w:val="1"/>
                <w:color w:val="auto"/>
                <w:w w:val="91"/>
              </w:rPr>
              <w:t>Total</w:t>
            </w: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Noncontrol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00" w:type="dxa"/>
            <w:vAlign w:val="bottom"/>
            <w:tcBorders>
              <w:right w:val="single" w:sz="8" w:color="auto"/>
            </w:tcBorders>
            <w:gridSpan w:val="5"/>
          </w:tcPr>
          <w:p>
            <w:pPr>
              <w:jc w:val="center"/>
              <w:ind w:right="180"/>
              <w:spacing w:after="0" w:line="108" w:lineRule="exact"/>
              <w:rPr>
                <w:sz w:val="20"/>
                <w:szCs w:val="20"/>
                <w:color w:val="auto"/>
              </w:rPr>
            </w:pPr>
            <w:r>
              <w:rPr>
                <w:rFonts w:ascii="Arial" w:cs="Arial" w:eastAsia="Arial" w:hAnsi="Arial"/>
                <w:sz w:val="11"/>
                <w:szCs w:val="11"/>
                <w:b w:val="1"/>
                <w:bCs w:val="1"/>
                <w:color w:val="auto"/>
                <w:w w:val="85"/>
              </w:rPr>
              <w:t>Series C, Series D, Series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70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Comprehen</w:t>
            </w:r>
          </w:p>
        </w:tc>
        <w:tc>
          <w:tcPr>
            <w:tcW w:w="1400" w:type="dxa"/>
            <w:vAlign w:val="bottom"/>
            <w:gridSpan w:val="6"/>
          </w:tcPr>
          <w:p>
            <w:pPr>
              <w:jc w:val="right"/>
              <w:ind w:right="77"/>
              <w:spacing w:after="0" w:line="108" w:lineRule="exact"/>
              <w:rPr>
                <w:sz w:val="20"/>
                <w:szCs w:val="20"/>
                <w:color w:val="auto"/>
              </w:rPr>
            </w:pPr>
            <w:r>
              <w:rPr>
                <w:rFonts w:ascii="Arial" w:cs="Arial" w:eastAsia="Arial" w:hAnsi="Arial"/>
                <w:sz w:val="11"/>
                <w:szCs w:val="11"/>
                <w:b w:val="1"/>
                <w:bCs w:val="1"/>
                <w:color w:val="auto"/>
                <w:w w:val="94"/>
              </w:rPr>
              <w:t>Accumula   Stockholders</w:t>
            </w:r>
          </w:p>
        </w:tc>
        <w:tc>
          <w:tcPr>
            <w:tcW w:w="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Arial" w:cs="Arial" w:eastAsia="Arial" w:hAnsi="Arial"/>
                <w:sz w:val="11"/>
                <w:szCs w:val="11"/>
                <w:b w:val="1"/>
                <w:bCs w:val="1"/>
                <w:color w:val="auto"/>
                <w:w w:val="81"/>
              </w:rPr>
              <w:t>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10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800" w:type="dxa"/>
            <w:vAlign w:val="bottom"/>
            <w:gridSpan w:val="3"/>
          </w:tcPr>
          <w:p>
            <w:pPr>
              <w:jc w:val="center"/>
              <w:ind w:left="199"/>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left="198"/>
              <w:spacing w:after="0"/>
              <w:rPr>
                <w:sz w:val="20"/>
                <w:szCs w:val="20"/>
                <w:color w:val="auto"/>
              </w:rPr>
            </w:pPr>
            <w:r>
              <w:rPr>
                <w:rFonts w:ascii="Arial" w:cs="Arial" w:eastAsia="Arial" w:hAnsi="Arial"/>
                <w:sz w:val="11"/>
                <w:szCs w:val="11"/>
                <w:b w:val="1"/>
                <w:bCs w:val="1"/>
                <w:color w:val="auto"/>
                <w:w w:val="86"/>
              </w:rPr>
              <w:t>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sive</w:t>
            </w:r>
          </w:p>
        </w:tc>
        <w:tc>
          <w:tcPr>
            <w:tcW w:w="100" w:type="dxa"/>
            <w:vAlign w:val="bottom"/>
          </w:tcPr>
          <w:p>
            <w:pPr>
              <w:spacing w:after="0"/>
              <w:rPr>
                <w:sz w:val="12"/>
                <w:szCs w:val="12"/>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ted</w:t>
            </w:r>
          </w:p>
        </w:tc>
        <w:tc>
          <w:tcPr>
            <w:tcW w:w="540" w:type="dxa"/>
            <w:vAlign w:val="bottom"/>
          </w:tcPr>
          <w:p>
            <w:pPr>
              <w:jc w:val="center"/>
              <w:ind w:right="19"/>
              <w:spacing w:after="0"/>
              <w:rPr>
                <w:sz w:val="20"/>
                <w:szCs w:val="20"/>
                <w:color w:val="auto"/>
              </w:rPr>
            </w:pPr>
            <w:r>
              <w:rPr>
                <w:rFonts w:ascii="Arial" w:cs="Arial" w:eastAsia="Arial" w:hAnsi="Arial"/>
                <w:sz w:val="11"/>
                <w:szCs w:val="11"/>
                <w:b w:val="1"/>
                <w:bCs w:val="1"/>
                <w:color w:val="auto"/>
                <w:w w:val="74"/>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ling</w:t>
            </w:r>
          </w:p>
        </w:tc>
        <w:tc>
          <w:tcPr>
            <w:tcW w:w="100" w:type="dxa"/>
            <w:vAlign w:val="bottom"/>
          </w:tcPr>
          <w:p>
            <w:pPr>
              <w:spacing w:after="0"/>
              <w:rPr>
                <w:sz w:val="12"/>
                <w:szCs w:val="12"/>
                <w:color w:val="auto"/>
              </w:rPr>
            </w:pPr>
          </w:p>
        </w:tc>
        <w:tc>
          <w:tcPr>
            <w:tcW w:w="680" w:type="dxa"/>
            <w:vAlign w:val="bottom"/>
            <w:gridSpan w:val="2"/>
          </w:tcPr>
          <w:p>
            <w:pPr>
              <w:jc w:val="center"/>
              <w:ind w:right="15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89"/>
              </w:rPr>
              <w:t>Amou</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94"/>
              </w:rPr>
              <w:t>Amoun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77"/>
              <w:spacing w:after="0" w:line="109" w:lineRule="exact"/>
              <w:rPr>
                <w:sz w:val="20"/>
                <w:szCs w:val="20"/>
                <w:color w:val="auto"/>
              </w:rPr>
            </w:pPr>
            <w:r>
              <w:rPr>
                <w:rFonts w:ascii="Arial" w:cs="Arial" w:eastAsia="Arial" w:hAnsi="Arial"/>
                <w:sz w:val="11"/>
                <w:szCs w:val="11"/>
                <w:b w:val="1"/>
                <w:bCs w:val="1"/>
                <w:color w:val="auto"/>
                <w:w w:val="92"/>
              </w:rPr>
              <w:t>(Deficit)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78"/>
              <w:spacing w:after="0" w:line="109" w:lineRule="exact"/>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7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nt</w:t>
            </w:r>
          </w:p>
        </w:tc>
        <w:tc>
          <w:tcPr>
            <w:tcW w:w="120" w:type="dxa"/>
            <w:vAlign w:val="bottom"/>
          </w:tcPr>
          <w:p>
            <w:pPr>
              <w:spacing w:after="0"/>
              <w:rPr>
                <w:sz w:val="13"/>
                <w:szCs w:val="13"/>
                <w:color w:val="auto"/>
              </w:rPr>
            </w:pPr>
          </w:p>
        </w:tc>
        <w:tc>
          <w:tcPr>
            <w:tcW w:w="500" w:type="dxa"/>
            <w:vAlign w:val="bottom"/>
          </w:tcPr>
          <w:p>
            <w:pPr>
              <w:jc w:val="right"/>
              <w:ind w:right="19"/>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2"/>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(Loss)</w:t>
            </w:r>
          </w:p>
        </w:tc>
        <w:tc>
          <w:tcPr>
            <w:tcW w:w="100" w:type="dxa"/>
            <w:vAlign w:val="bottom"/>
          </w:tcPr>
          <w:p>
            <w:pPr>
              <w:spacing w:after="0"/>
              <w:rPr>
                <w:sz w:val="13"/>
                <w:szCs w:val="13"/>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gridSpan w:val="2"/>
          </w:tcPr>
          <w:p>
            <w:pPr>
              <w:jc w:val="center"/>
              <w:ind w:right="137"/>
              <w:spacing w:after="0"/>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3"/>
                <w:szCs w:val="13"/>
                <w:color w:val="auto"/>
              </w:rPr>
            </w:pPr>
          </w:p>
        </w:tc>
        <w:tc>
          <w:tcPr>
            <w:tcW w:w="680" w:type="dxa"/>
            <w:vAlign w:val="bottom"/>
            <w:gridSpan w:val="2"/>
          </w:tcPr>
          <w:p>
            <w:pPr>
              <w:jc w:val="center"/>
              <w:ind w:right="158"/>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1"/>
        </w:trPr>
        <w:tc>
          <w:tcPr>
            <w:tcW w:w="2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21" w:lineRule="exact"/>
              <w:rPr>
                <w:sz w:val="20"/>
                <w:szCs w:val="20"/>
                <w:color w:val="auto"/>
              </w:rPr>
            </w:pPr>
            <w:r>
              <w:rPr>
                <w:rFonts w:ascii="Arial" w:cs="Arial" w:eastAsia="Arial" w:hAnsi="Arial"/>
                <w:sz w:val="13"/>
                <w:szCs w:val="13"/>
                <w:color w:val="auto"/>
              </w:rPr>
              <w:t>44,545</w:t>
            </w: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21" w:lineRule="exact"/>
              <w:rPr>
                <w:sz w:val="20"/>
                <w:szCs w:val="20"/>
                <w:color w:val="auto"/>
              </w:rPr>
            </w:pPr>
            <w:r>
              <w:rPr>
                <w:rFonts w:ascii="Arial" w:cs="Arial" w:eastAsia="Arial" w:hAnsi="Arial"/>
                <w:sz w:val="13"/>
                <w:szCs w:val="13"/>
                <w:color w:val="auto"/>
              </w:rPr>
              <w:t>2,676</w:t>
            </w: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jc w:val="right"/>
              <w:spacing w:after="0" w:line="121" w:lineRule="exact"/>
              <w:rPr>
                <w:sz w:val="20"/>
                <w:szCs w:val="20"/>
                <w:color w:val="auto"/>
              </w:rPr>
            </w:pPr>
            <w:r>
              <w:rPr>
                <w:rFonts w:ascii="Arial" w:cs="Arial" w:eastAsia="Arial" w:hAnsi="Arial"/>
                <w:sz w:val="13"/>
                <w:szCs w:val="13"/>
                <w:color w:val="auto"/>
                <w:w w:val="90"/>
              </w:rPr>
              <w:t>(209,90</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June 30, 2022</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,080</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610,331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6 )</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400,510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401,615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156,19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Donated common stock</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20,133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(577 )</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(577 )</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(559 )</w:t>
            </w: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Noncontrolling interest</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2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w w:val="88"/>
              </w:rPr>
              <w:t>(15,037 )</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(15,037 )</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(4 )</w:t>
            </w: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(15,041 )</w:t>
            </w:r>
          </w:p>
        </w:tc>
        <w:tc>
          <w:tcPr>
            <w:tcW w:w="0" w:type="dxa"/>
            <w:vAlign w:val="bottom"/>
          </w:tcPr>
          <w:p>
            <w:pPr>
              <w:spacing w:after="0"/>
              <w:rPr>
                <w:sz w:val="1"/>
                <w:szCs w:val="1"/>
                <w:color w:val="auto"/>
              </w:rPr>
            </w:pPr>
          </w:p>
        </w:tc>
      </w:tr>
      <w:tr>
        <w:trPr>
          <w:trHeight w:val="157"/>
        </w:trPr>
        <w:tc>
          <w:tcPr>
            <w:tcW w:w="2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comprehensive loss</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(15,614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(15,600</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spacing w:after="0" w:line="116" w:lineRule="exact"/>
              <w:rPr>
                <w:sz w:val="20"/>
                <w:szCs w:val="20"/>
                <w:color w:val="auto"/>
              </w:rPr>
            </w:pPr>
            <w:r>
              <w:rPr>
                <w:rFonts w:ascii="Arial" w:cs="Arial" w:eastAsia="Arial" w:hAnsi="Arial"/>
                <w:sz w:val="13"/>
                <w:szCs w:val="13"/>
                <w:color w:val="auto"/>
              </w:rPr>
              <w:t>44,721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jc w:val="right"/>
              <w:spacing w:after="0" w:line="116" w:lineRule="exact"/>
              <w:rPr>
                <w:sz w:val="20"/>
                <w:szCs w:val="20"/>
                <w:color w:val="auto"/>
              </w:rPr>
            </w:pPr>
            <w:r>
              <w:rPr>
                <w:rFonts w:ascii="Arial" w:cs="Arial" w:eastAsia="Arial" w:hAnsi="Arial"/>
                <w:sz w:val="13"/>
                <w:szCs w:val="13"/>
                <w:color w:val="auto"/>
              </w:rPr>
              <w:t>2,676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Arial" w:cs="Arial" w:eastAsia="Arial" w:hAnsi="Arial"/>
                <w:sz w:val="13"/>
                <w:szCs w:val="13"/>
                <w:color w:val="auto"/>
                <w:w w:val="90"/>
              </w:rPr>
              <w:t>(224,94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3"/>
                <w:szCs w:val="13"/>
                <w:color w:val="auto"/>
              </w:rPr>
              <w:t>Balance, September 30, 2022</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,409</w:t>
            </w:r>
          </w:p>
        </w:tc>
        <w:tc>
          <w:tcPr>
            <w:tcW w:w="3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,154</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3"/>
              </w:rPr>
              <w:t>617,278</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(492 ) $</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3 ) $</w:t>
            </w:r>
          </w:p>
        </w:tc>
        <w:tc>
          <w:tcPr>
            <w:tcW w:w="540" w:type="dxa"/>
            <w:vAlign w:val="bottom"/>
          </w:tcPr>
          <w:p>
            <w:pPr>
              <w:jc w:val="right"/>
              <w:spacing w:after="0"/>
              <w:rPr>
                <w:sz w:val="20"/>
                <w:szCs w:val="20"/>
                <w:color w:val="auto"/>
              </w:rPr>
            </w:pPr>
            <w:r>
              <w:rPr>
                <w:rFonts w:ascii="Arial" w:cs="Arial" w:eastAsia="Arial" w:hAnsi="Arial"/>
                <w:sz w:val="13"/>
                <w:szCs w:val="13"/>
                <w:color w:val="auto"/>
              </w:rPr>
              <w:t>391,843</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392,962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27,758,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160,71</w:t>
            </w: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w w:val="90"/>
              </w:rPr>
              <w:t>(134,72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June 30, 2021</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right w:val="single" w:sz="8" w:color="auto"/>
            </w:tcBorders>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8,665,797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7 ) $</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(130,185 ) $</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(130,185 )</w:t>
            </w: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1" w:lineRule="exact"/>
              <w:rPr>
                <w:sz w:val="20"/>
                <w:szCs w:val="20"/>
                <w:color w:val="auto"/>
              </w:rPr>
            </w:pPr>
            <w:r>
              <w:rPr>
                <w:rFonts w:ascii="Arial" w:cs="Arial" w:eastAsia="Arial" w:hAnsi="Arial"/>
                <w:sz w:val="13"/>
                <w:szCs w:val="13"/>
                <w:color w:val="auto"/>
                <w:w w:val="91"/>
              </w:rPr>
              <w:t>Conversion of convertible preferred stock</w:t>
            </w: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(27,758,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3"/>
                <w:szCs w:val="13"/>
                <w:color w:val="auto"/>
                <w:w w:val="99"/>
              </w:rPr>
              <w:t>(160,71</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27,351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407,3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3"/>
                <w:szCs w:val="13"/>
                <w:color w:val="auto"/>
                <w:w w:val="98"/>
              </w:rPr>
              <w:t>in connection with initial public offering</w:t>
            </w:r>
          </w:p>
        </w:tc>
        <w:tc>
          <w:tcPr>
            <w:tcW w:w="700" w:type="dxa"/>
            <w:vAlign w:val="bottom"/>
            <w:gridSpan w:val="2"/>
          </w:tcPr>
          <w:p>
            <w:pPr>
              <w:jc w:val="right"/>
              <w:ind w:right="6"/>
              <w:spacing w:after="0"/>
              <w:rPr>
                <w:sz w:val="20"/>
                <w:szCs w:val="20"/>
                <w:color w:val="auto"/>
              </w:rPr>
            </w:pPr>
            <w:r>
              <w:rPr>
                <w:rFonts w:ascii="Arial" w:cs="Arial" w:eastAsia="Arial" w:hAnsi="Arial"/>
                <w:sz w:val="13"/>
                <w:szCs w:val="13"/>
                <w:color w:val="auto"/>
              </w:rPr>
              <w:t>941 )</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3 )</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160,713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160,713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160,713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common stock options</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39,744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1" w:lineRule="exact"/>
              <w:rPr>
                <w:sz w:val="20"/>
                <w:szCs w:val="20"/>
                <w:color w:val="auto"/>
              </w:rPr>
            </w:pPr>
            <w:r>
              <w:rPr>
                <w:rFonts w:ascii="Arial" w:cs="Arial" w:eastAsia="Arial" w:hAnsi="Arial"/>
                <w:sz w:val="13"/>
                <w:szCs w:val="13"/>
                <w:color w:val="auto"/>
              </w:rPr>
              <w:t>Conversion of common stock in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(8,665,79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6,396,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2,268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3"/>
                <w:szCs w:val="13"/>
                <w:color w:val="auto"/>
                <w:w w:val="95"/>
              </w:rPr>
              <w:t>connection with the initial public offering</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7 )</w:t>
            </w:r>
          </w:p>
        </w:tc>
        <w:tc>
          <w:tcPr>
            <w:tcW w:w="1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color w:val="auto"/>
                <w:w w:val="93"/>
              </w:rPr>
              <w:t>Issuance of common stock in connection</w:t>
            </w: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7,906,</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with the initial public offering, net of</w:t>
            </w:r>
          </w:p>
        </w:tc>
        <w:tc>
          <w:tcPr>
            <w:tcW w:w="700" w:type="dxa"/>
            <w:vAlign w:val="bottom"/>
            <w:gridSpan w:val="2"/>
            <w:vMerge w:val="restart"/>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325,263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underwriters' discount</w:t>
            </w:r>
          </w:p>
        </w:tc>
        <w:tc>
          <w:tcPr>
            <w:tcW w:w="7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3"/>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Donated common stock</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20,133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 of initial public offering</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(3,995 )</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(3,995 )</w:t>
            </w: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(3,995 )</w:t>
            </w: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(41 )</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(41 )</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(41 )</w:t>
            </w: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88"/>
              </w:rPr>
              <w:t>(14,711 )</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(14,711 )</w:t>
            </w: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(14,711 )</w:t>
            </w: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(14,752 )</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(14,752 )</w:t>
            </w:r>
          </w:p>
        </w:tc>
        <w:tc>
          <w:tcPr>
            <w:tcW w:w="0" w:type="dxa"/>
            <w:vAlign w:val="bottom"/>
          </w:tcPr>
          <w:p>
            <w:pPr>
              <w:spacing w:after="0"/>
              <w:rPr>
                <w:sz w:val="1"/>
                <w:szCs w:val="1"/>
                <w:color w:val="auto"/>
              </w:rPr>
            </w:pPr>
          </w:p>
        </w:tc>
      </w:tr>
      <w:tr>
        <w:trPr>
          <w:trHeight w:val="118"/>
        </w:trPr>
        <w:tc>
          <w:tcPr>
            <w:tcW w:w="2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41,714</w:t>
            </w: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2,676</w:t>
            </w: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w w:val="90"/>
              </w:rPr>
              <w:t>(149,43</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September 30, 2021</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490,175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8 ) $</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340,923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-2208530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-2208530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-2208530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-2208530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-2208530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-2208530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-2208530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-2208530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-2208530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-2208530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-2208530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-2208530</wp:posOffset>
            </wp:positionV>
            <wp:extent cx="76835"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-2208530</wp:posOffset>
            </wp:positionV>
            <wp:extent cx="7683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-333375</wp:posOffset>
            </wp:positionV>
            <wp:extent cx="685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-333375</wp:posOffset>
            </wp:positionV>
            <wp:extent cx="685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060"/>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 (Deficit)</w:t>
      </w:r>
    </w:p>
    <w:p>
      <w:pPr>
        <w:jc w:val="center"/>
        <w:spacing w:after="0" w:line="234"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Nine months ended September 30, 2022 and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tbl>
      <w:tblPr>
        <w:tblLayout w:type="fixed"/>
        <w:tblInd w:w="0" w:type="dxa"/>
        <w:tblCellMar>
          <w:top w:w="0" w:type="dxa"/>
          <w:left w:w="0" w:type="dxa"/>
          <w:bottom w:w="0" w:type="dxa"/>
          <w:right w:w="0" w:type="dxa"/>
        </w:tblCellMar>
      </w:tblPr>
      <w:tr>
        <w:trPr>
          <w:trHeight w:val="96"/>
        </w:trPr>
        <w:tc>
          <w:tcPr>
            <w:tcW w:w="2220" w:type="dxa"/>
            <w:vAlign w:val="bottom"/>
          </w:tcPr>
          <w:p>
            <w:pPr>
              <w:spacing w:after="0"/>
              <w:rPr>
                <w:sz w:val="8"/>
                <w:szCs w:val="8"/>
                <w:color w:val="auto"/>
              </w:rPr>
            </w:pPr>
          </w:p>
        </w:tc>
        <w:tc>
          <w:tcPr>
            <w:tcW w:w="1400" w:type="dxa"/>
            <w:vAlign w:val="bottom"/>
            <w:tcBorders>
              <w:right w:val="single" w:sz="8" w:color="auto"/>
            </w:tcBorders>
            <w:gridSpan w:val="5"/>
          </w:tcPr>
          <w:p>
            <w:pPr>
              <w:jc w:val="center"/>
              <w:ind w:right="180"/>
              <w:spacing w:after="0" w:line="96" w:lineRule="exact"/>
              <w:rPr>
                <w:sz w:val="20"/>
                <w:szCs w:val="20"/>
                <w:color w:val="auto"/>
              </w:rPr>
            </w:pPr>
            <w:r>
              <w:rPr>
                <w:rFonts w:ascii="Arial" w:cs="Arial" w:eastAsia="Arial" w:hAnsi="Arial"/>
                <w:sz w:val="11"/>
                <w:szCs w:val="11"/>
                <w:b w:val="1"/>
                <w:bCs w:val="1"/>
                <w:color w:val="auto"/>
                <w:w w:val="90"/>
              </w:rPr>
              <w:t>Convertible Preferred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780" w:type="dxa"/>
            <w:vAlign w:val="bottom"/>
            <w:gridSpan w:val="3"/>
          </w:tcPr>
          <w:p>
            <w:pPr>
              <w:jc w:val="center"/>
              <w:ind w:left="419"/>
              <w:spacing w:after="0"/>
              <w:rPr>
                <w:sz w:val="20"/>
                <w:szCs w:val="20"/>
                <w:color w:val="auto"/>
              </w:rPr>
            </w:pPr>
            <w:r>
              <w:rPr>
                <w:rFonts w:ascii="Arial" w:cs="Arial" w:eastAsia="Arial" w:hAnsi="Arial"/>
                <w:sz w:val="11"/>
                <w:szCs w:val="11"/>
                <w:b w:val="1"/>
                <w:bCs w:val="1"/>
                <w:color w:val="auto"/>
                <w:w w:val="86"/>
              </w:rPr>
              <w:t>Stock</w:t>
            </w: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1400" w:type="dxa"/>
            <w:vAlign w:val="bottom"/>
            <w:tcBorders>
              <w:right w:val="single" w:sz="8" w:color="auto"/>
            </w:tcBorders>
            <w:gridSpan w:val="5"/>
          </w:tcPr>
          <w:p>
            <w:pPr>
              <w:jc w:val="center"/>
              <w:ind w:right="160"/>
              <w:spacing w:after="0" w:line="116" w:lineRule="exact"/>
              <w:rPr>
                <w:sz w:val="20"/>
                <w:szCs w:val="20"/>
                <w:color w:val="auto"/>
              </w:rPr>
            </w:pPr>
            <w:r>
              <w:rPr>
                <w:rFonts w:ascii="Arial" w:cs="Arial" w:eastAsia="Arial" w:hAnsi="Arial"/>
                <w:sz w:val="11"/>
                <w:szCs w:val="11"/>
                <w:b w:val="1"/>
                <w:bCs w:val="1"/>
                <w:color w:val="auto"/>
                <w:w w:val="84"/>
              </w:rPr>
              <w:t>Seed-1, Seed-2, Series A-1,</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20"/>
              <w:spacing w:after="0" w:line="116" w:lineRule="exact"/>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1400" w:type="dxa"/>
            <w:vAlign w:val="bottom"/>
            <w:tcBorders>
              <w:right w:val="single" w:sz="8" w:color="auto"/>
            </w:tcBorders>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Series A-2, Series B,</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7"/>
              </w:rPr>
              <w:t>Class A - Common</w:t>
            </w:r>
          </w:p>
        </w:tc>
        <w:tc>
          <w:tcPr>
            <w:tcW w:w="120" w:type="dxa"/>
            <w:vAlign w:val="bottom"/>
          </w:tcPr>
          <w:p>
            <w:pPr>
              <w:spacing w:after="0"/>
              <w:rPr>
                <w:sz w:val="10"/>
                <w:szCs w:val="10"/>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7"/>
              </w:rPr>
              <w:t>Class B - Common</w:t>
            </w:r>
          </w:p>
        </w:tc>
        <w:tc>
          <w:tcPr>
            <w:tcW w:w="10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d Other</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57"/>
              <w:spacing w:after="0" w:line="122" w:lineRule="exact"/>
              <w:rPr>
                <w:sz w:val="20"/>
                <w:szCs w:val="20"/>
                <w:color w:val="auto"/>
              </w:rPr>
            </w:pPr>
            <w:r>
              <w:rPr>
                <w:rFonts w:ascii="Arial" w:cs="Arial" w:eastAsia="Arial" w:hAnsi="Arial"/>
                <w:sz w:val="11"/>
                <w:szCs w:val="11"/>
                <w:b w:val="1"/>
                <w:bCs w:val="1"/>
                <w:color w:val="auto"/>
                <w:w w:val="91"/>
              </w:rPr>
              <w:t>Total</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8"/>
              </w:rPr>
              <w:t>Noncontrol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00" w:type="dxa"/>
            <w:vAlign w:val="bottom"/>
            <w:tcBorders>
              <w:right w:val="single" w:sz="8" w:color="auto"/>
            </w:tcBorders>
            <w:gridSpan w:val="5"/>
          </w:tcPr>
          <w:p>
            <w:pPr>
              <w:jc w:val="center"/>
              <w:ind w:right="180"/>
              <w:spacing w:after="0" w:line="108" w:lineRule="exact"/>
              <w:rPr>
                <w:sz w:val="20"/>
                <w:szCs w:val="20"/>
                <w:color w:val="auto"/>
              </w:rPr>
            </w:pPr>
            <w:r>
              <w:rPr>
                <w:rFonts w:ascii="Arial" w:cs="Arial" w:eastAsia="Arial" w:hAnsi="Arial"/>
                <w:sz w:val="11"/>
                <w:szCs w:val="11"/>
                <w:b w:val="1"/>
                <w:bCs w:val="1"/>
                <w:color w:val="auto"/>
                <w:w w:val="85"/>
              </w:rPr>
              <w:t>Series C, Series D, Series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70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Comprehen</w:t>
            </w:r>
          </w:p>
        </w:tc>
        <w:tc>
          <w:tcPr>
            <w:tcW w:w="1400" w:type="dxa"/>
            <w:vAlign w:val="bottom"/>
            <w:gridSpan w:val="6"/>
          </w:tcPr>
          <w:p>
            <w:pPr>
              <w:jc w:val="right"/>
              <w:ind w:right="77"/>
              <w:spacing w:after="0" w:line="108" w:lineRule="exact"/>
              <w:rPr>
                <w:sz w:val="20"/>
                <w:szCs w:val="20"/>
                <w:color w:val="auto"/>
              </w:rPr>
            </w:pPr>
            <w:r>
              <w:rPr>
                <w:rFonts w:ascii="Arial" w:cs="Arial" w:eastAsia="Arial" w:hAnsi="Arial"/>
                <w:sz w:val="11"/>
                <w:szCs w:val="11"/>
                <w:b w:val="1"/>
                <w:bCs w:val="1"/>
                <w:color w:val="auto"/>
                <w:w w:val="94"/>
              </w:rPr>
              <w:t>Accumula   Stockholders</w:t>
            </w: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Arial" w:cs="Arial" w:eastAsia="Arial" w:hAnsi="Arial"/>
                <w:sz w:val="11"/>
                <w:szCs w:val="11"/>
                <w:b w:val="1"/>
                <w:bCs w:val="1"/>
                <w:color w:val="auto"/>
                <w:w w:val="81"/>
              </w:rPr>
              <w:t>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10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800" w:type="dxa"/>
            <w:vAlign w:val="bottom"/>
            <w:gridSpan w:val="3"/>
          </w:tcPr>
          <w:p>
            <w:pPr>
              <w:jc w:val="center"/>
              <w:ind w:left="199"/>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left="198"/>
              <w:spacing w:after="0"/>
              <w:rPr>
                <w:sz w:val="20"/>
                <w:szCs w:val="20"/>
                <w:color w:val="auto"/>
              </w:rPr>
            </w:pPr>
            <w:r>
              <w:rPr>
                <w:rFonts w:ascii="Arial" w:cs="Arial" w:eastAsia="Arial" w:hAnsi="Arial"/>
                <w:sz w:val="11"/>
                <w:szCs w:val="11"/>
                <w:b w:val="1"/>
                <w:bCs w:val="1"/>
                <w:color w:val="auto"/>
                <w:w w:val="86"/>
              </w:rPr>
              <w:t>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sive</w:t>
            </w:r>
          </w:p>
        </w:tc>
        <w:tc>
          <w:tcPr>
            <w:tcW w:w="100" w:type="dxa"/>
            <w:vAlign w:val="bottom"/>
          </w:tcPr>
          <w:p>
            <w:pPr>
              <w:spacing w:after="0"/>
              <w:rPr>
                <w:sz w:val="12"/>
                <w:szCs w:val="12"/>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ted</w:t>
            </w:r>
          </w:p>
        </w:tc>
        <w:tc>
          <w:tcPr>
            <w:tcW w:w="540" w:type="dxa"/>
            <w:vAlign w:val="bottom"/>
          </w:tcPr>
          <w:p>
            <w:pPr>
              <w:jc w:val="center"/>
              <w:ind w:right="19"/>
              <w:spacing w:after="0"/>
              <w:rPr>
                <w:sz w:val="20"/>
                <w:szCs w:val="20"/>
                <w:color w:val="auto"/>
              </w:rPr>
            </w:pPr>
            <w:r>
              <w:rPr>
                <w:rFonts w:ascii="Arial" w:cs="Arial" w:eastAsia="Arial" w:hAnsi="Arial"/>
                <w:sz w:val="11"/>
                <w:szCs w:val="11"/>
                <w:b w:val="1"/>
                <w:bCs w:val="1"/>
                <w:color w:val="auto"/>
                <w:w w:val="74"/>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38"/>
              <w:spacing w:after="0"/>
              <w:rPr>
                <w:sz w:val="20"/>
                <w:szCs w:val="20"/>
                <w:color w:val="auto"/>
              </w:rPr>
            </w:pPr>
            <w:r>
              <w:rPr>
                <w:rFonts w:ascii="Arial" w:cs="Arial" w:eastAsia="Arial" w:hAnsi="Arial"/>
                <w:sz w:val="11"/>
                <w:szCs w:val="11"/>
                <w:b w:val="1"/>
                <w:bCs w:val="1"/>
                <w:color w:val="auto"/>
              </w:rPr>
              <w:t>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5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89"/>
              </w:rPr>
              <w:t>Amou</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94"/>
              </w:rPr>
              <w:t>Amoun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77"/>
              <w:spacing w:after="0" w:line="109" w:lineRule="exact"/>
              <w:rPr>
                <w:sz w:val="20"/>
                <w:szCs w:val="20"/>
                <w:color w:val="auto"/>
              </w:rPr>
            </w:pPr>
            <w:r>
              <w:rPr>
                <w:rFonts w:ascii="Arial" w:cs="Arial" w:eastAsia="Arial" w:hAnsi="Arial"/>
                <w:sz w:val="11"/>
                <w:szCs w:val="11"/>
                <w:b w:val="1"/>
                <w:bCs w:val="1"/>
                <w:color w:val="auto"/>
                <w:w w:val="92"/>
              </w:rPr>
              <w:t>(Deficit)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78"/>
              <w:spacing w:after="0" w:line="109" w:lineRule="exact"/>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7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nt</w:t>
            </w:r>
          </w:p>
        </w:tc>
        <w:tc>
          <w:tcPr>
            <w:tcW w:w="120" w:type="dxa"/>
            <w:vAlign w:val="bottom"/>
          </w:tcPr>
          <w:p>
            <w:pPr>
              <w:spacing w:after="0"/>
              <w:rPr>
                <w:sz w:val="13"/>
                <w:szCs w:val="13"/>
                <w:color w:val="auto"/>
              </w:rPr>
            </w:pPr>
          </w:p>
        </w:tc>
        <w:tc>
          <w:tcPr>
            <w:tcW w:w="500" w:type="dxa"/>
            <w:vAlign w:val="bottom"/>
          </w:tcPr>
          <w:p>
            <w:pPr>
              <w:jc w:val="right"/>
              <w:ind w:right="19"/>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2"/>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(Loss)</w:t>
            </w:r>
          </w:p>
        </w:tc>
        <w:tc>
          <w:tcPr>
            <w:tcW w:w="100" w:type="dxa"/>
            <w:vAlign w:val="bottom"/>
          </w:tcPr>
          <w:p>
            <w:pPr>
              <w:spacing w:after="0"/>
              <w:rPr>
                <w:sz w:val="13"/>
                <w:szCs w:val="13"/>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gridSpan w:val="2"/>
          </w:tcPr>
          <w:p>
            <w:pPr>
              <w:jc w:val="center"/>
              <w:ind w:right="137"/>
              <w:spacing w:after="0"/>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3"/>
                <w:szCs w:val="13"/>
                <w:color w:val="auto"/>
              </w:rPr>
            </w:pPr>
          </w:p>
        </w:tc>
        <w:tc>
          <w:tcPr>
            <w:tcW w:w="480" w:type="dxa"/>
            <w:vAlign w:val="bottom"/>
          </w:tcPr>
          <w:p>
            <w:pPr>
              <w:jc w:val="right"/>
              <w:ind w:right="38"/>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58"/>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43,998</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2,676</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w w:val="90"/>
              </w:rPr>
              <w:t>(173,34</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3"/>
                <w:szCs w:val="13"/>
                <w:color w:val="auto"/>
              </w:rPr>
              <w:t>Balance, December 31, 2021</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,404</w:t>
            </w:r>
          </w:p>
        </w:tc>
        <w:tc>
          <w:tcPr>
            <w:tcW w:w="3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,154</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3"/>
              </w:rPr>
              <w:t>597,641</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1 ) $</w:t>
            </w:r>
          </w:p>
        </w:tc>
        <w:tc>
          <w:tcPr>
            <w:tcW w:w="540" w:type="dxa"/>
            <w:vAlign w:val="bottom"/>
          </w:tcPr>
          <w:p>
            <w:pPr>
              <w:jc w:val="right"/>
              <w:spacing w:after="0"/>
              <w:rPr>
                <w:sz w:val="20"/>
                <w:szCs w:val="20"/>
                <w:color w:val="auto"/>
              </w:rPr>
            </w:pPr>
            <w:r>
              <w:rPr>
                <w:rFonts w:ascii="Arial" w:cs="Arial" w:eastAsia="Arial" w:hAnsi="Arial"/>
                <w:sz w:val="13"/>
                <w:szCs w:val="13"/>
                <w:color w:val="auto"/>
              </w:rPr>
              <w:t>424,449</w:t>
            </w:r>
          </w:p>
        </w:tc>
        <w:tc>
          <w:tcPr>
            <w:tcW w:w="1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425,483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30" w:lineRule="exact"/>
              <w:rPr>
                <w:sz w:val="20"/>
                <w:szCs w:val="20"/>
                <w:color w:val="auto"/>
              </w:rPr>
            </w:pPr>
            <w:r>
              <w:rPr>
                <w:rFonts w:ascii="Arial" w:cs="Arial" w:eastAsia="Arial" w:hAnsi="Arial"/>
                <w:sz w:val="13"/>
                <w:szCs w:val="13"/>
                <w:color w:val="auto"/>
              </w:rPr>
              <w:t>662,60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common stock options</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Donated common stock</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60,399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based compensation</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Foreign currency translation</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(641 )</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(641 )</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(573 )</w:t>
            </w:r>
          </w:p>
        </w:tc>
        <w:tc>
          <w:tcPr>
            <w:tcW w:w="0" w:type="dxa"/>
            <w:vAlign w:val="bottom"/>
          </w:tcPr>
          <w:p>
            <w:pPr>
              <w:spacing w:after="0"/>
              <w:rPr>
                <w:sz w:val="1"/>
                <w:szCs w:val="1"/>
                <w:color w:val="auto"/>
              </w:rPr>
            </w:pPr>
          </w:p>
        </w:tc>
      </w:tr>
      <w:tr>
        <w:trPr>
          <w:trHeight w:val="158"/>
        </w:trPr>
        <w:tc>
          <w:tcPr>
            <w:tcW w:w="22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w w:val="88"/>
              </w:rPr>
              <w:t>(51,602 )</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(51,602 )</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(51,585 )</w:t>
            </w:r>
          </w:p>
        </w:tc>
        <w:tc>
          <w:tcPr>
            <w:tcW w:w="0" w:type="dxa"/>
            <w:vAlign w:val="bottom"/>
          </w:tcPr>
          <w:p>
            <w:pPr>
              <w:spacing w:after="0"/>
              <w:rPr>
                <w:sz w:val="1"/>
                <w:szCs w:val="1"/>
                <w:color w:val="auto"/>
              </w:rPr>
            </w:pPr>
          </w:p>
        </w:tc>
      </w:tr>
      <w:tr>
        <w:trPr>
          <w:trHeight w:val="157"/>
        </w:trPr>
        <w:tc>
          <w:tcPr>
            <w:tcW w:w="2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comprehensive loss</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(52,243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(52,158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16"/>
        </w:trPr>
        <w:tc>
          <w:tcPr>
            <w:tcW w:w="2220" w:type="dxa"/>
            <w:vAlign w:val="bottom"/>
          </w:tcPr>
          <w:p>
            <w:pPr>
              <w:ind w:left="20"/>
              <w:spacing w:after="0" w:line="116" w:lineRule="exact"/>
              <w:rPr>
                <w:sz w:val="20"/>
                <w:szCs w:val="20"/>
                <w:color w:val="auto"/>
              </w:rPr>
            </w:pPr>
            <w:r>
              <w:rPr>
                <w:rFonts w:ascii="Arial" w:cs="Arial" w:eastAsia="Arial" w:hAnsi="Arial"/>
                <w:sz w:val="13"/>
                <w:szCs w:val="13"/>
                <w:color w:val="auto"/>
              </w:rPr>
              <w:t>Balance, September 30, 2022</w:t>
            </w:r>
          </w:p>
        </w:tc>
        <w:tc>
          <w:tcPr>
            <w:tcW w:w="700" w:type="dxa"/>
            <w:vAlign w:val="bottom"/>
            <w:gridSpan w:val="2"/>
          </w:tcPr>
          <w:p>
            <w:pPr>
              <w:jc w:val="right"/>
              <w:ind w:right="86"/>
              <w:spacing w:after="0" w:line="116"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6" w:lineRule="exact"/>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tcPr>
          <w:p>
            <w:pPr>
              <w:jc w:val="right"/>
              <w:ind w:right="160"/>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ind w:left="20"/>
              <w:spacing w:after="0" w:line="116" w:lineRule="exact"/>
              <w:rPr>
                <w:sz w:val="20"/>
                <w:szCs w:val="20"/>
                <w:color w:val="auto"/>
              </w:rPr>
            </w:pPr>
            <w:r>
              <w:rPr>
                <w:rFonts w:ascii="Arial" w:cs="Arial" w:eastAsia="Arial" w:hAnsi="Arial"/>
                <w:sz w:val="13"/>
                <w:szCs w:val="13"/>
                <w:color w:val="auto"/>
                <w:w w:val="82"/>
              </w:rPr>
              <w:t>$</w:t>
            </w:r>
          </w:p>
        </w:tc>
        <w:tc>
          <w:tcPr>
            <w:tcW w:w="220" w:type="dxa"/>
            <w:vAlign w:val="bottom"/>
          </w:tcPr>
          <w:p>
            <w:pPr>
              <w:ind w:left="80"/>
              <w:spacing w:after="0" w:line="116" w:lineRule="exact"/>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line="116" w:lineRule="exact"/>
              <w:rPr>
                <w:sz w:val="20"/>
                <w:szCs w:val="20"/>
                <w:color w:val="auto"/>
              </w:rPr>
            </w:pPr>
            <w:r>
              <w:rPr>
                <w:rFonts w:ascii="Arial" w:cs="Arial" w:eastAsia="Arial" w:hAnsi="Arial"/>
                <w:sz w:val="13"/>
                <w:szCs w:val="13"/>
                <w:color w:val="auto"/>
              </w:rPr>
              <w:t>44,721</w:t>
            </w:r>
          </w:p>
        </w:tc>
        <w:tc>
          <w:tcPr>
            <w:tcW w:w="300" w:type="dxa"/>
            <w:vAlign w:val="bottom"/>
            <w:gridSpan w:val="2"/>
          </w:tcPr>
          <w:p>
            <w:pPr>
              <w:ind w:left="140"/>
              <w:spacing w:after="0" w:line="116"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16" w:lineRule="exact"/>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line="116" w:lineRule="exact"/>
              <w:rPr>
                <w:sz w:val="20"/>
                <w:szCs w:val="20"/>
                <w:color w:val="auto"/>
              </w:rPr>
            </w:pPr>
            <w:r>
              <w:rPr>
                <w:rFonts w:ascii="Arial" w:cs="Arial" w:eastAsia="Arial" w:hAnsi="Arial"/>
                <w:sz w:val="13"/>
                <w:szCs w:val="13"/>
                <w:color w:val="auto"/>
              </w:rPr>
              <w:t>2,676</w:t>
            </w:r>
          </w:p>
        </w:tc>
        <w:tc>
          <w:tcPr>
            <w:tcW w:w="220" w:type="dxa"/>
            <w:vAlign w:val="bottom"/>
            <w:gridSpan w:val="2"/>
          </w:tcPr>
          <w:p>
            <w:pPr>
              <w:ind w:left="120"/>
              <w:spacing w:after="0" w:line="116"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6" w:lineRule="exact"/>
              <w:rPr>
                <w:sz w:val="20"/>
                <w:szCs w:val="20"/>
                <w:color w:val="auto"/>
              </w:rPr>
            </w:pPr>
            <w:r>
              <w:rPr>
                <w:rFonts w:ascii="Arial" w:cs="Arial" w:eastAsia="Arial" w:hAnsi="Arial"/>
                <w:sz w:val="13"/>
                <w:szCs w:val="13"/>
                <w:color w:val="auto"/>
                <w:w w:val="91"/>
              </w:rPr>
              <w:t>—</w:t>
            </w:r>
          </w:p>
        </w:tc>
        <w:tc>
          <w:tcPr>
            <w:tcW w:w="200" w:type="dxa"/>
            <w:vAlign w:val="bottom"/>
            <w:gridSpan w:val="2"/>
          </w:tcPr>
          <w:p>
            <w:pPr>
              <w:ind w:left="120"/>
              <w:spacing w:after="0" w:line="116"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16" w:lineRule="exact"/>
              <w:rPr>
                <w:sz w:val="20"/>
                <w:szCs w:val="20"/>
                <w:color w:val="auto"/>
              </w:rPr>
            </w:pPr>
            <w:r>
              <w:rPr>
                <w:rFonts w:ascii="Arial" w:cs="Arial" w:eastAsia="Arial" w:hAnsi="Arial"/>
                <w:sz w:val="13"/>
                <w:szCs w:val="13"/>
                <w:color w:val="auto"/>
                <w:w w:val="93"/>
              </w:rPr>
              <w:t>617,278</w:t>
            </w:r>
          </w:p>
        </w:tc>
        <w:tc>
          <w:tcPr>
            <w:tcW w:w="100" w:type="dxa"/>
            <w:vAlign w:val="bottom"/>
          </w:tcPr>
          <w:p>
            <w:pPr>
              <w:spacing w:after="0"/>
              <w:rPr>
                <w:sz w:val="10"/>
                <w:szCs w:val="10"/>
                <w:color w:val="auto"/>
              </w:rPr>
            </w:pPr>
          </w:p>
        </w:tc>
        <w:tc>
          <w:tcPr>
            <w:tcW w:w="100" w:type="dxa"/>
            <w:vAlign w:val="bottom"/>
          </w:tcPr>
          <w:p>
            <w:pPr>
              <w:ind w:left="20"/>
              <w:spacing w:after="0" w:line="116" w:lineRule="exact"/>
              <w:rPr>
                <w:sz w:val="20"/>
                <w:szCs w:val="20"/>
                <w:color w:val="auto"/>
              </w:rPr>
            </w:pPr>
            <w:r>
              <w:rPr>
                <w:rFonts w:ascii="Arial" w:cs="Arial" w:eastAsia="Arial" w:hAnsi="Arial"/>
                <w:sz w:val="13"/>
                <w:szCs w:val="13"/>
                <w:color w:val="auto"/>
                <w:w w:val="82"/>
              </w:rPr>
              <w:t>$</w:t>
            </w:r>
          </w:p>
        </w:tc>
        <w:tc>
          <w:tcPr>
            <w:tcW w:w="700" w:type="dxa"/>
            <w:vAlign w:val="bottom"/>
            <w:gridSpan w:val="3"/>
          </w:tcPr>
          <w:p>
            <w:pPr>
              <w:jc w:val="right"/>
              <w:spacing w:after="0" w:line="116" w:lineRule="exact"/>
              <w:rPr>
                <w:sz w:val="20"/>
                <w:szCs w:val="20"/>
                <w:color w:val="auto"/>
              </w:rPr>
            </w:pPr>
            <w:r>
              <w:rPr>
                <w:rFonts w:ascii="Arial" w:cs="Arial" w:eastAsia="Arial" w:hAnsi="Arial"/>
                <w:sz w:val="13"/>
                <w:szCs w:val="13"/>
                <w:color w:val="auto"/>
              </w:rPr>
              <w:t>(492 ) $</w:t>
            </w:r>
          </w:p>
        </w:tc>
        <w:tc>
          <w:tcPr>
            <w:tcW w:w="640" w:type="dxa"/>
            <w:vAlign w:val="bottom"/>
            <w:gridSpan w:val="3"/>
          </w:tcPr>
          <w:p>
            <w:pPr>
              <w:jc w:val="right"/>
              <w:ind w:right="20"/>
              <w:spacing w:after="0" w:line="116" w:lineRule="exact"/>
              <w:rPr>
                <w:sz w:val="20"/>
                <w:szCs w:val="20"/>
                <w:color w:val="auto"/>
              </w:rPr>
            </w:pPr>
            <w:r>
              <w:rPr>
                <w:rFonts w:ascii="Arial" w:cs="Arial" w:eastAsia="Arial" w:hAnsi="Arial"/>
                <w:sz w:val="13"/>
                <w:szCs w:val="13"/>
                <w:color w:val="auto"/>
                <w:w w:val="95"/>
              </w:rPr>
              <w:t>(224,94 ) $</w:t>
            </w:r>
          </w:p>
        </w:tc>
        <w:tc>
          <w:tcPr>
            <w:tcW w:w="540" w:type="dxa"/>
            <w:vAlign w:val="bottom"/>
          </w:tcPr>
          <w:p>
            <w:pPr>
              <w:jc w:val="right"/>
              <w:spacing w:after="0" w:line="116" w:lineRule="exact"/>
              <w:rPr>
                <w:sz w:val="20"/>
                <w:szCs w:val="20"/>
                <w:color w:val="auto"/>
              </w:rPr>
            </w:pPr>
            <w:r>
              <w:rPr>
                <w:rFonts w:ascii="Arial" w:cs="Arial" w:eastAsia="Arial" w:hAnsi="Arial"/>
                <w:sz w:val="13"/>
                <w:szCs w:val="13"/>
                <w:color w:val="auto"/>
              </w:rPr>
              <w:t>391,843</w:t>
            </w:r>
          </w:p>
        </w:tc>
        <w:tc>
          <w:tcPr>
            <w:tcW w:w="12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16" w:lineRule="exact"/>
              <w:rPr>
                <w:sz w:val="20"/>
                <w:szCs w:val="20"/>
                <w:color w:val="auto"/>
              </w:rPr>
            </w:pPr>
            <w:r>
              <w:rPr>
                <w:rFonts w:ascii="Arial" w:cs="Arial" w:eastAsia="Arial" w:hAnsi="Arial"/>
                <w:sz w:val="13"/>
                <w:szCs w:val="13"/>
                <w:color w:val="auto"/>
              </w:rPr>
              <w:t>1,119</w:t>
            </w:r>
          </w:p>
        </w:tc>
        <w:tc>
          <w:tcPr>
            <w:tcW w:w="200" w:type="dxa"/>
            <w:vAlign w:val="bottom"/>
            <w:gridSpan w:val="2"/>
          </w:tcPr>
          <w:p>
            <w:pPr>
              <w:jc w:val="right"/>
              <w:ind w:right="20"/>
              <w:spacing w:after="0" w:line="116"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16" w:lineRule="exact"/>
              <w:rPr>
                <w:sz w:val="20"/>
                <w:szCs w:val="20"/>
                <w:color w:val="auto"/>
              </w:rPr>
            </w:pPr>
            <w:r>
              <w:rPr>
                <w:rFonts w:ascii="Arial" w:cs="Arial" w:eastAsia="Arial" w:hAnsi="Arial"/>
                <w:sz w:val="13"/>
                <w:szCs w:val="13"/>
                <w:color w:val="auto"/>
              </w:rPr>
              <w:t>392,962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27,758,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160,71</w:t>
            </w: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w w:val="90"/>
              </w:rPr>
              <w:t>(111,96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2020</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right w:val="single" w:sz="8" w:color="auto"/>
            </w:tcBorders>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7,755,782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2 ) $</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(111,249 ) $</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(111,249 )</w:t>
            </w: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1" w:lineRule="exact"/>
              <w:rPr>
                <w:sz w:val="20"/>
                <w:szCs w:val="20"/>
                <w:color w:val="auto"/>
              </w:rPr>
            </w:pPr>
            <w:r>
              <w:rPr>
                <w:rFonts w:ascii="Arial" w:cs="Arial" w:eastAsia="Arial" w:hAnsi="Arial"/>
                <w:sz w:val="13"/>
                <w:szCs w:val="13"/>
                <w:color w:val="auto"/>
                <w:w w:val="91"/>
              </w:rPr>
              <w:t>Conversion of convertible preferred stock</w:t>
            </w: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(27,758,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3"/>
                <w:szCs w:val="13"/>
                <w:color w:val="auto"/>
                <w:w w:val="99"/>
              </w:rPr>
              <w:t>(160,71</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27,351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407,3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3"/>
                <w:szCs w:val="13"/>
                <w:color w:val="auto"/>
                <w:w w:val="98"/>
              </w:rPr>
              <w:t>in connection with initial public offering</w:t>
            </w:r>
          </w:p>
        </w:tc>
        <w:tc>
          <w:tcPr>
            <w:tcW w:w="700" w:type="dxa"/>
            <w:vAlign w:val="bottom"/>
            <w:gridSpan w:val="2"/>
          </w:tcPr>
          <w:p>
            <w:pPr>
              <w:jc w:val="right"/>
              <w:ind w:right="6"/>
              <w:spacing w:after="0"/>
              <w:rPr>
                <w:sz w:val="20"/>
                <w:szCs w:val="20"/>
                <w:color w:val="auto"/>
              </w:rPr>
            </w:pPr>
            <w:r>
              <w:rPr>
                <w:rFonts w:ascii="Arial" w:cs="Arial" w:eastAsia="Arial" w:hAnsi="Arial"/>
                <w:sz w:val="13"/>
                <w:szCs w:val="13"/>
                <w:color w:val="auto"/>
              </w:rPr>
              <w:t>941 )</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3 )</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160,713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160,713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160,713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common stock options</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910,015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39,744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20"/>
              <w:spacing w:after="0" w:line="121" w:lineRule="exact"/>
              <w:rPr>
                <w:sz w:val="20"/>
                <w:szCs w:val="20"/>
                <w:color w:val="auto"/>
              </w:rPr>
            </w:pPr>
            <w:r>
              <w:rPr>
                <w:rFonts w:ascii="Arial" w:cs="Arial" w:eastAsia="Arial" w:hAnsi="Arial"/>
                <w:sz w:val="13"/>
                <w:szCs w:val="13"/>
                <w:color w:val="auto"/>
              </w:rPr>
              <w:t>Conversion of common stock in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(8,665,79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6,396,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2,268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3"/>
                <w:szCs w:val="13"/>
                <w:color w:val="auto"/>
                <w:w w:val="95"/>
              </w:rPr>
              <w:t>connection with the initial public offering</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7 )</w:t>
            </w:r>
          </w:p>
        </w:tc>
        <w:tc>
          <w:tcPr>
            <w:tcW w:w="1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color w:val="auto"/>
                <w:w w:val="93"/>
              </w:rPr>
              <w:t>Issuance of common stock in connection</w:t>
            </w: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7,906,</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with the initial public offering, net of</w:t>
            </w:r>
          </w:p>
        </w:tc>
        <w:tc>
          <w:tcPr>
            <w:tcW w:w="700" w:type="dxa"/>
            <w:vAlign w:val="bottom"/>
            <w:gridSpan w:val="2"/>
            <w:vMerge w:val="restart"/>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325,263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underwriters' discount</w:t>
            </w:r>
          </w:p>
        </w:tc>
        <w:tc>
          <w:tcPr>
            <w:tcW w:w="7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3"/>
            <w:vMerge w:val="continue"/>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Donated common stock</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20,133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 of initial public offering</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(3,995 )</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(3,995 )</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(3,995 )</w:t>
            </w:r>
          </w:p>
        </w:tc>
        <w:tc>
          <w:tcPr>
            <w:tcW w:w="0" w:type="dxa"/>
            <w:vAlign w:val="bottom"/>
          </w:tcPr>
          <w:p>
            <w:pPr>
              <w:spacing w:after="0"/>
              <w:rPr>
                <w:sz w:val="1"/>
                <w:szCs w:val="1"/>
                <w:color w:val="auto"/>
              </w:rPr>
            </w:pPr>
          </w:p>
        </w:tc>
      </w:tr>
      <w:tr>
        <w:trPr>
          <w:trHeight w:val="160"/>
        </w:trPr>
        <w:tc>
          <w:tcPr>
            <w:tcW w:w="222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4,747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70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3"/>
                <w:szCs w:val="13"/>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(24 )</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70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88"/>
              </w:rPr>
              <w:t>(37,476 )</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(37,476 )</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(37,476 )</w:t>
            </w:r>
          </w:p>
        </w:tc>
        <w:tc>
          <w:tcPr>
            <w:tcW w:w="0" w:type="dxa"/>
            <w:vAlign w:val="bottom"/>
          </w:tcPr>
          <w:p>
            <w:pPr>
              <w:spacing w:after="0"/>
              <w:rPr>
                <w:sz w:val="1"/>
                <w:szCs w:val="1"/>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2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(37,500 )</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(37,500 )</w:t>
            </w:r>
          </w:p>
        </w:tc>
        <w:tc>
          <w:tcPr>
            <w:tcW w:w="0" w:type="dxa"/>
            <w:vAlign w:val="bottom"/>
          </w:tcPr>
          <w:p>
            <w:pPr>
              <w:spacing w:after="0"/>
              <w:rPr>
                <w:sz w:val="1"/>
                <w:szCs w:val="1"/>
                <w:color w:val="auto"/>
              </w:rPr>
            </w:pPr>
          </w:p>
        </w:tc>
      </w:tr>
      <w:tr>
        <w:trPr>
          <w:trHeight w:val="118"/>
        </w:trPr>
        <w:tc>
          <w:tcPr>
            <w:tcW w:w="2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41,714</w:t>
            </w: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2,676</w:t>
            </w: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w w:val="90"/>
              </w:rPr>
              <w:t>(149,43</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September 30, 2021</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490,175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8 ) $</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340,923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-2208530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-2208530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-2208530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-2208530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-2208530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-2208530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-2208530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-2208530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-2208530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-2208530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-2208530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-2208530</wp:posOffset>
            </wp:positionV>
            <wp:extent cx="76835"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-2208530</wp:posOffset>
            </wp:positionV>
            <wp:extent cx="76835"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-333375</wp:posOffset>
            </wp:positionV>
            <wp:extent cx="6858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-333375</wp:posOffset>
            </wp:positionV>
            <wp:extent cx="6858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ind w:left="5180"/>
        <w:spacing w:after="0" w:line="234" w:lineRule="auto"/>
        <w:rPr>
          <w:sz w:val="20"/>
          <w:szCs w:val="20"/>
          <w:color w:val="auto"/>
        </w:rPr>
      </w:pPr>
      <w:r>
        <w:rPr>
          <w:rFonts w:ascii="Arial" w:cs="Arial" w:eastAsia="Arial" w:hAnsi="Arial"/>
          <w:sz w:val="18"/>
          <w:szCs w:val="18"/>
          <w:color w:val="auto"/>
        </w:rPr>
        <w:t>(Unaudited)</w:t>
      </w:r>
    </w:p>
    <w:p>
      <w:pPr>
        <w:ind w:left="508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8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(51,585 )</w:t>
            </w:r>
          </w:p>
        </w:tc>
        <w:tc>
          <w:tcPr>
            <w:tcW w:w="140" w:type="dxa"/>
            <w:vAlign w:val="bottom"/>
          </w:tcPr>
          <w:p>
            <w:pPr>
              <w:spacing w:after="0"/>
              <w:rPr>
                <w:sz w:val="15"/>
                <w:szCs w:val="15"/>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(37,476 )</w:t>
            </w: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4,747</w:t>
            </w: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94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debt extinguishment</w:t>
            </w:r>
          </w:p>
        </w:tc>
        <w:tc>
          <w:tcPr>
            <w:tcW w:w="9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Non-cash income tax benefit</w:t>
            </w:r>
          </w:p>
        </w:tc>
        <w:tc>
          <w:tcPr>
            <w:tcW w:w="9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(559 )</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taxes benefit</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 net</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(19,032 )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(10,645 )</w:t>
            </w:r>
          </w:p>
        </w:tc>
      </w:tr>
      <w:tr>
        <w:trPr>
          <w:trHeight w:val="175"/>
        </w:trPr>
        <w:tc>
          <w:tcPr>
            <w:tcW w:w="7840" w:type="dxa"/>
            <w:vAlign w:val="bottom"/>
          </w:tcPr>
          <w:p>
            <w:pPr>
              <w:ind w:left="560"/>
              <w:spacing w:after="0"/>
              <w:rPr>
                <w:sz w:val="20"/>
                <w:szCs w:val="20"/>
                <w:color w:val="auto"/>
              </w:rPr>
            </w:pPr>
            <w:r>
              <w:rPr>
                <w:rFonts w:ascii="Arial" w:cs="Arial" w:eastAsia="Arial" w:hAnsi="Arial"/>
                <w:sz w:val="14"/>
                <w:szCs w:val="14"/>
                <w:color w:val="auto"/>
              </w:rPr>
              <w:t>Inventory</w:t>
            </w:r>
          </w:p>
        </w:tc>
        <w:tc>
          <w:tcPr>
            <w:tcW w:w="9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(3,680 )</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(1,784 )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(4,080 )</w:t>
            </w:r>
          </w:p>
        </w:tc>
      </w:tr>
      <w:tr>
        <w:trPr>
          <w:trHeight w:val="175"/>
        </w:trPr>
        <w:tc>
          <w:tcPr>
            <w:tcW w:w="784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9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(3,922 )</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(240 )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(400 )</w:t>
            </w:r>
          </w:p>
        </w:tc>
      </w:tr>
      <w:tr>
        <w:trPr>
          <w:trHeight w:val="175"/>
        </w:trPr>
        <w:tc>
          <w:tcPr>
            <w:tcW w:w="784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9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(4,219 )</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(917 )</w:t>
            </w:r>
          </w:p>
        </w:tc>
      </w:tr>
      <w:tr>
        <w:trPr>
          <w:trHeight w:val="169"/>
        </w:trPr>
        <w:tc>
          <w:tcPr>
            <w:tcW w:w="7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9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(45,510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(37,370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marketable securities</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7"/>
              </w:rPr>
              <w:t>(281,897 )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3"/>
              </w:rPr>
              <w:t>(266,978 )</w:t>
            </w:r>
          </w:p>
        </w:tc>
      </w:tr>
      <w:tr>
        <w:trPr>
          <w:trHeight w:val="175"/>
        </w:trPr>
        <w:tc>
          <w:tcPr>
            <w:tcW w:w="784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(9,608 )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(4,625 )</w:t>
            </w:r>
          </w:p>
        </w:tc>
      </w:tr>
      <w:tr>
        <w:trPr>
          <w:trHeight w:val="175"/>
        </w:trPr>
        <w:tc>
          <w:tcPr>
            <w:tcW w:w="7840" w:type="dxa"/>
            <w:vAlign w:val="bottom"/>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8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7"/>
              </w:rPr>
              <w:t>(291,336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(271,603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9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94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(3,995 )</w:t>
            </w: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FF0FC"/>
          </w:tcPr>
          <w:p>
            <w:pPr>
              <w:spacing w:after="0"/>
              <w:rPr>
                <w:sz w:val="15"/>
                <w:szCs w:val="15"/>
                <w:color w:val="auto"/>
              </w:rPr>
            </w:pPr>
          </w:p>
        </w:tc>
      </w:tr>
      <w:tr>
        <w:trPr>
          <w:trHeight w:val="175"/>
        </w:trPr>
        <w:tc>
          <w:tcPr>
            <w:tcW w:w="7840" w:type="dxa"/>
            <w:vAlign w:val="bottom"/>
          </w:tcPr>
          <w:p>
            <w:pPr>
              <w:ind w:left="200"/>
              <w:spacing w:after="0"/>
              <w:rPr>
                <w:sz w:val="20"/>
                <w:szCs w:val="20"/>
                <w:color w:val="auto"/>
              </w:rPr>
            </w:pPr>
            <w:r>
              <w:rPr>
                <w:rFonts w:ascii="Arial" w:cs="Arial" w:eastAsia="Arial" w:hAnsi="Arial"/>
                <w:sz w:val="14"/>
                <w:szCs w:val="14"/>
                <w:color w:val="auto"/>
              </w:rPr>
              <w:t>Repayment of term loan</w:t>
            </w:r>
          </w:p>
        </w:tc>
        <w:tc>
          <w:tcPr>
            <w:tcW w:w="94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(16,136 )</w:t>
            </w: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287,500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9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(9,309 )</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finance lease obligations</w:t>
            </w: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(9 )</w:t>
            </w:r>
          </w:p>
        </w:tc>
      </w:tr>
      <w:tr>
        <w:trPr>
          <w:trHeight w:val="169"/>
        </w:trPr>
        <w:tc>
          <w:tcPr>
            <w:tcW w:w="784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9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281,506</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306,910</w:t>
            </w:r>
          </w:p>
        </w:tc>
        <w:tc>
          <w:tcPr>
            <w:tcW w:w="100" w:type="dxa"/>
            <w:vAlign w:val="bottom"/>
            <w:tcBorders>
              <w:top w:val="single" w:sz="8" w:color="CFF0FC"/>
            </w:tcBorders>
          </w:tcPr>
          <w:p>
            <w:pPr>
              <w:spacing w:after="0"/>
              <w:rPr>
                <w:sz w:val="14"/>
                <w:szCs w:val="14"/>
                <w:color w:val="auto"/>
              </w:rPr>
            </w:pPr>
          </w:p>
        </w:tc>
      </w:tr>
      <w:tr>
        <w:trPr>
          <w:trHeight w:val="169"/>
        </w:trPr>
        <w:tc>
          <w:tcPr>
            <w:tcW w:w="7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840" w:type="dxa"/>
            <w:vAlign w:val="bottom"/>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9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(55,765 )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(2,096 )</w:t>
            </w:r>
          </w:p>
        </w:tc>
      </w:tr>
      <w:tr>
        <w:trPr>
          <w:trHeight w:val="175"/>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9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30,497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57,778</w:t>
            </w:r>
          </w:p>
        </w:tc>
        <w:tc>
          <w:tcPr>
            <w:tcW w:w="100" w:type="dxa"/>
            <w:vAlign w:val="bottom"/>
          </w:tcPr>
          <w:p>
            <w:pPr>
              <w:spacing w:after="0"/>
              <w:rPr>
                <w:sz w:val="14"/>
                <w:szCs w:val="14"/>
                <w:color w:val="auto"/>
              </w:rPr>
            </w:pP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9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8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5"/>
                <w:szCs w:val="15"/>
                <w:color w:val="auto"/>
              </w:rPr>
            </w:pPr>
          </w:p>
        </w:tc>
      </w:tr>
      <w:tr>
        <w:trPr>
          <w:trHeight w:val="175"/>
        </w:trPr>
        <w:tc>
          <w:tcPr>
            <w:tcW w:w="7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activity:</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7"/>
        </w:trPr>
        <w:tc>
          <w:tcPr>
            <w:tcW w:w="7840" w:type="dxa"/>
            <w:vAlign w:val="bottom"/>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94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-2646045</wp:posOffset>
            </wp:positionV>
            <wp:extent cx="6858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-2646045</wp:posOffset>
            </wp:positionV>
            <wp:extent cx="6858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-2093595</wp:posOffset>
            </wp:positionV>
            <wp:extent cx="7145020" cy="252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-1062355</wp:posOffset>
            </wp:positionV>
            <wp:extent cx="68580"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-822325</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-591185</wp:posOffset>
            </wp:positionV>
            <wp:extent cx="6858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ind w:left="4040"/>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Description of Business</w:t>
      </w:r>
    </w:p>
    <w:p>
      <w:pPr>
        <w:spacing w:after="0" w:line="121" w:lineRule="exact"/>
        <w:rPr>
          <w:sz w:val="20"/>
          <w:szCs w:val="20"/>
          <w:color w:val="auto"/>
        </w:rPr>
      </w:pPr>
    </w:p>
    <w:p>
      <w:pPr>
        <w:ind w:right="220" w:firstLine="644"/>
        <w:spacing w:after="0" w:line="268" w:lineRule="auto"/>
        <w:rPr>
          <w:sz w:val="20"/>
          <w:szCs w:val="20"/>
          <w:color w:val="auto"/>
        </w:rPr>
      </w:pPr>
      <w:r>
        <w:rPr>
          <w:rFonts w:ascii="Arial" w:cs="Arial" w:eastAsia="Arial" w:hAnsi="Arial"/>
          <w:sz w:val="17"/>
          <w:szCs w:val="17"/>
          <w:color w:val="auto"/>
        </w:rPr>
        <w:t>Xometry, Inc. (“Xometry”, the “Company”, “we”, or “our”) was incorporated in the State of Delaware in May 2013. Xometry is a global online marketplace connecting enterprise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Derwood, Maryland.</w:t>
      </w:r>
    </w:p>
    <w:p>
      <w:pPr>
        <w:spacing w:after="0" w:line="57"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Xometry uses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75" w:lineRule="exact"/>
        <w:rPr>
          <w:sz w:val="20"/>
          <w:szCs w:val="20"/>
          <w:color w:val="auto"/>
        </w:rPr>
      </w:pPr>
    </w:p>
    <w:p>
      <w:pPr>
        <w:ind w:right="260" w:firstLine="644"/>
        <w:spacing w:after="0" w:line="302" w:lineRule="auto"/>
        <w:rPr>
          <w:sz w:val="20"/>
          <w:szCs w:val="20"/>
          <w:color w:val="auto"/>
        </w:rPr>
      </w:pPr>
      <w:r>
        <w:rPr>
          <w:rFonts w:ascii="Arial" w:cs="Arial" w:eastAsia="Arial" w:hAnsi="Arial"/>
          <w:sz w:val="16"/>
          <w:szCs w:val="16"/>
          <w:color w:val="auto"/>
        </w:rPr>
        <w:t>During the second quarter of 2022, we launched the Industrial Buying Engine™ (“IBE”) which helps customers source and purchase from the more than 500,000 suppliers on Thomasnet.com. The IBE provides buyer choice including instant quote “buy-it-now” functionality and digitizes the old and time-consuming request-for-quote process. Through the IBE, buyers can request quotes for products and services from suppliers.</w:t>
      </w:r>
    </w:p>
    <w:p>
      <w:pPr>
        <w:spacing w:after="0" w:line="34"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w:t>
      </w:r>
    </w:p>
    <w:p>
      <w:pPr>
        <w:spacing w:after="0" w:line="75" w:lineRule="exact"/>
        <w:rPr>
          <w:sz w:val="20"/>
          <w:szCs w:val="20"/>
          <w:color w:val="auto"/>
        </w:rPr>
      </w:pPr>
    </w:p>
    <w:p>
      <w:pPr>
        <w:ind w:right="140" w:firstLine="644"/>
        <w:spacing w:after="0" w:line="248" w:lineRule="auto"/>
        <w:rPr>
          <w:sz w:val="20"/>
          <w:szCs w:val="20"/>
          <w:color w:val="auto"/>
        </w:rPr>
      </w:pPr>
      <w:r>
        <w:rPr>
          <w:rFonts w:ascii="Arial" w:cs="Arial" w:eastAsia="Arial" w:hAnsi="Arial"/>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services products to stabilize and enhance cash flow.</w:t>
      </w:r>
    </w:p>
    <w:p>
      <w:pPr>
        <w:spacing w:after="0" w:line="88" w:lineRule="exact"/>
        <w:rPr>
          <w:sz w:val="20"/>
          <w:szCs w:val="20"/>
          <w:color w:val="auto"/>
        </w:rPr>
      </w:pPr>
    </w:p>
    <w:p>
      <w:pPr>
        <w:ind w:right="60" w:firstLine="644"/>
        <w:spacing w:after="0" w:line="290" w:lineRule="auto"/>
        <w:rPr>
          <w:sz w:val="20"/>
          <w:szCs w:val="20"/>
          <w:color w:val="auto"/>
        </w:rPr>
      </w:pPr>
      <w:r>
        <w:rPr>
          <w:rFonts w:ascii="Arial" w:cs="Arial" w:eastAsia="Arial" w:hAnsi="Arial"/>
          <w:sz w:val="17"/>
          <w:szCs w:val="17"/>
          <w:color w:val="auto"/>
        </w:rPr>
        <w:t>In 2021, we acquired Thomas Publishing Company (“Thomas”) and Fusiform, Inc. (d.b.a. FactoryFour) (“FactoryFour”), expanding our basket of supplier services to include digital marketing and data solutions and SaaS based solutions to help suppliers optimize their productivity.</w:t>
      </w:r>
    </w:p>
    <w:p>
      <w:pPr>
        <w:spacing w:after="0" w:line="107"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During the second quarter of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39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07" w:lineRule="exact"/>
        <w:rPr>
          <w:rFonts w:ascii="Arial" w:cs="Arial" w:eastAsia="Arial" w:hAnsi="Arial"/>
          <w:sz w:val="18"/>
          <w:szCs w:val="18"/>
          <w:b w:val="1"/>
          <w:bCs w:val="1"/>
          <w:color w:val="auto"/>
        </w:rPr>
      </w:pPr>
    </w:p>
    <w:p>
      <w:pPr>
        <w:ind w:left="920" w:hanging="538"/>
        <w:spacing w:after="0"/>
        <w:tabs>
          <w:tab w:leader="none" w:pos="92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18, 2022.</w:t>
      </w:r>
    </w:p>
    <w:p>
      <w:pPr>
        <w:spacing w:after="0" w:line="91"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The condensed consolidated balance sheet as of December 31, 2021,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(deficit) and cash flows for the interim periods, but are not necessarily indicative of the results of operations to be anticipated for the full year 2022 or any future period. The Company has two reporting segments which are referred to as: (1) the United States (“U.S.”) and (2) International.</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7" w:lineRule="exact"/>
        <w:rPr>
          <w:sz w:val="20"/>
          <w:szCs w:val="20"/>
          <w:color w:val="auto"/>
        </w:rPr>
      </w:pPr>
    </w:p>
    <w:p>
      <w:pPr>
        <w:ind w:right="80" w:firstLine="644"/>
        <w:spacing w:after="0" w:line="261" w:lineRule="auto"/>
        <w:rPr>
          <w:sz w:val="20"/>
          <w:szCs w:val="20"/>
          <w:color w:val="auto"/>
        </w:rPr>
      </w:pPr>
      <w:r>
        <w:rPr>
          <w:rFonts w:ascii="Arial" w:cs="Arial" w:eastAsia="Arial" w:hAnsi="Arial"/>
          <w:sz w:val="18"/>
          <w:szCs w:val="18"/>
          <w:color w:val="auto"/>
        </w:rPr>
        <w:t>The U.S. dollar (“USD”) is the functional currency for Xometry’s consolidated subsidiaries operating in the U.S. The primary functional currency for the Company's consolidated subsidiaries operating in Germany and to a lesser extent Japan is the Euro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9" w:name="page10"/>
    <w:bookmarkEnd w:id="9"/>
    <w:p>
      <w:pPr>
        <w:spacing w:after="0" w:line="248" w:lineRule="auto"/>
        <w:rPr>
          <w:sz w:val="20"/>
          <w:szCs w:val="20"/>
          <w:color w:val="auto"/>
        </w:rPr>
      </w:pPr>
      <w:r>
        <w:rPr>
          <w:rFonts w:ascii="Arial" w:cs="Arial" w:eastAsia="Arial" w:hAnsi="Arial"/>
          <w:sz w:val="18"/>
          <w:szCs w:val="18"/>
          <w:color w:val="auto"/>
        </w:rPr>
        <w:t>("Euro") and the Yen, respectively. For the Company’s consolidated subsidiaries whose functional currencies are not the USD, the Company translates their financial statements into USDs.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Noncontrolling Interest</w:t>
      </w:r>
    </w:p>
    <w:p>
      <w:pPr>
        <w:spacing w:after="0" w:line="103" w:lineRule="exact"/>
        <w:rPr>
          <w:sz w:val="20"/>
          <w:szCs w:val="20"/>
          <w:color w:val="auto"/>
        </w:rPr>
      </w:pPr>
    </w:p>
    <w:p>
      <w:pPr>
        <w:ind w:right="120" w:firstLine="644"/>
        <w:spacing w:after="0" w:line="243" w:lineRule="auto"/>
        <w:rPr>
          <w:sz w:val="20"/>
          <w:szCs w:val="20"/>
          <w:color w:val="auto"/>
        </w:rPr>
      </w:pPr>
      <w:r>
        <w:rPr>
          <w:rFonts w:ascii="Arial" w:cs="Arial" w:eastAsia="Arial" w:hAnsi="Arial"/>
          <w:sz w:val="18"/>
          <w:szCs w:val="18"/>
          <w:color w:val="auto"/>
        </w:rPr>
        <w:t>In connection with the acquisition of Thomas on December 9, 2021, we assumed a 66.67% ownership in Incom Co., LTD. As we have a controlling interest in Incom Co., LTD, we have consolidated Incom Co., LTD into our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(deficit) on our Condensed Consolidated Balance Sheets. We include net income (loss) attributable to the noncontrolling interests in net income (loss) in our Condensed Consolidated Statements of Operations and Comprehensive Loss.</w:t>
      </w:r>
    </w:p>
    <w:p>
      <w:pPr>
        <w:spacing w:after="0" w:line="91" w:lineRule="exact"/>
        <w:rPr>
          <w:sz w:val="20"/>
          <w:szCs w:val="20"/>
          <w:color w:val="auto"/>
        </w:rPr>
      </w:pPr>
    </w:p>
    <w:p>
      <w:pPr>
        <w:ind w:left="920" w:hanging="538"/>
        <w:spacing w:after="0"/>
        <w:tabs>
          <w:tab w:leader="none" w:pos="9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03" w:lineRule="exact"/>
        <w:rPr>
          <w:sz w:val="20"/>
          <w:szCs w:val="20"/>
          <w:color w:val="auto"/>
        </w:rPr>
      </w:pPr>
    </w:p>
    <w:p>
      <w:pPr>
        <w:ind w:right="60" w:firstLine="644"/>
        <w:spacing w:after="0" w:line="255" w:lineRule="auto"/>
        <w:rPr>
          <w:sz w:val="20"/>
          <w:szCs w:val="20"/>
          <w:color w:val="auto"/>
        </w:rPr>
      </w:pPr>
      <w:r>
        <w:rPr>
          <w:rFonts w:ascii="Arial" w:cs="Arial" w:eastAsia="Arial" w:hAnsi="Arial"/>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68" w:lineRule="exact"/>
        <w:rPr>
          <w:sz w:val="20"/>
          <w:szCs w:val="20"/>
          <w:color w:val="auto"/>
        </w:rPr>
      </w:pPr>
    </w:p>
    <w:p>
      <w:pPr>
        <w:ind w:right="40" w:firstLine="644"/>
        <w:spacing w:after="0" w:line="263" w:lineRule="auto"/>
        <w:rPr>
          <w:sz w:val="20"/>
          <w:szCs w:val="20"/>
          <w:color w:val="auto"/>
        </w:rPr>
      </w:pPr>
      <w:r>
        <w:rPr>
          <w:rFonts w:ascii="Arial" w:cs="Arial" w:eastAsia="Arial" w:hAnsi="Arial"/>
          <w:sz w:val="17"/>
          <w:szCs w:val="17"/>
          <w:color w:val="auto"/>
        </w:rPr>
        <w:t>In light of the current unknown duration and severity of the COVID -19 pandemic, we continue to face potential uncertainty which may impact the judgments and estimates needed to apply our significant accounting policies. As of the date these condensed consolidated financial statements were issued, the impacts of the COVID-19 pandemic did not have a significant impact on our estimates or judgments. Judgments and assumptions may change, as new events occur and additional information is obtained, as well as other factors related to COVID-19 and economic recovery that could result in a meaningful impact on our consolidated financial statements in future reporting periods.</w:t>
      </w:r>
    </w:p>
    <w:p>
      <w:pPr>
        <w:spacing w:after="0" w:line="75" w:lineRule="exact"/>
        <w:rPr>
          <w:sz w:val="20"/>
          <w:szCs w:val="20"/>
          <w:color w:val="auto"/>
        </w:rPr>
      </w:pPr>
    </w:p>
    <w:p>
      <w:pPr>
        <w:ind w:left="920" w:hanging="538"/>
        <w:spacing w:after="0"/>
        <w:tabs>
          <w:tab w:leader="none" w:pos="9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Combinations</w:t>
      </w:r>
    </w:p>
    <w:p>
      <w:pPr>
        <w:spacing w:after="0" w:line="103" w:lineRule="exact"/>
        <w:rPr>
          <w:sz w:val="20"/>
          <w:szCs w:val="20"/>
          <w:color w:val="auto"/>
        </w:rPr>
      </w:pPr>
    </w:p>
    <w:p>
      <w:pPr>
        <w:ind w:right="20" w:firstLine="644"/>
        <w:spacing w:after="0" w:line="276" w:lineRule="auto"/>
        <w:rPr>
          <w:sz w:val="20"/>
          <w:szCs w:val="20"/>
          <w:color w:val="auto"/>
        </w:rPr>
      </w:pPr>
      <w:r>
        <w:rPr>
          <w:rFonts w:ascii="Arial" w:cs="Arial" w:eastAsia="Arial" w:hAnsi="Arial"/>
          <w:sz w:val="16"/>
          <w:szCs w:val="16"/>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condensed consolidated statements of operations. Acquisition costs, such as legal and consulting fees, are expensed as incurred.</w:t>
      </w:r>
    </w:p>
    <w:p>
      <w:pPr>
        <w:spacing w:after="0" w:line="55" w:lineRule="exact"/>
        <w:rPr>
          <w:sz w:val="20"/>
          <w:szCs w:val="20"/>
          <w:color w:val="auto"/>
        </w:rPr>
      </w:pPr>
    </w:p>
    <w:p>
      <w:pPr>
        <w:ind w:left="920" w:hanging="538"/>
        <w:spacing w:after="0"/>
        <w:tabs>
          <w:tab w:leader="none" w:pos="9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 and Financial Instruments</w:t>
      </w:r>
    </w:p>
    <w:p>
      <w:pPr>
        <w:spacing w:after="0" w:line="103"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68" w:lineRule="exact"/>
        <w:rPr>
          <w:sz w:val="20"/>
          <w:szCs w:val="20"/>
          <w:color w:val="auto"/>
        </w:rPr>
      </w:pPr>
    </w:p>
    <w:p>
      <w:pPr>
        <w:ind w:right="360" w:firstLine="644"/>
        <w:spacing w:after="0" w:line="255"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jc w:val="both"/>
        <w:ind w:right="80" w:firstLine="644"/>
        <w:spacing w:after="0" w:line="247" w:lineRule="auto"/>
        <w:rPr>
          <w:sz w:val="20"/>
          <w:szCs w:val="20"/>
          <w:color w:val="auto"/>
        </w:rPr>
      </w:pPr>
      <w:r>
        <w:rPr>
          <w:rFonts w:ascii="Arial" w:cs="Arial" w:eastAsia="Arial" w:hAnsi="Arial"/>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6" w:lineRule="exact"/>
        <w:rPr>
          <w:sz w:val="20"/>
          <w:szCs w:val="20"/>
          <w:color w:val="auto"/>
        </w:rPr>
      </w:pPr>
    </w:p>
    <w:p>
      <w:pPr>
        <w:ind w:firstLine="644"/>
        <w:spacing w:after="0" w:line="277"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10" w:name="page11"/>
    <w:bookmarkEnd w:id="10"/>
    <w:p>
      <w:pPr>
        <w:ind w:right="220" w:firstLine="644"/>
        <w:spacing w:after="0" w:line="255" w:lineRule="auto"/>
        <w:rPr>
          <w:sz w:val="20"/>
          <w:szCs w:val="20"/>
          <w:color w:val="auto"/>
        </w:rPr>
      </w:pPr>
      <w:r>
        <w:rPr>
          <w:rFonts w:ascii="Arial" w:cs="Arial" w:eastAsia="Arial" w:hAnsi="Arial"/>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68" w:lineRule="exact"/>
        <w:rPr>
          <w:sz w:val="20"/>
          <w:szCs w:val="20"/>
          <w:color w:val="auto"/>
        </w:rPr>
      </w:pPr>
    </w:p>
    <w:p>
      <w:pPr>
        <w:ind w:left="920" w:hanging="538"/>
        <w:spacing w:after="0"/>
        <w:tabs>
          <w:tab w:leader="none" w:pos="9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80" w:firstLine="689"/>
        <w:spacing w:after="0" w:line="272" w:lineRule="auto"/>
        <w:rPr>
          <w:sz w:val="20"/>
          <w:szCs w:val="20"/>
          <w:color w:val="auto"/>
        </w:rPr>
      </w:pPr>
      <w:r>
        <w:rPr>
          <w:rFonts w:ascii="Arial" w:cs="Arial" w:eastAsia="Arial" w:hAnsi="Arial"/>
          <w:sz w:val="16"/>
          <w:szCs w:val="16"/>
          <w:color w:val="auto"/>
        </w:rPr>
        <w:t>The Company measures its marketable securities at fair value and recognizes any changes in fair value in net loss. Our marketable securities represent our investment in a short-term bond fund and a money market fund. We consider our marketable securities as available for use in current operations, and therefore classify these securities as current assets on the Condensed Consolidated Balance Sheets. As of September 30, 2022, and December 31, 2021, the Company's marketable securities of $310.7 million and $30.5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During the three and nine months ended September 30, 2022, the Company recorded unrealized losses of $0.5 million and $1.7 million, respectively related to these securities. For the three months and nine months ended September 30, 2021, the Company recorded unrealized losses of $0.2 million related to these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securities. These losses are recorded in other expenses on the Condensed Consolidated Statements of Operations and Comprehensive Loss.</w:t>
      </w:r>
    </w:p>
    <w:p>
      <w:pPr>
        <w:spacing w:after="0" w:line="127" w:lineRule="exact"/>
        <w:rPr>
          <w:sz w:val="20"/>
          <w:szCs w:val="20"/>
          <w:color w:val="auto"/>
        </w:rPr>
      </w:pPr>
    </w:p>
    <w:p>
      <w:pPr>
        <w:ind w:left="920" w:hanging="538"/>
        <w:spacing w:after="0"/>
        <w:tabs>
          <w:tab w:leader="none" w:pos="9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firstLine="644"/>
        <w:spacing w:after="0" w:line="280" w:lineRule="auto"/>
        <w:rPr>
          <w:sz w:val="20"/>
          <w:szCs w:val="20"/>
          <w:color w:val="auto"/>
        </w:rPr>
      </w:pPr>
      <w:r>
        <w:rPr>
          <w:rFonts w:ascii="Arial" w:cs="Arial" w:eastAsia="Arial" w:hAnsi="Arial"/>
          <w:sz w:val="16"/>
          <w:szCs w:val="16"/>
          <w:color w:val="auto"/>
        </w:rPr>
        <w:t>Accounts receivable are stated at the amount the Company expects to collect from outstanding balances. For buyers for which Xometry provides credit, the Company performs credit inquiries, including references checks, and queries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w:t>
      </w:r>
      <w:r>
        <w:rPr>
          <w:rFonts w:ascii="Arial" w:cs="Arial" w:eastAsia="Arial" w:hAnsi="Arial"/>
          <w:sz w:val="17"/>
          <w:szCs w:val="17"/>
          <w:color w:val="auto"/>
        </w:rPr>
        <w:t>.</w:t>
      </w:r>
      <w:r>
        <w:rPr>
          <w:rFonts w:ascii="Arial" w:cs="Arial" w:eastAsia="Arial" w:hAnsi="Arial"/>
          <w:sz w:val="16"/>
          <w:szCs w:val="16"/>
          <w:color w:val="auto"/>
        </w:rPr>
        <w:t xml:space="preserve"> Balances that are still outstanding after management has used reasonable collection efforts are written off through a charge to the valuation allowance and a credit to accounts receivable.</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related to accounts receivable and changes were as follows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13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8"/>
                <w:szCs w:val="18"/>
                <w:color w:val="auto"/>
              </w:rPr>
              <w:t>Balance at beginning of year, January 1</w:t>
            </w:r>
          </w:p>
        </w:tc>
        <w:tc>
          <w:tcPr>
            <w:tcW w:w="1360" w:type="dxa"/>
            <w:vAlign w:val="bottom"/>
          </w:tcPr>
          <w:p>
            <w:pPr>
              <w:jc w:val="right"/>
              <w:ind w:right="117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 to provision accounts</w:t>
            </w:r>
          </w:p>
        </w:tc>
        <w:tc>
          <w:tcPr>
            <w:tcW w:w="13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8"/>
                <w:szCs w:val="18"/>
                <w:color w:val="auto"/>
              </w:rPr>
              <w:t>Recoveries or other</w:t>
            </w:r>
          </w:p>
        </w:tc>
        <w:tc>
          <w:tcPr>
            <w:tcW w:w="1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(237 )</w:t>
            </w:r>
          </w:p>
        </w:tc>
        <w:tc>
          <w:tcPr>
            <w:tcW w:w="4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(55 )</w:t>
            </w:r>
          </w:p>
        </w:tc>
      </w:tr>
      <w:tr>
        <w:trPr>
          <w:trHeight w:val="249"/>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period end, September 30 and December 31</w:t>
            </w:r>
          </w:p>
        </w:tc>
        <w:tc>
          <w:tcPr>
            <w:tcW w:w="1360" w:type="dxa"/>
            <w:vAlign w:val="bottom"/>
            <w:tcBorders>
              <w:top w:val="single" w:sz="8" w:color="auto"/>
              <w:bottom w:val="single" w:sz="8" w:color="auto"/>
            </w:tcBorders>
            <w:shd w:val="clear" w:color="auto" w:fill="CFF0FC"/>
          </w:tcPr>
          <w:p>
            <w:pPr>
              <w:jc w:val="right"/>
              <w:ind w:right="11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ind w:left="920" w:hanging="538"/>
        <w:spacing w:after="0"/>
        <w:tabs>
          <w:tab w:leader="none" w:pos="9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and Long-Lived Assets</w:t>
      </w:r>
    </w:p>
    <w:p>
      <w:pPr>
        <w:spacing w:after="0" w:line="103" w:lineRule="exact"/>
        <w:rPr>
          <w:sz w:val="20"/>
          <w:szCs w:val="20"/>
          <w:color w:val="auto"/>
        </w:rPr>
      </w:pPr>
    </w:p>
    <w:p>
      <w:pPr>
        <w:ind w:right="80" w:firstLine="644"/>
        <w:spacing w:after="0" w:line="255"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68" w:lineRule="exact"/>
        <w:rPr>
          <w:sz w:val="20"/>
          <w:szCs w:val="20"/>
          <w:color w:val="auto"/>
        </w:rPr>
      </w:pPr>
    </w:p>
    <w:p>
      <w:pPr>
        <w:ind w:right="80" w:firstLine="644"/>
        <w:spacing w:after="0" w:line="263" w:lineRule="auto"/>
        <w:rPr>
          <w:sz w:val="20"/>
          <w:szCs w:val="20"/>
          <w:color w:val="auto"/>
        </w:rPr>
      </w:pPr>
      <w:r>
        <w:rPr>
          <w:rFonts w:ascii="Arial" w:cs="Arial" w:eastAsia="Arial" w:hAnsi="Arial"/>
          <w:sz w:val="17"/>
          <w:szCs w:val="17"/>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63" w:lineRule="exact"/>
        <w:rPr>
          <w:sz w:val="20"/>
          <w:szCs w:val="20"/>
          <w:color w:val="auto"/>
        </w:rPr>
      </w:pPr>
    </w:p>
    <w:p>
      <w:pPr>
        <w:ind w:right="40" w:firstLine="644"/>
        <w:spacing w:after="0" w:line="263" w:lineRule="auto"/>
        <w:rPr>
          <w:sz w:val="20"/>
          <w:szCs w:val="20"/>
          <w:color w:val="auto"/>
        </w:rPr>
      </w:pPr>
      <w:r>
        <w:rPr>
          <w:rFonts w:ascii="Arial" w:cs="Arial" w:eastAsia="Arial" w:hAnsi="Arial"/>
          <w:sz w:val="17"/>
          <w:szCs w:val="17"/>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$7.9 million for the nine months ended September 30, 2022 and $5.2 million for the year ended December 31, 2021.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1" w:name="page12"/>
    <w:bookmarkEnd w:id="11"/>
    <w:p>
      <w:pPr>
        <w:ind w:right="80" w:firstLine="644"/>
        <w:spacing w:after="0" w:line="267" w:lineRule="auto"/>
        <w:rPr>
          <w:sz w:val="20"/>
          <w:szCs w:val="20"/>
          <w:color w:val="auto"/>
        </w:rPr>
      </w:pPr>
      <w:r>
        <w:rPr>
          <w:rFonts w:ascii="Arial" w:cs="Arial" w:eastAsia="Arial" w:hAnsi="Arial"/>
          <w:sz w:val="17"/>
          <w:szCs w:val="17"/>
          <w:color w:val="auto"/>
        </w:rPr>
        <w:t>During the three and nine months ended September 30, 2022, the Company recorded impairments of approximately $0.3 million and $0.4 million, respectively related to abandoned software projects that were previously in development and/or other assets to be disposed. For the three and nine months ended September 30, 2022, $36,000 and $0.1 million, respectively of these impairments were recorded in our U.S. reporting segment. For the three and nine months ended September 30, 2022, $0.3 million, respectively of these impairments were recorded in our International reporting segment. No impairments were recorded during the three and nine months ended September 30, 2021.</w:t>
      </w:r>
    </w:p>
    <w:p>
      <w:pPr>
        <w:spacing w:after="0" w:line="59" w:lineRule="exact"/>
        <w:rPr>
          <w:sz w:val="20"/>
          <w:szCs w:val="20"/>
          <w:color w:val="auto"/>
        </w:rPr>
      </w:pPr>
    </w:p>
    <w:p>
      <w:pPr>
        <w:ind w:left="920" w:hanging="538"/>
        <w:spacing w:after="0"/>
        <w:tabs>
          <w:tab w:leader="none" w:pos="9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w:t>
      </w:r>
    </w:p>
    <w:p>
      <w:pPr>
        <w:spacing w:after="0" w:line="103" w:lineRule="exact"/>
        <w:rPr>
          <w:sz w:val="20"/>
          <w:szCs w:val="20"/>
          <w:color w:val="auto"/>
        </w:rPr>
      </w:pPr>
    </w:p>
    <w:p>
      <w:pPr>
        <w:ind w:right="240" w:firstLine="644"/>
        <w:spacing w:after="0" w:line="277" w:lineRule="auto"/>
        <w:rPr>
          <w:sz w:val="20"/>
          <w:szCs w:val="20"/>
          <w:color w:val="auto"/>
        </w:rPr>
      </w:pPr>
      <w:r>
        <w:rPr>
          <w:rFonts w:ascii="Arial" w:cs="Arial" w:eastAsia="Arial" w:hAnsi="Arial"/>
          <w:sz w:val="17"/>
          <w:szCs w:val="17"/>
          <w:color w:val="auto"/>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Arial" w:cs="Arial" w:eastAsia="Arial" w:hAnsi="Arial"/>
          <w:sz w:val="17"/>
          <w:szCs w:val="17"/>
          <w:i w:val="1"/>
          <w:iCs w:val="1"/>
          <w:color w:val="auto"/>
        </w:rPr>
        <w:t>Topic 606, Revenue from Contracts with Customers</w:t>
      </w:r>
      <w:r>
        <w:rPr>
          <w:rFonts w:ascii="Arial" w:cs="Arial" w:eastAsia="Arial" w:hAnsi="Arial"/>
          <w:sz w:val="17"/>
          <w:szCs w:val="17"/>
          <w:color w:val="auto"/>
        </w:rPr>
        <w:t xml:space="preserve"> (“ASC 606”).</w:t>
      </w:r>
    </w:p>
    <w:p>
      <w:pPr>
        <w:spacing w:after="0" w:line="51" w:lineRule="exact"/>
        <w:rPr>
          <w:sz w:val="20"/>
          <w:szCs w:val="20"/>
          <w:color w:val="auto"/>
        </w:rPr>
      </w:pPr>
    </w:p>
    <w:p>
      <w:pPr>
        <w:ind w:firstLine="644"/>
        <w:spacing w:after="0" w:line="246"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75" w:lineRule="exact"/>
        <w:rPr>
          <w:sz w:val="20"/>
          <w:szCs w:val="20"/>
          <w:color w:val="auto"/>
        </w:rPr>
      </w:pPr>
    </w:p>
    <w:p>
      <w:pPr>
        <w:ind w:right="80" w:firstLine="644"/>
        <w:spacing w:after="0" w:line="244"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78" w:lineRule="exact"/>
        <w:rPr>
          <w:sz w:val="20"/>
          <w:szCs w:val="20"/>
          <w:color w:val="auto"/>
        </w:rPr>
      </w:pPr>
    </w:p>
    <w:p>
      <w:pPr>
        <w:ind w:right="60" w:firstLine="644"/>
        <w:spacing w:after="0" w:line="274" w:lineRule="auto"/>
        <w:rPr>
          <w:sz w:val="20"/>
          <w:szCs w:val="20"/>
          <w:color w:val="auto"/>
        </w:rPr>
      </w:pPr>
      <w:r>
        <w:rPr>
          <w:rFonts w:ascii="Arial" w:cs="Arial" w:eastAsia="Arial" w:hAnsi="Arial"/>
          <w:sz w:val="16"/>
          <w:szCs w:val="16"/>
          <w:color w:val="auto"/>
        </w:rPr>
        <w:t>Xometry also derives revenue from its supplier services which is a suite of services offered to our suppliers. In connection with the acquisition of Thomas on December 9, 2021, our revenue also includes the sale of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product or service is transferred to the customer.</w:t>
      </w:r>
    </w:p>
    <w:p>
      <w:pPr>
        <w:spacing w:after="0" w:line="117" w:lineRule="exact"/>
        <w:rPr>
          <w:sz w:val="20"/>
          <w:szCs w:val="20"/>
          <w:color w:val="auto"/>
        </w:rPr>
      </w:pPr>
    </w:p>
    <w:p>
      <w:pPr>
        <w:ind w:right="120" w:firstLine="644"/>
        <w:spacing w:after="0" w:line="261" w:lineRule="auto"/>
        <w:rPr>
          <w:sz w:val="20"/>
          <w:szCs w:val="20"/>
          <w:color w:val="auto"/>
        </w:rPr>
      </w:pPr>
      <w:r>
        <w:rPr>
          <w:rFonts w:ascii="Arial" w:cs="Arial" w:eastAsia="Arial" w:hAnsi="Arial"/>
          <w:sz w:val="18"/>
          <w:szCs w:val="18"/>
          <w:color w:val="auto"/>
        </w:rPr>
        <w:t>Revenue is shown net of estimated returns, refunds, and allowances. As of September 30, 2022, and December 31, 2021, the Company has a $0.3 million and $0.2 million, respectively, provision for estimated returns, refunds or allowances.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03" w:lineRule="exact"/>
        <w:rPr>
          <w:sz w:val="20"/>
          <w:szCs w:val="20"/>
          <w:color w:val="auto"/>
        </w:rPr>
      </w:pPr>
    </w:p>
    <w:p>
      <w:pPr>
        <w:ind w:firstLine="644"/>
        <w:spacing w:after="0" w:line="341" w:lineRule="auto"/>
        <w:rPr>
          <w:sz w:val="20"/>
          <w:szCs w:val="20"/>
          <w:color w:val="auto"/>
        </w:rPr>
      </w:pPr>
      <w:r>
        <w:rPr>
          <w:rFonts w:ascii="Arial" w:cs="Arial" w:eastAsia="Arial" w:hAnsi="Arial"/>
          <w:sz w:val="16"/>
          <w:szCs w:val="16"/>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contract liabilities as of December 31, 2021 and September 30, 2022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 at December 31, 2021</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6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(126,830 )</w:t>
            </w: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Payments received in advance</w:t>
            </w: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20"/>
              <w:spacing w:after="0"/>
              <w:rPr>
                <w:sz w:val="20"/>
                <w:szCs w:val="20"/>
                <w:color w:val="auto"/>
              </w:rPr>
            </w:pPr>
            <w:r>
              <w:rPr>
                <w:rFonts w:ascii="Arial" w:cs="Arial" w:eastAsia="Arial" w:hAnsi="Arial"/>
                <w:sz w:val="18"/>
                <w:szCs w:val="18"/>
                <w:color w:val="auto"/>
              </w:rPr>
              <w:t>Contract liabilities at September 30, 2022</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84" w:lineRule="exact"/>
        <w:rPr>
          <w:sz w:val="20"/>
          <w:szCs w:val="20"/>
          <w:color w:val="auto"/>
        </w:rPr>
      </w:pPr>
    </w:p>
    <w:p>
      <w:pPr>
        <w:ind w:right="660" w:firstLine="644"/>
        <w:spacing w:after="0" w:line="261" w:lineRule="auto"/>
        <w:rPr>
          <w:sz w:val="20"/>
          <w:szCs w:val="20"/>
          <w:color w:val="auto"/>
        </w:rPr>
      </w:pPr>
      <w:r>
        <w:rPr>
          <w:rFonts w:ascii="Arial" w:cs="Arial" w:eastAsia="Arial" w:hAnsi="Arial"/>
          <w:sz w:val="18"/>
          <w:szCs w:val="18"/>
          <w:color w:val="auto"/>
        </w:rPr>
        <w:t>During the nine months ended September 30, 2022, the Company recognized approximately $7.2 million of revenue related to its contract liabilities at December 31, 2021.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Sales Contract Acquisition Costs</w:t>
      </w:r>
    </w:p>
    <w:p>
      <w:pPr>
        <w:spacing w:after="0" w:line="211" w:lineRule="exact"/>
        <w:rPr>
          <w:sz w:val="20"/>
          <w:szCs w:val="20"/>
          <w:color w:val="auto"/>
        </w:rPr>
      </w:pPr>
    </w:p>
    <w:p>
      <w:pPr>
        <w:ind w:firstLine="644"/>
        <w:spacing w:after="0" w:line="277" w:lineRule="auto"/>
        <w:rPr>
          <w:sz w:val="20"/>
          <w:szCs w:val="20"/>
          <w:color w:val="auto"/>
        </w:rPr>
      </w:pPr>
      <w:r>
        <w:rPr>
          <w:rFonts w:ascii="Arial" w:cs="Arial" w:eastAsia="Arial" w:hAnsi="Arial"/>
          <w:sz w:val="16"/>
          <w:szCs w:val="16"/>
          <w:color w:val="auto"/>
        </w:rPr>
        <w:t>The Company’s incremental costs to obtain a contract may include a sales commission which is generally determined on a per order basis. For contracts in excess of one year, the Company amortizes such costs on a straight-line basis over the average customer life of two years for new customers and over the renewal period for existing customers which is generally one year. Sales commissions are included in Xometry’s sales and marketing expenses and cost of revenue in the Condensed Consolidated Statements of Operations and Comprehensive Loss. For the three months and nine months ended September 30, 2022, we recognized approximately $1.6 million and $3.1 million, respectively of amortization related to deferred sales commissions.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nine month ended amount includes a $1.9 million measurement period benefit related to our acquisition of Thomas. See Note 7 - Acquisitions.</w:t>
      </w:r>
    </w:p>
    <w:p>
      <w:pPr>
        <w:spacing w:after="0" w:line="128" w:lineRule="exact"/>
        <w:rPr>
          <w:sz w:val="20"/>
          <w:szCs w:val="20"/>
          <w:color w:val="auto"/>
        </w:rPr>
      </w:pPr>
    </w:p>
    <w:p>
      <w:pPr>
        <w:ind w:left="920" w:hanging="538"/>
        <w:spacing w:after="0"/>
        <w:tabs>
          <w:tab w:leader="none" w:pos="9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w:t>
      </w:r>
    </w:p>
    <w:p>
      <w:pPr>
        <w:spacing w:after="0" w:line="211" w:lineRule="exact"/>
        <w:rPr>
          <w:sz w:val="20"/>
          <w:szCs w:val="20"/>
          <w:color w:val="auto"/>
        </w:rPr>
      </w:pPr>
    </w:p>
    <w:p>
      <w:pPr>
        <w:ind w:right="180" w:firstLine="644"/>
        <w:spacing w:after="0" w:line="290" w:lineRule="auto"/>
        <w:rPr>
          <w:sz w:val="20"/>
          <w:szCs w:val="20"/>
          <w:color w:val="auto"/>
        </w:rPr>
      </w:pPr>
      <w:r>
        <w:rPr>
          <w:rFonts w:ascii="Arial" w:cs="Arial" w:eastAsia="Arial" w:hAnsi="Arial"/>
          <w:sz w:val="17"/>
          <w:szCs w:val="17"/>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revenue for supplier services primarily consists of internal and external production costs and website hosting.</w:t>
      </w:r>
    </w:p>
    <w:p>
      <w:pPr>
        <w:spacing w:after="0" w:line="103" w:lineRule="exact"/>
        <w:rPr>
          <w:sz w:val="20"/>
          <w:szCs w:val="20"/>
          <w:color w:val="auto"/>
        </w:rPr>
      </w:pPr>
    </w:p>
    <w:p>
      <w:pPr>
        <w:ind w:left="920" w:hanging="538"/>
        <w:spacing w:after="0"/>
        <w:tabs>
          <w:tab w:leader="none" w:pos="9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644"/>
        <w:spacing w:after="0" w:line="279" w:lineRule="auto"/>
        <w:rPr>
          <w:sz w:val="20"/>
          <w:szCs w:val="20"/>
          <w:color w:val="auto"/>
        </w:rPr>
      </w:pPr>
      <w:r>
        <w:rPr>
          <w:rFonts w:ascii="Arial" w:cs="Arial" w:eastAsia="Arial" w:hAnsi="Arial"/>
          <w:sz w:val="16"/>
          <w:szCs w:val="16"/>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Condensed Consolidated Balance Sheets. The Company has finance leases as detailed in the Long-Lived Assets section above.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65" w:lineRule="exact"/>
        <w:rPr>
          <w:sz w:val="20"/>
          <w:szCs w:val="20"/>
          <w:color w:val="auto"/>
        </w:rPr>
      </w:pPr>
    </w:p>
    <w:p>
      <w:pPr>
        <w:ind w:firstLine="644"/>
        <w:spacing w:after="0" w:line="279"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03" w:lineRule="exact"/>
        <w:rPr>
          <w:sz w:val="20"/>
          <w:szCs w:val="20"/>
          <w:color w:val="auto"/>
        </w:rPr>
      </w:pPr>
    </w:p>
    <w:p>
      <w:pPr>
        <w:ind w:left="920" w:hanging="538"/>
        <w:spacing w:after="0"/>
        <w:tabs>
          <w:tab w:leader="none" w:pos="9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and Marketing</w:t>
      </w:r>
    </w:p>
    <w:p>
      <w:pPr>
        <w:spacing w:after="0" w:line="103" w:lineRule="exact"/>
        <w:rPr>
          <w:sz w:val="20"/>
          <w:szCs w:val="20"/>
          <w:color w:val="auto"/>
        </w:rPr>
      </w:pPr>
    </w:p>
    <w:p>
      <w:pPr>
        <w:ind w:right="140" w:firstLine="644"/>
        <w:spacing w:after="0" w:line="289" w:lineRule="auto"/>
        <w:rPr>
          <w:sz w:val="20"/>
          <w:szCs w:val="20"/>
          <w:color w:val="auto"/>
        </w:rPr>
      </w:pPr>
      <w:r>
        <w:rPr>
          <w:rFonts w:ascii="Arial" w:cs="Arial" w:eastAsia="Arial" w:hAnsi="Arial"/>
          <w:sz w:val="16"/>
          <w:szCs w:val="16"/>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three and nine months ended September 30, 2022, the Company's advertising cost were $8.3 million and $23.3 million, respectively. For the three and nine months ended September 30, 2021, the Company's advertising cost were $5.5 million and $14.4 million, respectively.</w:t>
      </w:r>
    </w:p>
    <w:p>
      <w:pPr>
        <w:spacing w:after="0" w:line="44" w:lineRule="exact"/>
        <w:rPr>
          <w:sz w:val="20"/>
          <w:szCs w:val="20"/>
          <w:color w:val="auto"/>
        </w:rPr>
      </w:pPr>
    </w:p>
    <w:p>
      <w:pPr>
        <w:ind w:left="920" w:hanging="538"/>
        <w:spacing w:after="0"/>
        <w:tabs>
          <w:tab w:leader="none" w:pos="9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Operations and Support</w:t>
      </w:r>
    </w:p>
    <w:p>
      <w:pPr>
        <w:spacing w:after="0" w:line="117" w:lineRule="exact"/>
        <w:rPr>
          <w:sz w:val="20"/>
          <w:szCs w:val="20"/>
          <w:color w:val="auto"/>
        </w:rPr>
      </w:pPr>
    </w:p>
    <w:p>
      <w:pPr>
        <w:ind w:right="100" w:firstLine="644"/>
        <w:spacing w:after="0" w:line="248" w:lineRule="auto"/>
        <w:rPr>
          <w:sz w:val="20"/>
          <w:szCs w:val="20"/>
          <w:color w:val="auto"/>
        </w:rPr>
      </w:pPr>
      <w:r>
        <w:rPr>
          <w:rFonts w:ascii="Arial" w:cs="Arial" w:eastAsia="Arial" w:hAnsi="Arial"/>
          <w:sz w:val="18"/>
          <w:szCs w:val="18"/>
          <w:color w:val="auto"/>
        </w:rPr>
        <w:t>Operations and support expenses are the costs the Company incurs in support of buyers and suppliers on Xometry’s platforms which are provided by phone, email and chat for purposes of resolving buyer and supplier related matters. These costs primarily consist of compensation expenses of the support staff, including stock-based compensation, certain depreciation and amortization expense and software costs used in delivering buyer and supplier services.</w:t>
      </w:r>
    </w:p>
    <w:p>
      <w:pPr>
        <w:spacing w:after="0" w:line="75" w:lineRule="exact"/>
        <w:rPr>
          <w:sz w:val="20"/>
          <w:szCs w:val="20"/>
          <w:color w:val="auto"/>
        </w:rPr>
      </w:pPr>
    </w:p>
    <w:p>
      <w:pPr>
        <w:ind w:left="920" w:hanging="538"/>
        <w:spacing w:after="0"/>
        <w:tabs>
          <w:tab w:leader="none" w:pos="9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 Development</w:t>
      </w:r>
    </w:p>
    <w:p>
      <w:pPr>
        <w:spacing w:after="0" w:line="103" w:lineRule="exact"/>
        <w:rPr>
          <w:sz w:val="20"/>
          <w:szCs w:val="20"/>
          <w:color w:val="auto"/>
        </w:rPr>
      </w:pPr>
    </w:p>
    <w:p>
      <w:pPr>
        <w:ind w:right="160" w:firstLine="644"/>
        <w:spacing w:after="0" w:line="341" w:lineRule="auto"/>
        <w:rPr>
          <w:sz w:val="20"/>
          <w:szCs w:val="20"/>
          <w:color w:val="auto"/>
        </w:rPr>
      </w:pPr>
      <w:r>
        <w:rPr>
          <w:rFonts w:ascii="Arial" w:cs="Arial" w:eastAsia="Arial" w:hAnsi="Arial"/>
          <w:sz w:val="16"/>
          <w:szCs w:val="16"/>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3" w:lineRule="exact"/>
        <w:rPr>
          <w:sz w:val="20"/>
          <w:szCs w:val="20"/>
          <w:color w:val="auto"/>
        </w:rPr>
      </w:pPr>
    </w:p>
    <w:p>
      <w:pPr>
        <w:ind w:left="920" w:hanging="538"/>
        <w:spacing w:after="0"/>
        <w:tabs>
          <w:tab w:leader="none" w:pos="9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and Administrative</w:t>
      </w:r>
    </w:p>
    <w:p>
      <w:pPr>
        <w:spacing w:after="0" w:line="103" w:lineRule="exact"/>
        <w:rPr>
          <w:sz w:val="20"/>
          <w:szCs w:val="20"/>
          <w:color w:val="auto"/>
        </w:rPr>
      </w:pPr>
    </w:p>
    <w:p>
      <w:pPr>
        <w:ind w:right="260" w:firstLine="644"/>
        <w:spacing w:after="0" w:line="307" w:lineRule="auto"/>
        <w:rPr>
          <w:sz w:val="20"/>
          <w:szCs w:val="20"/>
          <w:color w:val="auto"/>
        </w:rPr>
      </w:pPr>
      <w:r>
        <w:rPr>
          <w:rFonts w:ascii="Arial" w:cs="Arial" w:eastAsia="Arial" w:hAnsi="Arial"/>
          <w:sz w:val="17"/>
          <w:szCs w:val="17"/>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13" w:name="page14"/>
    <w:bookmarkEnd w:id="13"/>
    <w:p>
      <w:pPr>
        <w:ind w:left="920" w:hanging="538"/>
        <w:spacing w:after="0"/>
        <w:tabs>
          <w:tab w:leader="none" w:pos="9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60" w:firstLine="644"/>
        <w:spacing w:after="0" w:line="245" w:lineRule="auto"/>
        <w:rPr>
          <w:sz w:val="20"/>
          <w:szCs w:val="20"/>
          <w:color w:val="auto"/>
        </w:rPr>
      </w:pPr>
      <w:r>
        <w:rPr>
          <w:rFonts w:ascii="Arial" w:cs="Arial" w:eastAsia="Arial" w:hAnsi="Arial"/>
          <w:sz w:val="18"/>
          <w:szCs w:val="18"/>
          <w:color w:val="auto"/>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variables include:</w:t>
      </w:r>
    </w:p>
    <w:p>
      <w:pPr>
        <w:spacing w:after="0" w:line="103" w:lineRule="exact"/>
        <w:rPr>
          <w:sz w:val="20"/>
          <w:szCs w:val="20"/>
          <w:color w:val="auto"/>
        </w:rPr>
      </w:pPr>
    </w:p>
    <w:p>
      <w:pPr>
        <w:ind w:left="1220" w:hanging="56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03" w:lineRule="exact"/>
        <w:rPr>
          <w:rFonts w:ascii="Arial" w:cs="Arial" w:eastAsia="Arial" w:hAnsi="Arial"/>
          <w:sz w:val="18"/>
          <w:szCs w:val="18"/>
          <w:color w:val="auto"/>
        </w:rPr>
      </w:pPr>
    </w:p>
    <w:p>
      <w:pPr>
        <w:ind w:left="1220" w:hanging="56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03" w:lineRule="exact"/>
        <w:rPr>
          <w:rFonts w:ascii="Arial" w:cs="Arial" w:eastAsia="Arial" w:hAnsi="Arial"/>
          <w:sz w:val="18"/>
          <w:szCs w:val="18"/>
          <w:color w:val="auto"/>
        </w:rPr>
      </w:pPr>
    </w:p>
    <w:p>
      <w:pPr>
        <w:ind w:left="1220" w:hanging="56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6" w:lineRule="exact"/>
        <w:rPr>
          <w:rFonts w:ascii="Arial" w:cs="Arial" w:eastAsia="Arial" w:hAnsi="Arial"/>
          <w:sz w:val="18"/>
          <w:szCs w:val="18"/>
          <w:color w:val="auto"/>
        </w:rPr>
      </w:pPr>
    </w:p>
    <w:p>
      <w:pPr>
        <w:ind w:left="1220" w:hanging="56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03" w:lineRule="exact"/>
        <w:rPr>
          <w:rFonts w:ascii="Arial" w:cs="Arial" w:eastAsia="Arial" w:hAnsi="Arial"/>
          <w:sz w:val="18"/>
          <w:szCs w:val="18"/>
          <w:color w:val="auto"/>
        </w:rPr>
      </w:pPr>
    </w:p>
    <w:p>
      <w:pPr>
        <w:ind w:left="1220" w:hanging="56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03" w:lineRule="exact"/>
        <w:rPr>
          <w:rFonts w:ascii="Arial" w:cs="Arial" w:eastAsia="Arial" w:hAnsi="Arial"/>
          <w:sz w:val="18"/>
          <w:szCs w:val="18"/>
          <w:color w:val="auto"/>
        </w:rPr>
      </w:pPr>
    </w:p>
    <w:p>
      <w:pPr>
        <w:ind w:left="1220" w:hanging="56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17"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As there was no public market for the Company's common stock prior to the initial public offering (“IPO”), the Company estimates its expected share price volatility based on the historical volatility of publicly traded peer companies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91" w:lineRule="exact"/>
        <w:rPr>
          <w:sz w:val="20"/>
          <w:szCs w:val="20"/>
          <w:color w:val="auto"/>
        </w:rPr>
      </w:pPr>
    </w:p>
    <w:p>
      <w:pPr>
        <w:ind w:left="920" w:hanging="538"/>
        <w:spacing w:after="0"/>
        <w:tabs>
          <w:tab w:leader="none" w:pos="9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Share</w:t>
      </w:r>
    </w:p>
    <w:p>
      <w:pPr>
        <w:spacing w:after="0" w:line="103" w:lineRule="exact"/>
        <w:rPr>
          <w:sz w:val="20"/>
          <w:szCs w:val="20"/>
          <w:color w:val="auto"/>
        </w:rPr>
      </w:pPr>
    </w:p>
    <w:p>
      <w:pPr>
        <w:ind w:right="20" w:firstLine="644"/>
        <w:spacing w:after="0" w:line="24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 Vested RSUs that have not been settled have been included in the appropriate common share class used to calculate basic net loss per share.</w:t>
      </w:r>
    </w:p>
    <w:p>
      <w:pPr>
        <w:spacing w:after="0" w:line="76"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Subsequent to the Company's IPO on July 2, 2021, 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spacing w:after="0" w:line="91" w:lineRule="exact"/>
        <w:rPr>
          <w:sz w:val="20"/>
          <w:szCs w:val="20"/>
          <w:color w:val="auto"/>
        </w:rPr>
      </w:pPr>
    </w:p>
    <w:p>
      <w:pPr>
        <w:ind w:left="920" w:hanging="538"/>
        <w:spacing w:after="0"/>
        <w:tabs>
          <w:tab w:leader="none" w:pos="9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03" w:lineRule="exact"/>
        <w:rPr>
          <w:sz w:val="20"/>
          <w:szCs w:val="20"/>
          <w:color w:val="auto"/>
        </w:rPr>
      </w:pPr>
    </w:p>
    <w:p>
      <w:pPr>
        <w:ind w:right="740" w:firstLine="644"/>
        <w:spacing w:after="0" w:line="261" w:lineRule="auto"/>
        <w:rPr>
          <w:sz w:val="20"/>
          <w:szCs w:val="20"/>
          <w:color w:val="auto"/>
        </w:rPr>
      </w:pPr>
      <w:r>
        <w:rPr>
          <w:rFonts w:ascii="Arial" w:cs="Arial" w:eastAsia="Arial" w:hAnsi="Arial"/>
          <w:sz w:val="18"/>
          <w:szCs w:val="18"/>
          <w:color w:val="auto"/>
        </w:rPr>
        <w:t>Certain line items on the Company’s condensed consolidated financial statements have been reclassified to conform to the current period presentation. These reclassifications have not changed the results of operations of prior periods.</w:t>
      </w:r>
    </w:p>
    <w:p>
      <w:pPr>
        <w:spacing w:after="0" w:line="76" w:lineRule="exact"/>
        <w:rPr>
          <w:sz w:val="20"/>
          <w:szCs w:val="20"/>
          <w:color w:val="auto"/>
        </w:rPr>
      </w:pPr>
    </w:p>
    <w:p>
      <w:pPr>
        <w:ind w:left="960" w:hanging="578"/>
        <w:spacing w:after="0"/>
        <w:tabs>
          <w:tab w:leader="none" w:pos="9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 in the Current Year</w:t>
      </w:r>
    </w:p>
    <w:p>
      <w:pPr>
        <w:spacing w:after="0" w:line="117" w:lineRule="exact"/>
        <w:rPr>
          <w:sz w:val="20"/>
          <w:szCs w:val="20"/>
          <w:color w:val="auto"/>
        </w:rPr>
      </w:pPr>
    </w:p>
    <w:p>
      <w:pPr>
        <w:ind w:right="20" w:firstLine="644"/>
        <w:spacing w:after="0" w:line="260" w:lineRule="auto"/>
        <w:rPr>
          <w:sz w:val="20"/>
          <w:szCs w:val="20"/>
          <w:color w:val="auto"/>
        </w:rPr>
      </w:pPr>
      <w:r>
        <w:rPr>
          <w:rFonts w:ascii="Arial" w:cs="Arial" w:eastAsia="Arial" w:hAnsi="Arial"/>
          <w:sz w:val="17"/>
          <w:szCs w:val="17"/>
          <w:color w:val="auto"/>
        </w:rPr>
        <w:t xml:space="preserve">In August 2020, the FASB issued Accounting Standards Update (“ASU”) 2020-06, </w:t>
      </w:r>
      <w:r>
        <w:rPr>
          <w:rFonts w:ascii="Arial" w:cs="Arial" w:eastAsia="Arial" w:hAnsi="Arial"/>
          <w:sz w:val="17"/>
          <w:szCs w:val="17"/>
          <w:i w:val="1"/>
          <w:iCs w:val="1"/>
          <w:color w:val="auto"/>
        </w:rPr>
        <w:t>Debt—Debt with Conversion and Other Options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470-20) and Derivatives and Hedging — Contracts in Entity’s Own Equity (Subtopic 815-40): Accounting for Convertible Instruments and Contracts in an Entity’s Own Equity </w:t>
      </w:r>
      <w:r>
        <w:rPr>
          <w:rFonts w:ascii="Arial" w:cs="Arial" w:eastAsia="Arial" w:hAnsi="Arial"/>
          <w:sz w:val="17"/>
          <w:szCs w:val="17"/>
          <w:color w:val="auto"/>
        </w:rPr>
        <w:t>(“ASU 2020-06”), which reduced the number of models used to account for convertible instruments, amends the accounting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an entity’s own equity that would have previously been accounted for as derivatives and modifies the diluted earnings per share calculations for convertible instruments. We adopted ASU 2020-06 on January 1, 2022. As a result of the adoption of ASU 2020-06, the convertible notes issued in February 2022 were considered to be debt with no allocation to equity.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4" w:name="page15"/>
    <w:bookmarkEnd w:id="14"/>
    <w:p>
      <w:pPr>
        <w:ind w:left="700"/>
        <w:spacing w:after="0"/>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w:t>
      </w:r>
      <w:r>
        <w:rPr>
          <w:rFonts w:ascii="Arial" w:cs="Arial" w:eastAsia="Arial" w:hAnsi="Arial"/>
          <w:sz w:val="16"/>
          <w:szCs w:val="16"/>
          <w:i w:val="1"/>
          <w:iCs w:val="1"/>
          <w:color w:val="auto"/>
        </w:rPr>
        <w:t>Measurement of Credit Losses on Financial</w:t>
      </w:r>
    </w:p>
    <w:p>
      <w:pPr>
        <w:spacing w:after="0" w:line="4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color w:val="auto"/>
        </w:rPr>
        <w:t>Instruments</w:t>
      </w:r>
      <w:r>
        <w:rPr>
          <w:rFonts w:ascii="Arial" w:cs="Arial" w:eastAsia="Arial" w:hAnsi="Arial"/>
          <w:sz w:val="17"/>
          <w:szCs w:val="17"/>
          <w:color w:val="auto"/>
        </w:rPr>
        <w:t>. Topic 326 changes the impairment model for most financial assets and certain other instruments. Under the new standard,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was originally effective for the Company on January 1, 2023 given our Emerging Growth Company status. We will lose our Emerging Growth Company status on January 1, 2023 and will file our fiscal year Form 10-K as a non-Emerging Growth Company filer. Therefore, in preparation for fiscal year 2022 reporting, the Company applied Topic 326 as if we were not an Emerging Growth Company on July 1, 2022. The adoption of Topic 326 on July 1, 2022 did not have a material impact on the Company's consolidated financial statements and related disclosures.</w:t>
      </w:r>
    </w:p>
    <w:p>
      <w:pPr>
        <w:spacing w:after="0" w:line="70" w:lineRule="exact"/>
        <w:rPr>
          <w:sz w:val="20"/>
          <w:szCs w:val="20"/>
          <w:color w:val="auto"/>
        </w:rPr>
      </w:pPr>
    </w:p>
    <w:p>
      <w:pPr>
        <w:ind w:right="140" w:firstLine="644"/>
        <w:spacing w:after="0" w:line="261"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Credit Concentrations</w:t>
      </w:r>
    </w:p>
    <w:p>
      <w:pPr>
        <w:spacing w:after="0" w:line="107" w:lineRule="exact"/>
        <w:rPr>
          <w:sz w:val="20"/>
          <w:szCs w:val="20"/>
          <w:color w:val="auto"/>
        </w:rPr>
      </w:pPr>
    </w:p>
    <w:p>
      <w:pPr>
        <w:ind w:right="320" w:firstLine="644"/>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buyers are located in the United States.</w:t>
      </w:r>
    </w:p>
    <w:p>
      <w:pPr>
        <w:spacing w:after="0" w:line="68" w:lineRule="exact"/>
        <w:rPr>
          <w:sz w:val="20"/>
          <w:szCs w:val="20"/>
          <w:color w:val="auto"/>
        </w:rPr>
      </w:pPr>
    </w:p>
    <w:p>
      <w:pPr>
        <w:ind w:right="180" w:firstLine="644"/>
        <w:spacing w:after="0" w:line="324" w:lineRule="auto"/>
        <w:rPr>
          <w:sz w:val="20"/>
          <w:szCs w:val="20"/>
          <w:color w:val="auto"/>
        </w:rPr>
      </w:pPr>
      <w:r>
        <w:rPr>
          <w:rFonts w:ascii="Arial" w:cs="Arial" w:eastAsia="Arial" w:hAnsi="Arial"/>
          <w:sz w:val="16"/>
          <w:szCs w:val="16"/>
          <w:color w:val="auto"/>
        </w:rPr>
        <w:t>For the three and nine months ended September 30, 2022 and 2021, no single buyer accounted for more than 10% of the Company's revenue. As of September 30, 2022, and December 31, 2021, no single buyer accounted for more than 10% of the Company’s accounts receivable.</w:t>
      </w:r>
    </w:p>
    <w:p>
      <w:pPr>
        <w:spacing w:after="0" w:line="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Inventory consists of raw materials, work-in-process, tools inventory and finished goods. Raw materials (plastics and metals) become</w:t>
      </w:r>
    </w:p>
    <w:p>
      <w:pPr>
        <w:spacing w:after="0" w:line="23"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manufactured products in the additive and subtractive manufacturing processes. Work in progress represents manufacturing costs associated with buyer orders that are not yet complete and materials purchased for suppliers. The tools inventory primarily consists of small consumable machine tools, cutting devices, etc. Finished goods represents product awaiting shipment. Inventory consists of the following as of September 30, 2022 and December 31, 2021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4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inventory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 and Long-Lived Assets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 as of September 30, 2022 and December 31, 2021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r>
      <w:tr>
        <w:trPr>
          <w:trHeight w:val="169"/>
        </w:trPr>
        <w:tc>
          <w:tcPr>
            <w:tcW w:w="4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hardware</w:t>
            </w:r>
          </w:p>
        </w:tc>
        <w:tc>
          <w:tcPr>
            <w:tcW w:w="20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2040" w:type="dxa"/>
            <w:vAlign w:val="bottom"/>
          </w:tcPr>
          <w:p>
            <w:pPr>
              <w:spacing w:after="0"/>
              <w:rPr>
                <w:sz w:val="18"/>
                <w:szCs w:val="18"/>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w:t>
            </w:r>
          </w:p>
        </w:tc>
        <w:tc>
          <w:tcPr>
            <w:tcW w:w="20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years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Patent</w:t>
            </w:r>
          </w:p>
        </w:tc>
        <w:tc>
          <w:tcPr>
            <w:tcW w:w="2040" w:type="dxa"/>
            <w:vAlign w:val="bottom"/>
          </w:tcPr>
          <w:p>
            <w:pPr>
              <w:spacing w:after="0"/>
              <w:rPr>
                <w:sz w:val="18"/>
                <w:szCs w:val="18"/>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17 years</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r>
      <w:tr>
        <w:trPr>
          <w:trHeight w:val="174"/>
        </w:trPr>
        <w:tc>
          <w:tcPr>
            <w:tcW w:w="40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Leasehold improvements</w:t>
            </w:r>
          </w:p>
        </w:tc>
        <w:tc>
          <w:tcPr>
            <w:tcW w:w="2040" w:type="dxa"/>
            <w:vAlign w:val="bottom"/>
            <w:shd w:val="clear" w:color="auto" w:fill="CFF0FC"/>
          </w:tcPr>
          <w:p>
            <w:pPr>
              <w:spacing w:after="0"/>
              <w:rPr>
                <w:sz w:val="15"/>
                <w:szCs w:val="15"/>
                <w:color w:val="auto"/>
              </w:rPr>
            </w:pPr>
          </w:p>
        </w:tc>
        <w:tc>
          <w:tcPr>
            <w:tcW w:w="2380" w:type="dxa"/>
            <w:vAlign w:val="bottom"/>
            <w:gridSpan w:val="2"/>
            <w:shd w:val="clear" w:color="auto" w:fill="CFF0FC"/>
          </w:tcPr>
          <w:p>
            <w:pPr>
              <w:jc w:val="right"/>
              <w:ind w:right="160"/>
              <w:spacing w:after="0" w:line="175" w:lineRule="exact"/>
              <w:rPr>
                <w:sz w:val="20"/>
                <w:szCs w:val="20"/>
                <w:color w:val="auto"/>
              </w:rPr>
            </w:pPr>
            <w:r>
              <w:rPr>
                <w:rFonts w:ascii="Arial" w:cs="Arial" w:eastAsia="Arial" w:hAnsi="Arial"/>
                <w:sz w:val="18"/>
                <w:szCs w:val="18"/>
                <w:color w:val="auto"/>
              </w:rPr>
              <w:t>Shorter of useful</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400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life or lease term</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20"/>
                <w:szCs w:val="20"/>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40" w:type="dxa"/>
            <w:vAlign w:val="bottom"/>
          </w:tcPr>
          <w:p>
            <w:pPr>
              <w:spacing w:after="0"/>
              <w:rPr>
                <w:sz w:val="18"/>
                <w:szCs w:val="18"/>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7 years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(12,868 )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(10,539 )</w:t>
            </w:r>
          </w:p>
        </w:tc>
      </w:tr>
      <w:tr>
        <w:trPr>
          <w:trHeight w:val="249"/>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4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6"/>
        </w:trPr>
        <w:tc>
          <w:tcPr>
            <w:tcW w:w="4000" w:type="dxa"/>
            <w:vAlign w:val="bottom"/>
          </w:tcPr>
          <w:p>
            <w:pPr>
              <w:spacing w:after="0"/>
              <w:rPr>
                <w:sz w:val="24"/>
                <w:szCs w:val="24"/>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0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-427355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-410210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-410210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Depreciation expense for the three and nine months ended September 30, 2022 and 2021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Three Months Ended September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53"/>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956</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2,834</w:t>
            </w:r>
          </w:p>
        </w:tc>
        <w:tc>
          <w:tcPr>
            <w:tcW w:w="4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(6)  Leases</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5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0" w:type="dxa"/>
            <w:vAlign w:val="bottom"/>
            <w:gridSpan w:val="17"/>
          </w:tcPr>
          <w:p>
            <w:pPr>
              <w:ind w:left="660"/>
              <w:spacing w:after="0"/>
              <w:rPr>
                <w:sz w:val="20"/>
                <w:szCs w:val="20"/>
                <w:color w:val="auto"/>
              </w:rPr>
            </w:pPr>
            <w:r>
              <w:rPr>
                <w:rFonts w:ascii="Arial" w:cs="Arial" w:eastAsia="Arial" w:hAnsi="Arial"/>
                <w:sz w:val="18"/>
                <w:szCs w:val="18"/>
                <w:color w:val="auto"/>
                <w:w w:val="92"/>
              </w:rPr>
              <w:t>Operating lease expense for the three and nine months ended September 30, 2022 and 2021 was as follows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680" w:type="dxa"/>
            <w:vAlign w:val="bottom"/>
          </w:tcPr>
          <w:p>
            <w:pPr>
              <w:spacing w:after="0"/>
              <w:rPr>
                <w:sz w:val="24"/>
                <w:szCs w:val="24"/>
                <w:color w:val="auto"/>
              </w:rPr>
            </w:pPr>
          </w:p>
        </w:tc>
        <w:tc>
          <w:tcPr>
            <w:tcW w:w="2820" w:type="dxa"/>
            <w:vAlign w:val="bottom"/>
            <w:gridSpan w:val="10"/>
          </w:tcPr>
          <w:p>
            <w:pPr>
              <w:jc w:val="right"/>
              <w:ind w:right="3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4"/>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8"/>
                <w:szCs w:val="18"/>
                <w:color w:val="auto"/>
              </w:rPr>
            </w:pPr>
          </w:p>
        </w:tc>
        <w:tc>
          <w:tcPr>
            <w:tcW w:w="3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FF0FC"/>
          </w:tcPr>
          <w:p>
            <w:pPr>
              <w:spacing w:after="0"/>
              <w:rPr>
                <w:sz w:val="18"/>
                <w:szCs w:val="18"/>
                <w:color w:val="auto"/>
              </w:rPr>
            </w:pPr>
          </w:p>
        </w:tc>
        <w:tc>
          <w:tcPr>
            <w:tcW w:w="460" w:type="dxa"/>
            <w:vAlign w:val="bottom"/>
            <w:gridSpan w:val="4"/>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Total operating lease expense</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4,506</w:t>
            </w:r>
          </w:p>
        </w:tc>
        <w:tc>
          <w:tcPr>
            <w:tcW w:w="40" w:type="dxa"/>
            <w:vAlign w:val="bottom"/>
          </w:tcPr>
          <w:p>
            <w:pPr>
              <w:spacing w:after="0"/>
              <w:rPr>
                <w:sz w:val="18"/>
                <w:szCs w:val="18"/>
                <w:color w:val="auto"/>
              </w:rPr>
            </w:pPr>
          </w:p>
        </w:tc>
        <w:tc>
          <w:tcPr>
            <w:tcW w:w="46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-2037080</wp:posOffset>
            </wp:positionV>
            <wp:extent cx="7683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-2037080</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-2037080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-170815</wp:posOffset>
            </wp:positionV>
            <wp:extent cx="768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-170815</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right="240" w:firstLine="644"/>
        <w:spacing w:after="0" w:line="261" w:lineRule="auto"/>
        <w:rPr>
          <w:sz w:val="20"/>
          <w:szCs w:val="20"/>
          <w:color w:val="auto"/>
        </w:rPr>
      </w:pPr>
      <w:r>
        <w:rPr>
          <w:rFonts w:ascii="Arial" w:cs="Arial" w:eastAsia="Arial" w:hAnsi="Arial"/>
          <w:sz w:val="18"/>
          <w:szCs w:val="18"/>
          <w:color w:val="auto"/>
        </w:rPr>
        <w:t>During the first quarter of 2022, the Company entered into two new office leases in Doraville, Georgia and Shanghai, China. In connection with these leases, the Company recorded non-cash ROU assets and lease liabilities of $0.1 million.</w:t>
      </w:r>
    </w:p>
    <w:p>
      <w:pPr>
        <w:spacing w:after="0" w:line="62" w:lineRule="exact"/>
        <w:rPr>
          <w:sz w:val="20"/>
          <w:szCs w:val="20"/>
          <w:color w:val="auto"/>
        </w:rPr>
      </w:pPr>
    </w:p>
    <w:p>
      <w:pPr>
        <w:ind w:right="500" w:firstLine="644"/>
        <w:spacing w:after="0" w:line="341" w:lineRule="auto"/>
        <w:rPr>
          <w:sz w:val="20"/>
          <w:szCs w:val="20"/>
          <w:color w:val="auto"/>
        </w:rPr>
      </w:pPr>
      <w:r>
        <w:rPr>
          <w:rFonts w:ascii="Arial" w:cs="Arial" w:eastAsia="Arial" w:hAnsi="Arial"/>
          <w:sz w:val="16"/>
          <w:szCs w:val="16"/>
          <w:color w:val="auto"/>
        </w:rPr>
        <w:t>During the first quarter of 2022, the Company also executed a new lease for an office in North Bethesda, Maryland. The lease is expected to commence in the fourth quarter of 2022. The lease has a term of seven years with total cash rental payments of approximately $7.1 million.</w:t>
      </w:r>
    </w:p>
    <w:p>
      <w:pPr>
        <w:spacing w:after="0" w:line="3" w:lineRule="exact"/>
        <w:rPr>
          <w:sz w:val="20"/>
          <w:szCs w:val="20"/>
          <w:color w:val="auto"/>
        </w:rPr>
      </w:pPr>
    </w:p>
    <w:p>
      <w:pPr>
        <w:ind w:right="480" w:firstLine="644"/>
        <w:spacing w:after="0" w:line="255" w:lineRule="auto"/>
        <w:rPr>
          <w:sz w:val="20"/>
          <w:szCs w:val="20"/>
          <w:color w:val="auto"/>
        </w:rPr>
      </w:pPr>
      <w:r>
        <w:rPr>
          <w:rFonts w:ascii="Arial" w:cs="Arial" w:eastAsia="Arial" w:hAnsi="Arial"/>
          <w:sz w:val="18"/>
          <w:szCs w:val="18"/>
          <w:color w:val="auto"/>
        </w:rPr>
        <w:t>During the third quarter of 2022, the Company executed a new lease for an office in Chelmsford, United Kingdom and modified its leases in Ottobrunn, Germany and Derwood, Maryland. In connection with these leases the Company recorded non-cash ROU assets and lease liabilities of approximately $1.2 million.</w:t>
      </w:r>
    </w:p>
    <w:p>
      <w:pPr>
        <w:spacing w:after="0" w:line="3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Blue Saw</w:t>
      </w:r>
    </w:p>
    <w:p>
      <w:pPr>
        <w:spacing w:after="0" w:line="103" w:lineRule="exact"/>
        <w:rPr>
          <w:sz w:val="20"/>
          <w:szCs w:val="20"/>
          <w:color w:val="auto"/>
        </w:rPr>
      </w:pPr>
    </w:p>
    <w:p>
      <w:pPr>
        <w:ind w:right="40" w:firstLine="644"/>
        <w:spacing w:after="0" w:line="279" w:lineRule="auto"/>
        <w:rPr>
          <w:sz w:val="20"/>
          <w:szCs w:val="20"/>
          <w:color w:val="auto"/>
        </w:rPr>
      </w:pPr>
      <w:r>
        <w:rPr>
          <w:rFonts w:ascii="Arial" w:cs="Arial" w:eastAsia="Arial" w:hAnsi="Arial"/>
          <w:sz w:val="16"/>
          <w:szCs w:val="16"/>
          <w:color w:val="auto"/>
        </w:rPr>
        <w:t>On November 1, 2021, the Company acquired Big Blue Saw subject to an Asset Purchase Agreement. The acquisition of Big Blue Saw extends our marketplace capabilities in water jet and laser cutting. The Company accounted for the acquisition as a business combination. The aggregate non-contingent portion of the purchase price was $1.5 million and was paid in cash and Class A common stock on the acquisition date. In addition, the purchase price included a contingent consideration arrangement to the former owner of Big Blue Saw up to a maximum amount of $1.0 million (undiscounted) in two installments on the first and second anniversary of the acquisition and is based on client conversions.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client conversions.</w:t>
      </w:r>
    </w:p>
    <w:p>
      <w:pPr>
        <w:spacing w:after="0" w:line="53" w:lineRule="exact"/>
        <w:rPr>
          <w:sz w:val="20"/>
          <w:szCs w:val="20"/>
          <w:color w:val="auto"/>
        </w:rPr>
      </w:pPr>
    </w:p>
    <w:p>
      <w:pPr>
        <w:jc w:val="both"/>
        <w:ind w:right="380" w:firstLine="644"/>
        <w:spacing w:after="0" w:line="263" w:lineRule="auto"/>
        <w:rPr>
          <w:sz w:val="20"/>
          <w:szCs w:val="20"/>
          <w:color w:val="auto"/>
        </w:rPr>
      </w:pPr>
      <w:r>
        <w:rPr>
          <w:rFonts w:ascii="Arial" w:cs="Arial" w:eastAsia="Arial" w:hAnsi="Arial"/>
          <w:sz w:val="17"/>
          <w:szCs w:val="17"/>
          <w:color w:val="auto"/>
        </w:rPr>
        <w:t>During the nine months ended September 30, 2022, the Company recorded an approximate $31,000 increase to the contingent consideration liability with a corresponding expense recognized in general and administrative expense on our Condensed Consolidated Statement of Operations and Comprehensive Loss. The Company re-evaluated the fair value of the contingent consideration based on current information available to the Company subsequent to our acquisition using a similar methodology as described above. As of September 30, 2022, and December 31, 2021, the total contingent consideration had a fair value of $0.9 million and $0.9 million, respectively.</w:t>
      </w:r>
    </w:p>
    <w:p>
      <w:pPr>
        <w:spacing w:after="0" w:line="75"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The Company performed a preliminary valuation analysis of the fair market value of the acquired assets and liabilities of Big Blue Saw during the fourth quarter of 2021. The Company completed its valuation of the acquired assets and liabilities during the second quarter of 2022 and expects to finalize the settlement of the working capital during the fourth quarter of 2022. The settlement of the working capital, which is not expected to be material, will impact goodwill. No changes to the initial purchase price allocation were made during 2022.</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FactoryFour</w:t>
      </w:r>
    </w:p>
    <w:p>
      <w:pPr>
        <w:spacing w:after="0" w:line="117" w:lineRule="exact"/>
        <w:rPr>
          <w:sz w:val="20"/>
          <w:szCs w:val="20"/>
          <w:color w:val="auto"/>
        </w:rPr>
      </w:pPr>
    </w:p>
    <w:p>
      <w:pPr>
        <w:ind w:right="40" w:firstLine="644"/>
        <w:spacing w:after="0" w:line="277" w:lineRule="auto"/>
        <w:rPr>
          <w:sz w:val="20"/>
          <w:szCs w:val="20"/>
          <w:color w:val="auto"/>
        </w:rPr>
      </w:pPr>
      <w:r>
        <w:rPr>
          <w:rFonts w:ascii="Arial" w:cs="Arial" w:eastAsia="Arial" w:hAnsi="Arial"/>
          <w:sz w:val="16"/>
          <w:szCs w:val="16"/>
          <w:color w:val="auto"/>
        </w:rPr>
        <w:t>On November 5, 2021, the Company acquired FactoryFour subject to an Asset Purchase Agreement. FactoryFour provides a SaaS based solution to help manufacturers improve lead times and make strong, data-driven decisions through real-time production tracking. The Company accounted for the acquisition as a business combination. The aggregate non-contingent portion of the purchase price was $3.3 million and was paid in cash and Class A common stock on the acquisition date. In addition, the purchase price includes a contingent consideration arrangement to the former owners of FactoryFour up to a maximum amount of $2.5 million (undiscounted) in three installments on the first, second and third anniversary of the acquisition and is based on gross total orders. The fair value of the initial contingent consideration of $1.5 million was estimated by applying an option pricing model. The measurement is based on inputs that are not observable in the market (Level 3 inputs). Key assumptions made include (a) discount rate, (b) time to expiration, (c) stock price, (d) hurdle rate, (e) risk free rate, (f) volatility, (g) dividend rate and (f) assumptions about gross total orders.</w:t>
      </w:r>
    </w:p>
    <w:p>
      <w:pPr>
        <w:spacing w:after="0" w:line="54" w:lineRule="exact"/>
        <w:rPr>
          <w:sz w:val="20"/>
          <w:szCs w:val="20"/>
          <w:color w:val="auto"/>
        </w:rPr>
      </w:pPr>
    </w:p>
    <w:p>
      <w:pPr>
        <w:ind w:right="20" w:firstLine="644"/>
        <w:spacing w:after="0" w:line="282" w:lineRule="auto"/>
        <w:rPr>
          <w:sz w:val="20"/>
          <w:szCs w:val="20"/>
          <w:color w:val="auto"/>
        </w:rPr>
      </w:pPr>
      <w:r>
        <w:rPr>
          <w:rFonts w:ascii="Arial" w:cs="Arial" w:eastAsia="Arial" w:hAnsi="Arial"/>
          <w:sz w:val="16"/>
          <w:szCs w:val="16"/>
          <w:color w:val="auto"/>
        </w:rPr>
        <w:t>During the nine months ended September 30, 2022, the Company recorded an approximate $0.4 million increase to the contingent consideration liability with a corresponding expense recognized in general and administrative expense on our Condensed Consolidated Statement of Operations and Comprehensive Loss. The Company re-evaluated the fair value of the contingent consideration based on current information available to the Company subsequent to our acquisition. To estimate the current fair value, we applied an income valuation approach. The measurement is based on inputs that are not observable in the market (Level 3 inputs). Key assumptions made include (a) discount rate and (b) probability weighted assumptions about gross total orders. As of September 30, 2022, and December 31, 2021, the total contingent consideration had a fair value of $1.9 million and $1.5 million, respectively.</w:t>
      </w:r>
    </w:p>
    <w:p>
      <w:pPr>
        <w:spacing w:after="0" w:line="51" w:lineRule="exact"/>
        <w:rPr>
          <w:sz w:val="20"/>
          <w:szCs w:val="20"/>
          <w:color w:val="auto"/>
        </w:rPr>
      </w:pPr>
    </w:p>
    <w:p>
      <w:pPr>
        <w:ind w:right="20" w:firstLine="644"/>
        <w:spacing w:after="0" w:line="255" w:lineRule="auto"/>
        <w:rPr>
          <w:sz w:val="20"/>
          <w:szCs w:val="20"/>
          <w:color w:val="auto"/>
        </w:rPr>
      </w:pPr>
      <w:r>
        <w:rPr>
          <w:rFonts w:ascii="Arial" w:cs="Arial" w:eastAsia="Arial" w:hAnsi="Arial"/>
          <w:sz w:val="18"/>
          <w:szCs w:val="18"/>
          <w:color w:val="auto"/>
        </w:rPr>
        <w:t>The Company performed its initial valuation analysis of the fair market value of the acquired assets and liabilities of FactoryFour during the fourth quarter of 2021. The Company finalized its valuation analysis in the first quarter of 2022. No changes to the initial purchase price allocation were made during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w:t>
      </w:r>
    </w:p>
    <w:p>
      <w:pPr>
        <w:spacing w:after="0" w:line="103" w:lineRule="exact"/>
        <w:rPr>
          <w:sz w:val="20"/>
          <w:szCs w:val="20"/>
          <w:color w:val="auto"/>
        </w:rPr>
      </w:pPr>
    </w:p>
    <w:p>
      <w:pPr>
        <w:ind w:right="140" w:firstLine="644"/>
        <w:spacing w:after="0" w:line="263" w:lineRule="auto"/>
        <w:rPr>
          <w:sz w:val="20"/>
          <w:szCs w:val="20"/>
          <w:color w:val="auto"/>
        </w:rPr>
      </w:pPr>
      <w:r>
        <w:rPr>
          <w:rFonts w:ascii="Arial" w:cs="Arial" w:eastAsia="Arial" w:hAnsi="Arial"/>
          <w:sz w:val="17"/>
          <w:szCs w:val="17"/>
          <w:color w:val="auto"/>
        </w:rPr>
        <w:t>On December 9, 2021, the Company acquired Thomas subject to the merger agreement. Xometry leverages Thomas’ marketing and data services to deliver a suite of end-to-end services for suppliers with additional financial services and digital marketing products. The Company accounted for the acquisition as a business combination. The goodwill of $252.0 million arising from the acquisition of Thomas related to certain expected synergies which includes the ability to drive buyers and suppliers on to our platform and provide additional products and services. This goodwill, which is included in our U.S. reporting segment, is not expected to be deductible for tax purposes. The aggregate non-contingent portion of the purchase price was approximately $276.3 million and was paid in cash and Class A common stock on the acquisition date.</w:t>
      </w:r>
    </w:p>
    <w:p>
      <w:pPr>
        <w:spacing w:after="0" w:line="63" w:lineRule="exact"/>
        <w:rPr>
          <w:sz w:val="20"/>
          <w:szCs w:val="20"/>
          <w:color w:val="auto"/>
        </w:rPr>
      </w:pPr>
    </w:p>
    <w:p>
      <w:pPr>
        <w:ind w:firstLine="644"/>
        <w:spacing w:after="0" w:line="248" w:lineRule="auto"/>
        <w:rPr>
          <w:sz w:val="20"/>
          <w:szCs w:val="20"/>
          <w:color w:val="auto"/>
        </w:rPr>
      </w:pPr>
      <w:r>
        <w:rPr>
          <w:rFonts w:ascii="Arial" w:cs="Arial" w:eastAsia="Arial" w:hAnsi="Arial"/>
          <w:sz w:val="18"/>
          <w:szCs w:val="18"/>
          <w:color w:val="auto"/>
        </w:rPr>
        <w:t>The Company performed a preliminary valuation analysis of the fair market value of the acquired assets and liabilities of Thomas during the fourth quarter of 2021. During the three months ended March 31, 2022, the Company recorded additional goodwill of approximately $0.6 million in connection with the identification of a deferred tax liability. This deferred tax liability was subsequently recognized into income during the three months ended March 31, 2022.</w:t>
      </w:r>
    </w:p>
    <w:p>
      <w:pPr>
        <w:spacing w:after="0" w:line="75" w:lineRule="exact"/>
        <w:rPr>
          <w:sz w:val="20"/>
          <w:szCs w:val="20"/>
          <w:color w:val="auto"/>
        </w:rPr>
      </w:pPr>
    </w:p>
    <w:p>
      <w:pPr>
        <w:ind w:right="40" w:firstLine="644"/>
        <w:spacing w:after="0" w:line="267" w:lineRule="auto"/>
        <w:rPr>
          <w:sz w:val="20"/>
          <w:szCs w:val="20"/>
          <w:color w:val="auto"/>
        </w:rPr>
      </w:pPr>
      <w:r>
        <w:rPr>
          <w:rFonts w:ascii="Arial" w:cs="Arial" w:eastAsia="Arial" w:hAnsi="Arial"/>
          <w:sz w:val="17"/>
          <w:szCs w:val="17"/>
          <w:color w:val="auto"/>
        </w:rPr>
        <w:t>During the nine months ended September 30, 2022, the Company recognized measurement period adjustments primarily related to certain other assets and lease intangibles which resulted in additional goodwill of approximately $4.7 million. During the nine months ended September 30, 2022, the Company recorded an approximate $1.9 million one-time non-cash benefit in sales and marketing expense. The Company substantially completed its valuation of the acquired assets and liabilities during the third quarter of 2022 and expects to finalize the settlement of the working capital during the fourth quarter of 2022. The settlement of the working capital, which may be material, will impact goodwill.</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7" w:name="page18"/>
    <w:bookmarkEnd w:id="17"/>
    <w:p>
      <w:pPr>
        <w:ind w:right="620" w:firstLine="644"/>
        <w:spacing w:after="0" w:line="277" w:lineRule="auto"/>
        <w:rPr>
          <w:sz w:val="20"/>
          <w:szCs w:val="20"/>
          <w:color w:val="auto"/>
        </w:rPr>
      </w:pPr>
      <w:r>
        <w:rPr>
          <w:rFonts w:ascii="Arial" w:cs="Arial" w:eastAsia="Arial" w:hAnsi="Arial"/>
          <w:sz w:val="18"/>
          <w:szCs w:val="18"/>
          <w:color w:val="auto"/>
        </w:rPr>
        <w:t>The following table (in thousands) summarizes the consideration paid for Thomas and the preliminary fair value of the assets acquired and liabilities assumed on the acquisition date:</w:t>
      </w:r>
    </w:p>
    <w:p>
      <w:pPr>
        <w:sectPr>
          <w:pgSz w:w="11900" w:h="16838" w:orient="portrait"/>
          <w:cols w:equalWidth="0" w:num="1">
            <w:col w:w="11240"/>
          </w:cols>
          <w:pgMar w:left="320" w:top="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Consideration: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of Class A common stock</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4540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amounts of identifiable assets acquired and liabilities assumed: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Right-of-use assets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Investment in unconsolidated joint venture</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tax liability</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long-term liabilities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Previously</w:t>
            </w:r>
          </w:p>
        </w:tc>
        <w:tc>
          <w:tcPr>
            <w:tcW w:w="120" w:type="dxa"/>
            <w:vAlign w:val="bottom"/>
          </w:tcPr>
          <w:p>
            <w:pPr>
              <w:spacing w:after="0"/>
              <w:rPr>
                <w:sz w:val="17"/>
                <w:szCs w:val="17"/>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Purchase Price</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220" w:type="dxa"/>
            <w:vAlign w:val="bottom"/>
          </w:tcPr>
          <w:p>
            <w:pPr>
              <w:spacing w:after="0"/>
              <w:rPr>
                <w:sz w:val="19"/>
                <w:szCs w:val="19"/>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Reported</w:t>
            </w:r>
          </w:p>
        </w:tc>
        <w:tc>
          <w:tcPr>
            <w:tcW w:w="120" w:type="dxa"/>
            <w:vAlign w:val="bottom"/>
          </w:tcPr>
          <w:p>
            <w:pPr>
              <w:spacing w:after="0"/>
              <w:rPr>
                <w:sz w:val="19"/>
                <w:szCs w:val="19"/>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Allocation</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12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Measurement Period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Adjustment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As Adjusted</w:t>
            </w:r>
          </w:p>
        </w:tc>
        <w:tc>
          <w:tcPr>
            <w:tcW w:w="60" w:type="dxa"/>
            <w:vAlign w:val="bottom"/>
          </w:tcPr>
          <w:p>
            <w:pPr>
              <w:spacing w:after="0"/>
              <w:rPr>
                <w:sz w:val="20"/>
                <w:szCs w:val="20"/>
                <w:color w:val="auto"/>
              </w:rPr>
            </w:pPr>
          </w:p>
        </w:tc>
      </w:tr>
      <w:tr>
        <w:trPr>
          <w:trHeight w:val="438"/>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174,838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174,838</w:t>
            </w:r>
          </w:p>
        </w:tc>
        <w:tc>
          <w:tcPr>
            <w:tcW w:w="60" w:type="dxa"/>
            <w:vAlign w:val="bottom"/>
          </w:tcPr>
          <w:p>
            <w:pPr>
              <w:spacing w:after="0"/>
              <w:rPr>
                <w:sz w:val="24"/>
                <w:szCs w:val="24"/>
                <w:color w:val="auto"/>
              </w:rPr>
            </w:pPr>
          </w:p>
        </w:tc>
      </w:tr>
      <w:tr>
        <w:trPr>
          <w:trHeight w:val="230"/>
        </w:trPr>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101,499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101,499</w:t>
            </w:r>
          </w:p>
        </w:tc>
        <w:tc>
          <w:tcPr>
            <w:tcW w:w="60" w:type="dxa"/>
            <w:vAlign w:val="bottom"/>
          </w:tcPr>
          <w:p>
            <w:pPr>
              <w:spacing w:after="0"/>
              <w:rPr>
                <w:sz w:val="20"/>
                <w:szCs w:val="20"/>
                <w:color w:val="auto"/>
              </w:rPr>
            </w:pPr>
          </w:p>
        </w:tc>
      </w:t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276,337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276,337</w:t>
            </w:r>
          </w:p>
        </w:tc>
        <w:tc>
          <w:tcPr>
            <w:tcW w:w="6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7"/>
        </w:trPr>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18,244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(5,978 )</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12,266</w:t>
            </w:r>
          </w:p>
        </w:tc>
        <w:tc>
          <w:tcPr>
            <w:tcW w:w="60" w:type="dxa"/>
            <w:vAlign w:val="bottom"/>
          </w:tcPr>
          <w:p>
            <w:pPr>
              <w:spacing w:after="0"/>
              <w:rPr>
                <w:sz w:val="24"/>
                <w:szCs w:val="24"/>
                <w:color w:val="auto"/>
              </w:rPr>
            </w:pP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41,844</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24,130</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(206 )</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4,156</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(18,690 )</w:t>
            </w: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(18,690 )</w:t>
            </w:r>
          </w:p>
        </w:tc>
      </w:tr>
      <w:tr>
        <w:trPr>
          <w:trHeight w:val="229"/>
        </w:trPr>
        <w:tc>
          <w:tcPr>
            <w:tcW w:w="2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(559 )</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(559 )</w:t>
            </w:r>
          </w:p>
        </w:tc>
      </w:tr>
      <w:tr>
        <w:trPr>
          <w:trHeight w:val="229"/>
        </w:trPr>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(1,647 )</w:t>
            </w: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(1,647 )</w:t>
            </w:r>
          </w:p>
        </w:tc>
      </w:tr>
      <w:tr>
        <w:trPr>
          <w:trHeight w:val="229"/>
        </w:trPr>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(281 )</w:t>
            </w: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(281 )</w:t>
            </w:r>
          </w:p>
        </w:tc>
      </w:tr>
      <w:tr>
        <w:trPr>
          <w:trHeight w:val="229"/>
        </w:trPr>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(6,634 )</w:t>
            </w: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(6,634 )</w:t>
            </w:r>
          </w:p>
        </w:tc>
      </w:tr>
      <w:tr>
        <w:trPr>
          <w:trHeight w:val="228"/>
        </w:trPr>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(30,183 )</w:t>
            </w:r>
          </w:p>
        </w:tc>
        <w:tc>
          <w:tcPr>
            <w:tcW w:w="12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(30,183 )</w:t>
            </w:r>
          </w:p>
        </w:tc>
      </w:tr>
    </w:tbl>
    <w:p>
      <w:pPr>
        <w:spacing w:after="0" w:line="11" w:lineRule="exact"/>
        <w:rPr>
          <w:sz w:val="20"/>
          <w:szCs w:val="20"/>
          <w:color w:val="auto"/>
        </w:rPr>
      </w:pPr>
    </w:p>
    <w:p>
      <w:pPr>
        <w:sectPr>
          <w:pgSz w:w="11900" w:h="16838" w:orient="portrait"/>
          <w:cols w:equalWidth="0" w:num="2">
            <w:col w:w="5440" w:space="560"/>
            <w:col w:w="5240"/>
          </w:cols>
          <w:pgMar w:left="320" w:top="43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5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(1,036 )</w:t>
            </w: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(1,036 )</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tcPr>
          <w:p>
            <w:pPr>
              <w:ind w:left="380"/>
              <w:spacing w:after="0"/>
              <w:rPr>
                <w:sz w:val="20"/>
                <w:szCs w:val="20"/>
                <w:color w:val="auto"/>
              </w:rPr>
            </w:pPr>
            <w:r>
              <w:rPr>
                <w:rFonts w:ascii="Arial" w:cs="Arial" w:eastAsia="Arial" w:hAnsi="Arial"/>
                <w:sz w:val="18"/>
                <w:szCs w:val="18"/>
                <w:color w:val="auto"/>
              </w:rPr>
              <w:t>Total identifiable net assets assumed</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29,599</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(5,299 )</w:t>
            </w: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246,738</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252,037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276,337</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40" w:type="dxa"/>
            <w:vAlign w:val="bottom"/>
            <w:gridSpan w:val="4"/>
          </w:tcPr>
          <w:p>
            <w:pPr>
              <w:ind w:left="660"/>
              <w:spacing w:after="0"/>
              <w:rPr>
                <w:sz w:val="20"/>
                <w:szCs w:val="20"/>
                <w:color w:val="auto"/>
              </w:rPr>
            </w:pPr>
            <w:r>
              <w:rPr>
                <w:rFonts w:ascii="Arial" w:cs="Arial" w:eastAsia="Arial" w:hAnsi="Arial"/>
                <w:sz w:val="18"/>
                <w:szCs w:val="18"/>
                <w:color w:val="auto"/>
                <w:w w:val="92"/>
              </w:rPr>
              <w:t>The following table (in thousands) summarizes the fair value of the identifiable intangible assets:</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7"/>
              </w:rPr>
              <w:t>Estimated life</w:t>
            </w:r>
          </w:p>
        </w:tc>
        <w:tc>
          <w:tcPr>
            <w:tcW w:w="0" w:type="dxa"/>
            <w:vAlign w:val="bottom"/>
          </w:tcPr>
          <w:p>
            <w:pPr>
              <w:spacing w:after="0"/>
              <w:rPr>
                <w:sz w:val="1"/>
                <w:szCs w:val="1"/>
                <w:color w:val="auto"/>
              </w:rPr>
            </w:pPr>
          </w:p>
        </w:tc>
      </w:tr>
      <w:tr>
        <w:trPr>
          <w:trHeight w:val="202"/>
        </w:trPr>
        <w:tc>
          <w:tcPr>
            <w:tcW w:w="6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Database</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2,400</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Trade name</w:t>
            </w: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intangible assets</w:t>
            </w:r>
          </w:p>
        </w:tc>
        <w:tc>
          <w:tcPr>
            <w:tcW w:w="5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1,444</w:t>
            </w:r>
          </w:p>
        </w:tc>
        <w:tc>
          <w:tcPr>
            <w:tcW w:w="126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200"/>
              <w:spacing w:after="0"/>
              <w:rPr>
                <w:sz w:val="20"/>
                <w:szCs w:val="20"/>
                <w:color w:val="auto"/>
              </w:rPr>
            </w:pPr>
            <w:r>
              <w:rPr>
                <w:rFonts w:ascii="Arial" w:cs="Arial" w:eastAsia="Arial" w:hAnsi="Arial"/>
                <w:sz w:val="18"/>
                <w:szCs w:val="18"/>
                <w:color w:val="auto"/>
              </w:rPr>
              <w:t>Total intangible assets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41,844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-1866265</wp:posOffset>
            </wp:positionV>
            <wp:extent cx="7683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-1866265</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-1574800</wp:posOffset>
            </wp:positionV>
            <wp:extent cx="7683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-1574800</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685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6" w:lineRule="exact"/>
        <w:rPr>
          <w:sz w:val="20"/>
          <w:szCs w:val="20"/>
          <w:color w:val="auto"/>
        </w:rPr>
      </w:pPr>
    </w:p>
    <w:p>
      <w:pPr>
        <w:ind w:right="240" w:firstLine="644"/>
        <w:spacing w:after="0" w:line="211" w:lineRule="exact"/>
        <w:rPr>
          <w:sz w:val="20"/>
          <w:szCs w:val="20"/>
          <w:color w:val="auto"/>
        </w:rPr>
      </w:pPr>
      <w:r>
        <w:rPr>
          <w:rFonts w:ascii="Arial" w:cs="Arial" w:eastAsia="Arial" w:hAnsi="Arial"/>
          <w:sz w:val="17"/>
          <w:szCs w:val="17"/>
          <w:color w:val="auto"/>
        </w:rPr>
        <w:t>The estimated fair value of the intangible assets acquired was determined by the Company. The Company engaged a third</w:t>
      </w:r>
      <w:r>
        <w:rPr>
          <w:rFonts w:ascii="MS PGothic" w:cs="MS PGothic" w:eastAsia="MS PGothic" w:hAnsi="MS PGothic"/>
          <w:sz w:val="17"/>
          <w:szCs w:val="17"/>
          <w:color w:val="auto"/>
        </w:rPr>
        <w:t>‑</w:t>
      </w:r>
      <w:r>
        <w:rPr>
          <w:rFonts w:ascii="Arial" w:cs="Arial" w:eastAsia="Arial" w:hAnsi="Arial"/>
          <w:sz w:val="17"/>
          <w:szCs w:val="17"/>
          <w:color w:val="auto"/>
        </w:rPr>
        <w:t>party expert to assist with the valuation analysis. The Company used a relief from royalty method to estimate the fair values of the developed technology, database and tradename and a multi-period excess earnings method to estimate the fair value of the customer relationships. To estimate the fair value of the lease intangible assets the company used a discounted cash flow analysis. To measure the fair value of the noncontrolling interest, the Company used a market approach which considered historical revenues of the investee and market multiples (Level 3 inputs).</w:t>
      </w:r>
    </w:p>
    <w:p>
      <w:pPr>
        <w:spacing w:after="0" w:line="95" w:lineRule="exact"/>
        <w:rPr>
          <w:sz w:val="20"/>
          <w:szCs w:val="20"/>
          <w:color w:val="auto"/>
        </w:rPr>
      </w:pPr>
    </w:p>
    <w:p>
      <w:pPr>
        <w:ind w:right="180" w:firstLine="644"/>
        <w:spacing w:after="0" w:line="248" w:lineRule="auto"/>
        <w:rPr>
          <w:sz w:val="20"/>
          <w:szCs w:val="20"/>
          <w:color w:val="auto"/>
        </w:rPr>
      </w:pPr>
      <w:r>
        <w:rPr>
          <w:rFonts w:ascii="Arial" w:cs="Arial" w:eastAsia="Arial" w:hAnsi="Arial"/>
          <w:sz w:val="18"/>
          <w:szCs w:val="18"/>
          <w:color w:val="auto"/>
        </w:rPr>
        <w:t>Thomas’ results of operations were included in the Company's consolidated financial statements from the date of acquisition, December 9, 2021. The following unaudited pro forma condensed combined financial information gives effect to the acquisition of Thomas as if it was consummated on January 1, 2020 (the beginning of the comparable prior reporting period), and includes pro forma adjustments related to the amortization of acquired intangible assets.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type w:val="continuous"/>
        </w:sectPr>
      </w:pPr>
    </w:p>
    <w:bookmarkStart w:id="18" w:name="page19"/>
    <w:bookmarkEnd w:id="18"/>
    <w:p>
      <w:pPr>
        <w:ind w:right="220" w:firstLine="644"/>
        <w:spacing w:after="0" w:line="260" w:lineRule="auto"/>
        <w:rPr>
          <w:sz w:val="20"/>
          <w:szCs w:val="20"/>
          <w:color w:val="auto"/>
        </w:rPr>
      </w:pPr>
      <w:r>
        <w:rPr>
          <w:rFonts w:ascii="Arial" w:cs="Arial" w:eastAsia="Arial" w:hAnsi="Arial"/>
          <w:sz w:val="17"/>
          <w:szCs w:val="17"/>
          <w:color w:val="auto"/>
        </w:rPr>
        <w:t>This unaudited data is presented for informational purposes only and is not intended to represent or be indicative of the results of operations that would have been reported had the acquisition occurred on January 1, 2020. It should not be taken as representative of future results of operations of the combined companies. The following table presents the unaudited pro forma condensed combined financial information:</w:t>
      </w: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2"/>
          </w:tcPr>
          <w:p>
            <w:pPr>
              <w:jc w:val="center"/>
              <w:ind w:right="400"/>
              <w:spacing w:after="0" w:line="170" w:lineRule="exact"/>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4"/>
                <w:szCs w:val="14"/>
                <w:color w:val="auto"/>
              </w:rPr>
            </w:pPr>
          </w:p>
        </w:tc>
        <w:tc>
          <w:tcPr>
            <w:tcW w:w="2560" w:type="dxa"/>
            <w:vAlign w:val="bottom"/>
            <w:gridSpan w:val="2"/>
          </w:tcPr>
          <w:p>
            <w:pPr>
              <w:jc w:val="center"/>
              <w:ind w:right="300"/>
              <w:spacing w:after="0" w:line="170" w:lineRule="exact"/>
              <w:rPr>
                <w:sz w:val="20"/>
                <w:szCs w:val="20"/>
                <w:color w:val="auto"/>
              </w:rPr>
            </w:pPr>
            <w:r>
              <w:rPr>
                <w:rFonts w:ascii="Arial" w:cs="Arial" w:eastAsia="Arial" w:hAnsi="Arial"/>
                <w:sz w:val="18"/>
                <w:szCs w:val="18"/>
                <w:b w:val="1"/>
                <w:bCs w:val="1"/>
                <w:color w:val="auto"/>
                <w:w w:val="91"/>
              </w:rPr>
              <w:t>For the Nine Months Ended</w:t>
            </w:r>
          </w:p>
        </w:tc>
      </w:tr>
      <w:tr>
        <w:trPr>
          <w:trHeight w:val="234"/>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20"/>
                <w:szCs w:val="20"/>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09"/>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gridSpan w:val="5"/>
          </w:tcPr>
          <w:p>
            <w:pPr>
              <w:jc w:val="right"/>
              <w:ind w:right="236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73,649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201,602</w:t>
            </w:r>
          </w:p>
        </w:tc>
        <w:tc>
          <w:tcPr>
            <w:tcW w:w="100" w:type="dxa"/>
            <w:vAlign w:val="bottom"/>
            <w:shd w:val="clear" w:color="auto" w:fill="CFF0FC"/>
          </w:tcPr>
          <w:p>
            <w:pPr>
              <w:spacing w:after="0"/>
              <w:rPr>
                <w:sz w:val="18"/>
                <w:szCs w:val="18"/>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rPr>
                <w:sz w:val="20"/>
                <w:szCs w:val="20"/>
                <w:color w:val="auto"/>
              </w:rPr>
            </w:pPr>
          </w:p>
        </w:tc>
        <w:tc>
          <w:tcPr>
            <w:tcW w:w="2680" w:type="dxa"/>
            <w:vAlign w:val="bottom"/>
            <w:gridSpan w:val="2"/>
          </w:tcPr>
          <w:p>
            <w:pPr>
              <w:jc w:val="right"/>
              <w:ind w:right="160"/>
              <w:spacing w:after="0"/>
              <w:rPr>
                <w:sz w:val="20"/>
                <w:szCs w:val="20"/>
                <w:color w:val="auto"/>
              </w:rPr>
            </w:pPr>
            <w:r>
              <w:rPr>
                <w:rFonts w:ascii="Arial" w:cs="Arial" w:eastAsia="Arial" w:hAnsi="Arial"/>
                <w:sz w:val="18"/>
                <w:szCs w:val="18"/>
                <w:color w:val="auto"/>
              </w:rPr>
              <w:t>(14,164 )</w:t>
            </w:r>
          </w:p>
        </w:tc>
        <w:tc>
          <w:tcPr>
            <w:tcW w:w="160" w:type="dxa"/>
            <w:vAlign w:val="bottom"/>
          </w:tcPr>
          <w:p>
            <w:pPr>
              <w:spacing w:after="0"/>
              <w:rPr>
                <w:sz w:val="20"/>
                <w:szCs w:val="20"/>
                <w:color w:val="auto"/>
              </w:rPr>
            </w:pPr>
          </w:p>
        </w:tc>
        <w:tc>
          <w:tcPr>
            <w:tcW w:w="2560" w:type="dxa"/>
            <w:vAlign w:val="bottom"/>
            <w:gridSpan w:val="2"/>
          </w:tcPr>
          <w:p>
            <w:pPr>
              <w:jc w:val="right"/>
              <w:ind w:right="40"/>
              <w:spacing w:after="0"/>
              <w:rPr>
                <w:sz w:val="20"/>
                <w:szCs w:val="20"/>
                <w:color w:val="auto"/>
              </w:rPr>
            </w:pPr>
            <w:r>
              <w:rPr>
                <w:rFonts w:ascii="Arial" w:cs="Arial" w:eastAsia="Arial" w:hAnsi="Arial"/>
                <w:sz w:val="18"/>
                <w:szCs w:val="18"/>
                <w:color w:val="auto"/>
              </w:rPr>
              <w:t>(38,187 )</w:t>
            </w:r>
          </w:p>
        </w:tc>
      </w:tr>
    </w:tbl>
    <w:p>
      <w:pPr>
        <w:spacing w:after="0" w:line="29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Disaggregated Revenue Information</w:t>
      </w:r>
    </w:p>
    <w:p>
      <w:pPr>
        <w:spacing w:after="0" w:line="107" w:lineRule="exact"/>
        <w:rPr>
          <w:sz w:val="20"/>
          <w:szCs w:val="20"/>
          <w:color w:val="auto"/>
        </w:rPr>
      </w:pPr>
    </w:p>
    <w:p>
      <w:pPr>
        <w:ind w:right="40" w:firstLine="644"/>
        <w:spacing w:after="0" w:line="255" w:lineRule="auto"/>
        <w:rPr>
          <w:sz w:val="20"/>
          <w:szCs w:val="20"/>
          <w:color w:val="auto"/>
        </w:rPr>
      </w:pPr>
      <w:r>
        <w:rPr>
          <w:rFonts w:ascii="Arial" w:cs="Arial" w:eastAsia="Arial" w:hAnsi="Arial"/>
          <w:sz w:val="18"/>
          <w:szCs w:val="18"/>
          <w:color w:val="auto"/>
        </w:rPr>
        <w:t>The following table present our revenues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68" w:lineRule="exact"/>
        <w:rPr>
          <w:sz w:val="20"/>
          <w:szCs w:val="20"/>
          <w:color w:val="auto"/>
        </w:rPr>
      </w:pPr>
    </w:p>
    <w:p>
      <w:pPr>
        <w:ind w:right="180" w:firstLine="644"/>
        <w:spacing w:after="0" w:line="261" w:lineRule="auto"/>
        <w:rPr>
          <w:sz w:val="20"/>
          <w:szCs w:val="20"/>
          <w:color w:val="auto"/>
        </w:rPr>
      </w:pPr>
      <w:r>
        <w:rPr>
          <w:rFonts w:ascii="Arial" w:cs="Arial" w:eastAsia="Arial" w:hAnsi="Arial"/>
          <w:sz w:val="18"/>
          <w:szCs w:val="18"/>
          <w:color w:val="auto"/>
        </w:rPr>
        <w:t>Revenue is presented in the following tables for the three and nine months ended September 30, 2022 (in thousands, supplier service revenue for the three and nine months ended September 30, 2021, was not considered material):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760" w:type="dxa"/>
            <w:vAlign w:val="bottom"/>
          </w:tcPr>
          <w:p>
            <w:pPr>
              <w:jc w:val="center"/>
              <w:ind w:left="650"/>
              <w:spacing w:after="0"/>
              <w:rPr>
                <w:sz w:val="20"/>
                <w:szCs w:val="20"/>
                <w:color w:val="auto"/>
              </w:rPr>
            </w:pPr>
            <w:r>
              <w:rPr>
                <w:rFonts w:ascii="Arial" w:cs="Arial" w:eastAsia="Arial" w:hAnsi="Arial"/>
                <w:sz w:val="18"/>
                <w:szCs w:val="18"/>
                <w:b w:val="1"/>
                <w:bCs w:val="1"/>
                <w:color w:val="auto"/>
                <w:w w:val="92"/>
              </w:rPr>
              <w:t>For the Three Months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For The Nine Months</w:t>
            </w:r>
          </w:p>
        </w:tc>
        <w:tc>
          <w:tcPr>
            <w:tcW w:w="100" w:type="dxa"/>
            <w:vAlign w:val="bottom"/>
          </w:tcPr>
          <w:p>
            <w:pPr>
              <w:spacing w:after="0"/>
              <w:rPr>
                <w:sz w:val="17"/>
                <w:szCs w:val="17"/>
                <w:color w:val="auto"/>
              </w:rPr>
            </w:pPr>
          </w:p>
        </w:tc>
      </w:tr>
      <w:tr>
        <w:trPr>
          <w:trHeight w:val="216"/>
        </w:trPr>
        <w:tc>
          <w:tcPr>
            <w:tcW w:w="3880" w:type="dxa"/>
            <w:vAlign w:val="bottom"/>
          </w:tcPr>
          <w:p>
            <w:pPr>
              <w:spacing w:after="0"/>
              <w:rPr>
                <w:sz w:val="18"/>
                <w:szCs w:val="18"/>
                <w:color w:val="auto"/>
              </w:rPr>
            </w:pPr>
          </w:p>
        </w:tc>
        <w:tc>
          <w:tcPr>
            <w:tcW w:w="276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Ended September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Ended September 30,</w:t>
            </w:r>
          </w:p>
        </w:tc>
        <w:tc>
          <w:tcPr>
            <w:tcW w:w="10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27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b w:val="1"/>
                <w:bCs w:val="1"/>
                <w:color w:val="auto"/>
                <w:w w:val="89"/>
              </w:rPr>
              <w:t>2022</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w:t>
            </w:r>
          </w:p>
        </w:tc>
        <w:tc>
          <w:tcPr>
            <w:tcW w:w="2760" w:type="dxa"/>
            <w:vAlign w:val="bottom"/>
            <w:shd w:val="clear" w:color="auto" w:fill="CFF0FC"/>
          </w:tcPr>
          <w:p>
            <w:pPr>
              <w:jc w:val="right"/>
              <w:ind w:right="25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84,060</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224,073</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Supplier service revenue</w:t>
            </w:r>
          </w:p>
        </w:tc>
        <w:tc>
          <w:tcPr>
            <w:tcW w:w="27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19,511</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58,784</w:t>
            </w:r>
          </w:p>
        </w:tc>
        <w:tc>
          <w:tcPr>
            <w:tcW w:w="100" w:type="dxa"/>
            <w:vAlign w:val="bottom"/>
          </w:tcPr>
          <w:p>
            <w:pPr>
              <w:spacing w:after="0"/>
              <w:rPr>
                <w:sz w:val="18"/>
                <w:szCs w:val="18"/>
                <w:color w:val="auto"/>
              </w:rPr>
            </w:pPr>
          </w:p>
        </w:tc>
      </w:tr>
      <w:tr>
        <w:trPr>
          <w:trHeight w:val="249"/>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760" w:type="dxa"/>
            <w:vAlign w:val="bottom"/>
            <w:tcBorders>
              <w:bottom w:val="single" w:sz="8" w:color="auto"/>
            </w:tcBorders>
            <w:shd w:val="clear" w:color="auto" w:fill="CFF0FC"/>
          </w:tcPr>
          <w:p>
            <w:pPr>
              <w:jc w:val="right"/>
              <w:ind w:right="25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103,571</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Investment in Unconsolidated Joint Venture</w:t>
      </w:r>
    </w:p>
    <w:p>
      <w:pPr>
        <w:spacing w:after="0" w:line="107" w:lineRule="exact"/>
        <w:rPr>
          <w:sz w:val="20"/>
          <w:szCs w:val="20"/>
          <w:color w:val="auto"/>
        </w:rPr>
      </w:pPr>
    </w:p>
    <w:p>
      <w:pPr>
        <w:ind w:right="120" w:firstLine="644"/>
        <w:spacing w:after="0" w:line="289" w:lineRule="auto"/>
        <w:rPr>
          <w:sz w:val="20"/>
          <w:szCs w:val="20"/>
          <w:color w:val="auto"/>
        </w:rPr>
      </w:pPr>
      <w:r>
        <w:rPr>
          <w:rFonts w:ascii="Arial" w:cs="Arial" w:eastAsia="Arial" w:hAnsi="Arial"/>
          <w:sz w:val="16"/>
          <w:szCs w:val="16"/>
          <w:color w:val="auto"/>
        </w:rPr>
        <w:t>In connection with the Company's acquisition of Thomas on December 9, 2021, the Company assumed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and not subject to amortization.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w:t>
      </w:r>
    </w:p>
    <w:p>
      <w:pPr>
        <w:spacing w:after="0" w:line="121"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75"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75" w:lineRule="exact"/>
        <w:rPr>
          <w:sz w:val="20"/>
          <w:szCs w:val="20"/>
          <w:color w:val="auto"/>
        </w:rPr>
      </w:pPr>
    </w:p>
    <w:p>
      <w:pPr>
        <w:ind w:right="60" w:firstLine="644"/>
        <w:spacing w:after="0" w:line="283" w:lineRule="auto"/>
        <w:rPr>
          <w:sz w:val="20"/>
          <w:szCs w:val="20"/>
          <w:color w:val="auto"/>
        </w:rPr>
      </w:pPr>
      <w:r>
        <w:rPr>
          <w:rFonts w:ascii="Arial" w:cs="Arial" w:eastAsia="Arial" w:hAnsi="Arial"/>
          <w:sz w:val="16"/>
          <w:szCs w:val="16"/>
          <w:color w:val="auto"/>
        </w:rPr>
        <w:t>In connection with the IPO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w:t>
      </w:r>
    </w:p>
    <w:p>
      <w:pPr>
        <w:spacing w:after="0" w:line="61" w:lineRule="exact"/>
        <w:rPr>
          <w:sz w:val="20"/>
          <w:szCs w:val="20"/>
          <w:color w:val="auto"/>
        </w:rPr>
      </w:pPr>
    </w:p>
    <w:p>
      <w:pPr>
        <w:ind w:left="5540" w:right="1280" w:hanging="4881"/>
        <w:spacing w:after="0" w:line="386" w:lineRule="auto"/>
        <w:rPr>
          <w:sz w:val="20"/>
          <w:szCs w:val="20"/>
          <w:color w:val="auto"/>
        </w:rPr>
      </w:pPr>
      <w:r>
        <w:rPr>
          <w:rFonts w:ascii="Arial" w:cs="Arial" w:eastAsia="Arial" w:hAnsi="Arial"/>
          <w:sz w:val="18"/>
          <w:szCs w:val="18"/>
          <w:color w:val="auto"/>
        </w:rPr>
        <w:t>As of September 30, 2022, there were 5,143,659 shares available for the Company to grant under the 2021 Equity Incentive Plan.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60" w:firstLine="644"/>
        <w:spacing w:after="0" w:line="245" w:lineRule="auto"/>
        <w:rPr>
          <w:sz w:val="20"/>
          <w:szCs w:val="20"/>
          <w:color w:val="auto"/>
        </w:rPr>
      </w:pPr>
      <w:r>
        <w:rPr>
          <w:rFonts w:ascii="Arial" w:cs="Arial" w:eastAsia="Arial" w:hAnsi="Arial"/>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assumptions for the nine months ended September 30, 2022 and 2021 are provided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7"/>
              </w:rPr>
              <w:t>Nine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assumptions: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Expected dividend yield</w:t>
            </w:r>
          </w:p>
        </w:tc>
        <w:tc>
          <w:tcPr>
            <w:tcW w:w="10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66 %</w:t>
            </w:r>
          </w:p>
        </w:tc>
        <w:tc>
          <w:tcPr>
            <w:tcW w:w="10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53 %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Expected term (years)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c>
          <w:tcPr>
            <w:tcW w:w="10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Fair value of share</w:t>
            </w: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34.86</w:t>
            </w:r>
          </w:p>
        </w:tc>
        <w:tc>
          <w:tcPr>
            <w:tcW w:w="260" w:type="dxa"/>
            <w:vAlign w:val="bottom"/>
          </w:tcPr>
          <w:p>
            <w:pPr>
              <w:spacing w:after="0"/>
              <w:rPr>
                <w:sz w:val="20"/>
                <w:szCs w:val="20"/>
                <w:color w:val="auto"/>
              </w:rPr>
            </w:pP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00" w:firstLine="644"/>
        <w:spacing w:after="0" w:line="261" w:lineRule="auto"/>
        <w:rPr>
          <w:sz w:val="20"/>
          <w:szCs w:val="20"/>
          <w:color w:val="auto"/>
        </w:rPr>
      </w:pPr>
      <w:r>
        <w:rPr>
          <w:rFonts w:ascii="Arial" w:cs="Arial" w:eastAsia="Arial" w:hAnsi="Arial"/>
          <w:sz w:val="18"/>
          <w:szCs w:val="18"/>
          <w:color w:val="auto"/>
        </w:rPr>
        <w:t>A summary of the status of the Company’s stock option activity and the changes during the nine months ended September 30, 2022, are as follows (in millions, except share and per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Exercisable at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987,622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3,286,870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(607,114 )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(134,024 )</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(1,783 )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2,865,598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760" w:type="dxa"/>
            <w:vAlign w:val="bottom"/>
          </w:tcPr>
          <w:p>
            <w:pPr>
              <w:ind w:left="200"/>
              <w:spacing w:after="0"/>
              <w:rPr>
                <w:sz w:val="20"/>
                <w:szCs w:val="20"/>
                <w:color w:val="auto"/>
              </w:rPr>
            </w:pPr>
            <w:r>
              <w:rPr>
                <w:rFonts w:ascii="Arial" w:cs="Arial" w:eastAsia="Arial" w:hAnsi="Arial"/>
                <w:sz w:val="18"/>
                <w:szCs w:val="18"/>
                <w:color w:val="auto"/>
              </w:rPr>
              <w:t>Exercisable at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1,274,443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-171450</wp:posOffset>
            </wp:positionV>
            <wp:extent cx="76835"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62560"/>
                    </a:xfrm>
                    <a:prstGeom prst="rect">
                      <a:avLst/>
                    </a:prstGeom>
                    <a:noFill/>
                  </pic:spPr>
                </pic:pic>
              </a:graphicData>
            </a:graphic>
          </wp:anchor>
        </w:drawing>
      </w:r>
    </w:p>
    <w:p>
      <w:pPr>
        <w:spacing w:after="0" w:line="383" w:lineRule="exact"/>
        <w:rPr>
          <w:sz w:val="20"/>
          <w:szCs w:val="20"/>
          <w:color w:val="auto"/>
        </w:rPr>
      </w:pPr>
    </w:p>
    <w:p>
      <w:pPr>
        <w:ind w:right="500" w:firstLine="644"/>
        <w:spacing w:after="0" w:line="247" w:lineRule="auto"/>
        <w:rPr>
          <w:sz w:val="20"/>
          <w:szCs w:val="20"/>
          <w:color w:val="auto"/>
        </w:rPr>
      </w:pPr>
      <w:r>
        <w:rPr>
          <w:rFonts w:ascii="Arial" w:cs="Arial" w:eastAsia="Arial" w:hAnsi="Arial"/>
          <w:sz w:val="18"/>
          <w:szCs w:val="18"/>
          <w:color w:val="auto"/>
        </w:rPr>
        <w:t>The weighted average grant date fair value of options granted during the nine months ended September 30, 2022 and 2021, was $21.08 and $18.73, respectively. The total intrinsic value of options exercised during the nine months ended September 30, 2022 and 2021, was $22.0 million and $26.4 million, respectively.</w:t>
      </w:r>
    </w:p>
    <w:p>
      <w:pPr>
        <w:spacing w:after="0" w:line="89" w:lineRule="exact"/>
        <w:rPr>
          <w:sz w:val="20"/>
          <w:szCs w:val="20"/>
          <w:color w:val="auto"/>
        </w:rPr>
      </w:pPr>
    </w:p>
    <w:p>
      <w:pPr>
        <w:jc w:val="both"/>
        <w:ind w:right="180" w:firstLine="644"/>
        <w:spacing w:after="0" w:line="247" w:lineRule="auto"/>
        <w:rPr>
          <w:sz w:val="20"/>
          <w:szCs w:val="20"/>
          <w:color w:val="auto"/>
        </w:rPr>
      </w:pPr>
      <w:r>
        <w:rPr>
          <w:rFonts w:ascii="Arial" w:cs="Arial" w:eastAsia="Arial" w:hAnsi="Arial"/>
          <w:sz w:val="18"/>
          <w:szCs w:val="18"/>
          <w:color w:val="auto"/>
        </w:rPr>
        <w:t>At September 30, 2022 and 2021, there was approximately $20.4 million and $23.9 million, respectively of total unrecognized compensation cost related to unvested stock options. That cost is expected to be recognized over a weighted average period of approximately three years as of September 30, 2022 and September 30, 2021.</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07" w:lineRule="exact"/>
        <w:rPr>
          <w:sz w:val="20"/>
          <w:szCs w:val="20"/>
          <w:color w:val="auto"/>
        </w:rPr>
      </w:pPr>
    </w:p>
    <w:p>
      <w:pPr>
        <w:ind w:right="200" w:firstLine="644"/>
        <w:spacing w:after="0" w:line="277" w:lineRule="auto"/>
        <w:rPr>
          <w:sz w:val="20"/>
          <w:szCs w:val="20"/>
          <w:color w:val="auto"/>
        </w:rPr>
      </w:pPr>
      <w:r>
        <w:rPr>
          <w:rFonts w:ascii="Arial" w:cs="Arial" w:eastAsia="Arial" w:hAnsi="Arial"/>
          <w:sz w:val="18"/>
          <w:szCs w:val="18"/>
          <w:color w:val="auto"/>
        </w:rPr>
        <w:t>A summary of the status of the Company’s restricted stock unit activity and the changes during the nine months ended September 30, 2022 are as follows (in millions,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(per share)</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18"/>
                <w:szCs w:val="18"/>
                <w:color w:val="auto"/>
              </w:rPr>
            </w:pPr>
          </w:p>
        </w:tc>
        <w:tc>
          <w:tcPr>
            <w:tcW w:w="3140" w:type="dxa"/>
            <w:vAlign w:val="bottom"/>
            <w:gridSpan w:val="2"/>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Unvested RSUs as of December 31, 2021</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186,480</w:t>
            </w:r>
          </w:p>
        </w:tc>
        <w:tc>
          <w:tcPr>
            <w:tcW w:w="3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63.94</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3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820,066</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Vested</w:t>
            </w:r>
          </w:p>
        </w:tc>
        <w:tc>
          <w:tcPr>
            <w:tcW w:w="3500" w:type="dxa"/>
            <w:vAlign w:val="bottom"/>
            <w:gridSpan w:val="3"/>
          </w:tcPr>
          <w:p>
            <w:pPr>
              <w:jc w:val="right"/>
              <w:ind w:right="280"/>
              <w:spacing w:after="0"/>
              <w:rPr>
                <w:sz w:val="20"/>
                <w:szCs w:val="20"/>
                <w:color w:val="auto"/>
              </w:rPr>
            </w:pPr>
            <w:r>
              <w:rPr>
                <w:rFonts w:ascii="Arial" w:cs="Arial" w:eastAsia="Arial" w:hAnsi="Arial"/>
                <w:sz w:val="18"/>
                <w:szCs w:val="18"/>
                <w:color w:val="auto"/>
              </w:rPr>
              <w:t>(51,900 )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 and cancelled</w:t>
            </w:r>
          </w:p>
        </w:tc>
        <w:tc>
          <w:tcPr>
            <w:tcW w:w="150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(113,493 )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RSUs as of September 30, 2022</w:t>
            </w:r>
          </w:p>
        </w:tc>
        <w:tc>
          <w:tcPr>
            <w:tcW w:w="1500" w:type="dxa"/>
            <w:vAlign w:val="bottom"/>
            <w:tcBorders>
              <w:top w:val="single" w:sz="8" w:color="CFF0FC"/>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841,153</w:t>
            </w:r>
          </w:p>
        </w:tc>
        <w:tc>
          <w:tcPr>
            <w:tcW w:w="3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43.75</w:t>
            </w: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2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-572770</wp:posOffset>
            </wp:positionV>
            <wp:extent cx="685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31" w:right="279" w:bottom="1440" w:gutter="0" w:footer="0" w:header="0"/>
        </w:sectPr>
      </w:pPr>
    </w:p>
    <w:bookmarkStart w:id="20" w:name="page21"/>
    <w:bookmarkEnd w:id="20"/>
    <w:p>
      <w:pPr>
        <w:ind w:right="160" w:firstLine="644"/>
        <w:spacing w:after="0" w:line="269" w:lineRule="auto"/>
        <w:rPr>
          <w:sz w:val="20"/>
          <w:szCs w:val="20"/>
          <w:color w:val="auto"/>
        </w:rPr>
      </w:pPr>
      <w:r>
        <w:rPr>
          <w:rFonts w:ascii="Arial" w:cs="Arial" w:eastAsia="Arial" w:hAnsi="Arial"/>
          <w:sz w:val="17"/>
          <w:szCs w:val="17"/>
          <w:color w:val="auto"/>
        </w:rPr>
        <w:t>At September 30, 2022, there was approximately $31.0 million of total unrecognized compensation cost related to unvested restricted stock units granted under the 2021 Equity Incentive Plan. That cost is expected to be recognized over a weighted average period of approximately three years as of September 30, 2022. No restricted stock units were granted during the three and nine months ended September 30, 2021.</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stock-based compensation cost for the three and nine months ended September 30, 2022 and 2021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8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 compensation expense</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2,266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14,048</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-24765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323" w:lineRule="exact"/>
        <w:rPr>
          <w:sz w:val="20"/>
          <w:szCs w:val="20"/>
          <w:color w:val="auto"/>
        </w:rPr>
      </w:pPr>
    </w:p>
    <w:p>
      <w:pPr>
        <w:ind w:right="100" w:firstLine="644"/>
        <w:spacing w:after="0" w:line="261" w:lineRule="auto"/>
        <w:rPr>
          <w:sz w:val="20"/>
          <w:szCs w:val="20"/>
          <w:color w:val="auto"/>
        </w:rPr>
      </w:pPr>
      <w:r>
        <w:rPr>
          <w:rFonts w:ascii="Arial" w:cs="Arial" w:eastAsia="Arial" w:hAnsi="Arial"/>
          <w:sz w:val="18"/>
          <w:szCs w:val="18"/>
          <w:color w:val="auto"/>
        </w:rPr>
        <w:t>A full valuation allowance has been established against our net U.S. federal and state deferred tax assets and foreign deferred tax assets, including net operating loss carryforwards.</w:t>
      </w:r>
    </w:p>
    <w:p>
      <w:pPr>
        <w:spacing w:after="0" w:line="62" w:lineRule="exact"/>
        <w:rPr>
          <w:sz w:val="20"/>
          <w:szCs w:val="20"/>
          <w:color w:val="auto"/>
        </w:rPr>
      </w:pPr>
    </w:p>
    <w:p>
      <w:pPr>
        <w:ind w:right="20" w:firstLine="644"/>
        <w:spacing w:after="0" w:line="268" w:lineRule="auto"/>
        <w:rPr>
          <w:sz w:val="20"/>
          <w:szCs w:val="20"/>
          <w:color w:val="auto"/>
        </w:rPr>
      </w:pPr>
      <w:r>
        <w:rPr>
          <w:rFonts w:ascii="Arial" w:cs="Arial" w:eastAsia="Arial" w:hAnsi="Arial"/>
          <w:sz w:val="17"/>
          <w:szCs w:val="17"/>
          <w:color w:val="auto"/>
        </w:rPr>
        <w:t>During the nine months ended September 30, 2022, the Company has a $0.6 million income tax benefit in the U.S. The Company had no current or deferred income tax benefit or expense in the U.S. or outside the U.S. for the nine months ended September 30, 2021. This estimated annual effective tax rate of 0%, which excludes the impact of the $0.6 million discrete adjustment, differs from the U.S. federal statutory rate primarily due to the effects of certain permanent items, foreign tax rate differences, and increases in the valuation allowance against deferred tax assets.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03" w:lineRule="exact"/>
        <w:rPr>
          <w:sz w:val="20"/>
          <w:szCs w:val="20"/>
          <w:color w:val="auto"/>
        </w:rPr>
      </w:pPr>
    </w:p>
    <w:p>
      <w:pPr>
        <w:ind w:right="60" w:firstLine="644"/>
        <w:spacing w:after="0" w:line="277" w:lineRule="auto"/>
        <w:rPr>
          <w:sz w:val="20"/>
          <w:szCs w:val="20"/>
          <w:color w:val="auto"/>
        </w:rPr>
      </w:pPr>
      <w:r>
        <w:rPr>
          <w:rFonts w:ascii="Arial" w:cs="Arial" w:eastAsia="Arial" w:hAnsi="Arial"/>
          <w:sz w:val="16"/>
          <w:szCs w:val="16"/>
          <w:color w:val="auto"/>
        </w:rPr>
        <w:t>As of December 31, 2021, the Company has net operating loss (“NOL”) carryforwards for U.S. federal income tax purposes, and similar state amounts, of approximately $195.7 million available to reduce future income subject to income taxes before limitations. As of December 31, 2021, the Company had a net operating loss carryforward for tax purposes related to its foreign subsidiary of $20.5 million. U.S. federal net operating carryforwards generated prior to 2018 in the approximate amount of $71.9 million will begin to expire, if not utilized, in 2022. Our non-U.S. net operating loss and U.S. federal net operating losses post 2017 have an indefinite life. The Company expects $128.4 million of legacy Xometry U.S. federal net operating losses to be available to offset future taxable income. During the three months ended September 30, 2022, management completed its evaluation of any limitations on the ability of the Company to utilize the Thomas subsidiary net operating loss carryforward of $67.3 million.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21" w:lineRule="exact"/>
        <w:rPr>
          <w:sz w:val="20"/>
          <w:szCs w:val="20"/>
          <w:color w:val="auto"/>
        </w:rPr>
      </w:pPr>
    </w:p>
    <w:p>
      <w:pPr>
        <w:ind w:right="260" w:firstLine="644"/>
        <w:spacing w:after="0" w:line="248" w:lineRule="auto"/>
        <w:rPr>
          <w:sz w:val="20"/>
          <w:szCs w:val="20"/>
          <w:color w:val="auto"/>
        </w:rPr>
      </w:pPr>
      <w:r>
        <w:rPr>
          <w:rFonts w:ascii="Arial" w:cs="Arial" w:eastAsia="Arial" w:hAnsi="Arial"/>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w w:val="92"/>
              </w:rPr>
              <w:t>Three Months Ended September 30,</w:t>
            </w:r>
          </w:p>
        </w:tc>
        <w:tc>
          <w:tcPr>
            <w:tcW w:w="120" w:type="dxa"/>
            <w:vAlign w:val="bottom"/>
          </w:tcPr>
          <w:p>
            <w:pPr>
              <w:spacing w:after="0"/>
              <w:rPr>
                <w:sz w:val="16"/>
                <w:szCs w:val="16"/>
                <w:color w:val="auto"/>
              </w:rPr>
            </w:pPr>
          </w:p>
        </w:tc>
        <w:tc>
          <w:tcPr>
            <w:tcW w:w="238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1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(51,602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6060" w:type="dxa"/>
            <w:vAlign w:val="bottom"/>
          </w:tcPr>
          <w:p>
            <w:pPr>
              <w:ind w:left="20"/>
              <w:spacing w:after="0" w:line="155" w:lineRule="exact"/>
              <w:rPr>
                <w:sz w:val="20"/>
                <w:szCs w:val="20"/>
                <w:color w:val="auto"/>
              </w:rPr>
            </w:pPr>
            <w:r>
              <w:rPr>
                <w:rFonts w:ascii="Arial" w:cs="Arial" w:eastAsia="Arial" w:hAnsi="Arial"/>
                <w:sz w:val="17"/>
                <w:szCs w:val="17"/>
                <w:color w:val="auto"/>
              </w:rPr>
              <w:t>Weighted-average number of shares outstanding used to compute net loss per</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47,303,090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43,962,863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9"/>
              </w:rPr>
              <w:t>47,057,521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20,092,600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60" w:type="dxa"/>
            <w:vAlign w:val="bottom"/>
          </w:tcPr>
          <w:p>
            <w:pPr>
              <w:ind w:left="20"/>
              <w:spacing w:after="0" w:line="189" w:lineRule="exact"/>
              <w:rPr>
                <w:sz w:val="20"/>
                <w:szCs w:val="20"/>
                <w:color w:val="auto"/>
              </w:rPr>
            </w:pPr>
            <w:r>
              <w:rPr>
                <w:rFonts w:ascii="Arial" w:cs="Arial" w:eastAsia="Arial" w:hAnsi="Arial"/>
                <w:sz w:val="18"/>
                <w:szCs w:val="18"/>
                <w:color w:val="auto"/>
              </w:rPr>
              <w:t>share attributable to common stockholders, basic and diluted</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(0.33</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-444500</wp:posOffset>
            </wp:positionV>
            <wp:extent cx="2602865" cy="2825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2865" cy="28257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ind w:right="540" w:firstLine="644"/>
        <w:spacing w:after="0" w:line="290"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4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w:t>
            </w:r>
          </w:p>
        </w:tc>
        <w:tc>
          <w:tcPr>
            <w:tcW w:w="10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2,865,598</w:t>
            </w:r>
          </w:p>
        </w:tc>
        <w:tc>
          <w:tcPr>
            <w:tcW w:w="260" w:type="dxa"/>
            <w:vAlign w:val="bottom"/>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3,478,115</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w:t>
            </w:r>
          </w:p>
        </w:tc>
        <w:tc>
          <w:tcPr>
            <w:tcW w:w="740" w:type="dxa"/>
            <w:vAlign w:val="bottom"/>
          </w:tcPr>
          <w:p>
            <w:pPr>
              <w:jc w:val="right"/>
              <w:spacing w:after="0"/>
              <w:rPr>
                <w:sz w:val="20"/>
                <w:szCs w:val="20"/>
                <w:color w:val="auto"/>
              </w:rPr>
            </w:pPr>
            <w:r>
              <w:rPr>
                <w:rFonts w:ascii="Arial" w:cs="Arial" w:eastAsia="Arial" w:hAnsi="Arial"/>
                <w:sz w:val="18"/>
                <w:szCs w:val="18"/>
                <w:color w:val="auto"/>
              </w:rPr>
              <w:t>841,153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106,754</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Warrants outstanding</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87,784</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112,026</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Shares reserved for charitable contribution</w:t>
            </w:r>
          </w:p>
        </w:tc>
        <w:tc>
          <w:tcPr>
            <w:tcW w:w="740" w:type="dxa"/>
            <w:vAlign w:val="bottom"/>
          </w:tcPr>
          <w:p>
            <w:pPr>
              <w:jc w:val="right"/>
              <w:spacing w:after="0"/>
              <w:rPr>
                <w:sz w:val="20"/>
                <w:szCs w:val="20"/>
                <w:color w:val="auto"/>
              </w:rPr>
            </w:pPr>
            <w:r>
              <w:rPr>
                <w:rFonts w:ascii="Arial" w:cs="Arial" w:eastAsia="Arial" w:hAnsi="Arial"/>
                <w:sz w:val="18"/>
                <w:szCs w:val="18"/>
                <w:color w:val="auto"/>
              </w:rPr>
              <w:t>301,993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382,525</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0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5,123,624</w:t>
            </w:r>
          </w:p>
        </w:tc>
        <w:tc>
          <w:tcPr>
            <w:tcW w:w="2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shares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9,220,152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4,079,420</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-170815</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0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2027 Convertible Notes</w:t>
      </w:r>
    </w:p>
    <w:p>
      <w:pPr>
        <w:spacing w:after="0" w:line="103" w:lineRule="exact"/>
        <w:rPr>
          <w:sz w:val="20"/>
          <w:szCs w:val="20"/>
          <w:color w:val="auto"/>
        </w:rPr>
      </w:pPr>
    </w:p>
    <w:p>
      <w:pPr>
        <w:ind w:right="20" w:firstLine="644"/>
        <w:spacing w:after="0" w:line="282" w:lineRule="auto"/>
        <w:rPr>
          <w:sz w:val="20"/>
          <w:szCs w:val="20"/>
          <w:color w:val="auto"/>
        </w:rPr>
      </w:pPr>
      <w:r>
        <w:rPr>
          <w:rFonts w:ascii="Arial" w:cs="Arial" w:eastAsia="Arial" w:hAnsi="Arial"/>
          <w:sz w:val="16"/>
          <w:szCs w:val="16"/>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51" w:lineRule="exact"/>
        <w:rPr>
          <w:sz w:val="20"/>
          <w:szCs w:val="20"/>
          <w:color w:val="auto"/>
        </w:rPr>
      </w:pPr>
    </w:p>
    <w:p>
      <w:pPr>
        <w:ind w:right="220" w:firstLine="644"/>
        <w:spacing w:after="0" w:line="341" w:lineRule="auto"/>
        <w:rPr>
          <w:sz w:val="20"/>
          <w:szCs w:val="20"/>
          <w:color w:val="auto"/>
        </w:rPr>
      </w:pPr>
      <w:r>
        <w:rPr>
          <w:rFonts w:ascii="Arial" w:cs="Arial" w:eastAsia="Arial" w:hAnsi="Arial"/>
          <w:sz w:val="16"/>
          <w:szCs w:val="16"/>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3"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75" w:lineRule="exact"/>
        <w:rPr>
          <w:sz w:val="20"/>
          <w:szCs w:val="20"/>
          <w:color w:val="auto"/>
        </w:rPr>
      </w:pPr>
    </w:p>
    <w:p>
      <w:pPr>
        <w:ind w:right="60" w:firstLine="644"/>
        <w:spacing w:after="0" w:line="277" w:lineRule="auto"/>
        <w:rPr>
          <w:sz w:val="20"/>
          <w:szCs w:val="20"/>
          <w:color w:val="auto"/>
        </w:rPr>
      </w:pPr>
      <w:r>
        <w:rPr>
          <w:rFonts w:ascii="Arial" w:cs="Arial" w:eastAsia="Arial" w:hAnsi="Arial"/>
          <w:sz w:val="17"/>
          <w:szCs w:val="17"/>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51" w:lineRule="exact"/>
        <w:rPr>
          <w:sz w:val="20"/>
          <w:szCs w:val="20"/>
          <w:color w:val="auto"/>
        </w:rPr>
      </w:pPr>
    </w:p>
    <w:p>
      <w:pPr>
        <w:ind w:right="520" w:firstLine="644"/>
        <w:spacing w:after="0" w:line="261" w:lineRule="auto"/>
        <w:rPr>
          <w:sz w:val="20"/>
          <w:szCs w:val="20"/>
          <w:color w:val="auto"/>
        </w:rPr>
      </w:pPr>
      <w:r>
        <w:rPr>
          <w:rFonts w:ascii="Arial" w:cs="Arial" w:eastAsia="Arial" w:hAnsi="Arial"/>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p>
      <w:pPr>
        <w:jc w:val="both"/>
        <w:ind w:left="1020" w:hanging="504"/>
        <w:spacing w:after="0" w:line="25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8" w:lineRule="exact"/>
        <w:rPr>
          <w:rFonts w:ascii="Arial" w:cs="Arial" w:eastAsia="Arial" w:hAnsi="Arial"/>
          <w:sz w:val="18"/>
          <w:szCs w:val="18"/>
          <w:color w:val="auto"/>
        </w:rPr>
      </w:pPr>
    </w:p>
    <w:p>
      <w:pPr>
        <w:jc w:val="both"/>
        <w:ind w:left="1020" w:hanging="504"/>
        <w:spacing w:after="0" w:line="25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8" w:lineRule="exact"/>
        <w:rPr>
          <w:rFonts w:ascii="Arial" w:cs="Arial" w:eastAsia="Arial" w:hAnsi="Arial"/>
          <w:sz w:val="18"/>
          <w:szCs w:val="18"/>
          <w:color w:val="auto"/>
        </w:rPr>
      </w:pPr>
    </w:p>
    <w:p>
      <w:pPr>
        <w:jc w:val="both"/>
        <w:ind w:left="1020" w:hanging="504"/>
        <w:spacing w:after="0" w:line="25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8"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319" w:lineRule="exact"/>
        <w:rPr>
          <w:sz w:val="20"/>
          <w:szCs w:val="20"/>
          <w:color w:val="auto"/>
        </w:rPr>
      </w:pPr>
    </w:p>
    <w:p>
      <w:pPr>
        <w:ind w:right="720" w:firstLine="644"/>
        <w:spacing w:after="0" w:line="261" w:lineRule="auto"/>
        <w:rPr>
          <w:sz w:val="20"/>
          <w:szCs w:val="20"/>
          <w:color w:val="auto"/>
        </w:rPr>
      </w:pPr>
      <w:r>
        <w:rPr>
          <w:rFonts w:ascii="Arial" w:cs="Arial" w:eastAsia="Arial" w:hAnsi="Arial"/>
          <w:sz w:val="18"/>
          <w:szCs w:val="18"/>
          <w:color w:val="auto"/>
        </w:rPr>
        <w:t>On or after November 1, 2026, the 2027 Notes are convertible at any time until the close of business on the second scheduled trading day immediately preceding the maturity date.</w:t>
      </w:r>
    </w:p>
    <w:p>
      <w:pPr>
        <w:spacing w:after="0" w:line="62" w:lineRule="exact"/>
        <w:rPr>
          <w:sz w:val="20"/>
          <w:szCs w:val="20"/>
          <w:color w:val="auto"/>
        </w:rPr>
      </w:pPr>
    </w:p>
    <w:p>
      <w:pPr>
        <w:ind w:right="100" w:firstLine="644"/>
        <w:spacing w:after="0" w:line="248" w:lineRule="auto"/>
        <w:rPr>
          <w:sz w:val="20"/>
          <w:szCs w:val="20"/>
          <w:color w:val="auto"/>
        </w:rPr>
      </w:pPr>
      <w:r>
        <w:rPr>
          <w:rFonts w:ascii="Arial" w:cs="Arial" w:eastAsia="Arial" w:hAnsi="Arial"/>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88" w:lineRule="exact"/>
        <w:rPr>
          <w:sz w:val="20"/>
          <w:szCs w:val="20"/>
          <w:color w:val="auto"/>
        </w:rPr>
      </w:pPr>
    </w:p>
    <w:p>
      <w:pPr>
        <w:ind w:right="640" w:firstLine="644"/>
        <w:spacing w:after="0" w:line="261" w:lineRule="auto"/>
        <w:rPr>
          <w:sz w:val="20"/>
          <w:szCs w:val="20"/>
          <w:color w:val="auto"/>
        </w:rPr>
      </w:pPr>
      <w:r>
        <w:rPr>
          <w:rFonts w:ascii="Arial" w:cs="Arial" w:eastAsia="Arial" w:hAnsi="Arial"/>
          <w:sz w:val="18"/>
          <w:szCs w:val="18"/>
          <w:color w:val="auto"/>
        </w:rPr>
        <w:t>We accounted for the issuance of the 2027 Notes as a single liability measured at its amortized cost, as no other embedded features require bifurcation and recognition as derivatives.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outstanding principal amount and carrying value of the 2027 Notes as of the dates indicated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9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FF0FC"/>
          </w:tcPr>
          <w:p>
            <w:pPr>
              <w:spacing w:after="0"/>
              <w:rPr>
                <w:sz w:val="18"/>
                <w:szCs w:val="18"/>
                <w:color w:val="auto"/>
              </w:rPr>
            </w:pPr>
          </w:p>
        </w:tc>
      </w:tr>
      <w:tr>
        <w:trPr>
          <w:trHeight w:val="216"/>
        </w:trPr>
        <w:tc>
          <w:tcPr>
            <w:tcW w:w="93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(7,475 )</w:t>
            </w:r>
          </w:p>
        </w:tc>
      </w:tr>
      <w:tr>
        <w:trPr>
          <w:trHeight w:val="216"/>
        </w:trPr>
        <w:tc>
          <w:tcPr>
            <w:tcW w:w="9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(584 )</w:t>
            </w:r>
          </w:p>
        </w:tc>
      </w:tr>
      <w:tr>
        <w:trPr>
          <w:trHeight w:val="209"/>
        </w:trPr>
        <w:tc>
          <w:tcPr>
            <w:tcW w:w="9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carrying value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279,441</w:t>
            </w:r>
          </w:p>
        </w:tc>
        <w:tc>
          <w:tcPr>
            <w:tcW w:w="100" w:type="dxa"/>
            <w:vAlign w:val="bottom"/>
            <w:tcBorders>
              <w:top w:val="single" w:sz="8" w:color="CFF0FC"/>
            </w:tcBorders>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97" w:lineRule="exact"/>
        <w:rPr>
          <w:sz w:val="20"/>
          <w:szCs w:val="20"/>
          <w:color w:val="auto"/>
        </w:rPr>
      </w:pPr>
    </w:p>
    <w:p>
      <w:pPr>
        <w:ind w:right="80" w:firstLine="644"/>
        <w:spacing w:after="0" w:line="261" w:lineRule="auto"/>
        <w:rPr>
          <w:sz w:val="20"/>
          <w:szCs w:val="20"/>
          <w:color w:val="auto"/>
        </w:rPr>
      </w:pPr>
      <w:r>
        <w:rPr>
          <w:rFonts w:ascii="Arial" w:cs="Arial" w:eastAsia="Arial" w:hAnsi="Arial"/>
          <w:sz w:val="18"/>
          <w:szCs w:val="18"/>
          <w:color w:val="auto"/>
        </w:rPr>
        <w:t>The annual effective interest rate for the 2027 Notes was approximately 1.6%. Interest expense related to the 2027 Notes for the periods presented below was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71"/>
        </w:trPr>
        <w:tc>
          <w:tcPr>
            <w:tcW w:w="7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r>
      <w:tr>
        <w:trPr>
          <w:trHeight w:val="169"/>
        </w:trPr>
        <w:tc>
          <w:tcPr>
            <w:tcW w:w="7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Coupon interest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20" w:type="dxa"/>
            <w:vAlign w:val="bottom"/>
            <w:gridSpan w:val="2"/>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transaction costs</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-170815</wp:posOffset>
            </wp:positionV>
            <wp:extent cx="68580" cy="316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316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3168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539"/>
        <w:spacing w:after="0" w:line="277" w:lineRule="auto"/>
        <w:rPr>
          <w:sz w:val="20"/>
          <w:szCs w:val="20"/>
          <w:color w:val="auto"/>
        </w:rPr>
      </w:pPr>
      <w:r>
        <w:rPr>
          <w:rFonts w:ascii="Arial" w:cs="Arial" w:eastAsia="Arial" w:hAnsi="Arial"/>
          <w:sz w:val="18"/>
          <w:szCs w:val="18"/>
          <w:color w:val="auto"/>
        </w:rPr>
        <w:t>The Company estimates the fair value of the 2027 Notes with inputs that are unobservable. The following table presents the carrying value and estimated fair value of the 2027 Notes as of the date indicated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5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2027 Notes</w:t>
            </w: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Carrying Value</w:t>
            </w:r>
          </w:p>
        </w:tc>
        <w:tc>
          <w:tcPr>
            <w:tcW w:w="4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Fair Value</w:t>
            </w:r>
          </w:p>
        </w:tc>
        <w:tc>
          <w:tcPr>
            <w:tcW w:w="520" w:type="dxa"/>
            <w:vAlign w:val="bottom"/>
            <w:vMerge w:val="restart"/>
          </w:tcPr>
          <w:p>
            <w:pPr>
              <w:jc w:val="right"/>
              <w:ind w:right="2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279,441</w:t>
            </w:r>
          </w:p>
        </w:tc>
        <w:tc>
          <w:tcPr>
            <w:tcW w:w="400" w:type="dxa"/>
            <w:vAlign w:val="bottom"/>
          </w:tcPr>
          <w:p>
            <w:pPr>
              <w:spacing w:after="0"/>
              <w:rPr>
                <w:sz w:val="18"/>
                <w:szCs w:val="18"/>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265,609</w:t>
            </w: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60" w:firstLine="8"/>
        <w:spacing w:after="0" w:line="24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is estimated using a discounted cash flow analysis, using interest rate that we believe are offered for similar borrowings (a Level 3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3" w:lineRule="exact"/>
        <w:rPr>
          <w:sz w:val="20"/>
          <w:szCs w:val="20"/>
          <w:color w:val="auto"/>
        </w:rPr>
      </w:pPr>
    </w:p>
    <w:p>
      <w:pPr>
        <w:ind w:right="500" w:firstLine="644"/>
        <w:spacing w:after="0" w:line="277" w:lineRule="auto"/>
        <w:rPr>
          <w:sz w:val="20"/>
          <w:szCs w:val="20"/>
          <w:color w:val="auto"/>
        </w:rPr>
      </w:pPr>
      <w:r>
        <w:rPr>
          <w:rFonts w:ascii="Arial" w:cs="Arial" w:eastAsia="Arial" w:hAnsi="Arial"/>
          <w:sz w:val="18"/>
          <w:szCs w:val="18"/>
          <w:color w:val="auto"/>
        </w:rPr>
        <w:t>The Company was party to an amended and restated loan and security agreement ("Amended Loan and Security Agreement") with Hercules Capital, Inc. (“Hercules”) for a term loan ("the Term Loan Facility"). Under the Amended Loan and Security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3" w:name="page24"/>
    <w:bookmarkEnd w:id="23"/>
    <w:p>
      <w:pPr>
        <w:ind w:right="140"/>
        <w:spacing w:after="0" w:line="248" w:lineRule="auto"/>
        <w:rPr>
          <w:sz w:val="20"/>
          <w:szCs w:val="20"/>
          <w:color w:val="auto"/>
        </w:rPr>
      </w:pPr>
      <w:r>
        <w:rPr>
          <w:rFonts w:ascii="Arial" w:cs="Arial" w:eastAsia="Arial" w:hAnsi="Arial"/>
          <w:sz w:val="18"/>
          <w:szCs w:val="18"/>
          <w:color w:val="auto"/>
        </w:rPr>
        <w:t>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In connection with the debt extinguishment, the Company paid Hercules $16.1 million and recorded a loss on debt extinguishment of approximately $0.3 million.</w:t>
      </w:r>
    </w:p>
    <w:p>
      <w:pPr>
        <w:spacing w:after="0" w:line="88" w:lineRule="exact"/>
        <w:rPr>
          <w:sz w:val="20"/>
          <w:szCs w:val="20"/>
          <w:color w:val="auto"/>
        </w:rPr>
      </w:pPr>
    </w:p>
    <w:p>
      <w:pPr>
        <w:ind w:right="40" w:firstLine="734"/>
        <w:spacing w:after="0" w:line="247" w:lineRule="auto"/>
        <w:rPr>
          <w:sz w:val="20"/>
          <w:szCs w:val="20"/>
          <w:color w:val="auto"/>
        </w:rPr>
      </w:pPr>
      <w:r>
        <w:rPr>
          <w:rFonts w:ascii="Arial" w:cs="Arial" w:eastAsia="Arial" w:hAnsi="Arial"/>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w:t>
      </w:r>
    </w:p>
    <w:p>
      <w:pPr>
        <w:spacing w:after="0" w:line="89"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420" w:firstLine="644"/>
        <w:spacing w:after="0" w:line="248"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107" w:lineRule="exact"/>
        <w:rPr>
          <w:sz w:val="20"/>
          <w:szCs w:val="20"/>
          <w:color w:val="auto"/>
        </w:rPr>
      </w:pPr>
    </w:p>
    <w:p>
      <w:pPr>
        <w:ind w:right="100" w:firstLine="644"/>
        <w:spacing w:after="0" w:line="260" w:lineRule="auto"/>
        <w:rPr>
          <w:sz w:val="20"/>
          <w:szCs w:val="20"/>
          <w:color w:val="auto"/>
        </w:rPr>
      </w:pPr>
      <w:r>
        <w:rPr>
          <w:rFonts w:ascii="Arial" w:cs="Arial" w:eastAsia="Arial" w:hAnsi="Arial"/>
          <w:sz w:val="17"/>
          <w:szCs w:val="17"/>
          <w:color w:val="auto"/>
        </w:rPr>
        <w:t>Xometry is organized in two segments referred to as: (1) the U.S. and (2) International (formerly referred to as Europe).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reflect certain segment information for the three and the nine months ended September 30, 2022 and 2021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Three Months Ended September 30,</w:t>
            </w:r>
          </w:p>
        </w:tc>
        <w:tc>
          <w:tcPr>
            <w:tcW w:w="24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7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U.S.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94,829</w:t>
            </w:r>
          </w:p>
        </w:tc>
        <w:tc>
          <w:tcPr>
            <w:tcW w:w="26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51,739</w:t>
            </w:r>
          </w:p>
        </w:tc>
        <w:tc>
          <w:tcPr>
            <w:tcW w:w="18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258,553</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76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left w:val="single" w:sz="8" w:color="CFF0FC"/>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center"/>
              <w:ind w:left="215"/>
              <w:spacing w:after="0"/>
              <w:rPr>
                <w:sz w:val="20"/>
                <w:szCs w:val="20"/>
                <w:color w:val="auto"/>
              </w:rPr>
            </w:pPr>
            <w:r>
              <w:rPr>
                <w:rFonts w:ascii="Arial" w:cs="Arial" w:eastAsia="Arial" w:hAnsi="Arial"/>
                <w:sz w:val="18"/>
                <w:szCs w:val="18"/>
                <w:color w:val="auto"/>
                <w:w w:val="90"/>
              </w:rPr>
              <w:t>24,304</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56,727</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282,857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24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Losses</w:t>
            </w:r>
          </w:p>
        </w:tc>
        <w:tc>
          <w:tcPr>
            <w:tcW w:w="27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U.S.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(10,732 )</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(12,550 )</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(36,977 )</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(30,152 )</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7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(4,305 )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(2,161 )</w:t>
            </w:r>
          </w:p>
        </w:tc>
        <w:tc>
          <w:tcPr>
            <w:tcW w:w="260" w:type="dxa"/>
            <w:vAlign w:val="bottom"/>
            <w:tcBorders>
              <w:left w:val="single" w:sz="8" w:color="CFF0FC"/>
            </w:tcBorders>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(14,625 )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(7,324 )</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27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4"/>
                <w:szCs w:val="4"/>
                <w:color w:val="auto"/>
                <w:w w:val="87"/>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(15,037 )</w:t>
            </w:r>
          </w:p>
        </w:tc>
        <w:tc>
          <w:tcPr>
            <w:tcW w:w="24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(14,711 )</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(51,602 )</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(37,476 )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60" w:type="dxa"/>
            <w:vAlign w:val="bottom"/>
            <w:vMerge w:val="restart"/>
          </w:tcPr>
          <w:p>
            <w:pPr>
              <w:jc w:val="right"/>
              <w:ind w:right="31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3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6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-1557655</wp:posOffset>
            </wp:positionV>
            <wp:extent cx="7683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-1557655</wp:posOffset>
            </wp:positionV>
            <wp:extent cx="685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-1557655</wp:posOffset>
            </wp:positionV>
            <wp:extent cx="6858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-589915</wp:posOffset>
            </wp:positionV>
            <wp:extent cx="76835"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-589915</wp:posOffset>
            </wp:positionV>
            <wp:extent cx="685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-589915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Goodwill and Intangible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Company’s intangible assets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06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060" w:type="dxa"/>
            <w:vAlign w:val="bottom"/>
          </w:tcPr>
          <w:p>
            <w:pPr>
              <w:jc w:val="center"/>
              <w:ind w:left="148"/>
              <w:spacing w:after="0" w:line="144" w:lineRule="exact"/>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60" w:type="dxa"/>
            <w:vAlign w:val="bottom"/>
          </w:tcPr>
          <w:p>
            <w:pPr>
              <w:spacing w:after="0"/>
              <w:rPr>
                <w:sz w:val="13"/>
                <w:szCs w:val="13"/>
                <w:color w:val="auto"/>
              </w:rPr>
            </w:pPr>
          </w:p>
        </w:tc>
        <w:tc>
          <w:tcPr>
            <w:tcW w:w="106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4"/>
              </w:rPr>
              <w:t>period in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4"/>
              </w:rPr>
              <w:t>carrying</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0"/>
              <w:spacing w:after="0"/>
              <w:rPr>
                <w:sz w:val="20"/>
                <w:szCs w:val="20"/>
                <w:color w:val="auto"/>
              </w:rPr>
            </w:pPr>
            <w:r>
              <w:rPr>
                <w:rFonts w:ascii="Arial" w:cs="Arial" w:eastAsia="Arial" w:hAnsi="Arial"/>
                <w:sz w:val="18"/>
                <w:szCs w:val="18"/>
                <w:color w:val="auto"/>
              </w:rPr>
              <w:t>Amortizing intangible assets: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w:t>
            </w:r>
          </w:p>
        </w:tc>
        <w:tc>
          <w:tcPr>
            <w:tcW w:w="2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36,652</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2,025</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Trade Names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Developed Technology</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Vendor Relationships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Database</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In-place Lease Intangible Asset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Above Market Lease Intangible Asset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Patents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20" w:type="dxa"/>
            <w:vAlign w:val="bottom"/>
            <w:tcBorders>
              <w:bottom w:val="single" w:sz="8" w:color="CFF0FC"/>
            </w:tcBorders>
            <w:gridSpan w:val="2"/>
            <w:shd w:val="clear" w:color="auto" w:fill="CFF0FC"/>
          </w:tcPr>
          <w:p>
            <w:pPr>
              <w:ind w:left="56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43,979</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3,692</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57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06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60" w:type="dxa"/>
            <w:vAlign w:val="bottom"/>
          </w:tcPr>
          <w:p>
            <w:pPr>
              <w:spacing w:after="0"/>
              <w:rPr>
                <w:sz w:val="13"/>
                <w:szCs w:val="13"/>
                <w:color w:val="auto"/>
              </w:rPr>
            </w:pPr>
          </w:p>
        </w:tc>
        <w:tc>
          <w:tcPr>
            <w:tcW w:w="1060" w:type="dxa"/>
            <w:vAlign w:val="bottom"/>
          </w:tcPr>
          <w:p>
            <w:pPr>
              <w:jc w:val="center"/>
              <w:ind w:left="148"/>
              <w:spacing w:after="0" w:line="157" w:lineRule="exact"/>
              <w:rPr>
                <w:sz w:val="20"/>
                <w:szCs w:val="20"/>
                <w:color w:val="auto"/>
              </w:rPr>
            </w:pPr>
            <w:r>
              <w:rPr>
                <w:rFonts w:ascii="Arial" w:cs="Arial" w:eastAsia="Arial" w:hAnsi="Arial"/>
                <w:sz w:val="14"/>
                <w:szCs w:val="14"/>
                <w:b w:val="1"/>
                <w:bCs w:val="1"/>
                <w:color w:val="auto"/>
                <w:w w:val="94"/>
              </w:rPr>
              <w:t>period in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16"/>
              <w:spacing w:after="0" w:line="157" w:lineRule="exact"/>
              <w:rPr>
                <w:sz w:val="20"/>
                <w:szCs w:val="20"/>
                <w:color w:val="auto"/>
              </w:rPr>
            </w:pPr>
            <w:r>
              <w:rPr>
                <w:rFonts w:ascii="Arial" w:cs="Arial" w:eastAsia="Arial" w:hAnsi="Arial"/>
                <w:sz w:val="14"/>
                <w:szCs w:val="14"/>
                <w:b w:val="1"/>
                <w:bCs w:val="1"/>
                <w:color w:val="auto"/>
                <w:w w:val="94"/>
              </w:rPr>
              <w:t>carrying</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35"/>
              <w:spacing w:after="0" w:line="157"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0"/>
              <w:spacing w:after="0"/>
              <w:rPr>
                <w:sz w:val="20"/>
                <w:szCs w:val="20"/>
                <w:color w:val="auto"/>
              </w:rPr>
            </w:pPr>
            <w:r>
              <w:rPr>
                <w:rFonts w:ascii="Arial" w:cs="Arial" w:eastAsia="Arial" w:hAnsi="Arial"/>
                <w:sz w:val="18"/>
                <w:szCs w:val="18"/>
                <w:color w:val="auto"/>
              </w:rPr>
              <w:t>Amortizing intangible assets: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37,139</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Trade Names</w:t>
            </w: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Vendor Relationships</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Database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560"/>
              <w:spacing w:after="0"/>
              <w:rPr>
                <w:sz w:val="20"/>
                <w:szCs w:val="20"/>
                <w:color w:val="auto"/>
              </w:rPr>
            </w:pPr>
            <w:r>
              <w:rPr>
                <w:rFonts w:ascii="Arial" w:cs="Arial" w:eastAsia="Arial" w:hAnsi="Arial"/>
                <w:sz w:val="18"/>
                <w:szCs w:val="18"/>
                <w:color w:val="auto"/>
              </w:rPr>
              <w:t>Total intangible assets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43,418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-1985645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-1968500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-1985645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-1968500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-170815</wp:posOffset>
            </wp:positionV>
            <wp:extent cx="685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provides a roll forward of the carrying amount of goodwill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Gross goodwill</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257,746</w:t>
            </w:r>
          </w:p>
        </w:tc>
        <w:tc>
          <w:tcPr>
            <w:tcW w:w="140" w:type="dxa"/>
            <w:vAlign w:val="bottom"/>
          </w:tcPr>
          <w:p>
            <w:pPr>
              <w:spacing w:after="0"/>
              <w:rPr>
                <w:sz w:val="18"/>
                <w:szCs w:val="18"/>
                <w:color w:val="auto"/>
              </w:rPr>
            </w:pP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impairments</w:t>
            </w: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(3,074 )</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(3,074 )</w:t>
            </w:r>
          </w:p>
        </w:tc>
        <w:tc>
          <w:tcPr>
            <w:tcW w:w="0" w:type="dxa"/>
            <w:vAlign w:val="bottom"/>
          </w:tcPr>
          <w:p>
            <w:pPr>
              <w:spacing w:after="0"/>
              <w:rPr>
                <w:sz w:val="1"/>
                <w:szCs w:val="1"/>
                <w:color w:val="auto"/>
              </w:rPr>
            </w:pPr>
          </w:p>
        </w:tc>
      </w:tr>
      <w:tr>
        <w:trPr>
          <w:trHeight w:val="209"/>
        </w:trPr>
        <w:tc>
          <w:tcPr>
            <w:tcW w:w="73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goodwill as of January 1</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254,672</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3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Goodwill adjustment during the year</w:t>
            </w:r>
          </w:p>
        </w:tc>
        <w:tc>
          <w:tcPr>
            <w:tcW w:w="10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45"/>
              <w:spacing w:after="0"/>
              <w:rPr>
                <w:sz w:val="20"/>
                <w:szCs w:val="20"/>
                <w:color w:val="auto"/>
              </w:rPr>
            </w:pPr>
            <w:r>
              <w:rPr>
                <w:rFonts w:ascii="Arial" w:cs="Arial" w:eastAsia="Arial" w:hAnsi="Arial"/>
                <w:sz w:val="12"/>
                <w:szCs w:val="12"/>
                <w:color w:val="auto"/>
              </w:rPr>
              <w:t>(1)</w:t>
            </w:r>
          </w:p>
        </w:tc>
        <w:tc>
          <w:tcPr>
            <w:tcW w:w="4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253,839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7320" w:type="dxa"/>
            <w:vAlign w:val="bottom"/>
            <w:vMerge w:val="continue"/>
            <w:shd w:val="clear" w:color="auto" w:fill="CFF0FC"/>
          </w:tcPr>
          <w:p>
            <w:pPr>
              <w:spacing w:after="0"/>
              <w:rPr>
                <w:sz w:val="5"/>
                <w:szCs w:val="5"/>
                <w:color w:val="auto"/>
              </w:rPr>
            </w:pPr>
          </w:p>
        </w:tc>
        <w:tc>
          <w:tcPr>
            <w:tcW w:w="1000" w:type="dxa"/>
            <w:vAlign w:val="bottom"/>
            <w:tcBorders>
              <w:bottom w:val="single" w:sz="8" w:color="auto"/>
            </w:tcBorders>
            <w:shd w:val="clear" w:color="auto" w:fill="CFF0FC"/>
          </w:tcPr>
          <w:p>
            <w:pPr>
              <w:spacing w:after="0"/>
              <w:rPr>
                <w:sz w:val="5"/>
                <w:szCs w:val="5"/>
                <w:color w:val="auto"/>
              </w:rPr>
            </w:pPr>
          </w:p>
        </w:tc>
        <w:tc>
          <w:tcPr>
            <w:tcW w:w="620" w:type="dxa"/>
            <w:vAlign w:val="bottom"/>
            <w:tcBorders>
              <w:bottom w:val="single" w:sz="8" w:color="auto"/>
            </w:tcBorders>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420" w:type="dxa"/>
            <w:vAlign w:val="bottom"/>
            <w:tcBorders>
              <w:bottom w:val="single" w:sz="8" w:color="auto"/>
            </w:tcBorders>
            <w:shd w:val="clear" w:color="auto" w:fill="CFF0FC"/>
          </w:tcPr>
          <w:p>
            <w:pPr>
              <w:spacing w:after="0"/>
              <w:rPr>
                <w:sz w:val="5"/>
                <w:szCs w:val="5"/>
                <w:color w:val="auto"/>
              </w:rPr>
            </w:pPr>
          </w:p>
        </w:tc>
        <w:tc>
          <w:tcPr>
            <w:tcW w:w="1320" w:type="dxa"/>
            <w:vAlign w:val="bottom"/>
            <w:tcBorders>
              <w:bottom w:val="single" w:sz="8" w:color="auto"/>
            </w:tcBorders>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00"/>
              <w:spacing w:after="0"/>
              <w:rPr>
                <w:sz w:val="20"/>
                <w:szCs w:val="20"/>
                <w:color w:val="auto"/>
              </w:rPr>
            </w:pPr>
            <w:r>
              <w:rPr>
                <w:rFonts w:ascii="Arial" w:cs="Arial" w:eastAsia="Arial" w:hAnsi="Arial"/>
                <w:sz w:val="18"/>
                <w:szCs w:val="18"/>
                <w:color w:val="auto"/>
              </w:rPr>
              <w:t>Net goodwill as of September 30, 2022, and December 31, 2021</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259,971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-453390</wp:posOffset>
            </wp:positionV>
            <wp:extent cx="76835"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 See Note 7 - Acquisitions.</w:t>
      </w:r>
    </w:p>
    <w:p>
      <w:pPr>
        <w:spacing w:after="0" w:line="117" w:lineRule="exact"/>
        <w:rPr>
          <w:sz w:val="20"/>
          <w:szCs w:val="20"/>
          <w:color w:val="auto"/>
        </w:rPr>
      </w:pPr>
    </w:p>
    <w:p>
      <w:pPr>
        <w:ind w:right="760" w:firstLine="644"/>
        <w:spacing w:after="0" w:line="261" w:lineRule="auto"/>
        <w:rPr>
          <w:sz w:val="20"/>
          <w:szCs w:val="20"/>
          <w:color w:val="auto"/>
        </w:rPr>
      </w:pPr>
      <w:r>
        <w:rPr>
          <w:rFonts w:ascii="Arial" w:cs="Arial" w:eastAsia="Arial" w:hAnsi="Arial"/>
          <w:sz w:val="18"/>
          <w:szCs w:val="18"/>
          <w:color w:val="auto"/>
        </w:rPr>
        <w:t>As of September 30, 2022 and December 31, 2021, Xometry’s goodwill of $260.0 million and $254.7 million, respectively, is part of the Company's U.S. operating segment.</w:t>
      </w:r>
    </w:p>
    <w:p>
      <w:pPr>
        <w:spacing w:after="0" w:line="62" w:lineRule="exact"/>
        <w:rPr>
          <w:sz w:val="20"/>
          <w:szCs w:val="20"/>
          <w:color w:val="auto"/>
        </w:rPr>
      </w:pPr>
    </w:p>
    <w:p>
      <w:pPr>
        <w:ind w:right="160" w:firstLine="644"/>
        <w:spacing w:after="0" w:line="307" w:lineRule="auto"/>
        <w:rPr>
          <w:sz w:val="20"/>
          <w:szCs w:val="20"/>
          <w:color w:val="auto"/>
        </w:rPr>
      </w:pPr>
      <w:r>
        <w:rPr>
          <w:rFonts w:ascii="Arial" w:cs="Arial" w:eastAsia="Arial" w:hAnsi="Arial"/>
          <w:sz w:val="17"/>
          <w:szCs w:val="17"/>
          <w:color w:val="auto"/>
        </w:rPr>
        <w:t>As of September 30, 2022, estimated amortization expense for intangible assets for the remainder of 2022 and the next five years is: $0.9 million in 2022, $3.6 million in 2023, $3.6 million in 2024, $3.6 million in 2025, $3.2 million in 2026, $2.6 million in 2027 and $22.8 million thereafter.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Amortization expense for the three and nine months ended September 30, 2022 and 2021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4"/>
                <w:szCs w:val="24"/>
                <w:color w:val="auto"/>
                <w:vertAlign w:val="superscript"/>
              </w:rPr>
              <w:t>(1)</w:t>
            </w: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953</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-170815</wp:posOffset>
            </wp:positionV>
            <wp:extent cx="76835"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-170815</wp:posOffset>
            </wp:positionV>
            <wp:extent cx="6858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left="5540" w:right="2420" w:hanging="5532"/>
        <w:spacing w:after="0" w:line="402"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the lease related intangible assets is recorded as operating lease expense in general and administrative.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8" w:lineRule="exact"/>
        <w:rPr>
          <w:sz w:val="20"/>
          <w:szCs w:val="20"/>
          <w:color w:val="auto"/>
        </w:rPr>
      </w:pPr>
    </w:p>
    <w:p>
      <w:pPr>
        <w:ind w:right="160" w:firstLine="689"/>
        <w:spacing w:after="0" w:line="282" w:lineRule="auto"/>
        <w:rPr>
          <w:sz w:val="20"/>
          <w:szCs w:val="20"/>
          <w:color w:val="auto"/>
        </w:rPr>
      </w:pPr>
      <w:r>
        <w:rPr>
          <w:rFonts w:ascii="Arial" w:cs="Arial" w:eastAsia="Arial" w:hAnsi="Arial"/>
          <w:sz w:val="16"/>
          <w:szCs w:val="16"/>
          <w:i w:val="1"/>
          <w:iCs w:val="1"/>
          <w:color w:val="auto"/>
        </w:rPr>
        <w:t>The following discussion and analysis should be read in conjunction with our unaudited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2021. Our historical results are not necessarily indicative of the results that may be expected in the future and our current quarterly results are not necessarily indicative of the results expected for the full year or any other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80" w:firstLine="644"/>
        <w:spacing w:after="0" w:line="268" w:lineRule="auto"/>
        <w:rPr>
          <w:sz w:val="20"/>
          <w:szCs w:val="20"/>
          <w:color w:val="auto"/>
        </w:rPr>
      </w:pPr>
      <w:r>
        <w:rPr>
          <w:rFonts w:ascii="Arial" w:cs="Arial" w:eastAsia="Arial" w:hAnsi="Arial"/>
          <w:sz w:val="17"/>
          <w:szCs w:val="17"/>
          <w:color w:val="auto"/>
        </w:rPr>
        <w:t>Xometry, Inc. (“Xometry”, “Company”, “our” or “we”) was incorporated in the State of Delaware in May 2013. Xometry is a global online marketplace connecting enterprise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Derwood, Maryland.</w:t>
      </w:r>
    </w:p>
    <w:p>
      <w:pPr>
        <w:spacing w:after="0" w:line="138"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Xometry uses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156" w:lineRule="exact"/>
        <w:rPr>
          <w:sz w:val="20"/>
          <w:szCs w:val="20"/>
          <w:color w:val="auto"/>
        </w:rPr>
      </w:pPr>
    </w:p>
    <w:p>
      <w:pPr>
        <w:ind w:right="300" w:firstLine="644"/>
        <w:spacing w:after="0" w:line="324" w:lineRule="auto"/>
        <w:rPr>
          <w:sz w:val="20"/>
          <w:szCs w:val="20"/>
          <w:color w:val="auto"/>
        </w:rPr>
      </w:pPr>
      <w:r>
        <w:rPr>
          <w:rFonts w:ascii="Arial" w:cs="Arial" w:eastAsia="Arial" w:hAnsi="Arial"/>
          <w:sz w:val="16"/>
          <w:szCs w:val="16"/>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97" w:lineRule="exact"/>
        <w:rPr>
          <w:sz w:val="20"/>
          <w:szCs w:val="20"/>
          <w:color w:val="auto"/>
        </w:rPr>
      </w:pPr>
    </w:p>
    <w:p>
      <w:pPr>
        <w:ind w:firstLine="644"/>
        <w:spacing w:after="0" w:line="245" w:lineRule="auto"/>
        <w:rPr>
          <w:sz w:val="20"/>
          <w:szCs w:val="20"/>
          <w:color w:val="auto"/>
        </w:rPr>
      </w:pPr>
      <w:r>
        <w:rPr>
          <w:rFonts w:ascii="Arial" w:cs="Arial" w:eastAsia="Arial" w:hAnsi="Arial"/>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w:t>
      </w:r>
    </w:p>
    <w:p>
      <w:pPr>
        <w:spacing w:after="0" w:line="144" w:lineRule="exact"/>
        <w:rPr>
          <w:sz w:val="20"/>
          <w:szCs w:val="20"/>
          <w:color w:val="auto"/>
        </w:rPr>
      </w:pPr>
    </w:p>
    <w:p>
      <w:pPr>
        <w:ind w:right="180" w:firstLine="644"/>
        <w:spacing w:after="0" w:line="246"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56" w:lineRule="exact"/>
        <w:rPr>
          <w:sz w:val="20"/>
          <w:szCs w:val="20"/>
          <w:color w:val="auto"/>
        </w:rPr>
      </w:pPr>
    </w:p>
    <w:p>
      <w:pPr>
        <w:ind w:right="60" w:firstLine="644"/>
        <w:spacing w:after="0" w:line="275" w:lineRule="auto"/>
        <w:rPr>
          <w:sz w:val="20"/>
          <w:szCs w:val="20"/>
          <w:color w:val="auto"/>
        </w:rPr>
      </w:pPr>
      <w:r>
        <w:rPr>
          <w:rFonts w:ascii="Arial" w:cs="Arial" w:eastAsia="Arial" w:hAnsi="Arial"/>
          <w:sz w:val="16"/>
          <w:szCs w:val="16"/>
          <w:color w:val="auto"/>
        </w:rPr>
        <w:t>The majority of our revenue is derived from the sale of part(s) and assemblies to our customers on our marketplace, which we refer to as marketplace revenue. The suppliers on our platform offer a diversified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 We enable buyers to source these processes to meet complex and specific design and order needs across several industries, including Defense, Aerospace, Healthcare,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Automotive, Consumer Goods, Industrial, Robotics, Government, and Education.</w:t>
      </w:r>
    </w:p>
    <w:p>
      <w:pPr>
        <w:spacing w:after="0" w:line="184" w:lineRule="exact"/>
        <w:rPr>
          <w:sz w:val="20"/>
          <w:szCs w:val="20"/>
          <w:color w:val="auto"/>
        </w:rPr>
      </w:pPr>
    </w:p>
    <w:p>
      <w:pPr>
        <w:ind w:right="240" w:firstLine="644"/>
        <w:spacing w:after="0" w:line="302" w:lineRule="auto"/>
        <w:rPr>
          <w:sz w:val="20"/>
          <w:szCs w:val="20"/>
          <w:color w:val="auto"/>
        </w:rPr>
      </w:pPr>
      <w:r>
        <w:rPr>
          <w:rFonts w:ascii="Arial" w:cs="Arial" w:eastAsia="Arial" w:hAnsi="Arial"/>
          <w:sz w:val="16"/>
          <w:szCs w:val="16"/>
          <w:color w:val="auto"/>
        </w:rPr>
        <w:t>During the second quarter of 2022, we launched the Industrial Buying Engine™ (“IBE”) which helps customers source and purchase from the more than 500,000 suppliers on Thomasnet.com. The IBE provides buyer choice including instant quote “buy-it-now” functionality and digitizes the old and time-consuming request-for-quote process. Through the IBE, buyers can request quotes for products and services from suppliers.</w:t>
      </w:r>
    </w:p>
    <w:p>
      <w:pPr>
        <w:spacing w:after="0" w:line="115" w:lineRule="exact"/>
        <w:rPr>
          <w:sz w:val="20"/>
          <w:szCs w:val="20"/>
          <w:color w:val="auto"/>
        </w:rPr>
      </w:pPr>
    </w:p>
    <w:p>
      <w:pPr>
        <w:ind w:firstLine="644"/>
        <w:spacing w:after="0" w:line="245" w:lineRule="auto"/>
        <w:rPr>
          <w:sz w:val="20"/>
          <w:szCs w:val="20"/>
          <w:color w:val="auto"/>
        </w:rPr>
      </w:pPr>
      <w:r>
        <w:rPr>
          <w:rFonts w:ascii="Arial" w:cs="Arial" w:eastAsia="Arial" w:hAnsi="Arial"/>
          <w:sz w:val="18"/>
          <w:szCs w:val="18"/>
          <w:color w:val="auto"/>
        </w:rPr>
        <w:t>Our supplier services revenue primarily includes the sale of advertising and marketing services and to a lesser extent, supplies and financial service products that help our customers better manage cash flow at all stages of job production. Our financial services products, such as Xometry Pay, enable suppliers to stabilize and enhance their cash flows, supply discounts that allow suppliers to lower their operating costs, and resource management tools to optimize their businesses. In 2021, we acquired Thomas Publishing Company (“Thomas”) and Fusiform, Inc. (d.b.a. FactoryFour) (“FactoryFour”), expanding our basket of supplier services to include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27" w:name="page28"/>
    <w:bookmarkEnd w:id="27"/>
    <w:p>
      <w:pPr>
        <w:ind w:right="220"/>
        <w:spacing w:after="0" w:line="261" w:lineRule="auto"/>
        <w:rPr>
          <w:sz w:val="20"/>
          <w:szCs w:val="20"/>
          <w:color w:val="auto"/>
        </w:rPr>
      </w:pPr>
      <w:r>
        <w:rPr>
          <w:rFonts w:ascii="Arial" w:cs="Arial" w:eastAsia="Arial" w:hAnsi="Arial"/>
          <w:sz w:val="18"/>
          <w:szCs w:val="18"/>
          <w:color w:val="auto"/>
        </w:rPr>
        <w:t>advertising and marketing services and to a lesser extent SaaS based solutions to help suppliers optimize their productivity. Our revenue from Thomas is primarily advertising revenue.</w:t>
      </w:r>
    </w:p>
    <w:p>
      <w:pPr>
        <w:spacing w:after="0" w:line="143"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During the second quarter of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75"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76" w:lineRule="exact"/>
        <w:rPr>
          <w:sz w:val="20"/>
          <w:szCs w:val="20"/>
          <w:color w:val="auto"/>
        </w:rPr>
      </w:pPr>
    </w:p>
    <w:p>
      <w:pPr>
        <w:ind w:right="120" w:firstLine="637"/>
        <w:spacing w:after="0" w:line="248" w:lineRule="auto"/>
        <w:rPr>
          <w:sz w:val="20"/>
          <w:szCs w:val="20"/>
          <w:color w:val="auto"/>
        </w:rPr>
      </w:pPr>
      <w:r>
        <w:rPr>
          <w:rFonts w:ascii="Arial" w:cs="Arial" w:eastAsia="Arial" w:hAnsi="Arial"/>
          <w:sz w:val="18"/>
          <w:szCs w:val="18"/>
          <w:color w:val="auto"/>
        </w:rPr>
        <w:t>The on-going COVID-19 pandemic has globally resulted in loss of life, and business closures impacting our buyers and suppliers. Even after the COVID-19 pandemic subsides, it may have a continued and lasting impact on the global economy, including our business. Future shelter-in-place orders and similar regulations may impact the ability of our buyers and suppliers to operate their businesses. Any limitations on or disruptions or closures of buyers’ and suppliers’ businesses could adversely affect our business.</w:t>
      </w:r>
    </w:p>
    <w:p>
      <w:pPr>
        <w:spacing w:after="0" w:line="88" w:lineRule="exact"/>
        <w:rPr>
          <w:sz w:val="20"/>
          <w:szCs w:val="20"/>
          <w:color w:val="auto"/>
        </w:rPr>
      </w:pPr>
    </w:p>
    <w:p>
      <w:pPr>
        <w:ind w:right="220" w:firstLine="637"/>
        <w:spacing w:after="0" w:line="324" w:lineRule="auto"/>
        <w:rPr>
          <w:sz w:val="20"/>
          <w:szCs w:val="20"/>
          <w:color w:val="auto"/>
        </w:rPr>
      </w:pPr>
      <w:r>
        <w:rPr>
          <w:rFonts w:ascii="Arial" w:cs="Arial" w:eastAsia="Arial" w:hAnsi="Arial"/>
          <w:sz w:val="16"/>
          <w:szCs w:val="16"/>
          <w:color w:val="auto"/>
        </w:rPr>
        <w:t>The COVID-19 pandemic to date has not significantly adversely impacted the growth of our business. We believe the COVID-19 pandemic has validated our platform, highlighting the need for resilient supply chains, and reshaping the way buyers source their manufacturing needs.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Marketplace Operational and Business Metrics</w:t>
      </w:r>
    </w:p>
    <w:p>
      <w:pPr>
        <w:spacing w:after="0" w:line="229"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In addition to the measures presented in our condensed consolidated financial statements included elsewhere in this filing,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6"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Active Buyers</w:t>
      </w:r>
    </w:p>
    <w:p>
      <w:pPr>
        <w:spacing w:after="0" w:line="117" w:lineRule="exact"/>
        <w:rPr>
          <w:sz w:val="20"/>
          <w:szCs w:val="20"/>
          <w:color w:val="auto"/>
        </w:rPr>
      </w:pPr>
    </w:p>
    <w:p>
      <w:pPr>
        <w:ind w:right="340" w:firstLine="637"/>
        <w:spacing w:after="0" w:line="324"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24" w:lineRule="exact"/>
        <w:rPr>
          <w:sz w:val="20"/>
          <w:szCs w:val="20"/>
          <w:color w:val="auto"/>
        </w:rPr>
      </w:pPr>
    </w:p>
    <w:p>
      <w:pPr>
        <w:ind w:firstLine="644"/>
        <w:spacing w:after="0" w:line="255"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36,789 as of September 30, 2022, up 40% from 26,187 as of September 30, 2021.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146685</wp:posOffset>
            </wp:positionV>
            <wp:extent cx="4726305" cy="3270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26305"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1"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17" w:lineRule="exact"/>
        <w:rPr>
          <w:sz w:val="20"/>
          <w:szCs w:val="20"/>
          <w:color w:val="auto"/>
        </w:rPr>
      </w:pPr>
    </w:p>
    <w:p>
      <w:pPr>
        <w:ind w:firstLine="637"/>
        <w:spacing w:after="0" w:line="260" w:lineRule="auto"/>
        <w:rPr>
          <w:sz w:val="20"/>
          <w:szCs w:val="20"/>
          <w:color w:val="auto"/>
        </w:rPr>
      </w:pPr>
      <w:r>
        <w:rPr>
          <w:rFonts w:ascii="Arial" w:cs="Arial" w:eastAsia="Arial" w:hAnsi="Arial"/>
          <w:sz w:val="17"/>
          <w:szCs w:val="17"/>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86" w:lineRule="exact"/>
        <w:rPr>
          <w:sz w:val="20"/>
          <w:szCs w:val="20"/>
          <w:color w:val="auto"/>
        </w:rPr>
      </w:pPr>
    </w:p>
    <w:p>
      <w:pPr>
        <w:ind w:right="360" w:firstLine="644"/>
        <w:spacing w:after="0" w:line="324" w:lineRule="auto"/>
        <w:rPr>
          <w:sz w:val="20"/>
          <w:szCs w:val="20"/>
          <w:color w:val="auto"/>
        </w:rPr>
      </w:pPr>
      <w:r>
        <w:rPr>
          <w:rFonts w:ascii="Arial" w:cs="Arial" w:eastAsia="Arial" w:hAnsi="Arial"/>
          <w:sz w:val="16"/>
          <w:szCs w:val="16"/>
          <w:color w:val="auto"/>
        </w:rPr>
        <w:t>For the quarter ended September 30, 2022, 96%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113030</wp:posOffset>
            </wp:positionV>
            <wp:extent cx="4777740" cy="3244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77740" cy="324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17" w:lineRule="exact"/>
        <w:rPr>
          <w:sz w:val="20"/>
          <w:szCs w:val="20"/>
          <w:color w:val="auto"/>
        </w:rPr>
      </w:pPr>
    </w:p>
    <w:p>
      <w:pPr>
        <w:ind w:firstLine="644"/>
        <w:spacing w:after="0" w:line="289" w:lineRule="auto"/>
        <w:rPr>
          <w:sz w:val="20"/>
          <w:szCs w:val="20"/>
          <w:color w:val="auto"/>
        </w:rPr>
      </w:pPr>
      <w:r>
        <w:rPr>
          <w:rFonts w:ascii="Arial" w:cs="Arial" w:eastAsia="Arial" w:hAnsi="Arial"/>
          <w:sz w:val="16"/>
          <w:szCs w:val="16"/>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974 as of September 30, 2022, up 62% from 603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122555</wp:posOffset>
            </wp:positionV>
            <wp:extent cx="4709160" cy="32791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09160" cy="327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3" w:lineRule="exact"/>
        <w:rPr>
          <w:sz w:val="20"/>
          <w:szCs w:val="20"/>
          <w:color w:val="auto"/>
        </w:rPr>
      </w:pPr>
    </w:p>
    <w:p>
      <w:pPr>
        <w:ind w:right="180" w:firstLine="637"/>
        <w:spacing w:after="0" w:line="279" w:lineRule="auto"/>
        <w:rPr>
          <w:sz w:val="20"/>
          <w:szCs w:val="20"/>
          <w:color w:val="auto"/>
        </w:rPr>
      </w:pPr>
      <w:r>
        <w:rPr>
          <w:rFonts w:ascii="Arial" w:cs="Arial" w:eastAsia="Arial" w:hAnsi="Arial"/>
          <w:sz w:val="16"/>
          <w:szCs w:val="16"/>
          <w:color w:val="auto"/>
        </w:rPr>
        <w:t>We define Adjusted EBITDA as net loss, adjusted for interest expense, interest and dividend income and other expenses, income tax benefit, and certain other non-cash or non-recurring items impacting net loss from time to time, principally comprised of depreciation and amortization, stock-based compensation, charitable contributions of common stock, income from an unconsolidated joint venture, impairment charges and acquisition and other adjustments not reflective of the Company's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65" w:lineRule="exact"/>
        <w:rPr>
          <w:sz w:val="20"/>
          <w:szCs w:val="20"/>
          <w:color w:val="auto"/>
        </w:rPr>
      </w:pPr>
    </w:p>
    <w:p>
      <w:pPr>
        <w:ind w:right="240" w:firstLine="644"/>
        <w:spacing w:after="0" w:line="248" w:lineRule="auto"/>
        <w:rPr>
          <w:sz w:val="20"/>
          <w:szCs w:val="20"/>
          <w:color w:val="auto"/>
        </w:rPr>
      </w:pPr>
      <w:r>
        <w:rPr>
          <w:rFonts w:ascii="Arial" w:cs="Arial" w:eastAsia="Arial" w:hAnsi="Arial"/>
          <w:sz w:val="18"/>
          <w:szCs w:val="18"/>
          <w:color w:val="auto"/>
        </w:rPr>
        <w:t>For the three months ended September 30, 2022, Adjusted EBITDA loss decreased to $(6.5) million, as compared to Adjusted EBITDA loss of $(10.0) million for the same quarter in 2021. For the quarter ended September 30, 2022, Adjusted EBITDA Margin decreased to (6)% of revenue, as compared to (18)% of revenue for the same quarter in 2021, driven primarily by increased operating efficiencies as we continue to grow our revenue and margins faster than our expenses.</w:t>
      </w:r>
    </w:p>
    <w:p>
      <w:pPr>
        <w:spacing w:after="0" w:line="75" w:lineRule="exact"/>
        <w:rPr>
          <w:sz w:val="20"/>
          <w:szCs w:val="20"/>
          <w:color w:val="auto"/>
        </w:rPr>
      </w:pPr>
    </w:p>
    <w:p>
      <w:pPr>
        <w:ind w:right="140" w:firstLine="644"/>
        <w:spacing w:after="0" w:line="248" w:lineRule="auto"/>
        <w:rPr>
          <w:sz w:val="20"/>
          <w:szCs w:val="20"/>
          <w:color w:val="auto"/>
        </w:rPr>
      </w:pPr>
      <w:r>
        <w:rPr>
          <w:rFonts w:ascii="Arial" w:cs="Arial" w:eastAsia="Arial" w:hAnsi="Arial"/>
          <w:sz w:val="18"/>
          <w:szCs w:val="18"/>
          <w:color w:val="auto"/>
        </w:rPr>
        <w:t>For the nine months ended September 30, 2022, Adjusted EBITDA loss decreased to $(27.5) million, as compared to Adjusted EBITDA loss of $(27.9) million for the same period in 2021. For the nine months ended September 30, 2022, Adjusted EBITDA Margin decreased to (10)% of revenue, as compared to (18)% of revenue for the same period in 2021, driven primarily by increased operating efficiencies as we continue to grow our revenue and margins faster than our expenses</w:t>
      </w:r>
      <w:r>
        <w:rPr>
          <w:rFonts w:ascii="Arial" w:cs="Arial" w:eastAsia="Arial" w:hAnsi="Arial"/>
          <w:sz w:val="18"/>
          <w:szCs w:val="18"/>
          <w:color w:val="FF0000"/>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64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5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Addback (deduct)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interest and dividend income and other expenses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lease intangible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(559 )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based compensation expense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Acquisition and other</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(1,242 )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Charitable contribution of common stock</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1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(297 )</w:t>
            </w:r>
          </w:p>
        </w:tc>
        <w:tc>
          <w:tcPr>
            <w:tcW w:w="2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(600 )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Impairment of assets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(6,490 )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(10,024 )</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(27,516 )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(27,905 )</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-170815</wp:posOffset>
            </wp:positionV>
            <wp:extent cx="685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-170815</wp:posOffset>
            </wp:positionV>
            <wp:extent cx="685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685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w:t>
      </w:r>
    </w:p>
    <w:p>
      <w:pPr>
        <w:spacing w:after="0" w:line="103" w:lineRule="exact"/>
        <w:rPr>
          <w:sz w:val="20"/>
          <w:szCs w:val="20"/>
          <w:color w:val="auto"/>
        </w:rPr>
      </w:pPr>
    </w:p>
    <w:p>
      <w:pPr>
        <w:ind w:right="100" w:firstLine="689"/>
        <w:spacing w:after="0" w:line="257" w:lineRule="auto"/>
        <w:rPr>
          <w:sz w:val="20"/>
          <w:szCs w:val="20"/>
          <w:color w:val="auto"/>
        </w:rPr>
      </w:pPr>
      <w:r>
        <w:rPr>
          <w:rFonts w:ascii="Arial" w:cs="Arial" w:eastAsia="Arial" w:hAnsi="Arial"/>
          <w:sz w:val="17"/>
          <w:szCs w:val="17"/>
          <w:color w:val="auto"/>
        </w:rPr>
        <w:t>We define Non-GAAP net loss, as net loss adjusted for depreciation and amortization, stock-based compensation expense, amortization of lease intangible, amortization of deferred costs on convertible notes, unrealized loss on marketable securities, loss on sale of property and equipment, charitable contributions of common stock, impairment charges, and acquisition and other adjustments not reflective of the Company's ongoing business, such as adjustments related to purchase accounting, the revaluation of contingent consideration and transaction costs.</w:t>
      </w: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700"/>
              <w:spacing w:after="0" w:line="170" w:lineRule="exact"/>
              <w:rPr>
                <w:sz w:val="20"/>
                <w:szCs w:val="20"/>
                <w:color w:val="auto"/>
              </w:rPr>
            </w:pPr>
            <w:r>
              <w:rPr>
                <w:rFonts w:ascii="Arial" w:cs="Arial" w:eastAsia="Arial" w:hAnsi="Arial"/>
                <w:sz w:val="18"/>
                <w:szCs w:val="18"/>
                <w:b w:val="1"/>
                <w:bCs w:val="1"/>
                <w:color w:val="auto"/>
              </w:rPr>
              <w:t>For the Three Months</w:t>
            </w:r>
          </w:p>
        </w:tc>
        <w:tc>
          <w:tcPr>
            <w:tcW w:w="260" w:type="dxa"/>
            <w:vAlign w:val="bottom"/>
          </w:tcPr>
          <w:p>
            <w:pPr>
              <w:spacing w:after="0"/>
              <w:rPr>
                <w:sz w:val="14"/>
                <w:szCs w:val="14"/>
                <w:color w:val="auto"/>
              </w:rPr>
            </w:pPr>
          </w:p>
        </w:tc>
        <w:tc>
          <w:tcPr>
            <w:tcW w:w="2480" w:type="dxa"/>
            <w:vAlign w:val="bottom"/>
            <w:gridSpan w:val="5"/>
          </w:tcPr>
          <w:p>
            <w:pPr>
              <w:jc w:val="right"/>
              <w:ind w:right="620"/>
              <w:spacing w:after="0" w:line="170" w:lineRule="exact"/>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Ended September 30,</w:t>
            </w:r>
          </w:p>
        </w:tc>
        <w:tc>
          <w:tcPr>
            <w:tcW w:w="260" w:type="dxa"/>
            <w:vAlign w:val="bottom"/>
          </w:tcPr>
          <w:p>
            <w:pPr>
              <w:spacing w:after="0"/>
              <w:rPr>
                <w:sz w:val="20"/>
                <w:szCs w:val="20"/>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Net Loss:</w:t>
            </w:r>
          </w:p>
        </w:tc>
        <w:tc>
          <w:tcPr>
            <w:tcW w:w="10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(15,041 )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(14,711 )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(51,585 )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Add (deduct):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expense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Amortization of deferred costs on convertible notes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Unrealized loss on marketable securities</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Acquisition and other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(1,242 )</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sale of property and equipment</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Charitable contribution of common stock</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Non-GAAP Net Loss</w:t>
            </w:r>
          </w:p>
        </w:tc>
        <w:tc>
          <w:tcPr>
            <w:tcW w:w="10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(5,394 )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(10,223 )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(26,368 )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-589915</wp:posOffset>
            </wp:positionV>
            <wp:extent cx="76835"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-589915</wp:posOffset>
            </wp:positionV>
            <wp:extent cx="6858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-589915</wp:posOffset>
            </wp:positionV>
            <wp:extent cx="6858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2" w:name="page33"/>
    <w:bookmarkEnd w:id="32"/>
    <w:p>
      <w:pPr>
        <w:jc w:val="both"/>
        <w:ind w:right="160" w:firstLine="644"/>
        <w:spacing w:after="0" w:line="255" w:lineRule="auto"/>
        <w:rPr>
          <w:sz w:val="20"/>
          <w:szCs w:val="20"/>
          <w:color w:val="auto"/>
        </w:rPr>
      </w:pPr>
      <w:r>
        <w:rPr>
          <w:rFonts w:ascii="Arial" w:cs="Arial" w:eastAsia="Arial" w:hAnsi="Arial"/>
          <w:sz w:val="18"/>
          <w:szCs w:val="18"/>
          <w:color w:val="auto"/>
        </w:rPr>
        <w:t>For the three months ended September 30, 2022, Non-GAAP net loss decreased to $(5.4) million, as compared to Non-GAAP net loss of $(10.2) million for the same quarter in 2021. For the quarter ended September 30, 2022, Non-GAAP net loss decreased to (5)% of revenue, as compared to (18)% of revenue for the same quarter in 2021.</w:t>
      </w:r>
    </w:p>
    <w:p>
      <w:pPr>
        <w:spacing w:after="0" w:line="176" w:lineRule="exact"/>
        <w:rPr>
          <w:sz w:val="20"/>
          <w:szCs w:val="20"/>
          <w:color w:val="auto"/>
        </w:rPr>
      </w:pPr>
    </w:p>
    <w:p>
      <w:pPr>
        <w:ind w:right="140" w:firstLine="644"/>
        <w:spacing w:after="0" w:line="255" w:lineRule="auto"/>
        <w:rPr>
          <w:sz w:val="20"/>
          <w:szCs w:val="20"/>
          <w:color w:val="auto"/>
        </w:rPr>
      </w:pPr>
      <w:r>
        <w:rPr>
          <w:rFonts w:ascii="Arial" w:cs="Arial" w:eastAsia="Arial" w:hAnsi="Arial"/>
          <w:sz w:val="18"/>
          <w:szCs w:val="18"/>
          <w:color w:val="auto"/>
        </w:rPr>
        <w:t>For the nine months ended September 30, 2022, Non-GAAP net loss decreased to $(26.4) million, as compared to Non-GAAP net loss of $(29.0) million for the same period in 2021. For the nine months ended September 30, 2022, Non-GAAP net loss decreased to (9)% of revenue, as compared to (19)% of revenue for the same period in 2021.</w:t>
      </w:r>
    </w:p>
    <w:p>
      <w:pPr>
        <w:spacing w:after="0" w:line="176" w:lineRule="exact"/>
        <w:rPr>
          <w:sz w:val="20"/>
          <w:szCs w:val="20"/>
          <w:color w:val="auto"/>
        </w:rPr>
      </w:pPr>
    </w:p>
    <w:p>
      <w:pPr>
        <w:ind w:firstLine="644"/>
        <w:spacing w:after="0" w:line="260" w:lineRule="auto"/>
        <w:rPr>
          <w:sz w:val="20"/>
          <w:szCs w:val="20"/>
          <w:color w:val="auto"/>
        </w:rPr>
      </w:pPr>
      <w:r>
        <w:rPr>
          <w:rFonts w:ascii="Arial" w:cs="Arial" w:eastAsia="Arial" w:hAnsi="Arial"/>
          <w:sz w:val="17"/>
          <w:szCs w:val="17"/>
          <w:color w:val="auto"/>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3" w:lineRule="exact"/>
        <w:rPr>
          <w:sz w:val="20"/>
          <w:szCs w:val="20"/>
          <w:color w:val="auto"/>
        </w:rPr>
      </w:pPr>
    </w:p>
    <w:p>
      <w:pPr>
        <w:ind w:right="220" w:firstLine="637"/>
        <w:spacing w:after="0" w:line="248" w:lineRule="auto"/>
        <w:rPr>
          <w:sz w:val="20"/>
          <w:szCs w:val="20"/>
          <w:color w:val="auto"/>
        </w:rPr>
      </w:pPr>
      <w:r>
        <w:rPr>
          <w:rFonts w:ascii="Arial" w:cs="Arial" w:eastAsia="Arial" w:hAnsi="Arial"/>
          <w:sz w:val="18"/>
          <w:szCs w:val="18"/>
          <w:color w:val="auto"/>
        </w:rPr>
        <w:t>Our marketplace revenue is primarily comprised of sales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5" w:lineRule="exact"/>
        <w:rPr>
          <w:sz w:val="20"/>
          <w:szCs w:val="20"/>
          <w:color w:val="auto"/>
        </w:rPr>
      </w:pPr>
    </w:p>
    <w:p>
      <w:pPr>
        <w:ind w:right="160" w:firstLine="637"/>
        <w:spacing w:after="0" w:line="277" w:lineRule="auto"/>
        <w:rPr>
          <w:sz w:val="20"/>
          <w:szCs w:val="20"/>
          <w:color w:val="auto"/>
        </w:rPr>
      </w:pPr>
      <w:r>
        <w:rPr>
          <w:rFonts w:ascii="Arial" w:cs="Arial" w:eastAsia="Arial" w:hAnsi="Arial"/>
          <w:sz w:val="18"/>
          <w:szCs w:val="18"/>
          <w:color w:val="auto"/>
        </w:rPr>
        <w:t>Supplier services revenue includes the sale of marketing and advertising services, and to a lesser extent SaaS based solutions, the sale of supplies and financial service products.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3" w:lineRule="exact"/>
        <w:rPr>
          <w:sz w:val="20"/>
          <w:szCs w:val="20"/>
          <w:color w:val="auto"/>
        </w:rPr>
      </w:pPr>
    </w:p>
    <w:p>
      <w:pPr>
        <w:ind w:right="20" w:firstLine="637"/>
        <w:spacing w:after="0" w:line="268" w:lineRule="auto"/>
        <w:rPr>
          <w:sz w:val="20"/>
          <w:szCs w:val="20"/>
          <w:color w:val="auto"/>
        </w:rPr>
      </w:pPr>
      <w:r>
        <w:rPr>
          <w:rFonts w:ascii="Arial" w:cs="Arial" w:eastAsia="Arial" w:hAnsi="Arial"/>
          <w:sz w:val="17"/>
          <w:szCs w:val="17"/>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57" w:lineRule="exact"/>
        <w:rPr>
          <w:sz w:val="20"/>
          <w:szCs w:val="20"/>
          <w:color w:val="auto"/>
        </w:rPr>
      </w:pPr>
    </w:p>
    <w:p>
      <w:pPr>
        <w:ind w:right="2160" w:firstLine="637"/>
        <w:spacing w:after="0" w:line="367" w:lineRule="auto"/>
        <w:rPr>
          <w:sz w:val="20"/>
          <w:szCs w:val="20"/>
          <w:color w:val="auto"/>
        </w:rPr>
      </w:pPr>
      <w:r>
        <w:rPr>
          <w:rFonts w:ascii="Arial" w:cs="Arial" w:eastAsia="Arial" w:hAnsi="Arial"/>
          <w:sz w:val="18"/>
          <w:szCs w:val="18"/>
          <w:color w:val="auto"/>
        </w:rPr>
        <w:t xml:space="preserve">Cost of revenue for supplier services primarily consists of internal and external production costs and website hosting. </w:t>
      </w:r>
      <w:r>
        <w:rPr>
          <w:rFonts w:ascii="Arial" w:cs="Arial" w:eastAsia="Arial" w:hAnsi="Arial"/>
          <w:sz w:val="18"/>
          <w:szCs w:val="18"/>
          <w:b w:val="1"/>
          <w:bCs w:val="1"/>
          <w:i w:val="1"/>
          <w:iCs w:val="1"/>
          <w:color w:val="auto"/>
        </w:rPr>
        <w:t>Gross Profit</w:t>
      </w:r>
    </w:p>
    <w:p>
      <w:pPr>
        <w:spacing w:after="0" w:line="1" w:lineRule="exact"/>
        <w:rPr>
          <w:sz w:val="20"/>
          <w:szCs w:val="20"/>
          <w:color w:val="auto"/>
        </w:rPr>
      </w:pPr>
    </w:p>
    <w:p>
      <w:pPr>
        <w:ind w:right="120" w:firstLine="637"/>
        <w:spacing w:after="0" w:line="255"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expenses consist of sales and marketing, operations and support, product development and general and administrative functions.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3" w:lineRule="exact"/>
        <w:rPr>
          <w:sz w:val="20"/>
          <w:szCs w:val="20"/>
          <w:color w:val="auto"/>
        </w:rPr>
      </w:pPr>
    </w:p>
    <w:p>
      <w:pPr>
        <w:ind w:right="60" w:firstLine="637"/>
        <w:spacing w:after="0" w:line="263" w:lineRule="auto"/>
        <w:rPr>
          <w:sz w:val="20"/>
          <w:szCs w:val="20"/>
          <w:color w:val="auto"/>
        </w:rPr>
      </w:pPr>
      <w:r>
        <w:rPr>
          <w:rFonts w:ascii="Arial" w:cs="Arial" w:eastAsia="Arial" w:hAnsi="Arial"/>
          <w:sz w:val="17"/>
          <w:szCs w:val="17"/>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 to period based on the timing of our investments in our sales and marketing functions as these investments may vary in scope and scale over future periods.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03" w:lineRule="exact"/>
        <w:rPr>
          <w:sz w:val="20"/>
          <w:szCs w:val="20"/>
          <w:color w:val="auto"/>
        </w:rPr>
      </w:pPr>
    </w:p>
    <w:p>
      <w:pPr>
        <w:ind w:right="60" w:firstLine="637"/>
        <w:spacing w:after="0" w:line="248" w:lineRule="auto"/>
        <w:rPr>
          <w:sz w:val="20"/>
          <w:szCs w:val="20"/>
          <w:color w:val="auto"/>
        </w:rPr>
      </w:pPr>
      <w:r>
        <w:rPr>
          <w:rFonts w:ascii="Arial" w:cs="Arial" w:eastAsia="Arial" w:hAnsi="Arial"/>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3" w:name="page34"/>
    <w:bookmarkEnd w:id="33"/>
    <w:p>
      <w:pPr>
        <w:ind w:right="180"/>
        <w:spacing w:after="0" w:line="307" w:lineRule="auto"/>
        <w:rPr>
          <w:sz w:val="20"/>
          <w:szCs w:val="20"/>
          <w:color w:val="auto"/>
        </w:rPr>
      </w:pPr>
      <w:r>
        <w:rPr>
          <w:rFonts w:ascii="Arial" w:cs="Arial" w:eastAsia="Arial" w:hAnsi="Arial"/>
          <w:sz w:val="17"/>
          <w:szCs w:val="17"/>
          <w:color w:val="auto"/>
        </w:rPr>
        <w:t>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03" w:lineRule="exact"/>
        <w:rPr>
          <w:sz w:val="20"/>
          <w:szCs w:val="20"/>
          <w:color w:val="auto"/>
        </w:rPr>
      </w:pPr>
    </w:p>
    <w:p>
      <w:pPr>
        <w:ind w:firstLine="637"/>
        <w:spacing w:after="0" w:line="249"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3" w:lineRule="exact"/>
        <w:rPr>
          <w:sz w:val="20"/>
          <w:szCs w:val="20"/>
          <w:color w:val="auto"/>
        </w:rPr>
      </w:pPr>
    </w:p>
    <w:p>
      <w:pPr>
        <w:ind w:right="60" w:firstLine="637"/>
        <w:spacing w:after="0" w:line="268" w:lineRule="auto"/>
        <w:rPr>
          <w:sz w:val="20"/>
          <w:szCs w:val="20"/>
          <w:color w:val="auto"/>
        </w:rPr>
      </w:pPr>
      <w:r>
        <w:rPr>
          <w:rFonts w:ascii="Arial" w:cs="Arial" w:eastAsia="Arial" w:hAnsi="Arial"/>
          <w:sz w:val="17"/>
          <w:szCs w:val="17"/>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 We expect our general and administrative expenses to increase. We expect to incur additional general and administrative expenses as a result of operating as a public company, including as a result of increased legal, accounting, and directors’ and officers’ insurance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3" w:lineRule="exact"/>
        <w:rPr>
          <w:sz w:val="20"/>
          <w:szCs w:val="20"/>
          <w:color w:val="auto"/>
        </w:rPr>
      </w:pPr>
    </w:p>
    <w:p>
      <w:pPr>
        <w:ind w:right="260" w:firstLine="637"/>
        <w:spacing w:after="0" w:line="290" w:lineRule="auto"/>
        <w:rPr>
          <w:sz w:val="20"/>
          <w:szCs w:val="20"/>
          <w:color w:val="auto"/>
        </w:rPr>
      </w:pPr>
      <w:r>
        <w:rPr>
          <w:rFonts w:ascii="Arial" w:cs="Arial" w:eastAsia="Arial" w:hAnsi="Arial"/>
          <w:sz w:val="17"/>
          <w:szCs w:val="17"/>
          <w:color w:val="auto"/>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dividend income consists of interest on our cash and cash equivalents and dividend income from our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consist primarily of unrealized losses and other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Joint Venture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from unconsolidated joint venture consists of our share of the joint venture's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5" w:right="49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unaudited statements of operations data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w w:val="74"/>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2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103,571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56,727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62,670</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21,416</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Operations and support</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11,620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15,126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assets</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8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56,100</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28,757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(15,199</w:t>
            </w:r>
          </w:p>
        </w:tc>
        <w:tc>
          <w:tcPr>
            <w:tcW w:w="2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(14,263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(1,194 )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expenses</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(289 )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(786 )</w:t>
            </w: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Income from unconsolidated joint venture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(expenses)</w:t>
            </w:r>
          </w:p>
        </w:tc>
        <w:tc>
          <w:tcPr>
            <w:tcW w:w="2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Arial" w:cs="Arial" w:eastAsia="Arial" w:hAnsi="Arial"/>
                <w:sz w:val="18"/>
                <w:szCs w:val="18"/>
                <w:color w:val="auto"/>
                <w:w w:val="94"/>
              </w:rPr>
              <w:t>(15,041 )</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(14,711 )</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2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Arial" w:cs="Arial" w:eastAsia="Arial" w:hAnsi="Arial"/>
                <w:sz w:val="18"/>
                <w:szCs w:val="18"/>
                <w:color w:val="auto"/>
                <w:w w:val="94"/>
              </w:rPr>
              <w:t>(15,041 )</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(14,711 )</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income attributable to noncontrolling interest</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(4 )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80" w:type="dxa"/>
            <w:vAlign w:val="bottom"/>
          </w:tcPr>
          <w:p>
            <w:pPr>
              <w:spacing w:after="0"/>
              <w:rPr>
                <w:sz w:val="18"/>
                <w:szCs w:val="18"/>
                <w:color w:val="auto"/>
              </w:rPr>
            </w:pPr>
          </w:p>
        </w:tc>
        <w:tc>
          <w:tcPr>
            <w:tcW w:w="940" w:type="dxa"/>
            <w:vAlign w:val="bottom"/>
          </w:tcPr>
          <w:p>
            <w:pPr>
              <w:jc w:val="right"/>
              <w:ind w:right="74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19"/>
              <w:spacing w:after="0"/>
              <w:rPr>
                <w:sz w:val="20"/>
                <w:szCs w:val="20"/>
                <w:color w:val="auto"/>
              </w:rPr>
            </w:pPr>
            <w:r>
              <w:rPr>
                <w:rFonts w:ascii="Arial" w:cs="Arial" w:eastAsia="Arial" w:hAnsi="Arial"/>
                <w:sz w:val="18"/>
                <w:szCs w:val="18"/>
                <w:color w:val="auto"/>
                <w:w w:val="94"/>
              </w:rPr>
              <w:t>(15,037 )</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(14,711 )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930"/>
              <w:spacing w:after="0"/>
              <w:rPr>
                <w:sz w:val="20"/>
                <w:szCs w:val="20"/>
                <w:color w:val="auto"/>
              </w:rPr>
            </w:pPr>
            <w:r>
              <w:rPr>
                <w:rFonts w:ascii="Arial" w:cs="Arial" w:eastAsia="Arial" w:hAnsi="Arial"/>
                <w:sz w:val="18"/>
                <w:szCs w:val="18"/>
                <w:color w:val="auto"/>
              </w:rPr>
              <w:t>32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-2277110</wp:posOffset>
            </wp:positionV>
            <wp:extent cx="6858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-1155065</wp:posOffset>
            </wp:positionV>
            <wp:extent cx="68580"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-872490</wp:posOffset>
            </wp:positionV>
            <wp:extent cx="6858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-589915</wp:posOffset>
            </wp:positionV>
            <wp:extent cx="685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The following table sets forth our unaudited statements of operations data expressed as a percentage of total revenue for the periods indicated:</w:t>
      </w:r>
    </w:p>
    <w:p>
      <w:pPr>
        <w:spacing w:after="0" w:line="26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Three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385"/>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3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60.5 %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74.4 %</w:t>
            </w: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17.3 %</w:t>
            </w: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Operations and support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Product development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7.7 %</w:t>
            </w: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color w:val="auto"/>
                <w:highlight w:val="white"/>
              </w:rPr>
              <w:t>%</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color w:val="auto"/>
                <w:highlight w:val="white"/>
              </w:rPr>
              <w:t>%</w:t>
            </w: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16"/>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(1.2 )%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Interest and dividend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Other expenses</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(0.3 )%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16"/>
        </w:trPr>
        <w:tc>
          <w:tcPr>
            <w:tcW w:w="870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joint venture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9"/>
        </w:trPr>
        <w:tc>
          <w:tcPr>
            <w:tcW w:w="7360" w:type="dxa"/>
            <w:vAlign w:val="bottom"/>
          </w:tcPr>
          <w:p>
            <w:pPr>
              <w:ind w:left="380"/>
              <w:spacing w:after="0"/>
              <w:rPr>
                <w:sz w:val="20"/>
                <w:szCs w:val="20"/>
                <w:color w:val="auto"/>
              </w:rPr>
            </w:pPr>
            <w:r>
              <w:rPr>
                <w:rFonts w:ascii="Arial" w:cs="Arial" w:eastAsia="Arial" w:hAnsi="Arial"/>
                <w:sz w:val="18"/>
                <w:szCs w:val="18"/>
                <w:color w:val="auto"/>
              </w:rPr>
              <w:t>Total other income (expenses)</w:t>
            </w:r>
          </w:p>
        </w:tc>
        <w:tc>
          <w:tcPr>
            <w:tcW w:w="1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0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134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34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Net (loss) income attributable to noncontrolling interest</w:t>
            </w:r>
          </w:p>
        </w:tc>
        <w:tc>
          <w:tcPr>
            <w:tcW w:w="134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34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7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-3107690</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-2825115</wp:posOffset>
            </wp:positionV>
            <wp:extent cx="7132320" cy="419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45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-1703070</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4" w:lineRule="exact"/>
        <w:rPr>
          <w:sz w:val="20"/>
          <w:szCs w:val="20"/>
          <w:color w:val="auto"/>
        </w:rPr>
      </w:pPr>
    </w:p>
    <w:p>
      <w:pPr>
        <w:ind w:right="280" w:firstLine="644"/>
        <w:spacing w:after="0" w:line="255" w:lineRule="auto"/>
        <w:rPr>
          <w:sz w:val="20"/>
          <w:szCs w:val="20"/>
          <w:color w:val="auto"/>
        </w:rPr>
      </w:pPr>
      <w:r>
        <w:rPr>
          <w:rFonts w:ascii="Arial" w:cs="Arial" w:eastAsia="Arial" w:hAnsi="Arial"/>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and cost of revenue is presented in the following tables for the three months ended September 30, 2022 (in thousands, amounts for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w w:val="98"/>
              </w:rPr>
              <w:t>three months ended September 30, 2021, were not considered material):</w:t>
            </w:r>
          </w:p>
        </w:tc>
        <w:tc>
          <w:tcPr>
            <w:tcW w:w="920" w:type="dxa"/>
            <w:vAlign w:val="bottom"/>
          </w:tcPr>
          <w:p>
            <w:pPr>
              <w:spacing w:after="0"/>
              <w:rPr>
                <w:sz w:val="20"/>
                <w:szCs w:val="20"/>
                <w:color w:val="auto"/>
              </w:rPr>
            </w:pPr>
          </w:p>
        </w:tc>
        <w:tc>
          <w:tcPr>
            <w:tcW w:w="4260" w:type="dxa"/>
            <w:vAlign w:val="bottom"/>
            <w:vMerge w:val="restart"/>
          </w:tcPr>
          <w:p>
            <w:pPr>
              <w:jc w:val="center"/>
              <w:ind w:right="830"/>
              <w:spacing w:after="0"/>
              <w:rPr>
                <w:sz w:val="20"/>
                <w:szCs w:val="20"/>
                <w:color w:val="auto"/>
              </w:rPr>
            </w:pPr>
            <w:r>
              <w:rPr>
                <w:rFonts w:ascii="Arial" w:cs="Arial" w:eastAsia="Arial" w:hAnsi="Arial"/>
                <w:sz w:val="18"/>
                <w:szCs w:val="18"/>
                <w:b w:val="1"/>
                <w:bCs w:val="1"/>
                <w:color w:val="auto"/>
                <w:w w:val="92"/>
              </w:rPr>
              <w:t>For the Three Months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6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Ended September 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81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9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260" w:type="dxa"/>
            <w:vAlign w:val="bottom"/>
          </w:tcPr>
          <w:p>
            <w:pPr>
              <w:jc w:val="right"/>
              <w:spacing w:after="0"/>
              <w:rPr>
                <w:sz w:val="20"/>
                <w:szCs w:val="20"/>
                <w:color w:val="auto"/>
              </w:rPr>
            </w:pPr>
            <w:r>
              <w:rPr>
                <w:rFonts w:ascii="Arial" w:cs="Arial" w:eastAsia="Arial" w:hAnsi="Arial"/>
                <w:sz w:val="18"/>
                <w:szCs w:val="18"/>
                <w:color w:val="auto"/>
              </w:rPr>
              <w:t>84,060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auto"/>
            </w:tcBorders>
            <w:shd w:val="clear" w:color="auto" w:fill="CFF0FC"/>
          </w:tcPr>
          <w:p>
            <w:pPr>
              <w:spacing w:after="0"/>
              <w:rPr>
                <w:sz w:val="18"/>
                <w:szCs w:val="18"/>
                <w:color w:val="auto"/>
              </w:rPr>
            </w:pPr>
          </w:p>
        </w:tc>
        <w:tc>
          <w:tcPr>
            <w:tcW w:w="4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Supplier services</w:t>
            </w:r>
          </w:p>
        </w:tc>
        <w:tc>
          <w:tcPr>
            <w:tcW w:w="92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260" w:type="dxa"/>
            <w:vAlign w:val="bottom"/>
          </w:tcPr>
          <w:p>
            <w:pPr>
              <w:jc w:val="right"/>
              <w:spacing w:after="0"/>
              <w:rPr>
                <w:sz w:val="20"/>
                <w:szCs w:val="20"/>
                <w:color w:val="auto"/>
              </w:rPr>
            </w:pPr>
            <w:r>
              <w:rPr>
                <w:rFonts w:ascii="Arial" w:cs="Arial" w:eastAsia="Arial" w:hAnsi="Arial"/>
                <w:sz w:val="18"/>
                <w:szCs w:val="18"/>
                <w:color w:val="auto"/>
              </w:rPr>
              <w:t>19,511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auto"/>
            </w:tcBorders>
            <w:shd w:val="clear" w:color="auto" w:fill="CFF0FC"/>
          </w:tcPr>
          <w:p>
            <w:pPr>
              <w:spacing w:after="0"/>
              <w:rPr>
                <w:sz w:val="18"/>
                <w:szCs w:val="18"/>
                <w:color w:val="auto"/>
              </w:rPr>
            </w:pPr>
          </w:p>
        </w:tc>
        <w:tc>
          <w:tcPr>
            <w:tcW w:w="4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6940550</wp:posOffset>
            </wp:positionH>
            <wp:positionV relativeFrom="paragraph">
              <wp:posOffset>-889635</wp:posOffset>
            </wp:positionV>
            <wp:extent cx="68580" cy="307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-170815</wp:posOffset>
            </wp:positionV>
            <wp:extent cx="6858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1" w:lineRule="exact"/>
        <w:rPr>
          <w:sz w:val="20"/>
          <w:szCs w:val="20"/>
          <w:color w:val="auto"/>
        </w:rPr>
      </w:pPr>
    </w:p>
    <w:p>
      <w:pPr>
        <w:ind w:right="220" w:firstLine="637"/>
        <w:spacing w:after="0" w:line="244" w:lineRule="auto"/>
        <w:rPr>
          <w:sz w:val="20"/>
          <w:szCs w:val="20"/>
          <w:color w:val="auto"/>
        </w:rPr>
      </w:pPr>
      <w:r>
        <w:rPr>
          <w:rFonts w:ascii="Arial" w:cs="Arial" w:eastAsia="Arial" w:hAnsi="Arial"/>
          <w:sz w:val="18"/>
          <w:szCs w:val="18"/>
          <w:color w:val="auto"/>
        </w:rPr>
        <w:t>Total revenue increased $46.8 million, or 83%, from $56.7 million for the three months ended September 30, 2021 to $103.6 million for the three months ended September 30, 2022. This growth was primarily a result of an increase in marketplace revenue and an increase in supplier services revenue due to our acquisition of Thomas. Total revenue from marketplace and supplier services for the three months ended September 30, 2022 was $84.1 million and $19.5 million, respectively. The marketplace increase was primarily the result of a 40% increase in active buyers resulting from investments in sales and marketing, as well as existing buyers increasing their spend on the platform for the three months ended September 30, 2022, as compared to the prior year period. Supplier services revenue growth was driven primarily by our acquisition of Thomas in December 2021 and to a lesser extent growth in supplies revenue.</w:t>
      </w:r>
    </w:p>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3" w:right="239" w:bottom="1440" w:gutter="0" w:footer="0" w:header="0"/>
        </w:sectPr>
      </w:pPr>
    </w:p>
    <w:bookmarkStart w:id="36" w:name="page37"/>
    <w:bookmarkEnd w:id="36"/>
    <w:p>
      <w:pPr>
        <w:ind w:firstLine="637"/>
        <w:spacing w:after="0" w:line="277" w:lineRule="auto"/>
        <w:rPr>
          <w:sz w:val="20"/>
          <w:szCs w:val="20"/>
          <w:color w:val="auto"/>
        </w:rPr>
      </w:pPr>
      <w:r>
        <w:rPr>
          <w:rFonts w:ascii="Arial" w:cs="Arial" w:eastAsia="Arial" w:hAnsi="Arial"/>
          <w:sz w:val="18"/>
          <w:szCs w:val="18"/>
          <w:color w:val="auto"/>
        </w:rPr>
        <w:t>Total revenue from our U.S. and International operating segments for the three months ended September 30, 2022 and 2021, was $94.8 million and $51.7 million, respectively, for the U.S., and $8.7 million and $5.0 million, respectively, for International.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1" w:lineRule="exact"/>
        <w:rPr>
          <w:sz w:val="20"/>
          <w:szCs w:val="20"/>
          <w:color w:val="auto"/>
        </w:rPr>
      </w:pPr>
    </w:p>
    <w:p>
      <w:pPr>
        <w:ind w:right="80" w:firstLine="637"/>
        <w:spacing w:after="0" w:line="248" w:lineRule="auto"/>
        <w:rPr>
          <w:sz w:val="20"/>
          <w:szCs w:val="20"/>
          <w:color w:val="auto"/>
        </w:rPr>
      </w:pPr>
      <w:r>
        <w:rPr>
          <w:rFonts w:ascii="Arial" w:cs="Arial" w:eastAsia="Arial" w:hAnsi="Arial"/>
          <w:sz w:val="18"/>
          <w:szCs w:val="18"/>
          <w:color w:val="auto"/>
        </w:rPr>
        <w:t>Total cost of revenue increased $20.4 million, or 48%, from $42.2 million for the three months ended September 30, 2021 to $62.7 million for the three months ended September 30, 2022. This increase was primarily the result of an increase in marketplace cost of revenue and increase in supplier service costs of revenue due to our acquisition of Thomas. Total cost of revenue from marketplace and supplier services for the three months ended September 30, 2022 was $58.5 million and $4.2 million, respectively.</w:t>
      </w:r>
    </w:p>
    <w:p>
      <w:pPr>
        <w:spacing w:after="0" w:line="196" w:lineRule="exact"/>
        <w:rPr>
          <w:sz w:val="20"/>
          <w:szCs w:val="20"/>
          <w:color w:val="auto"/>
        </w:rPr>
      </w:pPr>
    </w:p>
    <w:p>
      <w:pPr>
        <w:ind w:right="340" w:firstLine="637"/>
        <w:spacing w:after="0" w:line="247" w:lineRule="auto"/>
        <w:rPr>
          <w:sz w:val="20"/>
          <w:szCs w:val="20"/>
          <w:color w:val="auto"/>
        </w:rPr>
      </w:pPr>
      <w:r>
        <w:rPr>
          <w:rFonts w:ascii="Arial" w:cs="Arial" w:eastAsia="Arial" w:hAnsi="Arial"/>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225" w:lineRule="exact"/>
        <w:rPr>
          <w:sz w:val="20"/>
          <w:szCs w:val="20"/>
          <w:color w:val="auto"/>
        </w:rPr>
      </w:pPr>
    </w:p>
    <w:p>
      <w:pPr>
        <w:ind w:right="60" w:firstLine="637"/>
        <w:spacing w:after="0" w:line="247" w:lineRule="auto"/>
        <w:rPr>
          <w:sz w:val="20"/>
          <w:szCs w:val="20"/>
          <w:color w:val="auto"/>
        </w:rPr>
      </w:pPr>
      <w:r>
        <w:rPr>
          <w:rFonts w:ascii="Arial" w:cs="Arial" w:eastAsia="Arial" w:hAnsi="Arial"/>
          <w:sz w:val="18"/>
          <w:szCs w:val="18"/>
          <w:color w:val="auto"/>
        </w:rPr>
        <w:t>Gross profit increased $26.4 million, or 182%, from $14.5 million for the three months ended September 30, 2021 to $40.9 million for the three months ended September 30, 2022. The increase in gross profit was primarily due to the acquisition of Thomas, increases in revenue from marketplace and improved marketplace gross margins as compared to the prior year period.</w:t>
      </w:r>
    </w:p>
    <w:p>
      <w:pPr>
        <w:spacing w:after="0" w:line="197"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Gross margin for marketplace was 30.4% for the three months ended September 30, 2022 which was a significant improvement over the prior year period in part due to our AI-driven platform.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78.5% for the three months ended September 30, 2022 primarily due to our acquisition of Thomas.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3" w:lineRule="exact"/>
        <w:rPr>
          <w:sz w:val="20"/>
          <w:szCs w:val="20"/>
          <w:color w:val="auto"/>
        </w:rPr>
      </w:pPr>
    </w:p>
    <w:p>
      <w:pPr>
        <w:ind w:right="40" w:firstLine="637"/>
        <w:spacing w:after="0" w:line="252" w:lineRule="auto"/>
        <w:rPr>
          <w:sz w:val="20"/>
          <w:szCs w:val="20"/>
          <w:color w:val="auto"/>
        </w:rPr>
      </w:pPr>
      <w:r>
        <w:rPr>
          <w:rFonts w:ascii="Arial" w:cs="Arial" w:eastAsia="Arial" w:hAnsi="Arial"/>
          <w:sz w:val="18"/>
          <w:szCs w:val="18"/>
          <w:color w:val="auto"/>
        </w:rPr>
        <w:t>Sales and marketing expense increased $11.6 million, or 118%, from $9.8 million for the three months ended September 30, 2021 to $21.4 million for the three months ended September 30, 2022, primarily as a result our acquisition of Thomas in December 2021, increases from additional sales employees and compensation costs including stock-based compensation and increases in marketing and advertising spend. As a percent of total revenue, sales and marketing expenses increased to 20.7% for the three months ended September 30, 2022 from 17.3% for the three months ended September 30,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Support</w:t>
      </w:r>
    </w:p>
    <w:p>
      <w:pPr>
        <w:spacing w:after="0" w:line="103" w:lineRule="exact"/>
        <w:rPr>
          <w:sz w:val="20"/>
          <w:szCs w:val="20"/>
          <w:color w:val="auto"/>
        </w:rPr>
      </w:pPr>
    </w:p>
    <w:p>
      <w:pPr>
        <w:ind w:right="20" w:firstLine="637"/>
        <w:spacing w:after="0" w:line="268" w:lineRule="auto"/>
        <w:rPr>
          <w:sz w:val="20"/>
          <w:szCs w:val="20"/>
          <w:color w:val="auto"/>
        </w:rPr>
      </w:pPr>
      <w:r>
        <w:rPr>
          <w:rFonts w:ascii="Arial" w:cs="Arial" w:eastAsia="Arial" w:hAnsi="Arial"/>
          <w:sz w:val="17"/>
          <w:szCs w:val="17"/>
          <w:color w:val="auto"/>
        </w:rPr>
        <w:t>Operations and support increased $5.8 million, or 101%, from $5.8 million for the three months ended September 30, 2021 to $11.6 million for the three months ended September 30, 2022, primarily as a result our acquisition of Thomas in December 2021, hiring of additional operations and support employees and their compensation costs including stock-based compensation. As a percent of total revenue, operations and support expenses increased to 11.2% for the three months ended September 30, 2022 from 10.2% for the three months ended September 30,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03" w:lineRule="exact"/>
        <w:rPr>
          <w:sz w:val="20"/>
          <w:szCs w:val="20"/>
          <w:color w:val="auto"/>
        </w:rPr>
      </w:pPr>
    </w:p>
    <w:p>
      <w:pPr>
        <w:ind w:right="80" w:firstLine="637"/>
        <w:spacing w:after="0" w:line="249" w:lineRule="auto"/>
        <w:rPr>
          <w:sz w:val="20"/>
          <w:szCs w:val="20"/>
          <w:color w:val="auto"/>
        </w:rPr>
      </w:pPr>
      <w:r>
        <w:rPr>
          <w:rFonts w:ascii="Arial" w:cs="Arial" w:eastAsia="Arial" w:hAnsi="Arial"/>
          <w:sz w:val="18"/>
          <w:szCs w:val="18"/>
          <w:color w:val="auto"/>
        </w:rPr>
        <w:t>Product development expense increased $3.2 million, or 74%, from $4.4 million for the three months ended September 30, 2021 to $7.6 million for the three months ended September 30, 2022, primarily as result of our acquisition of Thomas in December 2021, hiring additional development employees and their compensation costs including stock-based compensation, and increases in consulting expenses and software and maintenance. As a percent of total revenue, product development expenses decreased to 7.4% for the three months ended September 30, 2022 from 7.7% for the three months ended September 30,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3"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General and administrative expense increased $6.3 million, or 72%, from $8.8 million for the three months ended September 30, 2021 to $15.1 million for the three months ended September 30, 2022. The primary driver of the increase was due to our acquisition of Thomas in December 2021, hiring additional administrative employees and their compensation costs including stock-based compensation. We incurred additional public company costs for insurance, legal and accounting services. We also recorded additional costs for card processing fees, software and maintenance and facility costs. As a percent of total revenue, general and administrative expenses decreased to 14.6% for the for the three months ended September 30, 2022 from 15.5% for the three months ended September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103" w:lineRule="exact"/>
        <w:rPr>
          <w:sz w:val="20"/>
          <w:szCs w:val="20"/>
          <w:color w:val="auto"/>
        </w:rPr>
      </w:pPr>
    </w:p>
    <w:p>
      <w:pPr>
        <w:ind w:right="160" w:firstLine="637"/>
        <w:spacing w:after="0" w:line="277" w:lineRule="auto"/>
        <w:rPr>
          <w:sz w:val="20"/>
          <w:szCs w:val="20"/>
          <w:color w:val="auto"/>
        </w:rPr>
      </w:pPr>
      <w:r>
        <w:rPr>
          <w:rFonts w:ascii="Arial" w:cs="Arial" w:eastAsia="Arial" w:hAnsi="Arial"/>
          <w:sz w:val="18"/>
          <w:szCs w:val="18"/>
          <w:color w:val="auto"/>
        </w:rPr>
        <w:t>Impairment of assets of $0.3 million related to incomplete software projects that were abandoned and/or other assets to be disposed of during the three months ended September 30, 2022.</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3" w:lineRule="exact"/>
        <w:rPr>
          <w:sz w:val="20"/>
          <w:szCs w:val="20"/>
          <w:color w:val="auto"/>
        </w:rPr>
      </w:pPr>
    </w:p>
    <w:p>
      <w:pPr>
        <w:ind w:right="280" w:firstLine="637"/>
        <w:spacing w:after="0" w:line="290" w:lineRule="auto"/>
        <w:rPr>
          <w:sz w:val="20"/>
          <w:szCs w:val="20"/>
          <w:color w:val="auto"/>
        </w:rPr>
      </w:pPr>
      <w:r>
        <w:rPr>
          <w:rFonts w:ascii="Arial" w:cs="Arial" w:eastAsia="Arial" w:hAnsi="Arial"/>
          <w:sz w:val="17"/>
          <w:szCs w:val="17"/>
          <w:color w:val="auto"/>
        </w:rPr>
        <w:t>Interest expense increased by $1.1 million, or 1,411%, from $0.1 million for the three months ended September 30, 2021 to $1.2 million for the three months ended September 30, 2022, primarily as a result of the interest on the 2027 convertible notes issued in February 2022.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03" w:lineRule="exact"/>
        <w:rPr>
          <w:sz w:val="20"/>
          <w:szCs w:val="20"/>
          <w:color w:val="auto"/>
        </w:rPr>
      </w:pPr>
    </w:p>
    <w:p>
      <w:pPr>
        <w:ind w:right="560" w:firstLine="637"/>
        <w:spacing w:after="0" w:line="261" w:lineRule="auto"/>
        <w:rPr>
          <w:sz w:val="20"/>
          <w:szCs w:val="20"/>
          <w:color w:val="auto"/>
        </w:rPr>
      </w:pPr>
      <w:r>
        <w:rPr>
          <w:rFonts w:ascii="Arial" w:cs="Arial" w:eastAsia="Arial" w:hAnsi="Arial"/>
          <w:sz w:val="18"/>
          <w:szCs w:val="18"/>
          <w:color w:val="auto"/>
        </w:rPr>
        <w:t>Interest and dividend income increased by $0.9 million, or 222%, from $0.4 million for the three months ended September 30, 2021 to $1.3 million for the three months ended September 30, 2022, primarily due to dividend income from our marketable securities</w:t>
      </w:r>
      <w:r>
        <w:rPr>
          <w:rFonts w:ascii="Arial" w:cs="Arial" w:eastAsia="Arial" w:hAnsi="Arial"/>
          <w:sz w:val="18"/>
          <w:szCs w:val="18"/>
          <w:color w:val="FF0000"/>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03" w:lineRule="exact"/>
        <w:rPr>
          <w:sz w:val="20"/>
          <w:szCs w:val="20"/>
          <w:color w:val="auto"/>
        </w:rPr>
      </w:pPr>
    </w:p>
    <w:p>
      <w:pPr>
        <w:ind w:right="120" w:firstLine="637"/>
        <w:spacing w:after="0" w:line="247" w:lineRule="auto"/>
        <w:rPr>
          <w:sz w:val="20"/>
          <w:szCs w:val="20"/>
          <w:color w:val="auto"/>
        </w:rPr>
      </w:pPr>
      <w:r>
        <w:rPr>
          <w:rFonts w:ascii="Arial" w:cs="Arial" w:eastAsia="Arial" w:hAnsi="Arial"/>
          <w:sz w:val="18"/>
          <w:szCs w:val="18"/>
          <w:color w:val="auto"/>
        </w:rPr>
        <w:t>Other expenses decreased by $0.5 million, or 63%, from $0.8 million for the three months ended September 30, 2021 to $0.3 million for the three months ended September 30, 2022, as a result of a $0.3 million loss on debt extinguishment recognized in the third quarter of 2021 and the impact of foreign exchange.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joint venture</w:t>
      </w:r>
    </w:p>
    <w:p>
      <w:pPr>
        <w:spacing w:after="0" w:line="103" w:lineRule="exact"/>
        <w:rPr>
          <w:sz w:val="20"/>
          <w:szCs w:val="20"/>
          <w:color w:val="auto"/>
        </w:rPr>
      </w:pPr>
    </w:p>
    <w:p>
      <w:pPr>
        <w:ind w:right="180" w:firstLine="637"/>
        <w:spacing w:after="0" w:line="277" w:lineRule="auto"/>
        <w:rPr>
          <w:sz w:val="20"/>
          <w:szCs w:val="20"/>
          <w:color w:val="auto"/>
        </w:rPr>
      </w:pPr>
      <w:r>
        <w:rPr>
          <w:rFonts w:ascii="Arial" w:cs="Arial" w:eastAsia="Arial" w:hAnsi="Arial"/>
          <w:sz w:val="18"/>
          <w:szCs w:val="18"/>
          <w:color w:val="auto"/>
        </w:rPr>
        <w:t>Income from unconsolidated joint venture increased $0.3 million due to our acquisition of a 50% interest in Industrial Media, LLC in connection with our acquisition of Thomas on December 9, 2021.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Segment Considerations</w:t>
      </w:r>
    </w:p>
    <w:p>
      <w:pPr>
        <w:spacing w:after="0" w:line="103" w:lineRule="exact"/>
        <w:rPr>
          <w:sz w:val="20"/>
          <w:szCs w:val="20"/>
          <w:color w:val="auto"/>
        </w:rPr>
      </w:pPr>
    </w:p>
    <w:p>
      <w:pPr>
        <w:ind w:right="440" w:firstLine="637"/>
        <w:spacing w:after="0" w:line="255" w:lineRule="auto"/>
        <w:rPr>
          <w:sz w:val="20"/>
          <w:szCs w:val="20"/>
          <w:color w:val="auto"/>
        </w:rPr>
      </w:pPr>
      <w:r>
        <w:rPr>
          <w:rFonts w:ascii="Arial" w:cs="Arial" w:eastAsia="Arial" w:hAnsi="Arial"/>
          <w:sz w:val="18"/>
          <w:szCs w:val="18"/>
          <w:color w:val="auto"/>
        </w:rPr>
        <w:t>Total segment loss from our U.S. operating segment for the three months ended September 30, 2022 and 2021, was $10.7 million and $12.6 million, respectively. Total segment loss from our International operating segment for the three months ended September 30, 2022 and 2021, was $4.3 million and $2.2 million, respectively.</w:t>
      </w:r>
    </w:p>
    <w:p>
      <w:pPr>
        <w:spacing w:after="0" w:line="28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unaudited statements of operations data for the periods indicated: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556"/>
              <w:spacing w:after="0"/>
              <w:rPr>
                <w:sz w:val="20"/>
                <w:szCs w:val="20"/>
                <w:color w:val="auto"/>
              </w:rPr>
            </w:pPr>
            <w:r>
              <w:rPr>
                <w:rFonts w:ascii="Arial" w:cs="Arial" w:eastAsia="Arial" w:hAnsi="Arial"/>
                <w:sz w:val="14"/>
                <w:szCs w:val="14"/>
                <w:b w:val="1"/>
                <w:bCs w:val="1"/>
                <w:color w:val="auto"/>
                <w:w w:val="74"/>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282,857</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151,238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171,321</w:t>
            </w:r>
          </w:p>
        </w:tc>
        <w:tc>
          <w:tcPr>
            <w:tcW w:w="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111,536</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58,846</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Operations and support</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36,158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development</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22,698</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43,143</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assets</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8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161,289</w:t>
            </w:r>
          </w:p>
        </w:tc>
        <w:tc>
          <w:tcPr>
            <w:tcW w:w="2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(49,753</w:t>
            </w:r>
          </w:p>
        </w:tc>
        <w:tc>
          <w:tcPr>
            <w:tcW w:w="2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(36,113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(3,172 )</w:t>
            </w: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(799 )</w:t>
            </w: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1,914</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expenses</w:t>
            </w:r>
          </w:p>
        </w:tc>
        <w:tc>
          <w:tcPr>
            <w:tcW w:w="28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(1,733 )</w:t>
            </w: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(1,021 )</w:t>
            </w: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Income from unconsolidated joint venture</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expenses</w:t>
            </w:r>
          </w:p>
        </w:tc>
        <w:tc>
          <w:tcPr>
            <w:tcW w:w="2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16"/>
              <w:spacing w:after="0"/>
              <w:rPr>
                <w:sz w:val="20"/>
                <w:szCs w:val="20"/>
                <w:color w:val="auto"/>
              </w:rPr>
            </w:pPr>
            <w:r>
              <w:rPr>
                <w:rFonts w:ascii="Arial" w:cs="Arial" w:eastAsia="Arial" w:hAnsi="Arial"/>
                <w:sz w:val="18"/>
                <w:szCs w:val="18"/>
                <w:color w:val="auto"/>
                <w:w w:val="94"/>
              </w:rPr>
              <w:t>(52,144 )</w:t>
            </w:r>
          </w:p>
        </w:tc>
        <w:tc>
          <w:tcPr>
            <w:tcW w:w="9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(37,476 )</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2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16"/>
              <w:spacing w:after="0"/>
              <w:rPr>
                <w:sz w:val="20"/>
                <w:szCs w:val="20"/>
                <w:color w:val="auto"/>
              </w:rPr>
            </w:pPr>
            <w:r>
              <w:rPr>
                <w:rFonts w:ascii="Arial" w:cs="Arial" w:eastAsia="Arial" w:hAnsi="Arial"/>
                <w:sz w:val="18"/>
                <w:szCs w:val="18"/>
                <w:color w:val="auto"/>
                <w:w w:val="94"/>
              </w:rPr>
              <w:t>(51,585 )</w:t>
            </w:r>
          </w:p>
        </w:tc>
        <w:tc>
          <w:tcPr>
            <w:tcW w:w="9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(37,476 )</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 income attributable to noncontrolling interest</w:t>
            </w:r>
          </w:p>
        </w:tc>
        <w:tc>
          <w:tcPr>
            <w:tcW w:w="28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16"/>
              <w:spacing w:after="0"/>
              <w:rPr>
                <w:sz w:val="20"/>
                <w:szCs w:val="20"/>
                <w:color w:val="auto"/>
              </w:rPr>
            </w:pPr>
            <w:r>
              <w:rPr>
                <w:rFonts w:ascii="Arial" w:cs="Arial" w:eastAsia="Arial" w:hAnsi="Arial"/>
                <w:sz w:val="18"/>
                <w:szCs w:val="18"/>
                <w:color w:val="auto"/>
                <w:w w:val="94"/>
              </w:rPr>
              <w:t>(51,602 )</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(37,476 )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930"/>
              <w:spacing w:after="0"/>
              <w:rPr>
                <w:sz w:val="20"/>
                <w:szCs w:val="20"/>
                <w:color w:val="auto"/>
              </w:rPr>
            </w:pPr>
            <w:r>
              <w:rPr>
                <w:rFonts w:ascii="Arial" w:cs="Arial" w:eastAsia="Arial" w:hAnsi="Arial"/>
                <w:sz w:val="18"/>
                <w:szCs w:val="18"/>
                <w:color w:val="auto"/>
              </w:rPr>
              <w:t>35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6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-2277110</wp:posOffset>
            </wp:positionV>
            <wp:extent cx="6858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-1155065</wp:posOffset>
            </wp:positionV>
            <wp:extent cx="6858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-872490</wp:posOffset>
            </wp:positionV>
            <wp:extent cx="6858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-589915</wp:posOffset>
            </wp:positionV>
            <wp:extent cx="685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The following table sets forth our unaudited statements of operations data expressed as a percentage of total revenue for the periods indicated:</w:t>
      </w:r>
    </w:p>
    <w:p>
      <w:pPr>
        <w:spacing w:after="0" w:line="39"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Nine Months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385"/>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60.6 %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76.1 %</w:t>
            </w: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17.4 %</w:t>
            </w: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Operations and support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12.1 %</w:t>
            </w: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57.1 </w:t>
            </w:r>
            <w:r>
              <w:rPr>
                <w:rFonts w:ascii="Arial" w:cs="Arial" w:eastAsia="Arial" w:hAnsi="Arial"/>
                <w:sz w:val="18"/>
                <w:szCs w:val="18"/>
                <w:color w:val="auto"/>
                <w:highlight w:val="white"/>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xml:space="preserve">47.8 </w:t>
            </w:r>
            <w:r>
              <w:rPr>
                <w:rFonts w:ascii="Arial" w:cs="Arial" w:eastAsia="Arial" w:hAnsi="Arial"/>
                <w:sz w:val="18"/>
                <w:szCs w:val="18"/>
                <w:color w:val="auto"/>
                <w:highlight w:val="white"/>
              </w:rPr>
              <w:t>%</w:t>
            </w: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16"/>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Interest and dividend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Other expenses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16"/>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joint venture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9"/>
        </w:trPr>
        <w:tc>
          <w:tcPr>
            <w:tcW w:w="7660" w:type="dxa"/>
            <w:vAlign w:val="bottom"/>
          </w:tcPr>
          <w:p>
            <w:pPr>
              <w:ind w:left="380"/>
              <w:spacing w:after="0"/>
              <w:rPr>
                <w:sz w:val="20"/>
                <w:szCs w:val="20"/>
                <w:color w:val="auto"/>
              </w:rPr>
            </w:pPr>
            <w:r>
              <w:rPr>
                <w:rFonts w:ascii="Arial" w:cs="Arial" w:eastAsia="Arial" w:hAnsi="Arial"/>
                <w:sz w:val="18"/>
                <w:szCs w:val="18"/>
                <w:color w:val="auto"/>
              </w:rPr>
              <w:t>Total other expenses</w:t>
            </w: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0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Net (loss) income attributable to noncontrolling interest</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7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-3107690</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-2825115</wp:posOffset>
            </wp:positionV>
            <wp:extent cx="7132320" cy="419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-1703070</wp:posOffset>
            </wp:positionV>
            <wp:extent cx="71323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45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5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280" w:firstLine="644"/>
        <w:spacing w:after="0" w:line="255" w:lineRule="auto"/>
        <w:rPr>
          <w:sz w:val="20"/>
          <w:szCs w:val="20"/>
          <w:color w:val="auto"/>
        </w:rPr>
      </w:pPr>
      <w:r>
        <w:rPr>
          <w:rFonts w:ascii="Arial" w:cs="Arial" w:eastAsia="Arial" w:hAnsi="Arial"/>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68" w:lineRule="exact"/>
        <w:rPr>
          <w:sz w:val="20"/>
          <w:szCs w:val="20"/>
          <w:color w:val="auto"/>
        </w:rPr>
      </w:pPr>
    </w:p>
    <w:p>
      <w:pPr>
        <w:ind w:right="420" w:firstLine="644"/>
        <w:spacing w:after="0" w:line="251" w:lineRule="auto"/>
        <w:rPr>
          <w:sz w:val="20"/>
          <w:szCs w:val="20"/>
          <w:color w:val="auto"/>
        </w:rPr>
      </w:pPr>
      <w:r>
        <w:rPr>
          <w:rFonts w:ascii="Arial" w:cs="Arial" w:eastAsia="Arial" w:hAnsi="Arial"/>
          <w:sz w:val="18"/>
          <w:szCs w:val="18"/>
          <w:color w:val="auto"/>
        </w:rPr>
        <w:t>Revenue and cost of revenue is presented in the following tables for the nine months ended September 30, 2022 (in thousands, amounts for the nine months ended September 30, 2021, were not considered material):</w:t>
      </w: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20" w:type="dxa"/>
            <w:vAlign w:val="bottom"/>
          </w:tcPr>
          <w:p>
            <w:pPr>
              <w:jc w:val="center"/>
              <w:ind w:right="870"/>
              <w:spacing w:after="0" w:line="170" w:lineRule="exact"/>
              <w:rPr>
                <w:sz w:val="20"/>
                <w:szCs w:val="20"/>
                <w:color w:val="auto"/>
              </w:rPr>
            </w:pPr>
            <w:r>
              <w:rPr>
                <w:rFonts w:ascii="Arial" w:cs="Arial" w:eastAsia="Arial" w:hAnsi="Arial"/>
                <w:sz w:val="18"/>
                <w:szCs w:val="18"/>
                <w:b w:val="1"/>
                <w:bCs w:val="1"/>
                <w:color w:val="auto"/>
                <w:w w:val="91"/>
              </w:rPr>
              <w:t>For the Nine Months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20" w:type="dxa"/>
            <w:vAlign w:val="bottom"/>
          </w:tcPr>
          <w:p>
            <w:pPr>
              <w:jc w:val="center"/>
              <w:ind w:right="870"/>
              <w:spacing w:after="0"/>
              <w:rPr>
                <w:sz w:val="20"/>
                <w:szCs w:val="20"/>
                <w:color w:val="auto"/>
              </w:rPr>
            </w:pPr>
            <w:r>
              <w:rPr>
                <w:rFonts w:ascii="Arial" w:cs="Arial" w:eastAsia="Arial" w:hAnsi="Arial"/>
                <w:sz w:val="18"/>
                <w:szCs w:val="18"/>
                <w:b w:val="1"/>
                <w:bCs w:val="1"/>
                <w:color w:val="auto"/>
                <w:w w:val="89"/>
              </w:rPr>
              <w:t>Ended 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Marketplace</w:t>
            </w:r>
          </w:p>
        </w:tc>
        <w:tc>
          <w:tcPr>
            <w:tcW w:w="2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2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Supplier services</w:t>
            </w: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22"/>
        </w:trPr>
        <w:tc>
          <w:tcPr>
            <w:tcW w:w="3420" w:type="dxa"/>
            <w:vAlign w:val="bottom"/>
          </w:tcPr>
          <w:p>
            <w:pPr>
              <w:spacing w:after="0"/>
              <w:rPr>
                <w:sz w:val="24"/>
                <w:szCs w:val="24"/>
                <w:color w:val="auto"/>
              </w:rPr>
            </w:pPr>
          </w:p>
        </w:tc>
        <w:tc>
          <w:tcPr>
            <w:tcW w:w="244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2997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75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37"/>
        <w:spacing w:after="0" w:line="260" w:lineRule="auto"/>
        <w:rPr>
          <w:sz w:val="20"/>
          <w:szCs w:val="20"/>
          <w:color w:val="auto"/>
        </w:rPr>
      </w:pPr>
      <w:r>
        <w:rPr>
          <w:rFonts w:ascii="Arial" w:cs="Arial" w:eastAsia="Arial" w:hAnsi="Arial"/>
          <w:sz w:val="17"/>
          <w:szCs w:val="17"/>
          <w:color w:val="auto"/>
        </w:rPr>
        <w:t>Total revenue increased $131.6 million, or 87%, from $151.2 million for the nine months ended September 30, 2021 to $282.9 million for the nine months ended September 30, 2022. This growth was primarily a result of an increase in marketplace revenue and an increase in supplier services revenue due to our acquisition of Thomas. Total revenue from marketplace and supplier services for the nine months ended September 30, 2022 was $224.1 million and $58.8 million, respectively. The marketplace increase was primarily the result of increases in active buyers resulting from investments in sales and marketing, as well as existing buyers increasing their spend on the platform for the nine months ended September 30, 2022, as compared to the prior year period. Supplier services revenue growth was driven primarily by our acquisition of Thomas in December 2021.</w:t>
      </w:r>
    </w:p>
    <w:p>
      <w:pPr>
        <w:spacing w:after="0" w:line="186" w:lineRule="exact"/>
        <w:rPr>
          <w:sz w:val="20"/>
          <w:szCs w:val="20"/>
          <w:color w:val="auto"/>
        </w:rPr>
      </w:pPr>
    </w:p>
    <w:p>
      <w:pPr>
        <w:ind w:right="260" w:firstLine="637"/>
        <w:spacing w:after="0" w:line="261" w:lineRule="auto"/>
        <w:rPr>
          <w:sz w:val="20"/>
          <w:szCs w:val="20"/>
          <w:color w:val="auto"/>
        </w:rPr>
      </w:pPr>
      <w:r>
        <w:rPr>
          <w:rFonts w:ascii="Arial" w:cs="Arial" w:eastAsia="Arial" w:hAnsi="Arial"/>
          <w:sz w:val="18"/>
          <w:szCs w:val="18"/>
          <w:color w:val="auto"/>
        </w:rPr>
        <w:t>Total revenue from our U.S. and International operating segments for the nine months ended September 30, 2022 and 2021, was $258.6 million and $140.3 million, respectively, for the U.S., and $24.3 million and $11.0 million, respectively, for International.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1" w:lineRule="exact"/>
        <w:rPr>
          <w:sz w:val="20"/>
          <w:szCs w:val="20"/>
          <w:color w:val="auto"/>
        </w:rPr>
      </w:pPr>
    </w:p>
    <w:p>
      <w:pPr>
        <w:ind w:right="220" w:firstLine="637"/>
        <w:spacing w:after="0" w:line="248" w:lineRule="auto"/>
        <w:rPr>
          <w:sz w:val="20"/>
          <w:szCs w:val="20"/>
          <w:color w:val="auto"/>
        </w:rPr>
      </w:pPr>
      <w:r>
        <w:rPr>
          <w:rFonts w:ascii="Arial" w:cs="Arial" w:eastAsia="Arial" w:hAnsi="Arial"/>
          <w:sz w:val="18"/>
          <w:szCs w:val="18"/>
          <w:color w:val="auto"/>
        </w:rPr>
        <w:t>Total cost of revenue increased $56.3 million, or 49%, from $115.0 million for the nine months ended September 30, 2021 to $171.3 million for the nine months ended September 30, 2022. This increase was primarily the result of an increase in marketplace cost of revenue and increase in supplier service costs of revenue due to our acquisition of Thomas. Total cost of revenue from marketplace and supplier services for the nine months ended September 30, 2022 was $158.7 million and $12.6 million, respectively.</w:t>
      </w:r>
    </w:p>
    <w:p>
      <w:pPr>
        <w:spacing w:after="0" w:line="196" w:lineRule="exact"/>
        <w:rPr>
          <w:sz w:val="20"/>
          <w:szCs w:val="20"/>
          <w:color w:val="auto"/>
        </w:rPr>
      </w:pPr>
    </w:p>
    <w:p>
      <w:pPr>
        <w:ind w:right="340" w:firstLine="637"/>
        <w:spacing w:after="0" w:line="247" w:lineRule="auto"/>
        <w:rPr>
          <w:sz w:val="20"/>
          <w:szCs w:val="20"/>
          <w:color w:val="auto"/>
        </w:rPr>
      </w:pPr>
      <w:r>
        <w:rPr>
          <w:rFonts w:ascii="Arial" w:cs="Arial" w:eastAsia="Arial" w:hAnsi="Arial"/>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211" w:lineRule="exact"/>
        <w:rPr>
          <w:sz w:val="20"/>
          <w:szCs w:val="20"/>
          <w:color w:val="auto"/>
        </w:rPr>
      </w:pPr>
    </w:p>
    <w:p>
      <w:pPr>
        <w:ind w:right="60" w:firstLine="637"/>
        <w:spacing w:after="0" w:line="255" w:lineRule="auto"/>
        <w:rPr>
          <w:sz w:val="20"/>
          <w:szCs w:val="20"/>
          <w:color w:val="auto"/>
        </w:rPr>
      </w:pPr>
      <w:r>
        <w:rPr>
          <w:rFonts w:ascii="Arial" w:cs="Arial" w:eastAsia="Arial" w:hAnsi="Arial"/>
          <w:sz w:val="18"/>
          <w:szCs w:val="18"/>
          <w:color w:val="auto"/>
        </w:rPr>
        <w:t>Gross profit increased $75.3 million, or 208%, from $36.2 million for the nine months ended September 30, 2021 to $111.5 million for the nine months ended September 30, 2022. The increase in gross profit was primarily due to the acquisition of Thomas, increases in revenue from marketplace and improved marketplace gross margin as compared to the prior year period.</w:t>
      </w:r>
    </w:p>
    <w:p>
      <w:pPr>
        <w:spacing w:after="0" w:line="176"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Gross margin for marketplace was 29.2% for the nine months ended September 30, 2022 which was a significant improvement over the prior year period in part due to our AI-driven platform.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78.6% for the nine months ended September 30, 2022 primarily due to our acquisition of Thomas.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3" w:lineRule="exact"/>
        <w:rPr>
          <w:sz w:val="20"/>
          <w:szCs w:val="20"/>
          <w:color w:val="auto"/>
        </w:rPr>
      </w:pPr>
    </w:p>
    <w:p>
      <w:pPr>
        <w:ind w:firstLine="637"/>
        <w:spacing w:after="0" w:line="252" w:lineRule="auto"/>
        <w:rPr>
          <w:sz w:val="20"/>
          <w:szCs w:val="20"/>
          <w:color w:val="auto"/>
        </w:rPr>
      </w:pPr>
      <w:r>
        <w:rPr>
          <w:rFonts w:ascii="Arial" w:cs="Arial" w:eastAsia="Arial" w:hAnsi="Arial"/>
          <w:sz w:val="18"/>
          <w:szCs w:val="18"/>
          <w:color w:val="auto"/>
        </w:rPr>
        <w:t>Sales and marketing expense increased $32.6 million, or 124%, from $26.3 million for the nine months ended September 30, 2021 to $58.8 million for the nine months ended September 30, 2022, primarily as a result our acquisition of Thomas in December 2021, increases in marketing and advertising spend, additional sales employees and their compensation costs including stock-based compensation, consulting expenses and software and maintenance costs for the sales and marketing department. As a percent of total revenue, sales and marketing expenses increased to 20.8% for the nine months ended September 30, 2022 from 17.4% for the nine months ended September 30,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Support</w:t>
      </w:r>
    </w:p>
    <w:p>
      <w:pPr>
        <w:spacing w:after="0" w:line="103" w:lineRule="exact"/>
        <w:rPr>
          <w:sz w:val="20"/>
          <w:szCs w:val="20"/>
          <w:color w:val="auto"/>
        </w:rPr>
      </w:pPr>
    </w:p>
    <w:p>
      <w:pPr>
        <w:ind w:right="140" w:firstLine="637"/>
        <w:spacing w:after="0" w:line="289" w:lineRule="auto"/>
        <w:rPr>
          <w:sz w:val="20"/>
          <w:szCs w:val="20"/>
          <w:color w:val="auto"/>
        </w:rPr>
      </w:pPr>
      <w:r>
        <w:rPr>
          <w:rFonts w:ascii="Arial" w:cs="Arial" w:eastAsia="Arial" w:hAnsi="Arial"/>
          <w:sz w:val="16"/>
          <w:szCs w:val="16"/>
          <w:color w:val="auto"/>
        </w:rPr>
        <w:t>Operations and support increased $20.6 million, or 132%, from $15.6 million for the nine months ended September 30, 2021 to $36.2 million for the nine months ended September 30, 2022, primarily as a result of hiring of additional operations and support employees and their compensation costs including stock-based compensation, our acquisition of Thomas in December 2021 and consulting expenses. As a percent of total revenue, operations and support expenses increased to 12.8% for the nine months ended September 30, 2022 from 10.3% for the nine months ended September 30,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17" w:lineRule="exact"/>
        <w:rPr>
          <w:sz w:val="20"/>
          <w:szCs w:val="20"/>
          <w:color w:val="auto"/>
        </w:rPr>
      </w:pPr>
    </w:p>
    <w:p>
      <w:pPr>
        <w:ind w:firstLine="637"/>
        <w:spacing w:after="0" w:line="268" w:lineRule="auto"/>
        <w:rPr>
          <w:sz w:val="20"/>
          <w:szCs w:val="20"/>
          <w:color w:val="auto"/>
        </w:rPr>
      </w:pPr>
      <w:r>
        <w:rPr>
          <w:rFonts w:ascii="Arial" w:cs="Arial" w:eastAsia="Arial" w:hAnsi="Arial"/>
          <w:sz w:val="17"/>
          <w:szCs w:val="17"/>
          <w:color w:val="auto"/>
        </w:rPr>
        <w:t>Product development expense increased $10.6 million, or 87%, from $12.1 million for the nine months ended September 30, 2021 to $22.7 million for the nine months ended September 30, 2022, primarily as result of our acquisition of Thomas in December 2021, hiring additional development employees and their compensation costs including stock-based compensation, consulting and software and maintenance expenses. As a percent of total revenue, product development expenses remained flat a 8.0% for the nine months ended September 30, 2022 and 2021.</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0" w:firstLine="637"/>
        <w:spacing w:after="0" w:line="260" w:lineRule="auto"/>
        <w:rPr>
          <w:sz w:val="20"/>
          <w:szCs w:val="20"/>
          <w:color w:val="auto"/>
        </w:rPr>
      </w:pPr>
      <w:r>
        <w:rPr>
          <w:rFonts w:ascii="Arial" w:cs="Arial" w:eastAsia="Arial" w:hAnsi="Arial"/>
          <w:sz w:val="17"/>
          <w:szCs w:val="17"/>
          <w:color w:val="auto"/>
        </w:rPr>
        <w:t>General and administrative expense increased $24.8 million, or 135%, from $18.3 million for the nine months ended September 30, 2021 to $43.1 million for the nine months ended September 30, 2022. The primary driver of the increase was due to our acquisition of Thomas in December 2021. Our general and administrative expenses increased due to higher compensation and stock-based compensation due to new administrative employees. Additionally, we incurred higher public company costs for insurance, legal and accounting services. We donated an additional $1.1 million of Class A common stock to our donor advised fund and recorded higher expenses for card processing fees, software and maintenance, facilities costs and transaction related costs. As a percent of total revenue, general and administrative expenses increased to 15.3% for the for the nine months ended September 30, 2022 from 12.1% for the nine months ended September 30,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3" w:lineRule="exact"/>
        <w:rPr>
          <w:sz w:val="20"/>
          <w:szCs w:val="20"/>
          <w:color w:val="auto"/>
        </w:rPr>
      </w:pPr>
    </w:p>
    <w:p>
      <w:pPr>
        <w:ind w:right="60" w:firstLine="637"/>
        <w:spacing w:after="0" w:line="307" w:lineRule="auto"/>
        <w:rPr>
          <w:sz w:val="20"/>
          <w:szCs w:val="20"/>
          <w:color w:val="auto"/>
        </w:rPr>
      </w:pPr>
      <w:r>
        <w:rPr>
          <w:rFonts w:ascii="Arial" w:cs="Arial" w:eastAsia="Arial" w:hAnsi="Arial"/>
          <w:sz w:val="17"/>
          <w:szCs w:val="17"/>
          <w:color w:val="auto"/>
        </w:rPr>
        <w:t>Interest expense increased by $2.4 million, or 297%, from $0.8 million for the nine months ended September 30, 2021 to $3.2 million for the nine months ended September 30, 2022, primarily as a result of the interest on the 2027 convertible notes issued in February 2022.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03" w:lineRule="exact"/>
        <w:rPr>
          <w:sz w:val="20"/>
          <w:szCs w:val="20"/>
          <w:color w:val="auto"/>
        </w:rPr>
      </w:pPr>
    </w:p>
    <w:p>
      <w:pPr>
        <w:ind w:firstLine="637"/>
        <w:spacing w:after="0" w:line="277" w:lineRule="auto"/>
        <w:rPr>
          <w:sz w:val="20"/>
          <w:szCs w:val="20"/>
          <w:color w:val="auto"/>
        </w:rPr>
      </w:pPr>
      <w:r>
        <w:rPr>
          <w:rFonts w:ascii="Arial" w:cs="Arial" w:eastAsia="Arial" w:hAnsi="Arial"/>
          <w:sz w:val="18"/>
          <w:szCs w:val="18"/>
          <w:color w:val="auto"/>
        </w:rPr>
        <w:t>Interest and dividend income increased by $1.5 million, or 319%, from $0.5 million for the nine months ended September 30, 2021 to $1.9 million for the three months ended September 30, 2022, primarily due to dividend income from our marketable securities</w:t>
      </w:r>
      <w:r>
        <w:rPr>
          <w:rFonts w:ascii="Arial" w:cs="Arial" w:eastAsia="Arial" w:hAnsi="Arial"/>
          <w:sz w:val="18"/>
          <w:szCs w:val="18"/>
          <w:color w:val="FF0000"/>
        </w:rPr>
        <w: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03" w:lineRule="exact"/>
        <w:rPr>
          <w:sz w:val="20"/>
          <w:szCs w:val="20"/>
          <w:color w:val="auto"/>
        </w:rPr>
      </w:pPr>
    </w:p>
    <w:p>
      <w:pPr>
        <w:ind w:right="220" w:firstLine="637"/>
        <w:spacing w:after="0" w:line="255" w:lineRule="auto"/>
        <w:rPr>
          <w:sz w:val="20"/>
          <w:szCs w:val="20"/>
          <w:color w:val="auto"/>
        </w:rPr>
      </w:pPr>
      <w:r>
        <w:rPr>
          <w:rFonts w:ascii="Arial" w:cs="Arial" w:eastAsia="Arial" w:hAnsi="Arial"/>
          <w:sz w:val="18"/>
          <w:szCs w:val="18"/>
          <w:color w:val="auto"/>
        </w:rPr>
        <w:t>Other expenses increased by $0.7 million, or 70%, from $1.0 million for the nine months ended September 30, 2021 to $1.7 million for the nine months ended September 30, 2022, primarily as a result of $1.5 million of unrealized loss on marketable securities offset by a $0.3 million loss on debt extinguishment recognized in the third quarter of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Joint Venture</w:t>
      </w:r>
    </w:p>
    <w:p>
      <w:pPr>
        <w:spacing w:after="0" w:line="103" w:lineRule="exact"/>
        <w:rPr>
          <w:sz w:val="20"/>
          <w:szCs w:val="20"/>
          <w:color w:val="auto"/>
        </w:rPr>
      </w:pPr>
    </w:p>
    <w:p>
      <w:pPr>
        <w:ind w:right="140" w:firstLine="637"/>
        <w:spacing w:after="0" w:line="261" w:lineRule="auto"/>
        <w:rPr>
          <w:sz w:val="20"/>
          <w:szCs w:val="20"/>
          <w:color w:val="auto"/>
        </w:rPr>
      </w:pPr>
      <w:r>
        <w:rPr>
          <w:rFonts w:ascii="Arial" w:cs="Arial" w:eastAsia="Arial" w:hAnsi="Arial"/>
          <w:sz w:val="18"/>
          <w:szCs w:val="18"/>
          <w:color w:val="auto"/>
        </w:rPr>
        <w:t>Income from unconsolidated joint venture increased $0.6 million due to our acquisition of a 50% interest in Industrial Media, LLC in connection with our acquisition of Thomas on December 9,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Benefit for income taxes increased by $0.6 million due to an income tax benefit resulting from our acquisition of Thomas.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Segment Considerations</w:t>
      </w:r>
    </w:p>
    <w:p>
      <w:pPr>
        <w:spacing w:after="0" w:line="103" w:lineRule="exact"/>
        <w:rPr>
          <w:sz w:val="20"/>
          <w:szCs w:val="20"/>
          <w:color w:val="auto"/>
        </w:rPr>
      </w:pPr>
    </w:p>
    <w:p>
      <w:pPr>
        <w:ind w:right="360" w:firstLine="637"/>
        <w:spacing w:after="0" w:line="255" w:lineRule="auto"/>
        <w:rPr>
          <w:sz w:val="20"/>
          <w:szCs w:val="20"/>
          <w:color w:val="auto"/>
        </w:rPr>
      </w:pPr>
      <w:r>
        <w:rPr>
          <w:rFonts w:ascii="Arial" w:cs="Arial" w:eastAsia="Arial" w:hAnsi="Arial"/>
          <w:sz w:val="18"/>
          <w:szCs w:val="18"/>
          <w:color w:val="auto"/>
        </w:rPr>
        <w:t>Total segment loss from our U.S. operating segment for the nine months ended September 30, 2022 and 2021, was $37.0 million and $30.2 million, respectively. Total segment loss from our International operating segment for the nine months ended September 30, 2022 and 2021, was $14.6 million and $7.3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5" w:right="37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3" w:lineRule="exact"/>
        <w:rPr>
          <w:sz w:val="20"/>
          <w:szCs w:val="20"/>
          <w:color w:val="auto"/>
        </w:rPr>
      </w:pPr>
    </w:p>
    <w:p>
      <w:pPr>
        <w:ind w:right="20" w:firstLine="644"/>
        <w:spacing w:after="0" w:line="279" w:lineRule="auto"/>
        <w:rPr>
          <w:sz w:val="20"/>
          <w:szCs w:val="20"/>
          <w:color w:val="auto"/>
        </w:rPr>
      </w:pPr>
      <w:r>
        <w:rPr>
          <w:rFonts w:ascii="Arial" w:cs="Arial" w:eastAsia="Arial" w:hAnsi="Arial"/>
          <w:sz w:val="16"/>
          <w:szCs w:val="16"/>
          <w:color w:val="auto"/>
        </w:rPr>
        <w:t>We have financed our operations primarily through sales of our equity securities and borrowings under our convertible notes. As of September 30, 2022, our cash and cash equivalents and marketable securities totaled $341.2 million, compared with $116.7 million as of December 31, 2021.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53" w:lineRule="exact"/>
        <w:rPr>
          <w:sz w:val="20"/>
          <w:szCs w:val="20"/>
          <w:color w:val="auto"/>
        </w:rPr>
      </w:pPr>
    </w:p>
    <w:p>
      <w:pPr>
        <w:ind w:right="20" w:firstLine="644"/>
        <w:spacing w:after="0" w:line="261"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due 2027</w:t>
      </w:r>
    </w:p>
    <w:p>
      <w:pPr>
        <w:spacing w:after="0" w:line="103" w:lineRule="exact"/>
        <w:rPr>
          <w:sz w:val="20"/>
          <w:szCs w:val="20"/>
          <w:color w:val="auto"/>
        </w:rPr>
      </w:pPr>
    </w:p>
    <w:p>
      <w:pPr>
        <w:ind w:right="20" w:firstLine="644"/>
        <w:spacing w:after="0" w:line="282" w:lineRule="auto"/>
        <w:rPr>
          <w:sz w:val="20"/>
          <w:szCs w:val="20"/>
          <w:color w:val="auto"/>
        </w:rPr>
      </w:pPr>
      <w:r>
        <w:rPr>
          <w:rFonts w:ascii="Arial" w:cs="Arial" w:eastAsia="Arial" w:hAnsi="Arial"/>
          <w:sz w:val="16"/>
          <w:szCs w:val="16"/>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51" w:lineRule="exact"/>
        <w:rPr>
          <w:sz w:val="20"/>
          <w:szCs w:val="20"/>
          <w:color w:val="auto"/>
        </w:rPr>
      </w:pPr>
    </w:p>
    <w:p>
      <w:pPr>
        <w:ind w:right="220" w:firstLine="644"/>
        <w:spacing w:after="0" w:line="324" w:lineRule="auto"/>
        <w:rPr>
          <w:sz w:val="20"/>
          <w:szCs w:val="20"/>
          <w:color w:val="auto"/>
        </w:rPr>
      </w:pPr>
      <w:r>
        <w:rPr>
          <w:rFonts w:ascii="Arial" w:cs="Arial" w:eastAsia="Arial" w:hAnsi="Arial"/>
          <w:sz w:val="16"/>
          <w:szCs w:val="16"/>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29"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75" w:lineRule="exact"/>
        <w:rPr>
          <w:sz w:val="20"/>
          <w:szCs w:val="20"/>
          <w:color w:val="auto"/>
        </w:rPr>
      </w:pPr>
    </w:p>
    <w:p>
      <w:pPr>
        <w:ind w:right="60" w:firstLine="644"/>
        <w:spacing w:after="0" w:line="269" w:lineRule="auto"/>
        <w:rPr>
          <w:sz w:val="20"/>
          <w:szCs w:val="20"/>
          <w:color w:val="auto"/>
        </w:rPr>
      </w:pPr>
      <w:r>
        <w:rPr>
          <w:rFonts w:ascii="Arial" w:cs="Arial" w:eastAsia="Arial" w:hAnsi="Arial"/>
          <w:sz w:val="17"/>
          <w:szCs w:val="17"/>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71" w:lineRule="exact"/>
        <w:rPr>
          <w:sz w:val="20"/>
          <w:szCs w:val="20"/>
          <w:color w:val="auto"/>
        </w:rPr>
      </w:pPr>
    </w:p>
    <w:p>
      <w:pPr>
        <w:ind w:right="520" w:firstLine="644"/>
        <w:spacing w:after="0" w:line="261" w:lineRule="auto"/>
        <w:rPr>
          <w:sz w:val="20"/>
          <w:szCs w:val="20"/>
          <w:color w:val="auto"/>
        </w:rPr>
      </w:pPr>
      <w:r>
        <w:rPr>
          <w:rFonts w:ascii="Arial" w:cs="Arial" w:eastAsia="Arial" w:hAnsi="Arial"/>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62" w:lineRule="exact"/>
        <w:rPr>
          <w:sz w:val="20"/>
          <w:szCs w:val="20"/>
          <w:color w:val="auto"/>
        </w:rPr>
      </w:pPr>
    </w:p>
    <w:p>
      <w:pPr>
        <w:jc w:val="both"/>
        <w:ind w:left="1020" w:hanging="504"/>
        <w:spacing w:after="0" w:line="25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8" w:lineRule="exact"/>
        <w:rPr>
          <w:rFonts w:ascii="Arial" w:cs="Arial" w:eastAsia="Arial" w:hAnsi="Arial"/>
          <w:sz w:val="18"/>
          <w:szCs w:val="18"/>
          <w:color w:val="auto"/>
        </w:rPr>
      </w:pPr>
    </w:p>
    <w:p>
      <w:pPr>
        <w:jc w:val="both"/>
        <w:ind w:left="1020" w:hanging="504"/>
        <w:spacing w:after="0" w:line="25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8" w:lineRule="exact"/>
        <w:rPr>
          <w:rFonts w:ascii="Arial" w:cs="Arial" w:eastAsia="Arial" w:hAnsi="Arial"/>
          <w:sz w:val="18"/>
          <w:szCs w:val="18"/>
          <w:color w:val="auto"/>
        </w:rPr>
      </w:pPr>
    </w:p>
    <w:p>
      <w:pPr>
        <w:jc w:val="both"/>
        <w:ind w:left="1020" w:hanging="504"/>
        <w:spacing w:after="0" w:line="25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8"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117" w:lineRule="exact"/>
        <w:rPr>
          <w:sz w:val="20"/>
          <w:szCs w:val="20"/>
          <w:color w:val="auto"/>
        </w:rPr>
      </w:pPr>
    </w:p>
    <w:p>
      <w:pPr>
        <w:ind w:right="720" w:firstLine="644"/>
        <w:spacing w:after="0" w:line="261" w:lineRule="auto"/>
        <w:rPr>
          <w:sz w:val="20"/>
          <w:szCs w:val="20"/>
          <w:color w:val="auto"/>
        </w:rPr>
      </w:pPr>
      <w:r>
        <w:rPr>
          <w:rFonts w:ascii="Arial" w:cs="Arial" w:eastAsia="Arial" w:hAnsi="Arial"/>
          <w:sz w:val="18"/>
          <w:szCs w:val="18"/>
          <w:color w:val="auto"/>
        </w:rPr>
        <w:t>On or after November 1, 2026, the 2027 Notes are convertible at any time until the close of business on the second scheduled trading day immediately preceding the maturity date.</w:t>
      </w:r>
    </w:p>
    <w:p>
      <w:pPr>
        <w:spacing w:after="0" w:line="62" w:lineRule="exact"/>
        <w:rPr>
          <w:sz w:val="20"/>
          <w:szCs w:val="20"/>
          <w:color w:val="auto"/>
        </w:rPr>
      </w:pPr>
    </w:p>
    <w:p>
      <w:pPr>
        <w:ind w:right="100" w:firstLine="644"/>
        <w:spacing w:after="0" w:line="248" w:lineRule="auto"/>
        <w:rPr>
          <w:sz w:val="20"/>
          <w:szCs w:val="20"/>
          <w:color w:val="auto"/>
        </w:rPr>
      </w:pPr>
      <w:r>
        <w:rPr>
          <w:rFonts w:ascii="Arial" w:cs="Arial" w:eastAsia="Arial" w:hAnsi="Arial"/>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ind w:right="640" w:firstLine="644"/>
        <w:spacing w:after="0" w:line="277" w:lineRule="auto"/>
        <w:rPr>
          <w:sz w:val="20"/>
          <w:szCs w:val="20"/>
          <w:color w:val="auto"/>
        </w:rPr>
      </w:pPr>
      <w:r>
        <w:rPr>
          <w:rFonts w:ascii="Arial" w:cs="Arial" w:eastAsia="Arial" w:hAnsi="Arial"/>
          <w:sz w:val="18"/>
          <w:szCs w:val="18"/>
          <w:color w:val="auto"/>
        </w:rPr>
        <w:t>We accounted for the issuance of the 2027 Notes as a single liability measured at its amortized cost, as no other embedded features require bifurcation and recognition as derivatives.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the 2027 Notes have a carrying value of $279.4 million with an effective annual interest rate of 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637"/>
        <w:spacing w:after="0" w:line="261"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nine months ended September 30,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6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6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(45,510 )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(37,370 )</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(291,336 )</w:t>
            </w:r>
          </w:p>
        </w:tc>
        <w:tc>
          <w:tcPr>
            <w:tcW w:w="5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(271,603 )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281,506</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306,910</w:t>
            </w:r>
          </w:p>
        </w:tc>
        <w:tc>
          <w:tcPr>
            <w:tcW w:w="100" w:type="dxa"/>
            <w:vAlign w:val="bottom"/>
            <w:shd w:val="clear" w:color="auto" w:fill="CFF0FC"/>
          </w:tcPr>
          <w:p>
            <w:pPr>
              <w:spacing w:after="0"/>
              <w:rPr>
                <w:sz w:val="18"/>
                <w:szCs w:val="1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0" w:lineRule="exact"/>
        <w:rPr>
          <w:sz w:val="20"/>
          <w:szCs w:val="20"/>
          <w:color w:val="auto"/>
        </w:rPr>
      </w:pPr>
    </w:p>
    <w:p>
      <w:pPr>
        <w:spacing w:after="0" w:line="213" w:lineRule="exact"/>
        <w:rPr>
          <w:sz w:val="20"/>
          <w:szCs w:val="20"/>
          <w:color w:val="auto"/>
        </w:rPr>
      </w:pPr>
    </w:p>
    <w:p>
      <w:pPr>
        <w:ind w:firstLine="637"/>
        <w:spacing w:after="0" w:line="279" w:lineRule="auto"/>
        <w:rPr>
          <w:sz w:val="20"/>
          <w:szCs w:val="20"/>
          <w:color w:val="auto"/>
        </w:rPr>
      </w:pPr>
      <w:r>
        <w:rPr>
          <w:rFonts w:ascii="Arial" w:cs="Arial" w:eastAsia="Arial" w:hAnsi="Arial"/>
          <w:sz w:val="16"/>
          <w:szCs w:val="16"/>
          <w:color w:val="auto"/>
        </w:rPr>
        <w:t>For the nine months ended September 30, 2022, net cash used in operating activities was $45.5 million, primarily due to a net loss of $(51.6) million adjusted for non-cash charges of $30.6 million and a net decrease in our operating assets and liabilities of $(24.5) million. The non-cash adjustments primarily relate to stock-based compensation of $14.0 million, depreciation and amortization of $5.7 million, $1.7 million unrealized loss on marketable securities, $2.3 million donation of common stock and $5.4 million of reduction to our right of use lease assets. The net decrease in operating assets and liabilities is primarily driven by an increase in accounts receivable of $19.0 million primarily due to our continued revenue growth, an increase in other assets of $3.9 million, an increase in inventory of $3.7 million, an increase in prepaid expenses of $1.8 million and a decrease in lease liabilities of $4.2 million. These increases were offset by an increase in accrued expenses of $5.6 million and an increase in contract liabilities of $2.8 million.</w:t>
      </w:r>
    </w:p>
    <w:p>
      <w:pPr>
        <w:spacing w:after="0" w:line="53" w:lineRule="exact"/>
        <w:rPr>
          <w:sz w:val="20"/>
          <w:szCs w:val="20"/>
          <w:color w:val="auto"/>
        </w:rPr>
      </w:pPr>
    </w:p>
    <w:p>
      <w:pPr>
        <w:ind w:right="20" w:firstLine="637"/>
        <w:spacing w:after="0" w:line="263" w:lineRule="auto"/>
        <w:rPr>
          <w:sz w:val="20"/>
          <w:szCs w:val="20"/>
          <w:color w:val="auto"/>
        </w:rPr>
      </w:pPr>
      <w:r>
        <w:rPr>
          <w:rFonts w:ascii="Arial" w:cs="Arial" w:eastAsia="Arial" w:hAnsi="Arial"/>
          <w:sz w:val="17"/>
          <w:szCs w:val="17"/>
          <w:color w:val="auto"/>
        </w:rPr>
        <w:t>For the nine months ended September 30, 2021, net cash used in operating activities was $37.4 million, primarily due to a net loss of $37.5 million adjusted for non-cash charges of $9.7 million and a net decrease in our operating assets and liabilities of $(9.6) million. The non-cash adjustments primarily relate to stock-based compensation of $4.7 million, depreciation and amortization of $2.3 million, $1.2 million of charitable contributions of common stock and $0.9 million of reduction to our right of use lease assets. The net decrease in operating assets and liabilities is primarily driven by an increase in accounts receivable of $10.6 million and prepaid expenses of $4.1 million. These decreases are partially offset by increases in accrued expenses of $3.9 million and $1.1 million of contract liabilities, primarily due to the growth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00" w:firstLine="637"/>
        <w:spacing w:after="0" w:line="247" w:lineRule="auto"/>
        <w:rPr>
          <w:sz w:val="20"/>
          <w:szCs w:val="20"/>
          <w:color w:val="auto"/>
        </w:rPr>
      </w:pPr>
      <w:r>
        <w:rPr>
          <w:rFonts w:ascii="Arial" w:cs="Arial" w:eastAsia="Arial" w:hAnsi="Arial"/>
          <w:sz w:val="18"/>
          <w:szCs w:val="18"/>
          <w:color w:val="auto"/>
        </w:rPr>
        <w:t>For the nine months ended September 30, 2022, net cash used by investing activities was $291.3 million, primarily due to the purchase of marketable securities of $281.9 million and $9.6 million for purchases of property and equipment (which includes internal-use software development costs).</w:t>
      </w:r>
    </w:p>
    <w:p>
      <w:pPr>
        <w:spacing w:after="0" w:line="89" w:lineRule="exact"/>
        <w:rPr>
          <w:sz w:val="20"/>
          <w:szCs w:val="20"/>
          <w:color w:val="auto"/>
        </w:rPr>
      </w:pPr>
    </w:p>
    <w:p>
      <w:pPr>
        <w:ind w:right="160" w:firstLine="637"/>
        <w:spacing w:after="0" w:line="247" w:lineRule="auto"/>
        <w:rPr>
          <w:sz w:val="20"/>
          <w:szCs w:val="20"/>
          <w:color w:val="auto"/>
        </w:rPr>
      </w:pPr>
      <w:r>
        <w:rPr>
          <w:rFonts w:ascii="Arial" w:cs="Arial" w:eastAsia="Arial" w:hAnsi="Arial"/>
          <w:sz w:val="18"/>
          <w:szCs w:val="18"/>
          <w:color w:val="auto"/>
        </w:rPr>
        <w:t>Cash used by investing activities was $271.6 million during the nine months ended September 30, 2021, primarily due to investments of $267.0 million of proceeds from the IPO in marketable securities and $4.6 million for purchases of property and equipment (which includes internal-use software development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637"/>
        <w:spacing w:after="0" w:line="270" w:lineRule="auto"/>
        <w:rPr>
          <w:sz w:val="20"/>
          <w:szCs w:val="20"/>
          <w:color w:val="auto"/>
        </w:rPr>
      </w:pPr>
      <w:r>
        <w:rPr>
          <w:rFonts w:ascii="Arial" w:cs="Arial" w:eastAsia="Arial" w:hAnsi="Arial"/>
          <w:sz w:val="16"/>
          <w:szCs w:val="16"/>
          <w:color w:val="auto"/>
        </w:rPr>
        <w:t>For the nine months ended September 30, 2022, net cash provided by financing activities was $281.5 million, reflecting $287.5 million of proceeds from the issuance of the 2027 convertible senior notes and $3.3 million of proceeds from the exercise of stock options. These inflows were offset by $9.3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of convertible note costs incurred in connection with these notes</w:t>
      </w:r>
      <w:r>
        <w:rPr>
          <w:rFonts w:ascii="Arial" w:cs="Arial" w:eastAsia="Arial" w:hAnsi="Arial"/>
          <w:sz w:val="21"/>
          <w:szCs w:val="21"/>
          <w:color w:val="auto"/>
        </w:rPr>
        <w:t>.</w:t>
      </w:r>
    </w:p>
    <w:p>
      <w:pPr>
        <w:spacing w:after="0" w:line="112" w:lineRule="exact"/>
        <w:rPr>
          <w:sz w:val="20"/>
          <w:szCs w:val="20"/>
          <w:color w:val="auto"/>
        </w:rPr>
      </w:pPr>
    </w:p>
    <w:p>
      <w:pPr>
        <w:ind w:right="20" w:firstLine="637"/>
        <w:spacing w:after="0" w:line="293" w:lineRule="auto"/>
        <w:rPr>
          <w:sz w:val="20"/>
          <w:szCs w:val="20"/>
          <w:color w:val="auto"/>
        </w:rPr>
      </w:pPr>
      <w:r>
        <w:rPr>
          <w:rFonts w:ascii="Arial" w:cs="Arial" w:eastAsia="Arial" w:hAnsi="Arial"/>
          <w:sz w:val="16"/>
          <w:szCs w:val="16"/>
          <w:color w:val="auto"/>
        </w:rPr>
        <w:t>Cash provided by financing activities was $306.9 million during the nine months ended September 30, 2021, reflecting $1.8 million of proceeds from the exercise of stock options and $325.3 million of proceeds from the IPO, net of our underwriters discount. These inflows were offset by $4.0 million of other offering costs incurred in connection with our IPO and the $16.1 million repayment of our term loan with proceeds from the IPO.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07" w:lineRule="exact"/>
        <w:rPr>
          <w:sz w:val="20"/>
          <w:szCs w:val="20"/>
          <w:color w:val="auto"/>
        </w:rPr>
      </w:pPr>
    </w:p>
    <w:p>
      <w:pPr>
        <w:ind w:right="60" w:firstLine="644"/>
        <w:spacing w:after="0" w:line="255" w:lineRule="auto"/>
        <w:rPr>
          <w:sz w:val="20"/>
          <w:szCs w:val="20"/>
          <w:color w:val="auto"/>
        </w:rPr>
      </w:pPr>
      <w:r>
        <w:rPr>
          <w:rFonts w:ascii="Arial" w:cs="Arial" w:eastAsia="Arial" w:hAnsi="Arial"/>
          <w:sz w:val="18"/>
          <w:szCs w:val="18"/>
          <w:color w:val="auto"/>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3" w:name="page44"/>
    <w:bookmarkEnd w:id="43"/>
    <w:p>
      <w:pPr>
        <w:ind w:right="80"/>
        <w:spacing w:after="0" w:line="277" w:lineRule="auto"/>
        <w:rPr>
          <w:rFonts w:ascii="Arial" w:cs="Arial" w:eastAsia="Arial" w:hAnsi="Arial"/>
          <w:sz w:val="16"/>
          <w:szCs w:val="16"/>
          <w:color w:val="0000FF"/>
        </w:rPr>
      </w:pPr>
      <w:r>
        <w:rPr>
          <w:rFonts w:ascii="Arial" w:cs="Arial" w:eastAsia="Arial" w:hAnsi="Arial"/>
          <w:sz w:val="16"/>
          <w:szCs w:val="16"/>
          <w:color w:val="auto"/>
        </w:rPr>
        <w:t xml:space="preserve">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w:t>
      </w:r>
      <w:hyperlink r:id="rId347">
        <w:r>
          <w:rPr>
            <w:rFonts w:ascii="Arial" w:cs="Arial" w:eastAsia="Arial" w:hAnsi="Arial"/>
            <w:sz w:val="16"/>
            <w:szCs w:val="16"/>
            <w:u w:val="single" w:color="auto"/>
            <w:color w:val="0000FF"/>
          </w:rPr>
          <w:t>Annual Report on Form 10-K</w:t>
        </w:r>
        <w:r>
          <w:rPr>
            <w:rFonts w:ascii="Arial" w:cs="Arial" w:eastAsia="Arial" w:hAnsi="Arial"/>
            <w:sz w:val="16"/>
            <w:szCs w:val="16"/>
            <w:color w:val="0000FF"/>
          </w:rPr>
          <w:t xml:space="preserve"> </w:t>
        </w:r>
      </w:hyperlink>
      <w:r>
        <w:rPr>
          <w:rFonts w:ascii="Arial" w:cs="Arial" w:eastAsia="Arial" w:hAnsi="Arial"/>
          <w:sz w:val="16"/>
          <w:szCs w:val="16"/>
          <w:color w:val="000000"/>
        </w:rPr>
        <w:t>as</w:t>
      </w:r>
      <w:r>
        <w:rPr>
          <w:rFonts w:ascii="Arial" w:cs="Arial" w:eastAsia="Arial" w:hAnsi="Arial"/>
          <w:sz w:val="16"/>
          <w:szCs w:val="16"/>
          <w:color w:val="0000FF"/>
        </w:rPr>
        <w:t xml:space="preserve"> </w:t>
      </w:r>
      <w:r>
        <w:rPr>
          <w:rFonts w:ascii="Arial" w:cs="Arial" w:eastAsia="Arial" w:hAnsi="Arial"/>
          <w:sz w:val="16"/>
          <w:szCs w:val="16"/>
          <w:color w:val="000000"/>
        </w:rPr>
        <w:t>well as Note 2 – Basis of Presentation and Summary of Significant Accounting Policies in the notes to the condensed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13563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consolidated financial statements included in Part I, Item 1, of this Quarterly Report on Form 10-Q.</w:t>
      </w:r>
    </w:p>
    <w:p>
      <w:pPr>
        <w:spacing w:after="0" w:line="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Recent Accounting Pronouncements</w:t>
      </w:r>
    </w:p>
    <w:p>
      <w:pPr>
        <w:spacing w:after="0" w:line="107" w:lineRule="exact"/>
        <w:rPr>
          <w:sz w:val="20"/>
          <w:szCs w:val="20"/>
          <w:color w:val="auto"/>
        </w:rPr>
      </w:pPr>
    </w:p>
    <w:p>
      <w:pPr>
        <w:ind w:right="20" w:firstLine="644"/>
        <w:spacing w:after="0" w:line="255"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JOBS Act Accounting Election</w:t>
      </w:r>
    </w:p>
    <w:p>
      <w:pPr>
        <w:spacing w:after="0" w:line="107" w:lineRule="exact"/>
        <w:rPr>
          <w:sz w:val="20"/>
          <w:szCs w:val="20"/>
          <w:color w:val="auto"/>
        </w:rPr>
      </w:pPr>
    </w:p>
    <w:p>
      <w:pPr>
        <w:ind w:firstLine="644"/>
        <w:spacing w:after="0" w:line="246"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75"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On July 1, 2022, we irrevocably opted not to use the extended transition period for complying with any new or revised financial accounting standards, and as such, we are required to adopt new or revised standards at the same time as other public companies.</w:t>
      </w:r>
    </w:p>
    <w:p>
      <w:pPr>
        <w:spacing w:after="0" w:line="88"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Based on the Company's aggregate worldwide market value of voting and non-voting common equity held by non-affiliates as of June 30, 2022, the Company will become a “large accelerated filer” and lose emerging growth company status beginning with its Annual Report on Form 10-K for the year ending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5" w:lineRule="exact"/>
        <w:rPr>
          <w:sz w:val="20"/>
          <w:szCs w:val="20"/>
          <w:color w:val="auto"/>
        </w:rPr>
      </w:pPr>
    </w:p>
    <w:p>
      <w:pPr>
        <w:jc w:val="both"/>
        <w:ind w:firstLine="637"/>
        <w:spacing w:after="0" w:line="248"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3" w:lineRule="exact"/>
        <w:rPr>
          <w:sz w:val="20"/>
          <w:szCs w:val="20"/>
          <w:color w:val="auto"/>
        </w:rPr>
      </w:pPr>
    </w:p>
    <w:p>
      <w:pPr>
        <w:ind w:right="380" w:firstLine="637"/>
        <w:spacing w:after="0" w:line="255"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could be impacted by changes in exchange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80" w:firstLine="637"/>
        <w:spacing w:after="0" w:line="269"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3" w:lineRule="exact"/>
        <w:rPr>
          <w:sz w:val="20"/>
          <w:szCs w:val="20"/>
          <w:color w:val="auto"/>
        </w:rPr>
      </w:pPr>
    </w:p>
    <w:p>
      <w:pPr>
        <w:ind w:right="80" w:firstLine="637"/>
        <w:spacing w:after="0" w:line="242"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20" w:firstLine="637"/>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2022, that have materially affected, or are reasonably likely to materially affect, our internal control over financial reporting.</w:t>
      </w:r>
    </w:p>
    <w:p>
      <w:pPr>
        <w:spacing w:after="0" w:line="62" w:lineRule="exact"/>
        <w:rPr>
          <w:sz w:val="20"/>
          <w:szCs w:val="20"/>
          <w:color w:val="auto"/>
        </w:rPr>
      </w:pPr>
    </w:p>
    <w:p>
      <w:pPr>
        <w:ind w:firstLine="637"/>
        <w:spacing w:after="0" w:line="287" w:lineRule="auto"/>
        <w:rPr>
          <w:sz w:val="20"/>
          <w:szCs w:val="20"/>
          <w:color w:val="auto"/>
        </w:rPr>
      </w:pPr>
      <w:r>
        <w:rPr>
          <w:rFonts w:ascii="Arial" w:cs="Arial" w:eastAsia="Arial" w:hAnsi="Arial"/>
          <w:sz w:val="16"/>
          <w:szCs w:val="16"/>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5" w:right="37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65" w:lineRule="exact"/>
        <w:rPr>
          <w:sz w:val="20"/>
          <w:szCs w:val="20"/>
          <w:color w:val="auto"/>
        </w:rPr>
      </w:pPr>
    </w:p>
    <w:p>
      <w:pPr>
        <w:ind w:right="280" w:firstLine="644"/>
        <w:spacing w:after="0" w:line="261" w:lineRule="auto"/>
        <w:rPr>
          <w:sz w:val="20"/>
          <w:szCs w:val="20"/>
          <w:color w:val="auto"/>
        </w:rPr>
      </w:pPr>
      <w:r>
        <w:rPr>
          <w:rFonts w:ascii="Arial" w:cs="Arial" w:eastAsia="Arial" w:hAnsi="Arial"/>
          <w:sz w:val="18"/>
          <w:szCs w:val="18"/>
          <w:color w:val="auto"/>
        </w:rPr>
        <w:t>For the period ending September 30, 2022, there were no material legal proceedings brought against the Company nor were there any material developments to any ongoing legal proceedings which constituted reportable events.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8" w:lineRule="exact"/>
        <w:rPr>
          <w:sz w:val="20"/>
          <w:szCs w:val="20"/>
          <w:color w:val="auto"/>
        </w:rPr>
      </w:pPr>
    </w:p>
    <w:p>
      <w:pPr>
        <w:ind w:right="280" w:firstLine="644"/>
        <w:spacing w:after="0" w:line="216" w:lineRule="exact"/>
        <w:rPr>
          <w:sz w:val="20"/>
          <w:szCs w:val="20"/>
          <w:color w:val="auto"/>
        </w:rPr>
      </w:pPr>
      <w:r>
        <w:rPr>
          <w:rFonts w:ascii="Arial" w:cs="Arial" w:eastAsia="Arial" w:hAnsi="Arial"/>
          <w:sz w:val="18"/>
          <w:szCs w:val="18"/>
          <w:i w:val="1"/>
          <w:iCs w:val="1"/>
          <w:color w:val="auto"/>
        </w:rPr>
        <w:t>There have been no material changes to our risk factors as previously disclosed in Item 1A. contained in Part I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for the year ended December 31,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1"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15" w:lineRule="exact"/>
        <w:rPr>
          <w:sz w:val="20"/>
          <w:szCs w:val="20"/>
          <w:color w:val="auto"/>
        </w:rPr>
      </w:pPr>
    </w:p>
    <w:p>
      <w:pPr>
        <w:ind w:right="580" w:firstLine="644"/>
        <w:spacing w:after="0" w:line="290" w:lineRule="auto"/>
        <w:rPr>
          <w:sz w:val="20"/>
          <w:szCs w:val="20"/>
          <w:color w:val="auto"/>
        </w:rPr>
      </w:pPr>
      <w:r>
        <w:rPr>
          <w:rFonts w:ascii="Arial" w:cs="Arial" w:eastAsia="Arial" w:hAnsi="Arial"/>
          <w:sz w:val="17"/>
          <w:szCs w:val="17"/>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gridSpan w:val="11"/>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98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FF"/>
                <w:w w:val="94"/>
              </w:rPr>
            </w:pPr>
            <w:hyperlink r:id="rId352">
              <w:r>
                <w:rPr>
                  <w:rFonts w:ascii="Arial" w:cs="Arial" w:eastAsia="Arial" w:hAnsi="Arial"/>
                  <w:sz w:val="18"/>
                  <w:szCs w:val="18"/>
                  <w:color w:val="0000FF"/>
                  <w:w w:val="94"/>
                </w:rPr>
                <w:t>Amended and Restated Certificate of Incorporation of Xometry, Inc., (incorporated herein by reference to Exhibit 3.1 to the Company’s</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352">
              <w:r>
                <w:rPr>
                  <w:rFonts w:ascii="Arial" w:cs="Arial" w:eastAsia="Arial" w:hAnsi="Arial"/>
                  <w:sz w:val="18"/>
                  <w:szCs w:val="18"/>
                  <w:color w:val="0000FF"/>
                  <w:w w:val="92"/>
                </w:rPr>
                <w:t>Current Report on Form 8-K (File No. 001-40546), filed with the SEC on July 2,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440" w:type="dxa"/>
            <w:vAlign w:val="bottom"/>
            <w:tcBorders>
              <w:top w:val="single" w:sz="8" w:color="0000FF"/>
            </w:tcBorders>
            <w:gridSpan w:val="4"/>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340" w:type="dxa"/>
            <w:vAlign w:val="bottom"/>
            <w:gridSpan w:val="6"/>
          </w:tcPr>
          <w:p>
            <w:pPr>
              <w:spacing w:after="0" w:line="182" w:lineRule="exact"/>
              <w:rPr>
                <w:rFonts w:ascii="Arial" w:cs="Arial" w:eastAsia="Arial" w:hAnsi="Arial"/>
                <w:sz w:val="18"/>
                <w:szCs w:val="18"/>
                <w:color w:val="0000FF"/>
                <w:w w:val="93"/>
              </w:rPr>
            </w:pPr>
            <w:hyperlink r:id="rId353">
              <w:r>
                <w:rPr>
                  <w:rFonts w:ascii="Arial" w:cs="Arial" w:eastAsia="Arial" w:hAnsi="Arial"/>
                  <w:sz w:val="18"/>
                  <w:szCs w:val="18"/>
                  <w:color w:val="0000FF"/>
                  <w:w w:val="93"/>
                </w:rPr>
                <w:t>Amended and Restated Bylaws of Xometry, Inc., (incorporated herein by reference to</w:t>
              </w:r>
            </w:hyperlink>
          </w:p>
        </w:tc>
        <w:tc>
          <w:tcPr>
            <w:tcW w:w="3740" w:type="dxa"/>
            <w:vAlign w:val="bottom"/>
            <w:gridSpan w:val="7"/>
          </w:tcPr>
          <w:p>
            <w:pPr>
              <w:spacing w:after="0" w:line="182" w:lineRule="exact"/>
              <w:rPr>
                <w:rFonts w:ascii="Arial" w:cs="Arial" w:eastAsia="Arial" w:hAnsi="Arial"/>
                <w:sz w:val="18"/>
                <w:szCs w:val="18"/>
                <w:color w:val="0000FF"/>
                <w:w w:val="98"/>
              </w:rPr>
            </w:pPr>
            <w:hyperlink r:id="rId353">
              <w:r>
                <w:rPr>
                  <w:rFonts w:ascii="Arial" w:cs="Arial" w:eastAsia="Arial" w:hAnsi="Arial"/>
                  <w:sz w:val="18"/>
                  <w:szCs w:val="18"/>
                  <w:color w:val="0000FF"/>
                  <w:w w:val="98"/>
                </w:rPr>
                <w:t>Exhibit 3.2 to the Company’s Current Report on</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4"/>
                <w:szCs w:val="14"/>
                <w:color w:val="auto"/>
              </w:rPr>
            </w:pPr>
          </w:p>
        </w:tc>
        <w:tc>
          <w:tcPr>
            <w:tcW w:w="970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353">
              <w:r>
                <w:rPr>
                  <w:rFonts w:ascii="Arial" w:cs="Arial" w:eastAsia="Arial" w:hAnsi="Arial"/>
                  <w:sz w:val="18"/>
                  <w:szCs w:val="18"/>
                  <w:color w:val="0000FF"/>
                </w:rPr>
                <w:t>Form 8-K (File No. 001-40546), filed with the SEC on July 2, 2021).</w:t>
              </w:r>
            </w:hyperlink>
          </w:p>
        </w:tc>
        <w:tc>
          <w:tcPr>
            <w:tcW w:w="3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13"/>
          </w:tcPr>
          <w:p>
            <w:pPr>
              <w:spacing w:after="0" w:line="182" w:lineRule="exact"/>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40" w:type="dxa"/>
            <w:vAlign w:val="bottom"/>
            <w:tcBorders>
              <w:top w:val="single" w:sz="8" w:color="0000FF"/>
            </w:tcBorders>
            <w:gridSpan w:val="4"/>
          </w:tcPr>
          <w:p>
            <w:pPr>
              <w:spacing w:after="0"/>
              <w:rPr>
                <w:sz w:val="14"/>
                <w:szCs w:val="14"/>
                <w:color w:val="auto"/>
              </w:rPr>
            </w:pPr>
          </w:p>
        </w:tc>
        <w:tc>
          <w:tcPr>
            <w:tcW w:w="3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13"/>
          </w:tcPr>
          <w:p>
            <w:pPr>
              <w:spacing w:after="0" w:line="182" w:lineRule="exact"/>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00" w:type="dxa"/>
            <w:vAlign w:val="bottom"/>
            <w:tcBorders>
              <w:top w:val="single" w:sz="8" w:color="0000FF"/>
            </w:tcBorders>
            <w:gridSpan w:val="3"/>
          </w:tcPr>
          <w:p>
            <w:pPr>
              <w:spacing w:after="0"/>
              <w:rPr>
                <w:sz w:val="14"/>
                <w:szCs w:val="14"/>
                <w:color w:val="auto"/>
              </w:rPr>
            </w:pPr>
          </w:p>
        </w:tc>
        <w:tc>
          <w:tcPr>
            <w:tcW w:w="4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13"/>
          </w:tcPr>
          <w:p>
            <w:pPr>
              <w:spacing w:after="0" w:line="182" w:lineRule="exact"/>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1"/>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Arial" w:cs="Arial" w:eastAsia="Arial" w:hAnsi="Arial"/>
                <w:sz w:val="18"/>
                <w:szCs w:val="18"/>
                <w:color w:val="0000FF"/>
                <w:w w:val="94"/>
              </w:rPr>
              <w:t>Certification</w:t>
            </w:r>
          </w:p>
        </w:tc>
        <w:tc>
          <w:tcPr>
            <w:tcW w:w="9160" w:type="dxa"/>
            <w:vAlign w:val="bottom"/>
            <w:gridSpan w:val="11"/>
          </w:tcPr>
          <w:p>
            <w:pPr>
              <w:ind w:left="20"/>
              <w:spacing w:after="0" w:line="182" w:lineRule="exact"/>
              <w:rPr>
                <w:sz w:val="20"/>
                <w:szCs w:val="20"/>
                <w:color w:val="auto"/>
              </w:rPr>
            </w:pPr>
            <w:r>
              <w:rPr>
                <w:rFonts w:ascii="Arial" w:cs="Arial" w:eastAsia="Arial" w:hAnsi="Arial"/>
                <w:sz w:val="18"/>
                <w:szCs w:val="18"/>
                <w:color w:val="0000FF"/>
                <w:w w:val="91"/>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1"/>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00" w:type="dxa"/>
            <w:vAlign w:val="bottom"/>
            <w:tcBorders>
              <w:top w:val="single" w:sz="8" w:color="0000FF"/>
            </w:tcBorders>
            <w:gridSpan w:val="9"/>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Arial" w:cs="Arial" w:eastAsia="Arial" w:hAnsi="Arial"/>
                <w:sz w:val="18"/>
                <w:szCs w:val="18"/>
                <w:color w:val="auto"/>
                <w:w w:val="94"/>
              </w:rPr>
              <w:t>Inline XBRL</w:t>
            </w:r>
          </w:p>
        </w:tc>
        <w:tc>
          <w:tcPr>
            <w:tcW w:w="9160" w:type="dxa"/>
            <w:vAlign w:val="bottom"/>
            <w:gridSpan w:val="11"/>
          </w:tcPr>
          <w:p>
            <w:pPr>
              <w:ind w:left="60"/>
              <w:spacing w:after="0" w:line="182" w:lineRule="exact"/>
              <w:rPr>
                <w:sz w:val="20"/>
                <w:szCs w:val="20"/>
                <w:color w:val="auto"/>
              </w:rPr>
            </w:pPr>
            <w:r>
              <w:rPr>
                <w:rFonts w:ascii="Arial" w:cs="Arial" w:eastAsia="Arial" w:hAnsi="Arial"/>
                <w:sz w:val="18"/>
                <w:szCs w:val="18"/>
                <w:color w:val="auto"/>
                <w:w w:val="91"/>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320" w:firstLine="21"/>
        <w:spacing w:after="0" w:line="498" w:lineRule="auto"/>
        <w:tabs>
          <w:tab w:leader="none" w:pos="11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520" w:right="440" w:hanging="512"/>
        <w:spacing w:after="0" w:line="269" w:lineRule="auto"/>
        <w:tabs>
          <w:tab w:leader="none" w:pos="4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9505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7" w:name="page48"/>
    <w:bookmarkEnd w:id="47"/>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59"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XOMETRY, INC.</w:t>
      </w:r>
    </w:p>
    <w:p>
      <w:pPr>
        <w:spacing w:after="0" w:line="198"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Randolph Altschuler</w:t>
      </w:r>
    </w:p>
    <w:p>
      <w:pPr>
        <w:jc w:val="center"/>
        <w:ind w:left="602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205"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James Rallo</w:t>
      </w: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3"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Randolph Altschuler, certify that:</w:t>
      </w:r>
    </w:p>
    <w:p>
      <w:pPr>
        <w:spacing w:after="0" w:line="21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Xometry,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jc w:val="both"/>
        <w:ind w:left="520" w:right="260" w:hanging="512"/>
        <w:spacing w:after="0" w:line="24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8"/>
          <w:szCs w:val="18"/>
          <w:color w:val="auto"/>
        </w:rPr>
      </w:pPr>
    </w:p>
    <w:p>
      <w:pPr>
        <w:ind w:left="1020" w:right="100" w:hanging="479"/>
        <w:spacing w:after="0" w:line="247" w:lineRule="auto"/>
        <w:tabs>
          <w:tab w:leader="none" w:pos="8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ind w:left="1020" w:right="340" w:hanging="479"/>
        <w:spacing w:after="0" w:line="247" w:lineRule="auto"/>
        <w:tabs>
          <w:tab w:leader="none" w:pos="8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80" w:hanging="479"/>
        <w:spacing w:after="0" w:line="255" w:lineRule="auto"/>
        <w:tabs>
          <w:tab w:leader="none" w:pos="8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1020" w:right="40" w:hanging="479"/>
        <w:spacing w:after="0" w:line="290" w:lineRule="auto"/>
        <w:tabs>
          <w:tab w:leader="none" w:pos="894"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Randolph Altschuler</w:t>
      </w: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James Rallo, certify that:</w:t>
      </w:r>
    </w:p>
    <w:p>
      <w:pPr>
        <w:spacing w:after="0" w:line="211"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Xometry,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jc w:val="both"/>
        <w:ind w:left="520" w:right="260" w:hanging="512"/>
        <w:spacing w:after="0" w:line="24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8"/>
          <w:szCs w:val="18"/>
          <w:color w:val="auto"/>
        </w:rPr>
      </w:pPr>
    </w:p>
    <w:p>
      <w:pPr>
        <w:ind w:left="1020" w:right="100" w:hanging="479"/>
        <w:spacing w:after="0" w:line="247"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ind w:left="1020" w:right="340" w:hanging="479"/>
        <w:spacing w:after="0" w:line="247"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80" w:hanging="479"/>
        <w:spacing w:after="0" w:line="255"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1020" w:right="40" w:hanging="479"/>
        <w:spacing w:after="0" w:line="290" w:lineRule="auto"/>
        <w:tabs>
          <w:tab w:leader="none" w:pos="89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James Rallo</w:t>
      </w: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connection with the Quarterly Report of Xometry,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60" w:hanging="479"/>
        <w:spacing w:after="0" w:line="261"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Randolph Altschuler</w:t>
      </w: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connection with the Quarterly Report of Xometry,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900" w:hanging="35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60" w:hanging="479"/>
        <w:spacing w:after="0" w:line="261" w:lineRule="auto"/>
        <w:tabs>
          <w:tab w:leader="none" w:pos="8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James Rallo</w:t>
      </w: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3F2DBA31"/>
    <w:multiLevelType w:val="hybridMultilevel"/>
    <w:lvl w:ilvl="0">
      <w:lvlJc w:val="left"/>
      <w:lvlText w:val="(%1)"/>
      <w:numFmt w:val="decimal"/>
      <w:start w:val="2"/>
    </w:lvl>
    <w:lvl w:ilvl="1">
      <w:lvlJc w:val="left"/>
      <w:lvlText w:val="(%2)"/>
      <w:numFmt w:val="lowerLetter"/>
      <w:start w:val="1"/>
    </w:lvl>
  </w:abstractNum>
  <w:abstractNum w:abstractNumId="4">
    <w:nsid w:val="7C83E458"/>
    <w:multiLevelType w:val="hybridMultilevel"/>
    <w:lvl w:ilvl="0">
      <w:lvlJc w:val="left"/>
      <w:lvlText w:val="(%1)"/>
      <w:numFmt w:val="lowerLetter"/>
      <w:start w:val="2"/>
    </w:lvl>
  </w:abstractNum>
  <w:abstractNum w:abstractNumId="5">
    <w:nsid w:val="257130A3"/>
    <w:multiLevelType w:val="hybridMultilevel"/>
    <w:lvl w:ilvl="0">
      <w:lvlJc w:val="left"/>
      <w:lvlText w:val="(%1)"/>
      <w:numFmt w:val="lowerLetter"/>
      <w:start w:val="3"/>
    </w:lvl>
  </w:abstractNum>
  <w:abstractNum w:abstractNumId="6">
    <w:nsid w:val="62BBD95A"/>
    <w:multiLevelType w:val="hybridMultilevel"/>
    <w:lvl w:ilvl="0">
      <w:lvlJc w:val="left"/>
      <w:lvlText w:val="(%1)"/>
      <w:numFmt w:val="lowerLetter"/>
      <w:start w:val="4"/>
    </w:lvl>
  </w:abstractNum>
  <w:abstractNum w:abstractNumId="7">
    <w:nsid w:val="436C6125"/>
    <w:multiLevelType w:val="hybridMultilevel"/>
    <w:lvl w:ilvl="0">
      <w:lvlJc w:val="left"/>
      <w:lvlText w:val="(%1)"/>
      <w:numFmt w:val="lowerLetter"/>
      <w:start w:val="5"/>
    </w:lvl>
  </w:abstractNum>
  <w:abstractNum w:abstractNumId="8">
    <w:nsid w:val="628C895D"/>
    <w:multiLevelType w:val="hybridMultilevel"/>
    <w:lvl w:ilvl="0">
      <w:lvlJc w:val="left"/>
      <w:lvlText w:val="(%1)"/>
      <w:numFmt w:val="lowerLetter"/>
      <w:start w:val="6"/>
    </w:lvl>
  </w:abstractNum>
  <w:abstractNum w:abstractNumId="9">
    <w:nsid w:val="333AB105"/>
    <w:multiLevelType w:val="hybridMultilevel"/>
    <w:lvl w:ilvl="0">
      <w:lvlJc w:val="left"/>
      <w:lvlText w:val="(%1)"/>
      <w:numFmt w:val="lowerLetter"/>
      <w:start w:val="7"/>
    </w:lvl>
  </w:abstractNum>
  <w:abstractNum w:abstractNumId="10">
    <w:nsid w:val="721DA317"/>
    <w:multiLevelType w:val="hybridMultilevel"/>
    <w:lvl w:ilvl="0">
      <w:lvlJc w:val="left"/>
      <w:lvlText w:val="(%1)"/>
      <w:numFmt w:val="lowerLetter"/>
      <w:start w:val="8"/>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lowerLetter"/>
      <w:start w:val="10"/>
    </w:lvl>
  </w:abstractNum>
  <w:abstractNum w:abstractNumId="13">
    <w:nsid w:val="6763845E"/>
    <w:multiLevelType w:val="hybridMultilevel"/>
    <w:lvl w:ilvl="0">
      <w:lvlJc w:val="left"/>
      <w:lvlText w:val="(%1)"/>
      <w:numFmt w:val="lowerLetter"/>
      <w:start w:val="11"/>
    </w:lvl>
  </w:abstractNum>
  <w:abstractNum w:abstractNumId="14">
    <w:nsid w:val="75A2A8D4"/>
    <w:multiLevelType w:val="hybridMultilevel"/>
    <w:lvl w:ilvl="0">
      <w:lvlJc w:val="left"/>
      <w:lvlText w:val="(%1)"/>
      <w:numFmt w:val="lowerLetter"/>
      <w:start w:val="12"/>
    </w:lvl>
  </w:abstractNum>
  <w:abstractNum w:abstractNumId="15">
    <w:nsid w:val="8EDBDAB"/>
    <w:multiLevelType w:val="hybridMultilevel"/>
    <w:lvl w:ilvl="0">
      <w:lvlJc w:val="left"/>
      <w:lvlText w:val="(%1)"/>
      <w:numFmt w:val="lowerLetter"/>
      <w:start w:val="13"/>
    </w:lvl>
  </w:abstractNum>
  <w:abstractNum w:abstractNumId="16">
    <w:nsid w:val="79838CB2"/>
    <w:multiLevelType w:val="hybridMultilevel"/>
    <w:lvl w:ilvl="0">
      <w:lvlJc w:val="left"/>
      <w:lvlText w:val="(%1)"/>
      <w:numFmt w:val="lowerLetter"/>
      <w:start w:val="14"/>
    </w:lvl>
  </w:abstractNum>
  <w:abstractNum w:abstractNumId="17">
    <w:nsid w:val="4353D0CD"/>
    <w:multiLevelType w:val="hybridMultilevel"/>
    <w:lvl w:ilvl="0">
      <w:lvlJc w:val="left"/>
      <w:lvlText w:val="(%1)"/>
      <w:numFmt w:val="lowerLetter"/>
      <w:start w:val="15"/>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6"/>
    </w:lvl>
  </w:abstractNum>
  <w:abstractNum w:abstractNumId="20">
    <w:nsid w:val="54E49EB4"/>
    <w:multiLevelType w:val="hybridMultilevel"/>
    <w:lvl w:ilvl="0">
      <w:lvlJc w:val="left"/>
      <w:lvlText w:val="(%1)"/>
      <w:numFmt w:val="lowerLetter"/>
      <w:start w:val="17"/>
    </w:lvl>
  </w:abstractNum>
  <w:abstractNum w:abstractNumId="21">
    <w:nsid w:val="71F32454"/>
    <w:multiLevelType w:val="hybridMultilevel"/>
    <w:lvl w:ilvl="0">
      <w:lvlJc w:val="left"/>
      <w:lvlText w:val="(%1)"/>
      <w:numFmt w:val="lowerLetter"/>
      <w:start w:val="18"/>
    </w:lvl>
  </w:abstractNum>
  <w:abstractNum w:abstractNumId="22">
    <w:nsid w:val="2CA88611"/>
    <w:multiLevelType w:val="hybridMultilevel"/>
    <w:lvl w:ilvl="0">
      <w:lvlJc w:val="left"/>
      <w:lvlText w:val="(%1)"/>
      <w:numFmt w:val="decimal"/>
      <w:start w:val="13"/>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lvl w:ilvl="1">
      <w:lvlJc w:val="left"/>
      <w:lvlText w:val="%2"/>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47" Type="http://schemas.openxmlformats.org/officeDocument/2006/relationships/hyperlink" Target="https://www.sec.gov/ix?doc=/Archives/edgar/data/1657573/000095017022004158/xmtr-20211231.htm" TargetMode="External"/><Relationship Id="rId352" Type="http://schemas.openxmlformats.org/officeDocument/2006/relationships/hyperlink" Target="https://www.sec.gov/Archives/edgar/data/0001657573/000119312521207643/d184650dex31.htm" TargetMode="External"/><Relationship Id="rId353" Type="http://schemas.openxmlformats.org/officeDocument/2006/relationships/hyperlink" Target="https://www.sec.gov/Archives/edgar/data/0001657573/000119312521207643/d1846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2022-11-14T05:52:54Z</dcterms:created>
  <dcterms:modified xsi:type="dcterms:W3CDTF">2022-11-14T05:52:54Z</dcterms:modified>
</cp:coreProperties>
</file>