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8199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19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Zuriff Laurence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44.3567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923,421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44.3566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288,091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44.3566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288,091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44.3567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287,712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2,776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44.3567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165,024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sold in a transaction that was effected automatically pursuant to a Rule 10b5-1 trading plan adopted by the reporting person at least 30 days prior to the trading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$44.01 to $44.92, inclusive.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sold in a transaction that was effected automatically pursuant to a Rule 10b-5 trading plan adopted by the Jason Eric Zuriff Trust at least 30 days prior to the trading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sold in a transaction that was effected automatically pursuant to a Rule 10b-5 trading plan adopted by the Sophia Anna Zuriff 2020 Trust at least 30 days prior to the trading date.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sold in a transaction that was effected automatically pursuant to a Rule 10b-5 trading plan adopted by the Zuriff Family 2020 Trust at least 30 days prior to the trading date.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sold in a transaction that was effected automatically pursuant to a Rule 10b-5 trading plan adopted by ZFI Capital, L.P. at least 30 days prior to the trading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03/11/2022</w:t>
            </w:r>
          </w:p>
        </w:tc>
      </w:tr>
      <w:tr>
        <w:trPr>
          <w:trHeight w:val="193"/>
        </w:trPr>
        <w:tc>
          <w:tcPr>
            <w:tcW w:w="21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22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2022-03-11T16:27:55Z</dcterms:created>
  <dcterms:modified xsi:type="dcterms:W3CDTF">2022-03-11T16:27:55Z</dcterms:modified>
</cp:coreProperties>
</file>