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Goguen Peter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XOMETRY,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6116 EXECUTIVE BLVD, SUITE 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NORTH BETHESDA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20852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Xometry, Inc.</w:t>
              </w:r>
            </w:hyperlink>
            <w:r>
              <w:rPr/>
              <w:t xml:space="preserve"> [ </w:t>
            </w:r>
            <w:r>
              <w:rPr>
                <w:rFonts w:ascii="Times;serif" w:hAnsi="Times;serif"/>
                <w:color w:val="0000FF"/>
                <w:sz w:val="24"/>
                <w:shd w:fill="FFFFFF" w:val="clear"/>
              </w:rPr>
              <w:t>XMTR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Operating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11/07/2024</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11/07/2024</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10,212</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29.4531</w:t>
            </w:r>
            <w:r>
              <w:rPr>
                <w:rFonts w:ascii="Times;serif" w:hAnsi="Times;serif"/>
                <w:color w:val="008000"/>
                <w:position w:val="7"/>
                <w:sz w:val="16"/>
                <w:sz w:val="20"/>
                <w:shd w:fill="FFFFFF" w:val="clear"/>
              </w:rPr>
              <w:t>(2)</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182,207</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11/07/2024</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1,788</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30.1207</w:t>
            </w:r>
            <w:r>
              <w:rPr>
                <w:rFonts w:ascii="Times;serif" w:hAnsi="Times;serif"/>
                <w:color w:val="008000"/>
                <w:position w:val="7"/>
                <w:sz w:val="16"/>
                <w:sz w:val="20"/>
                <w:shd w:fill="FFFFFF" w:val="clear"/>
              </w:rPr>
              <w:t>(3)</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180,419</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11/11/2024</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w:t>
            </w:r>
            <w:r>
              <w:rPr/>
              <w:t xml:space="preserve"> </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175,419</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sold in a transaction that was effected automatically pursuant to a Rule 10b5-1 trading plan adopted by the reporting person at least 90 days prior to the trading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$29.00 to $29.97, inclusive. The reporting person undertakes to provide to Xometry, Inc., any security holder of Xometry, Inc. or the staff of the Securities and Exchange Commission, upon request, full information regarding the number of shares sold at each separate price in the range set forth in footnotes (2) and (3)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$30.00 to $30.275, inclusive.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Kristie Scott,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11/12/2024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70011" TargetMode="External"/><Relationship Id="rId5" Type="http://schemas.openxmlformats.org/officeDocument/2006/relationships/hyperlink" Target="http://www.sec.gov/cgi-bin/browse-edgar?action=getcompany&amp;CIK=000165757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726</Words>
  <Characters>3884</Characters>
  <CharactersWithSpaces>4536</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