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32-0415449</w:t>
            </w:r>
          </w:p>
        </w:tc>
      </w:tr>
      <w:tr>
        <w:trPr>
          <w:trHeight w:val="148"/>
        </w:trPr>
        <w:tc>
          <w:tcPr>
            <w:tcW w:w="3580" w:type="dxa"/>
            <w:vAlign w:val="bottom"/>
          </w:tcPr>
          <w:p>
            <w:pPr>
              <w:jc w:val="center"/>
              <w:ind w:right="17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7529 Standish Place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24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Derwood, Maryland</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20855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Xometry, Inc. (the “Company”) held its 2022 Annual Meeting of Stockholders on June 28, 2022 (the “Meeting”). At the Meeting, the Company’s stockholders voted on the two proposals set forth below. A more detailed description of each proposal is set forth in the Company’s 2022 Proxy Statement filed with the U.S. Securities and Exchange Commission on May 2, 2022 (the “Proxy Statement”).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the Meeting, the Company’s stockholders elected two persons nominated by the Company’s board of directors to serve as Class I directors until the Company’s 2025 Annual Meeting of Stockholders and until their successors are elected and duly qualified, or, if sooner, until the director’s resignation or removal. The Company’s stockholders also ratified the selection of KPMG LLP as the Company’s independent registered public accounting firm for the fiscal year ending December 31, 2022. The final voting results for each of the proposals are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30"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550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For</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Withheld</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Randolph Altschuler</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77,633,934</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4,283,005</w:t>
            </w:r>
          </w:p>
        </w:tc>
        <w:tc>
          <w:tcPr>
            <w:tcW w:w="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8,975,631</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77,603,198</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4,313,741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8,975,631</w:t>
            </w:r>
          </w:p>
        </w:tc>
        <w:tc>
          <w:tcPr>
            <w:tcW w:w="60" w:type="dxa"/>
            <w:vAlign w:val="bottom"/>
          </w:tcPr>
          <w:p>
            <w:pPr>
              <w:spacing w:after="0"/>
              <w:rPr>
                <w:sz w:val="20"/>
                <w:szCs w:val="20"/>
                <w:color w:val="auto"/>
              </w:rPr>
            </w:pPr>
          </w:p>
        </w:tc>
      </w:tr>
    </w:tbl>
    <w:p>
      <w:pPr>
        <w:spacing w:after="0" w:line="2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selection of KPMG LLP as the Company’s independent registered public accounting firm for the fiscal year ending December 31, 2022.</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09"/>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90,863,571</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13,025</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2022</w:t>
            </w:r>
          </w:p>
        </w:tc>
        <w:tc>
          <w:tcPr>
            <w:tcW w:w="74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XOMETRY, INC.</w:t>
            </w:r>
          </w:p>
        </w:tc>
      </w:tr>
      <w:tr>
        <w:trPr>
          <w:trHeight w:val="432"/>
        </w:trPr>
        <w:tc>
          <w:tcPr>
            <w:tcW w:w="338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Randolph Altschuler</w:t>
            </w:r>
          </w:p>
        </w:tc>
      </w:tr>
      <w:tr>
        <w:trPr>
          <w:trHeight w:val="205"/>
        </w:trPr>
        <w:tc>
          <w:tcPr>
            <w:tcW w:w="3380" w:type="dxa"/>
            <w:vAlign w:val="bottom"/>
          </w:tcPr>
          <w:p>
            <w:pPr>
              <w:spacing w:after="0"/>
              <w:rPr>
                <w:sz w:val="17"/>
                <w:szCs w:val="17"/>
                <w:color w:val="auto"/>
              </w:rPr>
            </w:pPr>
          </w:p>
        </w:tc>
        <w:tc>
          <w:tcPr>
            <w:tcW w:w="2600" w:type="dxa"/>
            <w:vAlign w:val="bottom"/>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Randolph Altschuler</w:t>
            </w:r>
          </w:p>
        </w:tc>
      </w:tr>
      <w:tr>
        <w:trPr>
          <w:trHeight w:val="234"/>
        </w:trPr>
        <w:tc>
          <w:tcPr>
            <w:tcW w:w="338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2022-06-29T18:31:18Z</dcterms:created>
  <dcterms:modified xsi:type="dcterms:W3CDTF">2022-06-29T18:31:18Z</dcterms:modified>
</cp:coreProperties>
</file>