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174625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132715</wp:posOffset>
            </wp:positionV>
            <wp:extent cx="14300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164465</wp:posOffset>
            </wp:positionV>
            <wp:extent cx="14300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38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15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 Securities Exchange Act of 1934</w:t>
      </w:r>
    </w:p>
    <w:p>
      <w:pPr>
        <w:spacing w:after="0" w:line="10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March 01,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225425</wp:posOffset>
            </wp:positionV>
            <wp:extent cx="14300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Xometry, Inc.</w:t>
      </w:r>
    </w:p>
    <w:p>
      <w:pPr>
        <w:spacing w:after="0" w:line="9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249555</wp:posOffset>
            </wp:positionV>
            <wp:extent cx="14300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80" w:lineRule="exact"/>
        <w:rPr>
          <w:sz w:val="24"/>
          <w:szCs w:val="24"/>
          <w:color w:val="auto"/>
        </w:rPr>
      </w:pPr>
    </w:p>
    <w:tbl>
      <w:tblPr>
        <w:tblLayout w:type="fixed"/>
        <w:tblInd w:w="1140" w:type="dxa"/>
        <w:tblCellMar>
          <w:top w:w="0" w:type="dxa"/>
          <w:left w:w="0" w:type="dxa"/>
          <w:bottom w:w="0" w:type="dxa"/>
          <w:right w:w="0" w:type="dxa"/>
        </w:tblCellMar>
      </w:tblP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240" w:type="dxa"/>
            <w:vAlign w:val="bottom"/>
          </w:tcPr>
          <w:p>
            <w:pPr>
              <w:jc w:val="right"/>
              <w:ind w:right="1321"/>
              <w:spacing w:after="0"/>
              <w:rPr>
                <w:sz w:val="20"/>
                <w:szCs w:val="20"/>
                <w:color w:val="auto"/>
              </w:rPr>
            </w:pPr>
            <w:r>
              <w:rPr>
                <w:rFonts w:ascii="Times New Roman" w:cs="Times New Roman" w:eastAsia="Times New Roman" w:hAnsi="Times New Roman"/>
                <w:sz w:val="18"/>
                <w:szCs w:val="18"/>
                <w:b w:val="1"/>
                <w:bCs w:val="1"/>
                <w:color w:val="auto"/>
              </w:rPr>
              <w:t>001-40546</w:t>
            </w:r>
          </w:p>
        </w:tc>
        <w:tc>
          <w:tcPr>
            <w:tcW w:w="2040" w:type="dxa"/>
            <w:vAlign w:val="bottom"/>
          </w:tcPr>
          <w:p>
            <w:pPr>
              <w:jc w:val="right"/>
              <w:ind w:right="4"/>
              <w:spacing w:after="0"/>
              <w:rPr>
                <w:sz w:val="20"/>
                <w:szCs w:val="20"/>
                <w:color w:val="auto"/>
              </w:rPr>
            </w:pPr>
            <w:r>
              <w:rPr>
                <w:rFonts w:ascii="Times New Roman" w:cs="Times New Roman" w:eastAsia="Times New Roman" w:hAnsi="Times New Roman"/>
                <w:sz w:val="18"/>
                <w:szCs w:val="18"/>
                <w:b w:val="1"/>
                <w:bCs w:val="1"/>
                <w:color w:val="auto"/>
              </w:rPr>
              <w:t>32-0415449</w:t>
            </w:r>
          </w:p>
        </w:tc>
      </w:tr>
      <w:tr>
        <w:trPr>
          <w:trHeight w:val="148"/>
        </w:trPr>
        <w:tc>
          <w:tcPr>
            <w:tcW w:w="3040" w:type="dxa"/>
            <w:vAlign w:val="bottom"/>
          </w:tcPr>
          <w:p>
            <w:pPr>
              <w:jc w:val="center"/>
              <w:ind w:right="601"/>
              <w:spacing w:after="0" w:line="149" w:lineRule="exact"/>
              <w:rPr>
                <w:sz w:val="20"/>
                <w:szCs w:val="20"/>
                <w:color w:val="auto"/>
              </w:rPr>
            </w:pPr>
            <w:r>
              <w:rPr>
                <w:rFonts w:ascii="Times New Roman" w:cs="Times New Roman" w:eastAsia="Times New Roman" w:hAnsi="Times New Roman"/>
                <w:sz w:val="13"/>
                <w:szCs w:val="13"/>
                <w:b w:val="1"/>
                <w:bCs w:val="1"/>
                <w:color w:val="auto"/>
              </w:rPr>
              <w:t>(State or Other Jurisdiction</w:t>
            </w:r>
          </w:p>
        </w:tc>
        <w:tc>
          <w:tcPr>
            <w:tcW w:w="3240" w:type="dxa"/>
            <w:vAlign w:val="bottom"/>
          </w:tcPr>
          <w:p>
            <w:pPr>
              <w:jc w:val="center"/>
              <w:ind w:right="241"/>
              <w:spacing w:after="0" w:line="149" w:lineRule="exact"/>
              <w:rPr>
                <w:sz w:val="20"/>
                <w:szCs w:val="20"/>
                <w:color w:val="auto"/>
              </w:rPr>
            </w:pPr>
            <w:r>
              <w:rPr>
                <w:rFonts w:ascii="Times New Roman" w:cs="Times New Roman" w:eastAsia="Times New Roman" w:hAnsi="Times New Roman"/>
                <w:sz w:val="13"/>
                <w:szCs w:val="13"/>
                <w:b w:val="1"/>
                <w:bCs w:val="1"/>
                <w:color w:val="auto"/>
              </w:rPr>
              <w:t>(Commission File Number)</w:t>
            </w:r>
          </w:p>
        </w:tc>
        <w:tc>
          <w:tcPr>
            <w:tcW w:w="2040" w:type="dxa"/>
            <w:vAlign w:val="bottom"/>
          </w:tcPr>
          <w:p>
            <w:pPr>
              <w:jc w:val="center"/>
              <w:ind w:left="924"/>
              <w:spacing w:after="0" w:line="149" w:lineRule="exact"/>
              <w:rPr>
                <w:sz w:val="20"/>
                <w:szCs w:val="20"/>
                <w:color w:val="auto"/>
              </w:rPr>
            </w:pPr>
            <w:r>
              <w:rPr>
                <w:rFonts w:ascii="Times New Roman" w:cs="Times New Roman" w:eastAsia="Times New Roman" w:hAnsi="Times New Roman"/>
                <w:sz w:val="13"/>
                <w:szCs w:val="13"/>
                <w:b w:val="1"/>
                <w:bCs w:val="1"/>
                <w:color w:val="auto"/>
              </w:rPr>
              <w:t>(IRS Employer</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of Incorporation)</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Identification No.)</w:t>
            </w:r>
          </w:p>
        </w:tc>
      </w:tr>
      <w:tr>
        <w:trPr>
          <w:trHeight w:val="437"/>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6116 Executive Blvd, Suite 800</w:t>
            </w:r>
          </w:p>
        </w:tc>
        <w:tc>
          <w:tcPr>
            <w:tcW w:w="3240" w:type="dxa"/>
            <w:vAlign w:val="bottom"/>
          </w:tcPr>
          <w:p>
            <w:pPr>
              <w:spacing w:after="0"/>
              <w:rPr>
                <w:sz w:val="24"/>
                <w:szCs w:val="24"/>
                <w:color w:val="auto"/>
              </w:rPr>
            </w:pPr>
          </w:p>
        </w:tc>
        <w:tc>
          <w:tcPr>
            <w:tcW w:w="2040" w:type="dxa"/>
            <w:vAlign w:val="bottom"/>
          </w:tcPr>
          <w:p>
            <w:pPr>
              <w:spacing w:after="0"/>
              <w:rPr>
                <w:sz w:val="24"/>
                <w:szCs w:val="24"/>
                <w:color w:val="auto"/>
              </w:rPr>
            </w:pPr>
          </w:p>
        </w:tc>
      </w:tr>
      <w:tr>
        <w:trPr>
          <w:trHeight w:val="235"/>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8"/>
                <w:szCs w:val="18"/>
                <w:b w:val="1"/>
                <w:bCs w:val="1"/>
                <w:color w:val="auto"/>
              </w:rPr>
              <w:t>North Bethesda, Maryland</w:t>
            </w:r>
          </w:p>
        </w:tc>
        <w:tc>
          <w:tcPr>
            <w:tcW w:w="3240" w:type="dxa"/>
            <w:vAlign w:val="bottom"/>
          </w:tcPr>
          <w:p>
            <w:pPr>
              <w:spacing w:after="0"/>
              <w:rPr>
                <w:sz w:val="20"/>
                <w:szCs w:val="20"/>
                <w:color w:val="auto"/>
              </w:rPr>
            </w:pPr>
          </w:p>
        </w:tc>
        <w:tc>
          <w:tcPr>
            <w:tcW w:w="2040" w:type="dxa"/>
            <w:vAlign w:val="bottom"/>
          </w:tcPr>
          <w:p>
            <w:pPr>
              <w:jc w:val="right"/>
              <w:ind w:right="224"/>
              <w:spacing w:after="0"/>
              <w:rPr>
                <w:sz w:val="20"/>
                <w:szCs w:val="20"/>
                <w:color w:val="auto"/>
              </w:rPr>
            </w:pPr>
            <w:r>
              <w:rPr>
                <w:rFonts w:ascii="Times New Roman" w:cs="Times New Roman" w:eastAsia="Times New Roman" w:hAnsi="Times New Roman"/>
                <w:sz w:val="18"/>
                <w:szCs w:val="18"/>
                <w:b w:val="1"/>
                <w:bCs w:val="1"/>
                <w:color w:val="auto"/>
              </w:rPr>
              <w:t>20852</w:t>
            </w:r>
          </w:p>
        </w:tc>
      </w:tr>
      <w:tr>
        <w:trPr>
          <w:trHeight w:val="178"/>
        </w:trPr>
        <w:tc>
          <w:tcPr>
            <w:tcW w:w="3040" w:type="dxa"/>
            <w:vAlign w:val="bottom"/>
          </w:tcPr>
          <w:p>
            <w:pPr>
              <w:jc w:val="center"/>
              <w:ind w:right="601"/>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tc>
        <w:tc>
          <w:tcPr>
            <w:tcW w:w="3240" w:type="dxa"/>
            <w:vAlign w:val="bottom"/>
          </w:tcPr>
          <w:p>
            <w:pPr>
              <w:spacing w:after="0"/>
              <w:rPr>
                <w:sz w:val="15"/>
                <w:szCs w:val="15"/>
                <w:color w:val="auto"/>
              </w:rPr>
            </w:pPr>
          </w:p>
        </w:tc>
        <w:tc>
          <w:tcPr>
            <w:tcW w:w="2040" w:type="dxa"/>
            <w:vAlign w:val="bottom"/>
          </w:tcPr>
          <w:p>
            <w:pPr>
              <w:jc w:val="center"/>
              <w:ind w:left="924"/>
              <w:spacing w:after="0"/>
              <w:rPr>
                <w:sz w:val="20"/>
                <w:szCs w:val="20"/>
                <w:color w:val="auto"/>
              </w:rPr>
            </w:pPr>
            <w:r>
              <w:rPr>
                <w:rFonts w:ascii="Times New Roman" w:cs="Times New Roman" w:eastAsia="Times New Roman" w:hAnsi="Times New Roman"/>
                <w:sz w:val="13"/>
                <w:szCs w:val="13"/>
                <w:b w:val="1"/>
                <w:bCs w:val="1"/>
                <w:color w:val="auto"/>
              </w:rPr>
              <w:t>(Zip Code)</w:t>
            </w:r>
          </w:p>
        </w:tc>
      </w:tr>
    </w:tbl>
    <w:p>
      <w:pPr>
        <w:spacing w:after="0" w:line="200" w:lineRule="exact"/>
        <w:rPr>
          <w:sz w:val="24"/>
          <w:szCs w:val="24"/>
          <w:color w:val="auto"/>
        </w:rPr>
      </w:pPr>
    </w:p>
    <w:p>
      <w:pPr>
        <w:spacing w:after="0" w:line="223"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 (240) 252-1138</w:t>
      </w:r>
    </w:p>
    <w:p>
      <w:pPr>
        <w:spacing w:after="0" w:line="4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7529 Standish Place, Suite 200</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Derwood, Maryland 20855</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2856230</wp:posOffset>
            </wp:positionH>
            <wp:positionV relativeFrom="paragraph">
              <wp:posOffset>255905</wp:posOffset>
            </wp:positionV>
            <wp:extent cx="14300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3002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ind w:right="700"/>
        <w:spacing w:after="0" w:line="281"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9" w:lineRule="exact"/>
        <w:rPr>
          <w:sz w:val="24"/>
          <w:szCs w:val="24"/>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16" w:lineRule="exact"/>
        <w:rPr>
          <w:rFonts w:ascii="MS PGothic" w:cs="MS PGothic" w:eastAsia="MS PGothic" w:hAnsi="MS PGothic"/>
          <w:sz w:val="18"/>
          <w:szCs w:val="18"/>
          <w:color w:val="auto"/>
        </w:rPr>
      </w:pPr>
    </w:p>
    <w:p>
      <w:pPr>
        <w:ind w:left="380" w:hanging="372"/>
        <w:spacing w:after="0"/>
        <w:tabs>
          <w:tab w:leader="none" w:pos="3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16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w:t>
      </w:r>
    </w:p>
    <w:p>
      <w:pPr>
        <w:spacing w:after="0" w:line="17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4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120" w:type="dxa"/>
            <w:vAlign w:val="bottom"/>
          </w:tcPr>
          <w:p>
            <w:pPr>
              <w:spacing w:after="0"/>
              <w:rPr>
                <w:sz w:val="18"/>
                <w:szCs w:val="18"/>
                <w:color w:val="auto"/>
              </w:rPr>
            </w:pPr>
          </w:p>
        </w:tc>
        <w:tc>
          <w:tcPr>
            <w:tcW w:w="5040" w:type="dxa"/>
            <w:vAlign w:val="bottom"/>
          </w:tcPr>
          <w:p>
            <w:pPr>
              <w:spacing w:after="0"/>
              <w:rPr>
                <w:sz w:val="18"/>
                <w:szCs w:val="18"/>
                <w:color w:val="auto"/>
              </w:rPr>
            </w:pPr>
          </w:p>
        </w:tc>
      </w:tr>
      <w:tr>
        <w:trPr>
          <w:trHeight w:val="245"/>
        </w:trPr>
        <w:tc>
          <w:tcPr>
            <w:tcW w:w="42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120" w:type="dxa"/>
            <w:vAlign w:val="bottom"/>
          </w:tcPr>
          <w:p>
            <w:pPr>
              <w:spacing w:after="0"/>
              <w:rPr>
                <w:sz w:val="21"/>
                <w:szCs w:val="21"/>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Symbol(s)</w:t>
            </w:r>
          </w:p>
        </w:tc>
        <w:tc>
          <w:tcPr>
            <w:tcW w:w="120" w:type="dxa"/>
            <w:vAlign w:val="bottom"/>
          </w:tcPr>
          <w:p>
            <w:pPr>
              <w:spacing w:after="0"/>
              <w:rPr>
                <w:sz w:val="21"/>
                <w:szCs w:val="21"/>
                <w:color w:val="auto"/>
              </w:rPr>
            </w:pPr>
          </w:p>
        </w:tc>
        <w:tc>
          <w:tcPr>
            <w:tcW w:w="50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$0.000001 per share</w:t>
            </w:r>
          </w:p>
        </w:tc>
        <w:tc>
          <w:tcPr>
            <w:tcW w:w="120" w:type="dxa"/>
            <w:vAlign w:val="bottom"/>
          </w:tcPr>
          <w:p>
            <w:pPr>
              <w:spacing w:after="0"/>
              <w:rPr>
                <w:sz w:val="20"/>
                <w:szCs w:val="20"/>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XMTR</w:t>
            </w:r>
          </w:p>
        </w:tc>
        <w:tc>
          <w:tcPr>
            <w:tcW w:w="120" w:type="dxa"/>
            <w:vAlign w:val="bottom"/>
          </w:tcPr>
          <w:p>
            <w:pPr>
              <w:spacing w:after="0"/>
              <w:rPr>
                <w:sz w:val="20"/>
                <w:szCs w:val="20"/>
                <w:color w:val="auto"/>
              </w:rPr>
            </w:pPr>
          </w:p>
        </w:tc>
        <w:tc>
          <w:tcPr>
            <w:tcW w:w="50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92" w:lineRule="exact"/>
        <w:rPr>
          <w:sz w:val="24"/>
          <w:szCs w:val="24"/>
          <w:color w:val="auto"/>
        </w:rPr>
      </w:pPr>
    </w:p>
    <w:p>
      <w:pPr>
        <w:ind w:right="500"/>
        <w:spacing w:after="0" w:line="281"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8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199" w:lineRule="exact"/>
        <w:rPr>
          <w:sz w:val="24"/>
          <w:szCs w:val="24"/>
          <w:color w:val="auto"/>
        </w:rPr>
      </w:pPr>
    </w:p>
    <w:p>
      <w:pPr>
        <w:ind w:right="18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124460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141605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342900</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64"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2.02 Results of Operations and Financial Condition.</w:t>
      </w:r>
    </w:p>
    <w:p>
      <w:pPr>
        <w:spacing w:after="0" w:line="336" w:lineRule="exact"/>
        <w:rPr>
          <w:sz w:val="20"/>
          <w:szCs w:val="20"/>
          <w:color w:val="auto"/>
        </w:rPr>
      </w:pPr>
    </w:p>
    <w:p>
      <w:pPr>
        <w:ind w:right="240"/>
        <w:spacing w:after="0" w:line="281" w:lineRule="auto"/>
        <w:rPr>
          <w:sz w:val="20"/>
          <w:szCs w:val="20"/>
          <w:color w:val="auto"/>
        </w:rPr>
      </w:pPr>
      <w:r>
        <w:rPr>
          <w:rFonts w:ascii="Times New Roman" w:cs="Times New Roman" w:eastAsia="Times New Roman" w:hAnsi="Times New Roman"/>
          <w:sz w:val="18"/>
          <w:szCs w:val="18"/>
          <w:color w:val="auto"/>
        </w:rPr>
        <w:t>On March 1, 2023, Xometry, Inc. issued a press release announcing its fourth quarter and full year ended December 31, 2022 financial results. A copy of the press release is furnished as Exhibit 99.1 to this report.</w:t>
      </w:r>
    </w:p>
    <w:p>
      <w:pPr>
        <w:spacing w:after="0" w:line="163" w:lineRule="exact"/>
        <w:rPr>
          <w:sz w:val="20"/>
          <w:szCs w:val="20"/>
          <w:color w:val="auto"/>
        </w:rPr>
      </w:pPr>
    </w:p>
    <w:p>
      <w:pPr>
        <w:ind w:right="80"/>
        <w:spacing w:after="0" w:line="260" w:lineRule="auto"/>
        <w:rPr>
          <w:sz w:val="20"/>
          <w:szCs w:val="20"/>
          <w:color w:val="auto"/>
        </w:rPr>
      </w:pPr>
      <w:r>
        <w:rPr>
          <w:rFonts w:ascii="Times New Roman" w:cs="Times New Roman" w:eastAsia="Times New Roman" w:hAnsi="Times New Roman"/>
          <w:sz w:val="18"/>
          <w:szCs w:val="18"/>
          <w:color w:val="auto"/>
        </w:rPr>
        <w:t>The information set forth under this Item 2.02 and in the accompanying Exhibit 99.1 is being furnished and shall not be deemed “filed” for purposes of Section 18 of the Securities Exchange Act of 1934, as amended (the “Exchange Act”) or otherwise subject to the liabilities of that section, nor shall it be deemed incorporated by reference in any filing under the Securities Act of 1933, as amended, or the Exchange Act, regardless of any general incorporation language in such filing, except as otherwise expressly stated in such filing.</w:t>
      </w: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6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tc>
        <w:tc>
          <w:tcPr>
            <w:tcW w:w="220" w:type="dxa"/>
            <w:vAlign w:val="bottom"/>
          </w:tcPr>
          <w:p>
            <w:pPr>
              <w:spacing w:after="0"/>
              <w:rPr>
                <w:sz w:val="20"/>
                <w:szCs w:val="20"/>
                <w:color w:val="auto"/>
              </w:rPr>
            </w:pPr>
          </w:p>
        </w:tc>
        <w:tc>
          <w:tcPr>
            <w:tcW w:w="4080" w:type="dxa"/>
            <w:vAlign w:val="bottom"/>
          </w:tcPr>
          <w:p>
            <w:pPr>
              <w:spacing w:after="0"/>
              <w:rPr>
                <w:sz w:val="20"/>
                <w:szCs w:val="20"/>
                <w:color w:val="auto"/>
              </w:rPr>
            </w:pPr>
          </w:p>
        </w:tc>
        <w:tc>
          <w:tcPr>
            <w:tcW w:w="3260" w:type="dxa"/>
            <w:vAlign w:val="bottom"/>
          </w:tcPr>
          <w:p>
            <w:pPr>
              <w:spacing w:after="0"/>
              <w:rPr>
                <w:sz w:val="20"/>
                <w:szCs w:val="20"/>
                <w:color w:val="auto"/>
              </w:rPr>
            </w:pPr>
          </w:p>
        </w:tc>
      </w:tr>
      <w:tr>
        <w:trPr>
          <w:trHeight w:val="319"/>
        </w:trPr>
        <w:tc>
          <w:tcPr>
            <w:tcW w:w="180" w:type="dxa"/>
            <w:vAlign w:val="bottom"/>
          </w:tcPr>
          <w:p>
            <w:pPr>
              <w:spacing w:after="0"/>
              <w:rPr>
                <w:sz w:val="24"/>
                <w:szCs w:val="24"/>
                <w:color w:val="auto"/>
              </w:rPr>
            </w:pPr>
          </w:p>
        </w:tc>
        <w:tc>
          <w:tcPr>
            <w:tcW w:w="3500" w:type="dxa"/>
            <w:vAlign w:val="bottom"/>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4"/>
        </w:trPr>
        <w:tc>
          <w:tcPr>
            <w:tcW w:w="180" w:type="dxa"/>
            <w:vAlign w:val="bottom"/>
          </w:tcPr>
          <w:p>
            <w:pPr>
              <w:spacing w:after="0"/>
              <w:rPr>
                <w:sz w:val="16"/>
                <w:szCs w:val="16"/>
                <w:color w:val="auto"/>
              </w:rPr>
            </w:pPr>
          </w:p>
        </w:tc>
        <w:tc>
          <w:tcPr>
            <w:tcW w:w="3500" w:type="dxa"/>
            <w:vAlign w:val="bottom"/>
            <w:gridSpan w:val="2"/>
          </w:tcPr>
          <w:p>
            <w:pPr>
              <w:ind w:left="20"/>
              <w:spacing w:after="0" w:line="194" w:lineRule="exact"/>
              <w:rPr>
                <w:sz w:val="20"/>
                <w:szCs w:val="20"/>
                <w:color w:val="auto"/>
              </w:rPr>
            </w:pPr>
            <w:r>
              <w:rPr>
                <w:rFonts w:ascii="Times New Roman" w:cs="Times New Roman" w:eastAsia="Times New Roman" w:hAnsi="Times New Roman"/>
                <w:sz w:val="18"/>
                <w:szCs w:val="18"/>
                <w:color w:val="0000FF"/>
              </w:rPr>
              <w:t>99.</w:t>
            </w:r>
            <w:r>
              <w:rPr>
                <w:rFonts w:ascii="Times New Roman" w:cs="Times New Roman" w:eastAsia="Times New Roman" w:hAnsi="Times New Roman"/>
                <w:sz w:val="18"/>
                <w:szCs w:val="18"/>
                <w:u w:val="single" w:color="auto"/>
                <w:color w:val="0000FF"/>
              </w:rPr>
              <w:t>1</w:t>
            </w:r>
          </w:p>
        </w:tc>
        <w:tc>
          <w:tcPr>
            <w:tcW w:w="7560" w:type="dxa"/>
            <w:vAlign w:val="bottom"/>
            <w:gridSpan w:val="3"/>
          </w:tcPr>
          <w:p>
            <w:pPr>
              <w:ind w:left="220"/>
              <w:spacing w:after="0" w:line="194" w:lineRule="exact"/>
              <w:rPr>
                <w:sz w:val="20"/>
                <w:szCs w:val="20"/>
                <w:color w:val="auto"/>
              </w:rPr>
            </w:pPr>
            <w:r>
              <w:rPr>
                <w:rFonts w:ascii="Times New Roman" w:cs="Times New Roman" w:eastAsia="Times New Roman" w:hAnsi="Times New Roman"/>
                <w:sz w:val="18"/>
                <w:szCs w:val="18"/>
                <w:color w:val="0000FF"/>
              </w:rPr>
              <w:t>Press Release of Xometry, Inc. issued on March 1, 2023.</w:t>
            </w:r>
          </w:p>
        </w:tc>
      </w:tr>
      <w:tr>
        <w:trPr>
          <w:trHeight w:val="20"/>
        </w:trPr>
        <w:tc>
          <w:tcPr>
            <w:tcW w:w="180" w:type="dxa"/>
            <w:vAlign w:val="bottom"/>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3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80" w:type="dxa"/>
            <w:vAlign w:val="bottom"/>
            <w:shd w:val="clear" w:color="auto" w:fill="0000FF"/>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250"/>
        </w:trPr>
        <w:tc>
          <w:tcPr>
            <w:tcW w:w="180" w:type="dxa"/>
            <w:vAlign w:val="bottom"/>
          </w:tcPr>
          <w:p>
            <w:pPr>
              <w:spacing w:after="0"/>
              <w:rPr>
                <w:sz w:val="21"/>
                <w:szCs w:val="21"/>
                <w:color w:val="auto"/>
              </w:rPr>
            </w:pPr>
          </w:p>
        </w:tc>
        <w:tc>
          <w:tcPr>
            <w:tcW w:w="3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3180" w:type="dxa"/>
            <w:vAlign w:val="bottom"/>
          </w:tcPr>
          <w:p>
            <w:pPr>
              <w:spacing w:after="0"/>
              <w:rPr>
                <w:sz w:val="21"/>
                <w:szCs w:val="21"/>
                <w:color w:val="auto"/>
              </w:rPr>
            </w:pPr>
          </w:p>
        </w:tc>
        <w:tc>
          <w:tcPr>
            <w:tcW w:w="7560" w:type="dxa"/>
            <w:vAlign w:val="bottom"/>
            <w:gridSpan w:val="3"/>
          </w:tcPr>
          <w:p>
            <w:pPr>
              <w:ind w:left="220"/>
              <w:spacing w:after="0"/>
              <w:rPr>
                <w:sz w:val="20"/>
                <w:szCs w:val="20"/>
                <w:color w:val="auto"/>
              </w:rPr>
            </w:pPr>
            <w:r>
              <w:rPr>
                <w:rFonts w:ascii="Times New Roman" w:cs="Times New Roman" w:eastAsia="Times New Roman" w:hAnsi="Times New Roman"/>
                <w:sz w:val="18"/>
                <w:szCs w:val="18"/>
                <w:color w:val="auto"/>
              </w:rPr>
              <w:t>Cover Page Interactive Data File (embedded within the Inline XBRL document).</w:t>
            </w:r>
          </w:p>
        </w:tc>
      </w:tr>
      <w:tr>
        <w:trPr>
          <w:trHeight w:val="560"/>
        </w:trPr>
        <w:tc>
          <w:tcPr>
            <w:tcW w:w="180" w:type="dxa"/>
            <w:vAlign w:val="bottom"/>
            <w:tcBorders>
              <w:bottom w:val="single" w:sz="8" w:color="9A9A9A"/>
            </w:tcBorders>
          </w:tcPr>
          <w:p>
            <w:pPr>
              <w:spacing w:after="0"/>
              <w:rPr>
                <w:sz w:val="24"/>
                <w:szCs w:val="24"/>
                <w:color w:val="auto"/>
              </w:rPr>
            </w:pPr>
          </w:p>
        </w:tc>
        <w:tc>
          <w:tcPr>
            <w:tcW w:w="320" w:type="dxa"/>
            <w:vAlign w:val="bottom"/>
            <w:tcBorders>
              <w:bottom w:val="single" w:sz="8" w:color="9A9A9A"/>
            </w:tcBorders>
          </w:tcPr>
          <w:p>
            <w:pPr>
              <w:spacing w:after="0"/>
              <w:rPr>
                <w:sz w:val="24"/>
                <w:szCs w:val="24"/>
                <w:color w:val="auto"/>
              </w:rPr>
            </w:pPr>
          </w:p>
        </w:tc>
        <w:tc>
          <w:tcPr>
            <w:tcW w:w="318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4080" w:type="dxa"/>
            <w:vAlign w:val="bottom"/>
            <w:tcBorders>
              <w:bottom w:val="single" w:sz="8" w:color="9A9A9A"/>
            </w:tcBorders>
          </w:tcPr>
          <w:p>
            <w:pPr>
              <w:spacing w:after="0"/>
              <w:rPr>
                <w:sz w:val="24"/>
                <w:szCs w:val="24"/>
                <w:color w:val="auto"/>
              </w:rPr>
            </w:pPr>
          </w:p>
        </w:tc>
        <w:tc>
          <w:tcPr>
            <w:tcW w:w="32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441" w:right="339" w:bottom="1440" w:gutter="0" w:footer="0" w:header="0"/>
        </w:sectPr>
      </w:pPr>
    </w:p>
    <w:bookmarkStart w:id="2" w:name="page3"/>
    <w:bookmarkEnd w:id="2"/>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175"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99" w:lineRule="exact"/>
        <w:rPr>
          <w:sz w:val="20"/>
          <w:szCs w:val="20"/>
          <w:color w:val="auto"/>
        </w:rPr>
      </w:pPr>
    </w:p>
    <w:p>
      <w:pPr>
        <w:ind w:left="7940"/>
        <w:spacing w:after="0"/>
        <w:rPr>
          <w:sz w:val="20"/>
          <w:szCs w:val="20"/>
          <w:color w:val="auto"/>
        </w:rPr>
      </w:pPr>
      <w:r>
        <w:rPr>
          <w:rFonts w:ascii="Times New Roman" w:cs="Times New Roman" w:eastAsia="Times New Roman" w:hAnsi="Times New Roman"/>
          <w:sz w:val="18"/>
          <w:szCs w:val="18"/>
          <w:b w:val="1"/>
          <w:bCs w:val="1"/>
          <w:color w:val="auto"/>
        </w:rPr>
        <w:t>XOMETRY, INC.</w:t>
      </w:r>
    </w:p>
    <w:p>
      <w:pPr>
        <w:spacing w:after="0" w:line="200" w:lineRule="exact"/>
        <w:rPr>
          <w:sz w:val="20"/>
          <w:szCs w:val="20"/>
          <w:color w:val="auto"/>
        </w:rPr>
      </w:pPr>
    </w:p>
    <w:p>
      <w:pPr>
        <w:spacing w:after="0" w:line="204" w:lineRule="exact"/>
        <w:rPr>
          <w:sz w:val="20"/>
          <w:szCs w:val="20"/>
          <w:color w:val="auto"/>
        </w:rPr>
      </w:pPr>
    </w:p>
    <w:p>
      <w:pPr>
        <w:ind w:left="20"/>
        <w:spacing w:after="0"/>
        <w:tabs>
          <w:tab w:leader="none" w:pos="680" w:val="left"/>
          <w:tab w:leader="none" w:pos="5620" w:val="left"/>
          <w:tab w:leader="none" w:pos="6060" w:val="left"/>
        </w:tabs>
        <w:rPr>
          <w:sz w:val="20"/>
          <w:szCs w:val="20"/>
          <w:color w:val="auto"/>
        </w:rPr>
      </w:pPr>
      <w:r>
        <w:rPr>
          <w:rFonts w:ascii="Times New Roman" w:cs="Times New Roman" w:eastAsia="Times New Roman" w:hAnsi="Times New Roman"/>
          <w:sz w:val="18"/>
          <w:szCs w:val="18"/>
          <w:color w:val="auto"/>
        </w:rPr>
        <w:t>Date:</w:t>
      </w:r>
      <w:r>
        <w:rPr>
          <w:sz w:val="20"/>
          <w:szCs w:val="20"/>
          <w:color w:val="auto"/>
        </w:rPr>
        <w:tab/>
      </w:r>
      <w:r>
        <w:rPr>
          <w:rFonts w:ascii="Times New Roman" w:cs="Times New Roman" w:eastAsia="Times New Roman" w:hAnsi="Times New Roman"/>
          <w:sz w:val="18"/>
          <w:szCs w:val="18"/>
          <w:color w:val="auto"/>
        </w:rPr>
        <w:t>March 1, 2023</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u w:val="single" w:color="auto"/>
          <w:color w:val="auto"/>
        </w:rPr>
        <w:t>/s/ Randolph Altschuler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3858260</wp:posOffset>
            </wp:positionH>
            <wp:positionV relativeFrom="paragraph">
              <wp:posOffset>26035</wp:posOffset>
            </wp:positionV>
            <wp:extent cx="327914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279140" cy="8255"/>
                    </a:xfrm>
                    <a:prstGeom prst="rect">
                      <a:avLst/>
                    </a:prstGeom>
                    <a:noFill/>
                  </pic:spPr>
                </pic:pic>
              </a:graphicData>
            </a:graphic>
          </wp:anchor>
        </w:drawing>
      </w:r>
    </w:p>
    <w:p>
      <w:pPr>
        <w:spacing w:after="0" w:line="29"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Randolph Altschuler</w:t>
      </w:r>
    </w:p>
    <w:p>
      <w:pPr>
        <w:spacing w:after="0" w:line="27" w:lineRule="exact"/>
        <w:rPr>
          <w:sz w:val="20"/>
          <w:szCs w:val="20"/>
          <w:color w:val="auto"/>
        </w:rPr>
      </w:pPr>
    </w:p>
    <w:p>
      <w:pPr>
        <w:ind w:left="608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309880</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117" w:right="37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Xometry Reports Fourth Quarter and Full Year 2022 Results</w:t>
      </w:r>
    </w:p>
    <w:p>
      <w:pPr>
        <w:spacing w:after="0" w:line="197" w:lineRule="exact"/>
        <w:rPr>
          <w:sz w:val="20"/>
          <w:szCs w:val="20"/>
          <w:color w:val="auto"/>
        </w:rPr>
      </w:pPr>
    </w:p>
    <w:p>
      <w:pPr>
        <w:ind w:left="1020" w:right="26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revenue increased 46% year-over-year driven by solid marketplace growth of 32% as well as supplier services including the acquisition of Thomas</w:t>
      </w:r>
    </w:p>
    <w:p>
      <w:pPr>
        <w:spacing w:after="0" w:line="47" w:lineRule="exact"/>
        <w:rPr>
          <w:rFonts w:ascii="Times New Roman" w:cs="Times New Roman" w:eastAsia="Times New Roman" w:hAnsi="Times New Roman"/>
          <w:sz w:val="20"/>
          <w:szCs w:val="20"/>
          <w:color w:val="auto"/>
        </w:rPr>
      </w:pPr>
    </w:p>
    <w:p>
      <w:pPr>
        <w:ind w:left="1020" w:right="2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gross profit up 72% year-over-year driven by 30% growth in marketplace gross profit and the addition of Thomas. Strong gross profit growth partly offset by price optimization efforts</w:t>
      </w:r>
    </w:p>
    <w:p>
      <w:pPr>
        <w:spacing w:after="0" w:line="47" w:lineRule="exact"/>
        <w:rPr>
          <w:rFonts w:ascii="Times New Roman" w:cs="Times New Roman" w:eastAsia="Times New Roman" w:hAnsi="Times New Roman"/>
          <w:sz w:val="20"/>
          <w:szCs w:val="20"/>
          <w:color w:val="auto"/>
        </w:rPr>
      </w:pPr>
    </w:p>
    <w:p>
      <w:pPr>
        <w:ind w:left="1020" w:right="180" w:hanging="504"/>
        <w:spacing w:after="0" w:line="256" w:lineRule="auto"/>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Expect Q1 revenue growth of 20%-22% year-over-year to $100-$102 million, driven by healthy marketplace growth in the mid to high 20% range year-over-year</w:t>
      </w:r>
    </w:p>
    <w:p>
      <w:pPr>
        <w:spacing w:after="0" w:line="47" w:lineRule="exact"/>
        <w:rPr>
          <w:rFonts w:ascii="Times New Roman" w:cs="Times New Roman" w:eastAsia="Times New Roman" w:hAnsi="Times New Roman"/>
          <w:sz w:val="20"/>
          <w:szCs w:val="20"/>
          <w:color w:val="auto"/>
        </w:rPr>
      </w:pPr>
    </w:p>
    <w:p>
      <w:pPr>
        <w:jc w:val="both"/>
        <w:ind w:left="1020" w:right="28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Q4 Adjusted EBITDA loss of $14.2 million reflects revenue shortfall and lower gross margins quarter-over-quarter. Expect improved operating leverage going forward as we take steps to lower operating expenses, including a 6% reduction in workforce in January 2023</w:t>
      </w:r>
    </w:p>
    <w:p>
      <w:pPr>
        <w:spacing w:after="0" w:line="64" w:lineRule="exact"/>
        <w:rPr>
          <w:rFonts w:ascii="Times New Roman" w:cs="Times New Roman" w:eastAsia="Times New Roman" w:hAnsi="Times New Roman"/>
          <w:sz w:val="20"/>
          <w:szCs w:val="20"/>
          <w:color w:val="auto"/>
        </w:rPr>
      </w:pPr>
    </w:p>
    <w:p>
      <w:pPr>
        <w:jc w:val="both"/>
        <w:ind w:left="1020" w:right="1080" w:hanging="504"/>
        <w:spacing w:after="0"/>
        <w:tabs>
          <w:tab w:leader="none" w:pos="1020" w:val="left"/>
        </w:tabs>
        <w:numPr>
          <w:ilvl w:val="0"/>
          <w:numId w:val="2"/>
        </w:numPr>
        <w:rPr>
          <w:rFonts w:ascii="Times New Roman" w:cs="Times New Roman" w:eastAsia="Times New Roman" w:hAnsi="Times New Roman"/>
          <w:sz w:val="20"/>
          <w:szCs w:val="20"/>
          <w:color w:val="auto"/>
        </w:rPr>
      </w:pPr>
      <w:r>
        <w:rPr>
          <w:rFonts w:ascii="Arial" w:cs="Arial" w:eastAsia="Arial" w:hAnsi="Arial"/>
          <w:sz w:val="20"/>
          <w:szCs w:val="20"/>
          <w:color w:val="auto"/>
        </w:rPr>
        <w:t>Implementing 5-point strategic plan with increasing focus on our top 200 accounts; rapidly expanding the marketplace menu; furthering international expansion and growth; driving adoption of new products, and aggressively reducing operating expenses</w:t>
      </w:r>
    </w:p>
    <w:p>
      <w:pPr>
        <w:spacing w:after="0" w:line="238" w:lineRule="exact"/>
        <w:rPr>
          <w:sz w:val="20"/>
          <w:szCs w:val="20"/>
          <w:color w:val="auto"/>
        </w:rPr>
      </w:pPr>
    </w:p>
    <w:p>
      <w:pPr>
        <w:jc w:val="both"/>
        <w:ind w:right="100"/>
        <w:spacing w:after="0" w:line="242" w:lineRule="auto"/>
        <w:rPr>
          <w:sz w:val="20"/>
          <w:szCs w:val="20"/>
          <w:color w:val="auto"/>
        </w:rPr>
      </w:pPr>
      <w:r>
        <w:rPr>
          <w:rFonts w:ascii="Arial" w:cs="Arial" w:eastAsia="Arial" w:hAnsi="Arial"/>
          <w:sz w:val="20"/>
          <w:szCs w:val="20"/>
          <w:b w:val="1"/>
          <w:bCs w:val="1"/>
          <w:color w:val="auto"/>
        </w:rPr>
        <w:t xml:space="preserve">NORTH BETHESDA, MD., March 1, 2023 /Globe Newswire/ </w:t>
      </w:r>
      <w:r>
        <w:rPr>
          <w:rFonts w:ascii="Arial" w:cs="Arial" w:eastAsia="Arial" w:hAnsi="Arial"/>
          <w:sz w:val="20"/>
          <w:szCs w:val="20"/>
          <w:color w:val="auto"/>
        </w:rPr>
        <w:t>-- Xometry, Inc. (NASDAQ:XMTR), the global online marketplace</w:t>
      </w:r>
      <w:r>
        <w:rPr>
          <w:rFonts w:ascii="Arial" w:cs="Arial" w:eastAsia="Arial" w:hAnsi="Arial"/>
          <w:sz w:val="20"/>
          <w:szCs w:val="20"/>
          <w:b w:val="1"/>
          <w:bCs w:val="1"/>
          <w:color w:val="auto"/>
        </w:rPr>
        <w:t xml:space="preserve"> </w:t>
      </w:r>
      <w:r>
        <w:rPr>
          <w:rFonts w:ascii="Arial" w:cs="Arial" w:eastAsia="Arial" w:hAnsi="Arial"/>
          <w:sz w:val="20"/>
          <w:szCs w:val="20"/>
          <w:color w:val="auto"/>
        </w:rPr>
        <w:t>connecting enterprise buyers with suppliers of manufacturing services, today reported financial results for the fourth quarter and full year ended December 31, 2022.</w:t>
      </w:r>
    </w:p>
    <w:p>
      <w:pPr>
        <w:spacing w:after="0" w:line="75" w:lineRule="exact"/>
        <w:rPr>
          <w:sz w:val="20"/>
          <w:szCs w:val="20"/>
          <w:color w:val="auto"/>
        </w:rPr>
      </w:pPr>
    </w:p>
    <w:p>
      <w:pPr>
        <w:spacing w:after="0" w:line="231" w:lineRule="auto"/>
        <w:rPr>
          <w:sz w:val="20"/>
          <w:szCs w:val="20"/>
          <w:color w:val="auto"/>
        </w:rPr>
      </w:pPr>
      <w:r>
        <w:rPr>
          <w:rFonts w:ascii="Arial" w:cs="Arial" w:eastAsia="Arial" w:hAnsi="Arial"/>
          <w:sz w:val="20"/>
          <w:szCs w:val="20"/>
          <w:color w:val="auto"/>
        </w:rPr>
        <w:t>“In Q4 2022, Xometry delivered strong 32% marketplace growth in a period of increasingly challenging macroeconomic conditions," said Randy Altschuler, Xometry CEO. "As we continue to grow rapidly year-over-year, we are also implementing a 5-point strategic plan to ensure that we continue to deliver strong growth. These steps include realigning our sales efforts to improve our focus on our top 200 accounts who represent significant revenue opportunities and who depend on Xometry to strengthen their crucial supply chains; continued expansion of processes and materials with a deeper integration with Thomas; rapid international expansion and growth; and further enhancements and adoption of new products, including Workcenter. Additionally, we are taking an aggressive approach to reducing operating expenses, which included a 6% headcount reduction in January.”</w:t>
      </w:r>
    </w:p>
    <w:p>
      <w:pPr>
        <w:spacing w:after="0" w:line="14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2022 Financial Highlights</w:t>
      </w:r>
    </w:p>
    <w:p>
      <w:pPr>
        <w:spacing w:after="0" w:line="96" w:lineRule="exact"/>
        <w:rPr>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fourth quarter 2022 was $98.2 million, an increase of 46%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fourth quarter of 2022 was $79.1 million, an increase of 32%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fourth quarter of 2022 was $19.1 million.</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Total gross profit for the fourth quarter 2022 was $36.0 million, an increase of 72% year-over-year.</w:t>
      </w:r>
    </w:p>
    <w:p>
      <w:pPr>
        <w:spacing w:after="0" w:line="106" w:lineRule="exact"/>
        <w:rPr>
          <w:rFonts w:ascii="Times New Roman" w:cs="Times New Roman" w:eastAsia="Times New Roman" w:hAnsi="Times New Roman"/>
          <w:sz w:val="20"/>
          <w:szCs w:val="20"/>
          <w:color w:val="auto"/>
        </w:rPr>
      </w:pPr>
    </w:p>
    <w:p>
      <w:pPr>
        <w:ind w:left="1020" w:right="48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Active Buyers increased 45% from 28,130 as of December 31, 2021 to 40,664 as of December 31, 2022.</w:t>
      </w:r>
    </w:p>
    <w:p>
      <w:pPr>
        <w:spacing w:after="0" w:line="47" w:lineRule="exact"/>
        <w:rPr>
          <w:rFonts w:ascii="Times New Roman" w:cs="Times New Roman" w:eastAsia="Times New Roman" w:hAnsi="Times New Roman"/>
          <w:sz w:val="20"/>
          <w:szCs w:val="20"/>
          <w:color w:val="auto"/>
        </w:rPr>
      </w:pPr>
    </w:p>
    <w:p>
      <w:pPr>
        <w:ind w:left="1020" w:right="100" w:hanging="504"/>
        <w:spacing w:after="0" w:line="25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Accounts with Last Twelve-Months Spend of at least $50,000 increased 47% from 701 as of December 31, 2021, to 1,027 as of December 31, 2022.</w:t>
      </w:r>
    </w:p>
    <w:p>
      <w:pPr>
        <w:spacing w:after="0" w:line="47"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Percentage of Revenue from Existing Accounts was 96%.</w:t>
      </w:r>
    </w:p>
    <w:p>
      <w:pPr>
        <w:spacing w:after="0" w:line="106" w:lineRule="exact"/>
        <w:rPr>
          <w:rFonts w:ascii="Times New Roman" w:cs="Times New Roman" w:eastAsia="Times New Roman" w:hAnsi="Times New Roman"/>
          <w:sz w:val="20"/>
          <w:szCs w:val="20"/>
          <w:color w:val="auto"/>
        </w:rPr>
      </w:pPr>
    </w:p>
    <w:p>
      <w:pPr>
        <w:ind w:left="1020" w:right="60" w:hanging="504"/>
        <w:spacing w:after="0" w:line="236" w:lineRule="auto"/>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$24.4 million for the quarter, an increase of $0.5 million year-over-year, and Adjusted EBITDA was negative $14.2 million for the quarter, reflecting an increase of $2.4 million year-over-year. Net loss for Q4 2022 included $5.1 million of stock-based compensation and a $1.5 million restructuring charge.</w:t>
      </w:r>
    </w:p>
    <w:p>
      <w:pPr>
        <w:spacing w:after="0" w:line="65"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3"/>
        </w:numPr>
        <w:rPr>
          <w:rFonts w:ascii="Times New Roman" w:cs="Times New Roman" w:eastAsia="Times New Roman" w:hAnsi="Times New Roman"/>
          <w:sz w:val="20"/>
          <w:szCs w:val="20"/>
          <w:color w:val="auto"/>
        </w:rPr>
      </w:pPr>
      <w:r>
        <w:rPr>
          <w:rFonts w:ascii="Arial" w:cs="Arial" w:eastAsia="Arial" w:hAnsi="Arial"/>
          <w:sz w:val="20"/>
          <w:szCs w:val="20"/>
          <w:color w:val="auto"/>
        </w:rPr>
        <w:t>Cash and cash equivalents were $319.4 million as of December 31, 2022.</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4" w:name="page5"/>
    <w:bookmarkEnd w:id="4"/>
    <w:p>
      <w:pPr>
        <w:spacing w:after="0"/>
        <w:rPr>
          <w:sz w:val="20"/>
          <w:szCs w:val="20"/>
          <w:color w:val="auto"/>
        </w:rPr>
      </w:pPr>
      <w:r>
        <w:rPr>
          <w:rFonts w:ascii="Arial" w:cs="Arial" w:eastAsia="Arial" w:hAnsi="Arial"/>
          <w:sz w:val="20"/>
          <w:szCs w:val="20"/>
          <w:b w:val="1"/>
          <w:bCs w:val="1"/>
          <w:color w:val="auto"/>
        </w:rPr>
        <w:t>Fourth Quarter 2022 Business Highlights</w:t>
      </w:r>
    </w:p>
    <w:p>
      <w:pPr>
        <w:spacing w:after="0" w:line="96" w:lineRule="exact"/>
        <w:rPr>
          <w:sz w:val="20"/>
          <w:szCs w:val="20"/>
          <w:color w:val="auto"/>
        </w:rPr>
      </w:pPr>
    </w:p>
    <w:p>
      <w:pPr>
        <w:ind w:left="1020" w:hanging="504"/>
        <w:spacing w:after="0"/>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Grew the number of Active Suppliers 22% year-over-year from 2,010 to 2,447.</w:t>
      </w:r>
    </w:p>
    <w:p>
      <w:pPr>
        <w:spacing w:after="0" w:line="106" w:lineRule="exact"/>
        <w:rPr>
          <w:rFonts w:ascii="Times New Roman" w:cs="Times New Roman" w:eastAsia="Times New Roman" w:hAnsi="Times New Roman"/>
          <w:sz w:val="20"/>
          <w:szCs w:val="20"/>
          <w:color w:val="auto"/>
        </w:rPr>
      </w:pPr>
    </w:p>
    <w:p>
      <w:pPr>
        <w:ind w:left="1020" w:right="14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a new instant quoting page for the Xometry Marketplace, offering easier navigation and greater usability of the quoting engine.</w:t>
      </w:r>
    </w:p>
    <w:p>
      <w:pPr>
        <w:spacing w:after="0" w:line="47" w:lineRule="exact"/>
        <w:rPr>
          <w:rFonts w:ascii="Times New Roman" w:cs="Times New Roman" w:eastAsia="Times New Roman" w:hAnsi="Times New Roman"/>
          <w:sz w:val="20"/>
          <w:szCs w:val="20"/>
          <w:color w:val="auto"/>
        </w:rPr>
      </w:pPr>
    </w:p>
    <w:p>
      <w:pPr>
        <w:ind w:left="1020" w:right="6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Appointed Brendan Sterne, a veteran product executive skilled in scaling technology for growth and revenue, as our Chief Product Officer, and elevated Matt Leibel to Chief Technology Officer.</w:t>
      </w:r>
    </w:p>
    <w:p>
      <w:pPr>
        <w:spacing w:after="0" w:line="47" w:lineRule="exact"/>
        <w:rPr>
          <w:rFonts w:ascii="Times New Roman" w:cs="Times New Roman" w:eastAsia="Times New Roman" w:hAnsi="Times New Roman"/>
          <w:sz w:val="20"/>
          <w:szCs w:val="20"/>
          <w:color w:val="auto"/>
        </w:rPr>
      </w:pPr>
    </w:p>
    <w:p>
      <w:pPr>
        <w:ind w:left="1020" w:right="28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Expanded the offerings of our Xometry Europe marketplace to include compression molding and vacuum casting, which are critical for the automotive, electronics, medical device and other industries.</w:t>
      </w:r>
    </w:p>
    <w:p>
      <w:pPr>
        <w:spacing w:after="0" w:line="47" w:lineRule="exact"/>
        <w:rPr>
          <w:rFonts w:ascii="Times New Roman" w:cs="Times New Roman" w:eastAsia="Times New Roman" w:hAnsi="Times New Roman"/>
          <w:sz w:val="20"/>
          <w:szCs w:val="20"/>
          <w:color w:val="auto"/>
        </w:rPr>
      </w:pPr>
    </w:p>
    <w:p>
      <w:pPr>
        <w:ind w:left="1020" w:right="320" w:hanging="504"/>
        <w:spacing w:after="0" w:line="256" w:lineRule="auto"/>
        <w:tabs>
          <w:tab w:leader="none" w:pos="1020" w:val="left"/>
        </w:tabs>
        <w:numPr>
          <w:ilvl w:val="0"/>
          <w:numId w:val="4"/>
        </w:numPr>
        <w:rPr>
          <w:rFonts w:ascii="Times New Roman" w:cs="Times New Roman" w:eastAsia="Times New Roman" w:hAnsi="Times New Roman"/>
          <w:sz w:val="20"/>
          <w:szCs w:val="20"/>
          <w:color w:val="auto"/>
        </w:rPr>
      </w:pPr>
      <w:r>
        <w:rPr>
          <w:rFonts w:ascii="Arial" w:cs="Arial" w:eastAsia="Arial" w:hAnsi="Arial"/>
          <w:sz w:val="20"/>
          <w:szCs w:val="20"/>
          <w:color w:val="auto"/>
        </w:rPr>
        <w:t>Integrated the Gravity Climate API into the Xometry Marketplace to help our customers instantly calculate carbon emissions in real-time.</w:t>
      </w:r>
    </w:p>
    <w:p>
      <w:pPr>
        <w:spacing w:after="0" w:line="1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Financial Highlights</w:t>
      </w:r>
    </w:p>
    <w:p>
      <w:pPr>
        <w:spacing w:after="0" w:line="96" w:lineRule="exact"/>
        <w:rPr>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Total revenue for the full year 2022 was $381.1 million, an increase of 75% year-over-year.</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revenue for the full year 2022 was $303.1 million.</w:t>
      </w:r>
    </w:p>
    <w:p>
      <w:pPr>
        <w:spacing w:after="0" w:line="106"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Supplier services revenue for the full year 2022 was $77.9 million.</w:t>
      </w:r>
    </w:p>
    <w:p>
      <w:pPr>
        <w:spacing w:after="0" w:line="106" w:lineRule="exact"/>
        <w:rPr>
          <w:rFonts w:ascii="Times New Roman" w:cs="Times New Roman" w:eastAsia="Times New Roman" w:hAnsi="Times New Roman"/>
          <w:sz w:val="20"/>
          <w:szCs w:val="20"/>
          <w:color w:val="auto"/>
        </w:rPr>
      </w:pPr>
    </w:p>
    <w:p>
      <w:pPr>
        <w:ind w:left="1020" w:right="160" w:hanging="504"/>
        <w:spacing w:after="0" w:line="282" w:lineRule="auto"/>
        <w:tabs>
          <w:tab w:leader="none" w:pos="1020" w:val="left"/>
        </w:tabs>
        <w:numPr>
          <w:ilvl w:val="0"/>
          <w:numId w:val="5"/>
        </w:numPr>
        <w:rPr>
          <w:rFonts w:ascii="Times New Roman" w:cs="Times New Roman" w:eastAsia="Times New Roman" w:hAnsi="Times New Roman"/>
          <w:sz w:val="19"/>
          <w:szCs w:val="19"/>
          <w:color w:val="auto"/>
        </w:rPr>
      </w:pPr>
      <w:r>
        <w:rPr>
          <w:rFonts w:ascii="Arial" w:cs="Arial" w:eastAsia="Arial" w:hAnsi="Arial"/>
          <w:sz w:val="19"/>
          <w:szCs w:val="19"/>
          <w:color w:val="auto"/>
        </w:rPr>
        <w:t>Total gross profit for the full year 2022 was $147.6 million, an increase of 158% year-over-year. Gross profit margin improved to 38.7% for year ended December 31, 2022 from 26.2% for the year ended December 31, 2021.</w:t>
      </w:r>
    </w:p>
    <w:p>
      <w:pPr>
        <w:spacing w:after="0" w:line="24" w:lineRule="exact"/>
        <w:rPr>
          <w:rFonts w:ascii="Times New Roman" w:cs="Times New Roman" w:eastAsia="Times New Roman" w:hAnsi="Times New Roman"/>
          <w:sz w:val="19"/>
          <w:szCs w:val="19"/>
          <w:color w:val="auto"/>
        </w:rPr>
      </w:pPr>
    </w:p>
    <w:p>
      <w:pPr>
        <w:ind w:left="1020" w:right="140" w:hanging="504"/>
        <w:spacing w:after="0" w:line="25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Marketplace gross profit margin improved to 28.6% for the year ended December 31, 2022 from 25.1% for the year ended December 31, 2021.</w:t>
      </w:r>
    </w:p>
    <w:p>
      <w:pPr>
        <w:spacing w:after="0" w:line="47" w:lineRule="exact"/>
        <w:rPr>
          <w:rFonts w:ascii="Times New Roman" w:cs="Times New Roman" w:eastAsia="Times New Roman" w:hAnsi="Times New Roman"/>
          <w:sz w:val="20"/>
          <w:szCs w:val="20"/>
          <w:color w:val="auto"/>
        </w:rPr>
      </w:pPr>
    </w:p>
    <w:p>
      <w:pPr>
        <w:ind w:left="1020" w:hanging="504"/>
        <w:spacing w:after="0" w:line="236" w:lineRule="auto"/>
        <w:tabs>
          <w:tab w:leader="none" w:pos="1020" w:val="left"/>
        </w:tabs>
        <w:numPr>
          <w:ilvl w:val="0"/>
          <w:numId w:val="5"/>
        </w:numPr>
        <w:rPr>
          <w:rFonts w:ascii="Times New Roman" w:cs="Times New Roman" w:eastAsia="Times New Roman" w:hAnsi="Times New Roman"/>
          <w:sz w:val="20"/>
          <w:szCs w:val="20"/>
          <w:color w:val="auto"/>
        </w:rPr>
      </w:pPr>
      <w:r>
        <w:rPr>
          <w:rFonts w:ascii="Arial" w:cs="Arial" w:eastAsia="Arial" w:hAnsi="Arial"/>
          <w:sz w:val="20"/>
          <w:szCs w:val="20"/>
          <w:color w:val="auto"/>
        </w:rPr>
        <w:t>Net loss attributable to common stockholders was $76.0 million for the full year 2022, an increase of $14.6 million year-over-year, and Adjusted EBITDA was negative $41.8 million for the full year 2022, reflecting an increase of $2.0 million year-over-year. Net loss for the full year 2022 includes $19.2 million of stock-based compensation expense, $2.3 million of expense for charitable contributions and a $1.5 million restructuring charge.</w:t>
      </w:r>
    </w:p>
    <w:p>
      <w:pPr>
        <w:spacing w:after="0" w:line="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Full Year Business Highlights</w:t>
      </w:r>
    </w:p>
    <w:p>
      <w:pPr>
        <w:spacing w:after="0" w:line="96" w:lineRule="exact"/>
        <w:rPr>
          <w:sz w:val="20"/>
          <w:szCs w:val="20"/>
          <w:color w:val="auto"/>
        </w:rPr>
      </w:pPr>
    </w:p>
    <w:p>
      <w:pPr>
        <w:ind w:left="1020" w:right="240" w:hanging="504"/>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“Xometry Everywhere” software which extends the reach of Xometry’s AI-driven instant-quoting pricing engine to popular third-party sites where engineers and other buyers spend significant amounts of time.</w:t>
      </w:r>
    </w:p>
    <w:p>
      <w:pPr>
        <w:spacing w:after="0" w:line="47" w:lineRule="exact"/>
        <w:rPr>
          <w:rFonts w:ascii="Times New Roman" w:cs="Times New Roman" w:eastAsia="Times New Roman" w:hAnsi="Times New Roman"/>
          <w:sz w:val="20"/>
          <w:szCs w:val="20"/>
          <w:color w:val="auto"/>
        </w:rPr>
      </w:pPr>
    </w:p>
    <w:p>
      <w:pPr>
        <w:ind w:left="1020" w:right="220" w:hanging="504"/>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Obtained certification for Medical Device Manufacturing (ISO 13485) enabling the Xometry marketplace to expand the breadth of medical device manufacturing.</w:t>
      </w:r>
    </w:p>
    <w:p>
      <w:pPr>
        <w:spacing w:after="0" w:line="47" w:lineRule="exact"/>
        <w:rPr>
          <w:rFonts w:ascii="Times New Roman" w:cs="Times New Roman" w:eastAsia="Times New Roman" w:hAnsi="Times New Roman"/>
          <w:sz w:val="20"/>
          <w:szCs w:val="20"/>
          <w:color w:val="auto"/>
        </w:rPr>
      </w:pPr>
    </w:p>
    <w:p>
      <w:pPr>
        <w:ind w:left="1020" w:right="4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Expanded European operations including an enhanced site for European customers, www.xometry.eu, which makes it even easier for buyers to compare and price technologies, materials and finishes in real time. Added new languages including Spanish, Polish, Norwegian and Dutch.</w:t>
      </w:r>
    </w:p>
    <w:p>
      <w:pPr>
        <w:spacing w:after="0" w:line="6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new self-serve advertising subscription options for suppliers on Thomasnet.</w:t>
      </w:r>
    </w:p>
    <w:p>
      <w:pPr>
        <w:spacing w:after="0" w:line="106" w:lineRule="exact"/>
        <w:rPr>
          <w:rFonts w:ascii="Times New Roman" w:cs="Times New Roman" w:eastAsia="Times New Roman" w:hAnsi="Times New Roman"/>
          <w:sz w:val="20"/>
          <w:szCs w:val="20"/>
          <w:color w:val="auto"/>
        </w:rPr>
      </w:pPr>
    </w:p>
    <w:p>
      <w:pPr>
        <w:ind w:left="1020" w:right="120" w:hanging="504"/>
        <w:spacing w:after="0" w:line="256" w:lineRule="auto"/>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Launched a local manufacturing network in China (Xometry.Asia) and began taking orders from Chinese customers in April 2022.</w:t>
      </w:r>
    </w:p>
    <w:p>
      <w:pPr>
        <w:spacing w:after="0" w:line="47" w:lineRule="exact"/>
        <w:rPr>
          <w:rFonts w:ascii="Times New Roman" w:cs="Times New Roman" w:eastAsia="Times New Roman" w:hAnsi="Times New Roman"/>
          <w:sz w:val="20"/>
          <w:szCs w:val="20"/>
          <w:color w:val="auto"/>
        </w:rPr>
      </w:pPr>
    </w:p>
    <w:p>
      <w:pPr>
        <w:ind w:left="1020" w:right="38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Expanded CAD integrations with the addition of PTC’s Onshape product development platform which has over 2 million users. The integration provides seamless instant quoting with our proprietary, AI-driven Xometry Instant Quoting Engine®.</w:t>
      </w:r>
    </w:p>
    <w:p>
      <w:pPr>
        <w:spacing w:after="0" w:line="64" w:lineRule="exact"/>
        <w:rPr>
          <w:rFonts w:ascii="Times New Roman" w:cs="Times New Roman" w:eastAsia="Times New Roman" w:hAnsi="Times New Roman"/>
          <w:sz w:val="20"/>
          <w:szCs w:val="20"/>
          <w:color w:val="auto"/>
        </w:rPr>
      </w:pPr>
    </w:p>
    <w:p>
      <w:pPr>
        <w:ind w:left="1020" w:hanging="504"/>
        <w:spacing w:after="0"/>
        <w:tabs>
          <w:tab w:leader="none" w:pos="1020" w:val="left"/>
        </w:tabs>
        <w:numPr>
          <w:ilvl w:val="0"/>
          <w:numId w:val="6"/>
        </w:numPr>
        <w:rPr>
          <w:rFonts w:ascii="Times New Roman" w:cs="Times New Roman" w:eastAsia="Times New Roman" w:hAnsi="Times New Roman"/>
          <w:sz w:val="20"/>
          <w:szCs w:val="20"/>
          <w:color w:val="auto"/>
        </w:rPr>
      </w:pPr>
      <w:r>
        <w:rPr>
          <w:rFonts w:ascii="Arial" w:cs="Arial" w:eastAsia="Arial" w:hAnsi="Arial"/>
          <w:sz w:val="20"/>
          <w:szCs w:val="20"/>
          <w:color w:val="auto"/>
        </w:rPr>
        <w:t>On February 11, 2022 completed an offering of Convertible Senior Notes, raising net proceeds of $278.2 million.</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00"/>
          </w:cols>
          <w:pgMar w:left="320" w:top="332" w:right="379" w:bottom="1440" w:gutter="0" w:footer="0" w:header="0"/>
        </w:sectPr>
      </w:pPr>
    </w:p>
    <w:bookmarkStart w:id="5" w:name="page6"/>
    <w:bookmarkEnd w:id="5"/>
    <w:p>
      <w:pPr>
        <w:ind w:left="1020" w:right="12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Introduced Workcenter which gives suppliers a one-stop view into all their Xometry and non-Xometry work. A cloud-based manufacturing execution system, Workcenter brings the job board and financial services into one, easy-to-use platform.</w:t>
      </w:r>
    </w:p>
    <w:p>
      <w:pPr>
        <w:spacing w:after="0" w:line="64" w:lineRule="exact"/>
        <w:rPr>
          <w:rFonts w:ascii="Times New Roman" w:cs="Times New Roman" w:eastAsia="Times New Roman" w:hAnsi="Times New Roman"/>
          <w:sz w:val="20"/>
          <w:szCs w:val="20"/>
          <w:color w:val="auto"/>
        </w:rPr>
      </w:pPr>
    </w:p>
    <w:p>
      <w:pPr>
        <w:jc w:val="both"/>
        <w:ind w:left="1020" w:right="48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Launched the Industrial Buying Engine which helps customers source and purchase from the more than 500,000 suppliers on Thomasnet.com. Through the Industrial Buying Engine, buyers can request quotes for products and services from suppliers.</w:t>
      </w:r>
    </w:p>
    <w:p>
      <w:pPr>
        <w:spacing w:after="0" w:line="64" w:lineRule="exact"/>
        <w:rPr>
          <w:rFonts w:ascii="Times New Roman" w:cs="Times New Roman" w:eastAsia="Times New Roman" w:hAnsi="Times New Roman"/>
          <w:sz w:val="20"/>
          <w:szCs w:val="20"/>
          <w:color w:val="auto"/>
        </w:rPr>
      </w:pPr>
    </w:p>
    <w:p>
      <w:pPr>
        <w:ind w:left="1020" w:right="780" w:hanging="504"/>
        <w:spacing w:after="0" w:line="256" w:lineRule="auto"/>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Extended Xometry quoting capabilities into new categories based on the data and suppliers from the Thomas network. The new processes include laser tube cutting and tube bending.</w:t>
      </w:r>
    </w:p>
    <w:p>
      <w:pPr>
        <w:spacing w:after="0" w:line="47" w:lineRule="exact"/>
        <w:rPr>
          <w:rFonts w:ascii="Times New Roman" w:cs="Times New Roman" w:eastAsia="Times New Roman" w:hAnsi="Times New Roman"/>
          <w:sz w:val="20"/>
          <w:szCs w:val="20"/>
          <w:color w:val="auto"/>
        </w:rPr>
      </w:pPr>
    </w:p>
    <w:p>
      <w:pPr>
        <w:ind w:left="1020" w:right="260" w:hanging="504"/>
        <w:spacing w:after="0"/>
        <w:tabs>
          <w:tab w:leader="none" w:pos="1020" w:val="left"/>
        </w:tabs>
        <w:numPr>
          <w:ilvl w:val="0"/>
          <w:numId w:val="7"/>
        </w:numPr>
        <w:rPr>
          <w:rFonts w:ascii="Times New Roman" w:cs="Times New Roman" w:eastAsia="Times New Roman" w:hAnsi="Times New Roman"/>
          <w:sz w:val="20"/>
          <w:szCs w:val="20"/>
          <w:color w:val="auto"/>
        </w:rPr>
      </w:pPr>
      <w:r>
        <w:rPr>
          <w:rFonts w:ascii="Arial" w:cs="Arial" w:eastAsia="Arial" w:hAnsi="Arial"/>
          <w:sz w:val="20"/>
          <w:szCs w:val="20"/>
          <w:color w:val="auto"/>
        </w:rPr>
        <w:t>Launched the universal login experience which improves and centralizes the login experience and user credentials. Universal login allows Xometry and Thomas buyers and suppliers to seamlessly move and transact across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 w:lineRule="exact"/>
        <w:rPr>
          <w:sz w:val="20"/>
          <w:szCs w:val="20"/>
          <w:color w:val="auto"/>
        </w:rPr>
      </w:pPr>
    </w:p>
    <w:p>
      <w:pPr>
        <w:jc w:val="center"/>
        <w:ind w:right="40"/>
        <w:spacing w:after="0"/>
        <w:rPr>
          <w:sz w:val="20"/>
          <w:szCs w:val="20"/>
          <w:color w:val="auto"/>
        </w:rPr>
      </w:pPr>
      <w:r>
        <w:rPr>
          <w:rFonts w:ascii="Arial" w:cs="Arial" w:eastAsia="Arial" w:hAnsi="Arial"/>
          <w:sz w:val="20"/>
          <w:szCs w:val="20"/>
          <w:b w:val="1"/>
          <w:bCs w:val="1"/>
          <w:color w:val="auto"/>
        </w:rPr>
        <w:t>Financial Summary</w:t>
      </w:r>
    </w:p>
    <w:p>
      <w:pPr>
        <w:spacing w:after="0" w:line="6" w:lineRule="exact"/>
        <w:rPr>
          <w:sz w:val="20"/>
          <w:szCs w:val="20"/>
          <w:color w:val="auto"/>
        </w:rPr>
      </w:pPr>
    </w:p>
    <w:p>
      <w:pPr>
        <w:jc w:val="center"/>
        <w:ind w:right="100"/>
        <w:spacing w:after="0"/>
        <w:rPr>
          <w:sz w:val="20"/>
          <w:szCs w:val="20"/>
          <w:color w:val="auto"/>
        </w:rPr>
      </w:pPr>
      <w:r>
        <w:rPr>
          <w:rFonts w:ascii="Arial" w:cs="Arial" w:eastAsia="Arial" w:hAnsi="Arial"/>
          <w:sz w:val="20"/>
          <w:szCs w:val="20"/>
          <w:b w:val="1"/>
          <w:bCs w:val="1"/>
          <w:color w:val="auto"/>
        </w:rPr>
        <w:t>(In thousands, except per share amounts)</w:t>
      </w:r>
    </w:p>
    <w:p>
      <w:pPr>
        <w:spacing w:after="0" w:line="6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For the Three Months</w:t>
            </w: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360" w:type="dxa"/>
            <w:vAlign w:val="bottom"/>
            <w:gridSpan w:val="5"/>
          </w:tcPr>
          <w:p>
            <w:pPr>
              <w:jc w:val="right"/>
              <w:ind w:right="880"/>
              <w:spacing w:after="0"/>
              <w:rPr>
                <w:sz w:val="20"/>
                <w:szCs w:val="20"/>
                <w:color w:val="auto"/>
              </w:rPr>
            </w:pPr>
            <w:r>
              <w:rPr>
                <w:rFonts w:ascii="Arial" w:cs="Arial" w:eastAsia="Arial" w:hAnsi="Arial"/>
                <w:sz w:val="18"/>
                <w:szCs w:val="18"/>
                <w:b w:val="1"/>
                <w:bCs w:val="1"/>
                <w:color w:val="auto"/>
              </w:rPr>
              <w:t>For the Year</w:t>
            </w: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9"/>
              </w:rPr>
              <w:t>Ended December 31,</w:t>
            </w:r>
          </w:p>
        </w:tc>
        <w:tc>
          <w:tcPr>
            <w:tcW w:w="11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20" w:type="dxa"/>
            <w:vAlign w:val="bottom"/>
            <w:vMerge w:val="restart"/>
          </w:tcPr>
          <w:p>
            <w:pPr>
              <w:spacing w:after="0"/>
              <w:rPr>
                <w:sz w:val="20"/>
                <w:szCs w:val="20"/>
                <w:color w:val="auto"/>
              </w:rPr>
            </w:pPr>
          </w:p>
        </w:tc>
        <w:tc>
          <w:tcPr>
            <w:tcW w:w="200" w:type="dxa"/>
            <w:vAlign w:val="bottom"/>
          </w:tcPr>
          <w:p>
            <w:pPr>
              <w:spacing w:after="0"/>
              <w:rPr>
                <w:sz w:val="20"/>
                <w:szCs w:val="20"/>
                <w:color w:val="auto"/>
              </w:rPr>
            </w:pPr>
          </w:p>
        </w:tc>
        <w:tc>
          <w:tcPr>
            <w:tcW w:w="2360" w:type="dxa"/>
            <w:vAlign w:val="bottom"/>
            <w:gridSpan w:val="5"/>
          </w:tcPr>
          <w:p>
            <w:pPr>
              <w:jc w:val="right"/>
              <w:ind w:right="520"/>
              <w:spacing w:after="0"/>
              <w:rPr>
                <w:sz w:val="20"/>
                <w:szCs w:val="20"/>
                <w:color w:val="auto"/>
              </w:rPr>
            </w:pPr>
            <w:r>
              <w:rPr>
                <w:rFonts w:ascii="Arial" w:cs="Arial" w:eastAsia="Arial" w:hAnsi="Arial"/>
                <w:sz w:val="18"/>
                <w:szCs w:val="18"/>
                <w:b w:val="1"/>
                <w:bCs w:val="1"/>
                <w:color w:val="auto"/>
              </w:rPr>
              <w:t>Ended December 31,</w:t>
            </w:r>
          </w:p>
        </w:tc>
        <w:tc>
          <w:tcPr>
            <w:tcW w:w="1160" w:type="dxa"/>
            <w:vAlign w:val="bottom"/>
            <w:vMerge w:val="restart"/>
          </w:tcPr>
          <w:p>
            <w:pPr>
              <w:ind w:left="140"/>
              <w:spacing w:after="0"/>
              <w:rPr>
                <w:sz w:val="20"/>
                <w:szCs w:val="20"/>
                <w:color w:val="auto"/>
              </w:rPr>
            </w:pPr>
            <w:r>
              <w:rPr>
                <w:rFonts w:ascii="Arial" w:cs="Arial" w:eastAsia="Arial" w:hAnsi="Arial"/>
                <w:sz w:val="18"/>
                <w:szCs w:val="18"/>
                <w:b w:val="1"/>
                <w:bCs w:val="1"/>
                <w:color w:val="auto"/>
              </w:rPr>
              <w:t>% Change</w:t>
            </w:r>
          </w:p>
        </w:tc>
        <w:tc>
          <w:tcPr>
            <w:tcW w:w="200" w:type="dxa"/>
            <w:vAlign w:val="bottom"/>
            <w:gridSpan w:val="2"/>
            <w:vMerge w:val="restart"/>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4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20" w:type="dxa"/>
            <w:vAlign w:val="bottom"/>
            <w:vMerge w:val="continue"/>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160" w:type="dxa"/>
            <w:vAlign w:val="bottom"/>
            <w:tcBorders>
              <w:bottom w:val="single" w:sz="8" w:color="auto"/>
            </w:tcBorders>
            <w:vMerge w:val="continue"/>
          </w:tcPr>
          <w:p>
            <w:pPr>
              <w:spacing w:after="0"/>
              <w:rPr>
                <w:sz w:val="19"/>
                <w:szCs w:val="19"/>
                <w:color w:val="auto"/>
              </w:rPr>
            </w:pPr>
          </w:p>
        </w:tc>
        <w:tc>
          <w:tcPr>
            <w:tcW w:w="20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40"/>
        </w:trPr>
        <w:tc>
          <w:tcPr>
            <w:tcW w:w="34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Consolidated</w:t>
            </w:r>
          </w:p>
        </w:tc>
        <w:tc>
          <w:tcPr>
            <w:tcW w:w="180" w:type="dxa"/>
            <w:vAlign w:val="bottom"/>
          </w:tcPr>
          <w:p>
            <w:pPr>
              <w:spacing w:after="0"/>
              <w:rPr>
                <w:sz w:val="20"/>
                <w:szCs w:val="20"/>
                <w:color w:val="auto"/>
              </w:rPr>
            </w:pPr>
          </w:p>
        </w:tc>
        <w:tc>
          <w:tcPr>
            <w:tcW w:w="2420" w:type="dxa"/>
            <w:vAlign w:val="bottom"/>
            <w:gridSpan w:val="5"/>
          </w:tcPr>
          <w:p>
            <w:pPr>
              <w:jc w:val="center"/>
              <w:ind w:right="420"/>
              <w:spacing w:after="0"/>
              <w:rPr>
                <w:sz w:val="20"/>
                <w:szCs w:val="20"/>
                <w:color w:val="auto"/>
              </w:rPr>
            </w:pPr>
            <w:r>
              <w:rPr>
                <w:rFonts w:ascii="Arial" w:cs="Arial" w:eastAsia="Arial" w:hAnsi="Arial"/>
                <w:sz w:val="18"/>
                <w:szCs w:val="18"/>
                <w:b w:val="1"/>
                <w:bCs w:val="1"/>
                <w:color w:val="auto"/>
                <w:w w:val="97"/>
              </w:rPr>
              <w:t>(unaudited)</w:t>
            </w:r>
          </w:p>
        </w:tc>
        <w:tc>
          <w:tcPr>
            <w:tcW w:w="1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gridSpan w:val="2"/>
          </w:tcPr>
          <w:p>
            <w:pPr>
              <w:jc w:val="right"/>
              <w:spacing w:after="0"/>
              <w:rPr>
                <w:sz w:val="20"/>
                <w:szCs w:val="20"/>
                <w:color w:val="auto"/>
              </w:rPr>
            </w:pPr>
            <w:r>
              <w:rPr>
                <w:rFonts w:ascii="Arial" w:cs="Arial" w:eastAsia="Arial" w:hAnsi="Arial"/>
                <w:sz w:val="18"/>
                <w:szCs w:val="18"/>
                <w:b w:val="1"/>
                <w:bCs w:val="1"/>
                <w:color w:val="auto"/>
              </w:rPr>
              <w:t>(unaudited)</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2"/>
        </w:trPr>
        <w:tc>
          <w:tcPr>
            <w:tcW w:w="3440" w:type="dxa"/>
            <w:vAlign w:val="bottom"/>
            <w:vMerge w:val="continue"/>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98,196</w:t>
            </w:r>
          </w:p>
        </w:tc>
        <w:tc>
          <w:tcPr>
            <w:tcW w:w="24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67,098</w:t>
            </w:r>
          </w:p>
        </w:tc>
        <w:tc>
          <w:tcPr>
            <w:tcW w:w="240" w:type="dxa"/>
            <w:vAlign w:val="bottom"/>
          </w:tcPr>
          <w:p>
            <w:pPr>
              <w:spacing w:after="0"/>
              <w:rPr>
                <w:sz w:val="19"/>
                <w:szCs w:val="19"/>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color w:val="auto"/>
              </w:rPr>
              <w:t>46 % $</w:t>
            </w:r>
          </w:p>
        </w:tc>
        <w:tc>
          <w:tcPr>
            <w:tcW w:w="900" w:type="dxa"/>
            <w:vAlign w:val="bottom"/>
          </w:tcPr>
          <w:p>
            <w:pPr>
              <w:jc w:val="right"/>
              <w:spacing w:after="0"/>
              <w:rPr>
                <w:sz w:val="20"/>
                <w:szCs w:val="20"/>
                <w:color w:val="auto"/>
              </w:rPr>
            </w:pPr>
            <w:r>
              <w:rPr>
                <w:rFonts w:ascii="Arial" w:cs="Arial" w:eastAsia="Arial" w:hAnsi="Arial"/>
                <w:sz w:val="18"/>
                <w:szCs w:val="18"/>
                <w:color w:val="auto"/>
              </w:rPr>
              <w:t>381,053</w:t>
            </w:r>
          </w:p>
        </w:tc>
        <w:tc>
          <w:tcPr>
            <w:tcW w:w="22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218,336</w:t>
            </w:r>
          </w:p>
        </w:tc>
        <w:tc>
          <w:tcPr>
            <w:tcW w:w="22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75 %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36,030</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20,937</w:t>
            </w:r>
          </w:p>
        </w:tc>
        <w:tc>
          <w:tcPr>
            <w:tcW w:w="240" w:type="dxa"/>
            <w:vAlign w:val="bottom"/>
          </w:tcPr>
          <w:p>
            <w:pPr>
              <w:spacing w:after="0"/>
              <w:rPr>
                <w:sz w:val="19"/>
                <w:szCs w:val="19"/>
                <w:color w:val="auto"/>
              </w:rPr>
            </w:pPr>
          </w:p>
        </w:tc>
        <w:tc>
          <w:tcPr>
            <w:tcW w:w="1380" w:type="dxa"/>
            <w:vAlign w:val="bottom"/>
            <w:gridSpan w:val="2"/>
          </w:tcPr>
          <w:p>
            <w:pPr>
              <w:jc w:val="right"/>
              <w:ind w:right="60"/>
              <w:spacing w:after="0"/>
              <w:rPr>
                <w:sz w:val="20"/>
                <w:szCs w:val="20"/>
                <w:color w:val="auto"/>
              </w:rPr>
            </w:pPr>
            <w:r>
              <w:rPr>
                <w:rFonts w:ascii="Arial" w:cs="Arial" w:eastAsia="Arial" w:hAnsi="Arial"/>
                <w:sz w:val="18"/>
                <w:szCs w:val="18"/>
                <w:color w:val="auto"/>
              </w:rPr>
              <w:t>72 %</w:t>
            </w:r>
          </w:p>
        </w:tc>
        <w:tc>
          <w:tcPr>
            <w:tcW w:w="2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147,566</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57,141</w:t>
            </w:r>
          </w:p>
        </w:tc>
        <w:tc>
          <w:tcPr>
            <w:tcW w:w="220" w:type="dxa"/>
            <w:vAlign w:val="bottom"/>
          </w:tcPr>
          <w:p>
            <w:pPr>
              <w:spacing w:after="0"/>
              <w:rPr>
                <w:sz w:val="19"/>
                <w:szCs w:val="19"/>
                <w:color w:val="auto"/>
              </w:rPr>
            </w:pP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158 %</w:t>
            </w:r>
          </w:p>
        </w:tc>
        <w:tc>
          <w:tcPr>
            <w:tcW w:w="0" w:type="dxa"/>
            <w:vAlign w:val="bottom"/>
          </w:tcPr>
          <w:p>
            <w:pPr>
              <w:spacing w:after="0"/>
              <w:rPr>
                <w:sz w:val="1"/>
                <w:szCs w:val="1"/>
                <w:color w:val="auto"/>
              </w:rPr>
            </w:pPr>
          </w:p>
        </w:tc>
      </w:tr>
      <w:tr>
        <w:trPr>
          <w:trHeight w:val="197"/>
        </w:trPr>
        <w:tc>
          <w:tcPr>
            <w:tcW w:w="3440" w:type="dxa"/>
            <w:vAlign w:val="bottom"/>
          </w:tcPr>
          <w:p>
            <w:pPr>
              <w:ind w:left="20"/>
              <w:spacing w:after="0" w:line="197" w:lineRule="exact"/>
              <w:rPr>
                <w:sz w:val="20"/>
                <w:szCs w:val="20"/>
                <w:color w:val="auto"/>
              </w:rPr>
            </w:pPr>
            <w:r>
              <w:rPr>
                <w:rFonts w:ascii="Arial" w:cs="Arial" w:eastAsia="Arial" w:hAnsi="Arial"/>
                <w:sz w:val="18"/>
                <w:szCs w:val="18"/>
                <w:color w:val="auto"/>
              </w:rPr>
              <w:t>Net loss attributable to common</w:t>
            </w: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5"/>
        </w:trPr>
        <w:tc>
          <w:tcPr>
            <w:tcW w:w="3440" w:type="dxa"/>
            <w:vAlign w:val="bottom"/>
          </w:tcPr>
          <w:p>
            <w:pPr>
              <w:ind w:left="20"/>
              <w:spacing w:after="0"/>
              <w:rPr>
                <w:sz w:val="20"/>
                <w:szCs w:val="20"/>
                <w:color w:val="auto"/>
              </w:rPr>
            </w:pPr>
            <w:r>
              <w:rPr>
                <w:rFonts w:ascii="Arial" w:cs="Arial" w:eastAsia="Arial" w:hAnsi="Arial"/>
                <w:sz w:val="18"/>
                <w:szCs w:val="18"/>
                <w:color w:val="auto"/>
              </w:rPr>
              <w:t>stockholders</w:t>
            </w:r>
          </w:p>
        </w:tc>
        <w:tc>
          <w:tcPr>
            <w:tcW w:w="180" w:type="dxa"/>
            <w:vAlign w:val="bottom"/>
          </w:tcPr>
          <w:p>
            <w:pPr>
              <w:spacing w:after="0"/>
              <w:rPr>
                <w:sz w:val="20"/>
                <w:szCs w:val="20"/>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(24,423 )</w:t>
            </w:r>
          </w:p>
        </w:tc>
        <w:tc>
          <w:tcPr>
            <w:tcW w:w="220" w:type="dxa"/>
            <w:vAlign w:val="bottom"/>
          </w:tcPr>
          <w:p>
            <w:pPr>
              <w:spacing w:after="0"/>
              <w:rPr>
                <w:sz w:val="20"/>
                <w:szCs w:val="20"/>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(23,905 )</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(2 )%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(76,025 )</w:t>
            </w:r>
          </w:p>
        </w:tc>
        <w:tc>
          <w:tcPr>
            <w:tcW w:w="20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(61,379 )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(24 )%</w:t>
            </w:r>
          </w:p>
        </w:tc>
        <w:tc>
          <w:tcPr>
            <w:tcW w:w="0" w:type="dxa"/>
            <w:vAlign w:val="bottom"/>
          </w:tcPr>
          <w:p>
            <w:pPr>
              <w:spacing w:after="0"/>
              <w:rPr>
                <w:sz w:val="1"/>
                <w:szCs w:val="1"/>
                <w:color w:val="auto"/>
              </w:rPr>
            </w:pPr>
          </w:p>
        </w:tc>
      </w:tr>
      <w:tr>
        <w:trPr>
          <w:trHeight w:val="203"/>
        </w:trPr>
        <w:tc>
          <w:tcPr>
            <w:tcW w:w="3440" w:type="dxa"/>
            <w:vAlign w:val="bottom"/>
          </w:tcPr>
          <w:p>
            <w:pPr>
              <w:ind w:left="20"/>
              <w:spacing w:after="0" w:line="202" w:lineRule="exact"/>
              <w:rPr>
                <w:sz w:val="20"/>
                <w:szCs w:val="20"/>
                <w:color w:val="auto"/>
              </w:rPr>
            </w:pPr>
            <w:r>
              <w:rPr>
                <w:rFonts w:ascii="Arial" w:cs="Arial" w:eastAsia="Arial" w:hAnsi="Arial"/>
                <w:sz w:val="18"/>
                <w:szCs w:val="18"/>
                <w:color w:val="auto"/>
              </w:rPr>
              <w:t>EPS, basic and diluted</w:t>
            </w:r>
          </w:p>
        </w:tc>
        <w:tc>
          <w:tcPr>
            <w:tcW w:w="180" w:type="dxa"/>
            <w:vAlign w:val="bottom"/>
          </w:tcPr>
          <w:p>
            <w:pPr>
              <w:spacing w:after="0"/>
              <w:rPr>
                <w:sz w:val="17"/>
                <w:szCs w:val="17"/>
                <w:color w:val="auto"/>
              </w:rPr>
            </w:pPr>
          </w:p>
        </w:tc>
        <w:tc>
          <w:tcPr>
            <w:tcW w:w="1140" w:type="dxa"/>
            <w:vAlign w:val="bottom"/>
            <w:gridSpan w:val="2"/>
          </w:tcPr>
          <w:p>
            <w:pPr>
              <w:jc w:val="right"/>
              <w:ind w:right="180"/>
              <w:spacing w:after="0" w:line="202" w:lineRule="exact"/>
              <w:rPr>
                <w:sz w:val="20"/>
                <w:szCs w:val="20"/>
                <w:color w:val="auto"/>
              </w:rPr>
            </w:pPr>
            <w:r>
              <w:rPr>
                <w:rFonts w:ascii="Arial" w:cs="Arial" w:eastAsia="Arial" w:hAnsi="Arial"/>
                <w:sz w:val="18"/>
                <w:szCs w:val="18"/>
                <w:color w:val="auto"/>
              </w:rPr>
              <w:t>(0.51 )</w:t>
            </w:r>
          </w:p>
        </w:tc>
        <w:tc>
          <w:tcPr>
            <w:tcW w:w="220" w:type="dxa"/>
            <w:vAlign w:val="bottom"/>
          </w:tcPr>
          <w:p>
            <w:pPr>
              <w:spacing w:after="0"/>
              <w:rPr>
                <w:sz w:val="17"/>
                <w:szCs w:val="17"/>
                <w:color w:val="auto"/>
              </w:rPr>
            </w:pPr>
          </w:p>
        </w:tc>
        <w:tc>
          <w:tcPr>
            <w:tcW w:w="106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(0.53 )</w:t>
            </w:r>
          </w:p>
        </w:tc>
        <w:tc>
          <w:tcPr>
            <w:tcW w:w="1380" w:type="dxa"/>
            <w:vAlign w:val="bottom"/>
            <w:gridSpan w:val="2"/>
          </w:tcPr>
          <w:p>
            <w:pPr>
              <w:jc w:val="right"/>
              <w:ind w:right="60"/>
              <w:spacing w:after="0" w:line="202" w:lineRule="exact"/>
              <w:rPr>
                <w:sz w:val="20"/>
                <w:szCs w:val="20"/>
                <w:color w:val="auto"/>
              </w:rPr>
            </w:pPr>
            <w:r>
              <w:rPr>
                <w:rFonts w:ascii="Arial" w:cs="Arial" w:eastAsia="Arial" w:hAnsi="Arial"/>
                <w:sz w:val="18"/>
                <w:szCs w:val="18"/>
                <w:color w:val="auto"/>
              </w:rPr>
              <w:t>4 %</w:t>
            </w:r>
          </w:p>
        </w:tc>
        <w:tc>
          <w:tcPr>
            <w:tcW w:w="200" w:type="dxa"/>
            <w:vAlign w:val="bottom"/>
          </w:tcPr>
          <w:p>
            <w:pPr>
              <w:spacing w:after="0"/>
              <w:rPr>
                <w:sz w:val="17"/>
                <w:szCs w:val="17"/>
                <w:color w:val="auto"/>
              </w:rPr>
            </w:pPr>
          </w:p>
        </w:tc>
        <w:tc>
          <w:tcPr>
            <w:tcW w:w="1120" w:type="dxa"/>
            <w:vAlign w:val="bottom"/>
            <w:gridSpan w:val="2"/>
          </w:tcPr>
          <w:p>
            <w:pPr>
              <w:jc w:val="right"/>
              <w:ind w:right="160"/>
              <w:spacing w:after="0" w:line="202" w:lineRule="exact"/>
              <w:rPr>
                <w:sz w:val="20"/>
                <w:szCs w:val="20"/>
                <w:color w:val="auto"/>
              </w:rPr>
            </w:pPr>
            <w:r>
              <w:rPr>
                <w:rFonts w:ascii="Arial" w:cs="Arial" w:eastAsia="Arial" w:hAnsi="Arial"/>
                <w:sz w:val="18"/>
                <w:szCs w:val="18"/>
                <w:color w:val="auto"/>
              </w:rPr>
              <w:t>(1.61 )</w:t>
            </w:r>
          </w:p>
        </w:tc>
        <w:tc>
          <w:tcPr>
            <w:tcW w:w="200" w:type="dxa"/>
            <w:vAlign w:val="bottom"/>
          </w:tcPr>
          <w:p>
            <w:pPr>
              <w:spacing w:after="0"/>
              <w:rPr>
                <w:sz w:val="17"/>
                <w:szCs w:val="17"/>
                <w:color w:val="auto"/>
              </w:rPr>
            </w:pPr>
          </w:p>
        </w:tc>
        <w:tc>
          <w:tcPr>
            <w:tcW w:w="1040" w:type="dxa"/>
            <w:vAlign w:val="bottom"/>
            <w:gridSpan w:val="2"/>
          </w:tcPr>
          <w:p>
            <w:pPr>
              <w:jc w:val="right"/>
              <w:ind w:right="140"/>
              <w:spacing w:after="0" w:line="202" w:lineRule="exact"/>
              <w:rPr>
                <w:sz w:val="20"/>
                <w:szCs w:val="20"/>
                <w:color w:val="auto"/>
              </w:rPr>
            </w:pPr>
            <w:r>
              <w:rPr>
                <w:rFonts w:ascii="Arial" w:cs="Arial" w:eastAsia="Arial" w:hAnsi="Arial"/>
                <w:sz w:val="18"/>
                <w:szCs w:val="18"/>
                <w:color w:val="auto"/>
              </w:rPr>
              <w:t>(2.33 )</w:t>
            </w:r>
          </w:p>
        </w:tc>
        <w:tc>
          <w:tcPr>
            <w:tcW w:w="1360" w:type="dxa"/>
            <w:vAlign w:val="bottom"/>
            <w:gridSpan w:val="3"/>
          </w:tcPr>
          <w:p>
            <w:pPr>
              <w:jc w:val="right"/>
              <w:ind w:right="40"/>
              <w:spacing w:after="0" w:line="202" w:lineRule="exact"/>
              <w:rPr>
                <w:sz w:val="20"/>
                <w:szCs w:val="20"/>
                <w:color w:val="auto"/>
              </w:rPr>
            </w:pPr>
            <w:r>
              <w:rPr>
                <w:rFonts w:ascii="Arial" w:cs="Arial" w:eastAsia="Arial" w:hAnsi="Arial"/>
                <w:sz w:val="18"/>
                <w:szCs w:val="18"/>
                <w:color w:val="auto"/>
              </w:rPr>
              <w:t>31 %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line="229" w:lineRule="exact"/>
              <w:rPr>
                <w:sz w:val="20"/>
                <w:szCs w:val="20"/>
                <w:color w:val="auto"/>
              </w:rPr>
            </w:pPr>
            <w:r>
              <w:rPr>
                <w:rFonts w:ascii="Arial" w:cs="Arial" w:eastAsia="Arial" w:hAnsi="Arial"/>
                <w:sz w:val="18"/>
                <w:szCs w:val="18"/>
                <w:color w:val="auto"/>
              </w:rPr>
              <w:t>Adjusted EBITDA</w:t>
            </w:r>
            <w:r>
              <w:rPr>
                <w:rFonts w:ascii="Arial" w:cs="Arial" w:eastAsia="Arial" w:hAnsi="Arial"/>
                <w:sz w:val="24"/>
                <w:szCs w:val="24"/>
                <w:color w:val="auto"/>
                <w:vertAlign w:val="superscript"/>
              </w:rPr>
              <w:t>(1)</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(14,249 )</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(11,854 )</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(20 )%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(41,765 )</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(39,757 )</w:t>
            </w:r>
          </w:p>
        </w:tc>
        <w:tc>
          <w:tcPr>
            <w:tcW w:w="1360" w:type="dxa"/>
            <w:vAlign w:val="bottom"/>
            <w:gridSpan w:val="3"/>
          </w:tcPr>
          <w:p>
            <w:pPr>
              <w:jc w:val="right"/>
              <w:spacing w:after="0"/>
              <w:rPr>
                <w:sz w:val="20"/>
                <w:szCs w:val="20"/>
                <w:color w:val="auto"/>
              </w:rPr>
            </w:pPr>
            <w:r>
              <w:rPr>
                <w:rFonts w:ascii="Arial" w:cs="Arial" w:eastAsia="Arial" w:hAnsi="Arial"/>
                <w:sz w:val="18"/>
                <w:szCs w:val="18"/>
                <w:color w:val="auto"/>
              </w:rPr>
              <w:t>(5 )%</w:t>
            </w: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line="229" w:lineRule="exact"/>
              <w:rPr>
                <w:sz w:val="20"/>
                <w:szCs w:val="20"/>
                <w:color w:val="auto"/>
              </w:rPr>
            </w:pPr>
            <w:r>
              <w:rPr>
                <w:rFonts w:ascii="Arial" w:cs="Arial" w:eastAsia="Arial" w:hAnsi="Arial"/>
                <w:sz w:val="18"/>
                <w:szCs w:val="18"/>
                <w:color w:val="auto"/>
              </w:rPr>
              <w:t>Non-GAAP net loss</w:t>
            </w:r>
            <w:r>
              <w:rPr>
                <w:rFonts w:ascii="Arial" w:cs="Arial" w:eastAsia="Arial" w:hAnsi="Arial"/>
                <w:sz w:val="24"/>
                <w:szCs w:val="24"/>
                <w:color w:val="auto"/>
                <w:vertAlign w:val="superscript"/>
              </w:rPr>
              <w:t>(1)</w:t>
            </w:r>
          </w:p>
        </w:tc>
        <w:tc>
          <w:tcPr>
            <w:tcW w:w="18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(13,729 )</w:t>
            </w:r>
          </w:p>
        </w:tc>
        <w:tc>
          <w:tcPr>
            <w:tcW w:w="220" w:type="dxa"/>
            <w:vAlign w:val="bottom"/>
          </w:tcPr>
          <w:p>
            <w:pPr>
              <w:spacing w:after="0"/>
              <w:rPr>
                <w:sz w:val="19"/>
                <w:szCs w:val="19"/>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(11,414 )</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(20 )%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(40,097 )</w:t>
            </w:r>
          </w:p>
        </w:tc>
        <w:tc>
          <w:tcPr>
            <w:tcW w:w="200" w:type="dxa"/>
            <w:vAlign w:val="bottom"/>
          </w:tcPr>
          <w:p>
            <w:pPr>
              <w:spacing w:after="0"/>
              <w:rPr>
                <w:sz w:val="19"/>
                <w:szCs w:val="19"/>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(40,432 )</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1 %</w:t>
            </w:r>
          </w:p>
        </w:tc>
        <w:tc>
          <w:tcPr>
            <w:tcW w:w="0" w:type="dxa"/>
            <w:vAlign w:val="bottom"/>
          </w:tcPr>
          <w:p>
            <w:pPr>
              <w:spacing w:after="0"/>
              <w:rPr>
                <w:sz w:val="1"/>
                <w:szCs w:val="1"/>
                <w:color w:val="auto"/>
              </w:rPr>
            </w:pPr>
          </w:p>
        </w:tc>
      </w:tr>
      <w:tr>
        <w:trPr>
          <w:trHeight w:val="256"/>
        </w:trPr>
        <w:tc>
          <w:tcPr>
            <w:tcW w:w="3440" w:type="dxa"/>
            <w:vAlign w:val="bottom"/>
          </w:tcPr>
          <w:p>
            <w:pPr>
              <w:ind w:left="20"/>
              <w:spacing w:after="0" w:line="256" w:lineRule="exact"/>
              <w:rPr>
                <w:sz w:val="20"/>
                <w:szCs w:val="20"/>
                <w:color w:val="auto"/>
              </w:rPr>
            </w:pPr>
            <w:r>
              <w:rPr>
                <w:rFonts w:ascii="Arial" w:cs="Arial" w:eastAsia="Arial" w:hAnsi="Arial"/>
                <w:sz w:val="18"/>
                <w:szCs w:val="18"/>
                <w:color w:val="auto"/>
              </w:rPr>
              <w:t>Non-GAAP EPS, basic and diluted</w:t>
            </w:r>
            <w:r>
              <w:rPr>
                <w:rFonts w:ascii="Arial" w:cs="Arial" w:eastAsia="Arial" w:hAnsi="Arial"/>
                <w:sz w:val="24"/>
                <w:szCs w:val="24"/>
                <w:color w:val="auto"/>
                <w:vertAlign w:val="superscript"/>
              </w:rPr>
              <w:t>(1)</w:t>
            </w:r>
          </w:p>
        </w:tc>
        <w:tc>
          <w:tcPr>
            <w:tcW w:w="180" w:type="dxa"/>
            <w:vAlign w:val="bottom"/>
          </w:tcPr>
          <w:p>
            <w:pPr>
              <w:spacing w:after="0"/>
              <w:rPr>
                <w:sz w:val="22"/>
                <w:szCs w:val="22"/>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(0.29 )</w:t>
            </w:r>
          </w:p>
        </w:tc>
        <w:tc>
          <w:tcPr>
            <w:tcW w:w="220" w:type="dxa"/>
            <w:vAlign w:val="bottom"/>
          </w:tcPr>
          <w:p>
            <w:pPr>
              <w:spacing w:after="0"/>
              <w:rPr>
                <w:sz w:val="22"/>
                <w:szCs w:val="22"/>
                <w:color w:val="auto"/>
              </w:rPr>
            </w:pPr>
          </w:p>
        </w:tc>
        <w:tc>
          <w:tcPr>
            <w:tcW w:w="1060" w:type="dxa"/>
            <w:vAlign w:val="bottom"/>
            <w:gridSpan w:val="2"/>
          </w:tcPr>
          <w:p>
            <w:pPr>
              <w:jc w:val="right"/>
              <w:ind w:right="160"/>
              <w:spacing w:after="0"/>
              <w:rPr>
                <w:sz w:val="20"/>
                <w:szCs w:val="20"/>
                <w:color w:val="auto"/>
              </w:rPr>
            </w:pPr>
            <w:r>
              <w:rPr>
                <w:rFonts w:ascii="Arial" w:cs="Arial" w:eastAsia="Arial" w:hAnsi="Arial"/>
                <w:sz w:val="18"/>
                <w:szCs w:val="18"/>
                <w:color w:val="auto"/>
              </w:rPr>
              <w:t>(0.25 )</w:t>
            </w:r>
          </w:p>
        </w:tc>
        <w:tc>
          <w:tcPr>
            <w:tcW w:w="1580" w:type="dxa"/>
            <w:vAlign w:val="bottom"/>
            <w:gridSpan w:val="3"/>
          </w:tcPr>
          <w:p>
            <w:pPr>
              <w:jc w:val="right"/>
              <w:ind w:right="110"/>
              <w:spacing w:after="0"/>
              <w:rPr>
                <w:sz w:val="20"/>
                <w:szCs w:val="20"/>
                <w:color w:val="auto"/>
              </w:rPr>
            </w:pPr>
            <w:r>
              <w:rPr>
                <w:rFonts w:ascii="Arial" w:cs="Arial" w:eastAsia="Arial" w:hAnsi="Arial"/>
                <w:sz w:val="18"/>
                <w:szCs w:val="18"/>
                <w:color w:val="auto"/>
              </w:rPr>
              <w:t>(16 )%</w:t>
            </w:r>
          </w:p>
        </w:tc>
        <w:tc>
          <w:tcPr>
            <w:tcW w:w="1120" w:type="dxa"/>
            <w:vAlign w:val="bottom"/>
            <w:gridSpan w:val="2"/>
          </w:tcPr>
          <w:p>
            <w:pPr>
              <w:jc w:val="right"/>
              <w:ind w:right="160"/>
              <w:spacing w:after="0"/>
              <w:rPr>
                <w:sz w:val="20"/>
                <w:szCs w:val="20"/>
                <w:color w:val="auto"/>
              </w:rPr>
            </w:pPr>
            <w:r>
              <w:rPr>
                <w:rFonts w:ascii="Arial" w:cs="Arial" w:eastAsia="Arial" w:hAnsi="Arial"/>
                <w:sz w:val="18"/>
                <w:szCs w:val="18"/>
                <w:color w:val="auto"/>
              </w:rPr>
              <w:t>(0.85 )</w:t>
            </w:r>
          </w:p>
        </w:tc>
        <w:tc>
          <w:tcPr>
            <w:tcW w:w="200" w:type="dxa"/>
            <w:vAlign w:val="bottom"/>
          </w:tcPr>
          <w:p>
            <w:pPr>
              <w:spacing w:after="0"/>
              <w:rPr>
                <w:sz w:val="22"/>
                <w:szCs w:val="22"/>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(1.54 )</w:t>
            </w:r>
          </w:p>
        </w:tc>
        <w:tc>
          <w:tcPr>
            <w:tcW w:w="1360" w:type="dxa"/>
            <w:vAlign w:val="bottom"/>
            <w:gridSpan w:val="3"/>
          </w:tcPr>
          <w:p>
            <w:pPr>
              <w:jc w:val="right"/>
              <w:ind w:right="40"/>
              <w:spacing w:after="0"/>
              <w:rPr>
                <w:sz w:val="20"/>
                <w:szCs w:val="20"/>
                <w:color w:val="auto"/>
              </w:rPr>
            </w:pPr>
            <w:r>
              <w:rPr>
                <w:rFonts w:ascii="Arial" w:cs="Arial" w:eastAsia="Arial" w:hAnsi="Arial"/>
                <w:sz w:val="18"/>
                <w:szCs w:val="18"/>
                <w:color w:val="auto"/>
              </w:rPr>
              <w:t>45 %</w:t>
            </w:r>
          </w:p>
        </w:tc>
        <w:tc>
          <w:tcPr>
            <w:tcW w:w="0" w:type="dxa"/>
            <w:vAlign w:val="bottom"/>
          </w:tcPr>
          <w:p>
            <w:pPr>
              <w:spacing w:after="0"/>
              <w:rPr>
                <w:sz w:val="1"/>
                <w:szCs w:val="1"/>
                <w:color w:val="auto"/>
              </w:rPr>
            </w:pPr>
          </w:p>
        </w:tc>
      </w:tr>
      <w:tr>
        <w:trPr>
          <w:trHeight w:val="229"/>
        </w:trPr>
        <w:tc>
          <w:tcPr>
            <w:tcW w:w="34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Marketplace</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79,062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303,134</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57,630</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216,336</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21,432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86,798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4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4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344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Supplier services</w:t>
            </w:r>
          </w:p>
        </w:tc>
        <w:tc>
          <w:tcPr>
            <w:tcW w:w="18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Pr>
          <w:p>
            <w:pPr>
              <w:ind w:left="20"/>
              <w:spacing w:after="0"/>
              <w:rPr>
                <w:sz w:val="20"/>
                <w:szCs w:val="20"/>
                <w:color w:val="auto"/>
              </w:rPr>
            </w:pPr>
            <w:r>
              <w:rPr>
                <w:rFonts w:ascii="Arial" w:cs="Arial" w:eastAsia="Arial" w:hAnsi="Arial"/>
                <w:sz w:val="18"/>
                <w:szCs w:val="18"/>
                <w:color w:val="auto"/>
              </w:rPr>
              <w:t>Revenue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19,134</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580" w:type="dxa"/>
            <w:vAlign w:val="bottom"/>
            <w:gridSpan w:val="3"/>
          </w:tcPr>
          <w:p>
            <w:pPr>
              <w:jc w:val="right"/>
              <w:ind w:right="1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77,919</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4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Cost of revenue</w:t>
            </w:r>
          </w:p>
        </w:tc>
        <w:tc>
          <w:tcPr>
            <w:tcW w:w="18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4,536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4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17,151</w:t>
            </w:r>
          </w:p>
        </w:tc>
        <w:tc>
          <w:tcPr>
            <w:tcW w:w="220" w:type="dxa"/>
            <w:vAlign w:val="bottom"/>
            <w:tcBorders>
              <w:bottom w:val="single" w:sz="8" w:color="CFF0FC"/>
            </w:tcBorders>
            <w:shd w:val="clear" w:color="auto" w:fill="CFF0FC"/>
          </w:tcPr>
          <w:p>
            <w:pPr>
              <w:spacing w:after="0"/>
              <w:rPr>
                <w:sz w:val="19"/>
                <w:szCs w:val="19"/>
                <w:color w:val="auto"/>
              </w:rPr>
            </w:pPr>
          </w:p>
        </w:tc>
        <w:tc>
          <w:tcPr>
            <w:tcW w:w="200" w:type="dxa"/>
            <w:vAlign w:val="bottom"/>
            <w:tcBorders>
              <w:bottom w:val="single" w:sz="8" w:color="CFF0FC"/>
            </w:tcBorders>
            <w:shd w:val="clear" w:color="auto" w:fill="CFF0FC"/>
          </w:tcPr>
          <w:p>
            <w:pPr>
              <w:spacing w:after="0"/>
              <w:rPr>
                <w:sz w:val="19"/>
                <w:szCs w:val="19"/>
                <w:color w:val="auto"/>
              </w:rPr>
            </w:pPr>
          </w:p>
        </w:tc>
        <w:tc>
          <w:tcPr>
            <w:tcW w:w="8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CFF0FC"/>
            </w:tcBorders>
            <w:shd w:val="clear" w:color="auto" w:fill="CFF0FC"/>
          </w:tcPr>
          <w:p>
            <w:pPr>
              <w:spacing w:after="0"/>
              <w:rPr>
                <w:sz w:val="19"/>
                <w:szCs w:val="19"/>
                <w:color w:val="auto"/>
              </w:rPr>
            </w:pPr>
          </w:p>
        </w:tc>
        <w:tc>
          <w:tcPr>
            <w:tcW w:w="116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40" w:type="dxa"/>
            <w:vAlign w:val="bottom"/>
          </w:tcPr>
          <w:p>
            <w:pPr>
              <w:ind w:left="20"/>
              <w:spacing w:after="0"/>
              <w:rPr>
                <w:sz w:val="20"/>
                <w:szCs w:val="20"/>
                <w:color w:val="auto"/>
              </w:rPr>
            </w:pPr>
            <w:r>
              <w:rPr>
                <w:rFonts w:ascii="Arial" w:cs="Arial" w:eastAsia="Arial" w:hAnsi="Arial"/>
                <w:sz w:val="18"/>
                <w:szCs w:val="18"/>
                <w:color w:val="auto"/>
              </w:rPr>
              <w:t>Gross Profit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14,598</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80" w:type="dxa"/>
            <w:vAlign w:val="bottom"/>
            <w:gridSpan w:val="2"/>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60,768</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-2653665</wp:posOffset>
            </wp:positionV>
            <wp:extent cx="7132320" cy="1454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-2362835</wp:posOffset>
            </wp:positionV>
            <wp:extent cx="7132320" cy="27368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7368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-1943100</wp:posOffset>
            </wp:positionV>
            <wp:extent cx="7132320" cy="1454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-1651635</wp:posOffset>
            </wp:positionV>
            <wp:extent cx="7132320" cy="145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-923925</wp:posOffset>
            </wp:positionV>
            <wp:extent cx="76835" cy="3251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-923925</wp:posOffset>
            </wp:positionV>
            <wp:extent cx="68580" cy="3251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2865120</wp:posOffset>
            </wp:positionH>
            <wp:positionV relativeFrom="paragraph">
              <wp:posOffset>-161925</wp:posOffset>
            </wp:positionV>
            <wp:extent cx="76835" cy="1797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-161925</wp:posOffset>
            </wp:positionV>
            <wp:extent cx="68580" cy="1797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ind w:left="380" w:right="560" w:hanging="372"/>
        <w:spacing w:after="0" w:line="257" w:lineRule="auto"/>
        <w:tabs>
          <w:tab w:leader="none" w:pos="380" w:val="left"/>
        </w:tabs>
        <w:numPr>
          <w:ilvl w:val="0"/>
          <w:numId w:val="8"/>
        </w:numPr>
        <w:rPr>
          <w:rFonts w:ascii="Arial" w:cs="Arial" w:eastAsia="Arial" w:hAnsi="Arial"/>
          <w:sz w:val="20"/>
          <w:szCs w:val="20"/>
          <w:color w:val="auto"/>
        </w:rPr>
      </w:pPr>
      <w:r>
        <w:rPr>
          <w:rFonts w:ascii="Arial" w:cs="Arial" w:eastAsia="Arial" w:hAnsi="Arial"/>
          <w:sz w:val="20"/>
          <w:szCs w:val="20"/>
          <w:color w:val="auto"/>
        </w:rPr>
        <w:t>These non-GAAP financial measures, and reasons why we believe these non-GAAP financial measures are useful, are described below and reconciled to their most directly comparable GAAP measures in the accompanying tables.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2179955</wp:posOffset>
            </wp:positionH>
            <wp:positionV relativeFrom="paragraph">
              <wp:posOffset>-306705</wp:posOffset>
            </wp:positionV>
            <wp:extent cx="6851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165" cy="8255"/>
                    </a:xfrm>
                    <a:prstGeom prst="rect">
                      <a:avLst/>
                    </a:prstGeom>
                    <a:noFill/>
                  </pic:spPr>
                </pic:pic>
              </a:graphicData>
            </a:graphic>
          </wp:anchor>
        </w:drawing>
        <w:drawing>
          <wp:anchor simplePos="0" relativeHeight="251657728" behindDoc="1" locked="0" layoutInCell="0" allowOverlap="1">
            <wp:simplePos x="0" y="0"/>
            <wp:positionH relativeFrom="column">
              <wp:posOffset>4705985</wp:posOffset>
            </wp:positionH>
            <wp:positionV relativeFrom="paragraph">
              <wp:posOffset>-306705</wp:posOffset>
            </wp:positionV>
            <wp:extent cx="70231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02310" cy="8255"/>
                    </a:xfrm>
                    <a:prstGeom prst="rect">
                      <a:avLst/>
                    </a:prstGeom>
                    <a:noFill/>
                  </pic:spPr>
                </pic:pic>
              </a:graphicData>
            </a:graphic>
          </wp:anchor>
        </w:drawing>
      </w:r>
    </w:p>
    <w:p>
      <w:pPr>
        <w:spacing w:after="0" w:line="200" w:lineRule="exact"/>
        <w:rPr>
          <w:sz w:val="20"/>
          <w:szCs w:val="20"/>
          <w:color w:val="auto"/>
        </w:rPr>
      </w:pPr>
    </w:p>
    <w:p>
      <w:pPr>
        <w:spacing w:after="0" w:line="369"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40"/>
          </w:cols>
          <w:pgMar w:left="320" w:top="442" w:right="23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Key Operating Metrics</w:t>
      </w:r>
      <w:r>
        <w:rPr>
          <w:rFonts w:ascii="Arial" w:cs="Arial" w:eastAsia="Arial" w:hAnsi="Arial"/>
          <w:sz w:val="26"/>
          <w:szCs w:val="26"/>
          <w:b w:val="1"/>
          <w:bCs w:val="1"/>
          <w:color w:val="auto"/>
          <w:vertAlign w:val="superscript"/>
        </w:rPr>
        <w:t>(2)</w:t>
      </w:r>
      <w:r>
        <w:rPr>
          <w:rFonts w:ascii="Arial" w:cs="Arial" w:eastAsia="Arial" w:hAnsi="Arial"/>
          <w:sz w:val="20"/>
          <w:szCs w:val="20"/>
          <w:b w:val="1"/>
          <w:bCs w:val="1"/>
          <w:color w:val="auto"/>
        </w:rPr>
        <w:t>:</w:t>
      </w:r>
    </w:p>
    <w:tbl>
      <w:tblPr>
        <w:tblLayout w:type="fixed"/>
        <w:tblInd w:w="0" w:type="dxa"/>
        <w:tblCellMar>
          <w:top w:w="0" w:type="dxa"/>
          <w:left w:w="0" w:type="dxa"/>
          <w:bottom w:w="0" w:type="dxa"/>
          <w:right w:w="0" w:type="dxa"/>
        </w:tblCellMar>
      </w:tblPr>
      <w:tr>
        <w:trPr>
          <w:trHeight w:val="217"/>
        </w:trPr>
        <w:tc>
          <w:tcPr>
            <w:tcW w:w="6480" w:type="dxa"/>
            <w:vAlign w:val="bottom"/>
          </w:tcPr>
          <w:p>
            <w:pPr>
              <w:spacing w:after="0"/>
              <w:rPr>
                <w:sz w:val="18"/>
                <w:szCs w:val="18"/>
                <w:color w:val="auto"/>
              </w:rPr>
            </w:pPr>
          </w:p>
        </w:tc>
        <w:tc>
          <w:tcPr>
            <w:tcW w:w="136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gridSpan w:val="3"/>
          </w:tcPr>
          <w:p>
            <w:pPr>
              <w:jc w:val="right"/>
              <w:ind w:right="180"/>
              <w:spacing w:after="0"/>
              <w:rPr>
                <w:sz w:val="20"/>
                <w:szCs w:val="20"/>
                <w:color w:val="auto"/>
              </w:rPr>
            </w:pPr>
            <w:r>
              <w:rPr>
                <w:rFonts w:ascii="Arial" w:cs="Arial" w:eastAsia="Arial" w:hAnsi="Arial"/>
                <w:sz w:val="18"/>
                <w:szCs w:val="18"/>
                <w:b w:val="1"/>
                <w:bCs w:val="1"/>
                <w:color w:val="auto"/>
              </w:rPr>
              <w:t>As of December 31,</w:t>
            </w:r>
          </w:p>
        </w:tc>
        <w:tc>
          <w:tcPr>
            <w:tcW w:w="1320" w:type="dxa"/>
            <w:vAlign w:val="bottom"/>
            <w:tcBorders>
              <w:bottom w:val="single" w:sz="8" w:color="auto"/>
            </w:tcBorders>
          </w:tcPr>
          <w:p>
            <w:pPr>
              <w:spacing w:after="0"/>
              <w:rPr>
                <w:sz w:val="18"/>
                <w:szCs w:val="18"/>
                <w:color w:val="auto"/>
              </w:rPr>
            </w:pPr>
          </w:p>
        </w:tc>
        <w:tc>
          <w:tcPr>
            <w:tcW w:w="160" w:type="dxa"/>
            <w:vAlign w:val="bottom"/>
          </w:tcPr>
          <w:p>
            <w:pPr>
              <w:spacing w:after="0"/>
              <w:rPr>
                <w:sz w:val="18"/>
                <w:szCs w:val="18"/>
                <w:color w:val="auto"/>
              </w:rPr>
            </w:pPr>
          </w:p>
        </w:tc>
      </w:tr>
      <w:tr>
        <w:trPr>
          <w:trHeight w:val="190"/>
        </w:trPr>
        <w:tc>
          <w:tcPr>
            <w:tcW w:w="6480" w:type="dxa"/>
            <w:vAlign w:val="bottom"/>
          </w:tcPr>
          <w:p>
            <w:pPr>
              <w:spacing w:after="0"/>
              <w:rPr>
                <w:sz w:val="16"/>
                <w:szCs w:val="16"/>
                <w:color w:val="auto"/>
              </w:rPr>
            </w:pPr>
          </w:p>
        </w:tc>
        <w:tc>
          <w:tcPr>
            <w:tcW w:w="1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20" w:type="dxa"/>
            <w:vAlign w:val="bottom"/>
          </w:tcPr>
          <w:p>
            <w:pPr>
              <w:jc w:val="right"/>
              <w:ind w:right="530"/>
              <w:spacing w:after="0" w:line="190" w:lineRule="exact"/>
              <w:rPr>
                <w:sz w:val="20"/>
                <w:szCs w:val="20"/>
                <w:color w:val="auto"/>
              </w:rPr>
            </w:pPr>
            <w:r>
              <w:rPr>
                <w:rFonts w:ascii="Arial" w:cs="Arial" w:eastAsia="Arial" w:hAnsi="Arial"/>
                <w:sz w:val="18"/>
                <w:szCs w:val="18"/>
                <w:b w:val="1"/>
                <w:bCs w:val="1"/>
                <w:color w:val="auto"/>
              </w:rPr>
              <w:t>%</w:t>
            </w:r>
          </w:p>
        </w:tc>
        <w:tc>
          <w:tcPr>
            <w:tcW w:w="160" w:type="dxa"/>
            <w:vAlign w:val="bottom"/>
          </w:tcPr>
          <w:p>
            <w:pPr>
              <w:spacing w:after="0"/>
              <w:rPr>
                <w:sz w:val="16"/>
                <w:szCs w:val="16"/>
                <w:color w:val="auto"/>
              </w:rPr>
            </w:pPr>
          </w:p>
        </w:tc>
      </w:tr>
      <w:tr>
        <w:trPr>
          <w:trHeight w:val="235"/>
        </w:trPr>
        <w:tc>
          <w:tcPr>
            <w:tcW w:w="6480" w:type="dxa"/>
            <w:vAlign w:val="bottom"/>
          </w:tcPr>
          <w:p>
            <w:pPr>
              <w:spacing w:after="0"/>
              <w:rPr>
                <w:sz w:val="20"/>
                <w:szCs w:val="20"/>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20"/>
                <w:szCs w:val="20"/>
                <w:color w:val="auto"/>
              </w:rPr>
            </w:pPr>
          </w:p>
        </w:tc>
        <w:tc>
          <w:tcPr>
            <w:tcW w:w="152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20"/>
                <w:szCs w:val="20"/>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Change</w:t>
            </w:r>
          </w:p>
        </w:tc>
        <w:tc>
          <w:tcPr>
            <w:tcW w:w="160" w:type="dxa"/>
            <w:vAlign w:val="bottom"/>
          </w:tcPr>
          <w:p>
            <w:pPr>
              <w:spacing w:after="0"/>
              <w:rPr>
                <w:sz w:val="20"/>
                <w:szCs w:val="20"/>
                <w:color w:val="auto"/>
              </w:rPr>
            </w:pPr>
          </w:p>
        </w:tc>
      </w:tr>
      <w:tr>
        <w:trPr>
          <w:trHeight w:val="425"/>
        </w:trPr>
        <w:tc>
          <w:tcPr>
            <w:tcW w:w="6480" w:type="dxa"/>
            <w:vAlign w:val="bottom"/>
          </w:tcPr>
          <w:p>
            <w:pPr>
              <w:ind w:left="20"/>
              <w:spacing w:after="0"/>
              <w:rPr>
                <w:sz w:val="20"/>
                <w:szCs w:val="20"/>
                <w:color w:val="auto"/>
              </w:rPr>
            </w:pPr>
            <w:r>
              <w:rPr>
                <w:rFonts w:ascii="Arial" w:cs="Arial" w:eastAsia="Arial" w:hAnsi="Arial"/>
                <w:sz w:val="18"/>
                <w:szCs w:val="18"/>
                <w:color w:val="auto"/>
              </w:rPr>
              <w:t>Active Buyers</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40,664</w:t>
            </w:r>
          </w:p>
        </w:tc>
        <w:tc>
          <w:tcPr>
            <w:tcW w:w="240" w:type="dxa"/>
            <w:vAlign w:val="bottom"/>
          </w:tcPr>
          <w:p>
            <w:pPr>
              <w:spacing w:after="0"/>
              <w:rPr>
                <w:sz w:val="24"/>
                <w:szCs w:val="24"/>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28,130</w:t>
            </w:r>
          </w:p>
        </w:tc>
        <w:tc>
          <w:tcPr>
            <w:tcW w:w="220" w:type="dxa"/>
            <w:vAlign w:val="bottom"/>
          </w:tcPr>
          <w:p>
            <w:pPr>
              <w:spacing w:after="0"/>
              <w:rPr>
                <w:sz w:val="24"/>
                <w:szCs w:val="24"/>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45 %</w:t>
            </w:r>
          </w:p>
        </w:tc>
      </w:tr>
      <w:tr>
        <w:trPr>
          <w:trHeight w:val="229"/>
        </w:trPr>
        <w:tc>
          <w:tcPr>
            <w:tcW w:w="6480" w:type="dxa"/>
            <w:vAlign w:val="bottom"/>
          </w:tcPr>
          <w:p>
            <w:pPr>
              <w:ind w:left="20"/>
              <w:spacing w:after="0" w:line="229" w:lineRule="exact"/>
              <w:rPr>
                <w:sz w:val="20"/>
                <w:szCs w:val="20"/>
                <w:color w:val="auto"/>
              </w:rPr>
            </w:pPr>
            <w:r>
              <w:rPr>
                <w:rFonts w:ascii="Arial" w:cs="Arial" w:eastAsia="Arial" w:hAnsi="Arial"/>
                <w:sz w:val="18"/>
                <w:szCs w:val="18"/>
                <w:color w:val="auto"/>
              </w:rPr>
              <w:t>Percentage of Revenue from Existing Accounts</w:t>
            </w:r>
            <w:r>
              <w:rPr>
                <w:rFonts w:ascii="Arial" w:cs="Arial" w:eastAsia="Arial" w:hAnsi="Arial"/>
                <w:sz w:val="24"/>
                <w:szCs w:val="24"/>
                <w:color w:val="auto"/>
                <w:vertAlign w:val="superscript"/>
              </w:rPr>
              <w:t>(3)</w:t>
            </w:r>
          </w:p>
        </w:tc>
        <w:tc>
          <w:tcPr>
            <w:tcW w:w="1600" w:type="dxa"/>
            <w:vAlign w:val="bottom"/>
            <w:gridSpan w:val="2"/>
          </w:tcPr>
          <w:p>
            <w:pPr>
              <w:jc w:val="right"/>
              <w:spacing w:after="0"/>
              <w:rPr>
                <w:sz w:val="20"/>
                <w:szCs w:val="20"/>
                <w:color w:val="auto"/>
              </w:rPr>
            </w:pPr>
            <w:r>
              <w:rPr>
                <w:rFonts w:ascii="Arial" w:cs="Arial" w:eastAsia="Arial" w:hAnsi="Arial"/>
                <w:sz w:val="18"/>
                <w:szCs w:val="18"/>
                <w:color w:val="auto"/>
              </w:rPr>
              <w:t>96 %</w:t>
            </w:r>
          </w:p>
        </w:tc>
        <w:tc>
          <w:tcPr>
            <w:tcW w:w="1740" w:type="dxa"/>
            <w:vAlign w:val="bottom"/>
            <w:gridSpan w:val="2"/>
          </w:tcPr>
          <w:p>
            <w:pPr>
              <w:jc w:val="right"/>
              <w:ind w:right="60"/>
              <w:spacing w:after="0"/>
              <w:rPr>
                <w:sz w:val="20"/>
                <w:szCs w:val="20"/>
                <w:color w:val="auto"/>
              </w:rPr>
            </w:pPr>
            <w:r>
              <w:rPr>
                <w:rFonts w:ascii="Arial" w:cs="Arial" w:eastAsia="Arial" w:hAnsi="Arial"/>
                <w:sz w:val="18"/>
                <w:szCs w:val="18"/>
                <w:color w:val="auto"/>
              </w:rPr>
              <w:t>95 %</w:t>
            </w: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1 %</w:t>
            </w:r>
          </w:p>
        </w:tc>
      </w:tr>
      <w:tr>
        <w:trPr>
          <w:trHeight w:val="256"/>
        </w:trPr>
        <w:tc>
          <w:tcPr>
            <w:tcW w:w="6480" w:type="dxa"/>
            <w:vAlign w:val="bottom"/>
          </w:tcPr>
          <w:p>
            <w:pPr>
              <w:ind w:left="20"/>
              <w:spacing w:after="0" w:line="256" w:lineRule="exact"/>
              <w:rPr>
                <w:sz w:val="20"/>
                <w:szCs w:val="20"/>
                <w:color w:val="auto"/>
              </w:rPr>
            </w:pPr>
            <w:r>
              <w:rPr>
                <w:rFonts w:ascii="Arial" w:cs="Arial" w:eastAsia="Arial" w:hAnsi="Arial"/>
                <w:sz w:val="18"/>
                <w:szCs w:val="18"/>
                <w:color w:val="auto"/>
              </w:rPr>
              <w:t>Accounts with Last Twelve-Months Spend of at Least $50,000</w:t>
            </w:r>
            <w:r>
              <w:rPr>
                <w:rFonts w:ascii="Arial" w:cs="Arial" w:eastAsia="Arial" w:hAnsi="Arial"/>
                <w:sz w:val="24"/>
                <w:szCs w:val="24"/>
                <w:color w:val="auto"/>
                <w:vertAlign w:val="superscript"/>
              </w:rPr>
              <w:t>(3)</w:t>
            </w:r>
          </w:p>
        </w:tc>
        <w:tc>
          <w:tcPr>
            <w:tcW w:w="1360" w:type="dxa"/>
            <w:vAlign w:val="bottom"/>
          </w:tcPr>
          <w:p>
            <w:pPr>
              <w:jc w:val="right"/>
              <w:spacing w:after="0"/>
              <w:rPr>
                <w:sz w:val="20"/>
                <w:szCs w:val="20"/>
                <w:color w:val="auto"/>
              </w:rPr>
            </w:pPr>
            <w:r>
              <w:rPr>
                <w:rFonts w:ascii="Arial" w:cs="Arial" w:eastAsia="Arial" w:hAnsi="Arial"/>
                <w:sz w:val="18"/>
                <w:szCs w:val="18"/>
                <w:color w:val="auto"/>
              </w:rPr>
              <w:t>1,027</w:t>
            </w:r>
          </w:p>
        </w:tc>
        <w:tc>
          <w:tcPr>
            <w:tcW w:w="240" w:type="dxa"/>
            <w:vAlign w:val="bottom"/>
          </w:tcPr>
          <w:p>
            <w:pPr>
              <w:spacing w:after="0"/>
              <w:rPr>
                <w:sz w:val="22"/>
                <w:szCs w:val="22"/>
                <w:color w:val="auto"/>
              </w:rPr>
            </w:pPr>
          </w:p>
        </w:tc>
        <w:tc>
          <w:tcPr>
            <w:tcW w:w="1520" w:type="dxa"/>
            <w:vAlign w:val="bottom"/>
          </w:tcPr>
          <w:p>
            <w:pPr>
              <w:jc w:val="right"/>
              <w:spacing w:after="0"/>
              <w:rPr>
                <w:sz w:val="20"/>
                <w:szCs w:val="20"/>
                <w:color w:val="auto"/>
              </w:rPr>
            </w:pPr>
            <w:r>
              <w:rPr>
                <w:rFonts w:ascii="Arial" w:cs="Arial" w:eastAsia="Arial" w:hAnsi="Arial"/>
                <w:sz w:val="18"/>
                <w:szCs w:val="18"/>
                <w:color w:val="auto"/>
              </w:rPr>
              <w:t>701</w:t>
            </w:r>
          </w:p>
        </w:tc>
        <w:tc>
          <w:tcPr>
            <w:tcW w:w="220" w:type="dxa"/>
            <w:vAlign w:val="bottom"/>
          </w:tcPr>
          <w:p>
            <w:pPr>
              <w:spacing w:after="0"/>
              <w:rPr>
                <w:sz w:val="22"/>
                <w:szCs w:val="22"/>
                <w:color w:val="auto"/>
              </w:rPr>
            </w:pPr>
          </w:p>
        </w:tc>
        <w:tc>
          <w:tcPr>
            <w:tcW w:w="1480" w:type="dxa"/>
            <w:vAlign w:val="bottom"/>
            <w:gridSpan w:val="2"/>
          </w:tcPr>
          <w:p>
            <w:pPr>
              <w:jc w:val="right"/>
              <w:spacing w:after="0"/>
              <w:rPr>
                <w:sz w:val="20"/>
                <w:szCs w:val="20"/>
                <w:color w:val="auto"/>
              </w:rPr>
            </w:pPr>
            <w:r>
              <w:rPr>
                <w:rFonts w:ascii="Arial" w:cs="Arial" w:eastAsia="Arial" w:hAnsi="Arial"/>
                <w:sz w:val="18"/>
                <w:szCs w:val="18"/>
                <w:color w:val="auto"/>
              </w:rPr>
              <w:t>47 %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-436245</wp:posOffset>
            </wp:positionV>
            <wp:extent cx="7132320" cy="1454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4541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-144780</wp:posOffset>
            </wp:positionV>
            <wp:extent cx="713232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188" w:lineRule="exact"/>
        <w:rPr>
          <w:sz w:val="20"/>
          <w:szCs w:val="20"/>
          <w:color w:val="auto"/>
        </w:rPr>
      </w:pPr>
    </w:p>
    <w:p>
      <w:pPr>
        <w:ind w:left="380" w:right="200" w:hanging="372"/>
        <w:spacing w:after="0" w:line="234" w:lineRule="auto"/>
        <w:tabs>
          <w:tab w:leader="none" w:pos="380" w:val="left"/>
        </w:tabs>
        <w:numPr>
          <w:ilvl w:val="0"/>
          <w:numId w:val="9"/>
        </w:numPr>
        <w:rPr>
          <w:rFonts w:ascii="Arial" w:cs="Arial" w:eastAsia="Arial" w:hAnsi="Arial"/>
          <w:sz w:val="20"/>
          <w:szCs w:val="20"/>
          <w:color w:val="auto"/>
        </w:rPr>
      </w:pPr>
      <w:r>
        <w:rPr>
          <w:rFonts w:ascii="Arial" w:cs="Arial" w:eastAsia="Arial" w:hAnsi="Arial"/>
          <w:sz w:val="20"/>
          <w:szCs w:val="20"/>
          <w:color w:val="auto"/>
        </w:rPr>
        <w:t>These key operating metrics are for Marketplace. See “Key Terms for our Key Metrics and Non-GAAP Financial Measures” below for definitions of these metrics.</w:t>
      </w:r>
    </w:p>
    <w:p>
      <w:pPr>
        <w:spacing w:after="0" w:line="1" w:lineRule="exact"/>
        <w:rPr>
          <w:rFonts w:ascii="Arial" w:cs="Arial" w:eastAsia="Arial" w:hAnsi="Arial"/>
          <w:sz w:val="20"/>
          <w:szCs w:val="20"/>
          <w:color w:val="auto"/>
        </w:rPr>
      </w:pPr>
    </w:p>
    <w:p>
      <w:pPr>
        <w:ind w:left="380" w:right="200" w:hanging="372"/>
        <w:spacing w:after="0" w:line="234" w:lineRule="auto"/>
        <w:tabs>
          <w:tab w:leader="none" w:pos="380" w:val="left"/>
        </w:tabs>
        <w:numPr>
          <w:ilvl w:val="0"/>
          <w:numId w:val="9"/>
        </w:numPr>
        <w:rPr>
          <w:rFonts w:ascii="Arial" w:cs="Arial" w:eastAsia="Arial" w:hAnsi="Arial"/>
          <w:sz w:val="20"/>
          <w:szCs w:val="20"/>
          <w:color w:val="auto"/>
        </w:rPr>
      </w:pPr>
      <w:r>
        <w:rPr>
          <w:rFonts w:ascii="Arial" w:cs="Arial" w:eastAsia="Arial" w:hAnsi="Arial"/>
          <w:sz w:val="20"/>
          <w:szCs w:val="20"/>
          <w:color w:val="auto"/>
        </w:rPr>
        <w:t>Amounts shown for Active Buyers and Accounts with Last Twelve-Months Spend of at Least $50,000 are as of December 31, 2022 and 2021, and Percentage of Revenue from Existing Accounts is presented for the quarters ended December 31, 2022 and 2021.</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Subsequent to Fourth Quarter 2022</w:t>
      </w:r>
    </w:p>
    <w:p>
      <w:pPr>
        <w:spacing w:after="0" w:line="204" w:lineRule="exact"/>
        <w:rPr>
          <w:sz w:val="20"/>
          <w:szCs w:val="20"/>
          <w:color w:val="auto"/>
        </w:rPr>
      </w:pPr>
    </w:p>
    <w:p>
      <w:pPr>
        <w:ind w:right="140"/>
        <w:spacing w:after="0" w:line="231" w:lineRule="auto"/>
        <w:rPr>
          <w:sz w:val="20"/>
          <w:szCs w:val="20"/>
          <w:color w:val="auto"/>
        </w:rPr>
      </w:pPr>
      <w:r>
        <w:rPr>
          <w:rFonts w:ascii="Arial" w:cs="Arial" w:eastAsia="Arial" w:hAnsi="Arial"/>
          <w:sz w:val="20"/>
          <w:szCs w:val="20"/>
          <w:color w:val="auto"/>
        </w:rPr>
        <w:t>On January 2, 2023, the Company acquired 100% of the equity of Tridi Teknoloj A.S. ("Tridi") located in Istanbul, Turkey. The acquisition of Tridi extended our marketplace capabilities in Europe by opening a vast array of affordable suppliers. Tridi operates an online marketplace for manufacturing with the ability to serve all of Europe within a 24-hour turn around period. The aggregate non-contingent portion of the purchase price was approximately $ 3.8 million. In addition, the purchase price includes a contingent consideration arrangement to the former owners of Tridi up to a maximum amount of $1.25 million (undiscounted) in Class A common shares in two installments on the first and second anniversary of the acquisition and is based on the achievement of certain revenue targets.</w:t>
      </w:r>
    </w:p>
    <w:p>
      <w:pPr>
        <w:spacing w:after="0" w:line="176" w:lineRule="exact"/>
        <w:rPr>
          <w:sz w:val="20"/>
          <w:szCs w:val="20"/>
          <w:color w:val="auto"/>
        </w:rPr>
      </w:pPr>
    </w:p>
    <w:p>
      <w:pPr>
        <w:ind w:right="280"/>
        <w:spacing w:after="0" w:line="234" w:lineRule="auto"/>
        <w:rPr>
          <w:sz w:val="20"/>
          <w:szCs w:val="20"/>
          <w:color w:val="auto"/>
        </w:rPr>
      </w:pPr>
      <w:r>
        <w:rPr>
          <w:rFonts w:ascii="Arial" w:cs="Arial" w:eastAsia="Arial" w:hAnsi="Arial"/>
          <w:sz w:val="20"/>
          <w:szCs w:val="20"/>
          <w:color w:val="auto"/>
        </w:rPr>
        <w:t>In December 2022, we initiated a restructuring action to help manage our operating expenses by reducing our workforce by approximately 6%. The workforce reduction focused on realigning our staffing levels to help us meet the current and future objectives of our business. For the year ended December 31, 2022, we incurred $1.5 million for employee termination costs related to this restructuring. The majority of these costs will be paid by the Company in the first quarter of 2023. We expect the reduction in workforce will reduce operating expenses by approximately $8.0 million on a full year basis.</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Financial Guidance and Outlook:</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5"/>
        </w:trPr>
        <w:tc>
          <w:tcPr>
            <w:tcW w:w="564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Q1 2023</w:t>
            </w:r>
          </w:p>
        </w:tc>
        <w:tc>
          <w:tcPr>
            <w:tcW w:w="900" w:type="dxa"/>
            <w:vAlign w:val="bottom"/>
            <w:tcBorders>
              <w:bottom w:val="single" w:sz="8" w:color="auto"/>
            </w:tcBorders>
          </w:tcPr>
          <w:p>
            <w:pPr>
              <w:spacing w:after="0"/>
              <w:rPr>
                <w:sz w:val="20"/>
                <w:szCs w:val="20"/>
                <w:color w:val="auto"/>
              </w:rPr>
            </w:pPr>
          </w:p>
        </w:tc>
        <w:tc>
          <w:tcPr>
            <w:tcW w:w="220" w:type="dxa"/>
            <w:vAlign w:val="bottom"/>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FY 2023</w:t>
            </w:r>
          </w:p>
        </w:tc>
        <w:tc>
          <w:tcPr>
            <w:tcW w:w="8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564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rPr>
              <w:t>(in</w:t>
            </w:r>
          </w:p>
        </w:tc>
        <w:tc>
          <w:tcPr>
            <w:tcW w:w="62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78"/>
              </w:rPr>
              <w:t>millions)</w:t>
            </w:r>
          </w:p>
        </w:tc>
        <w:tc>
          <w:tcPr>
            <w:tcW w:w="9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23"/>
        </w:trPr>
        <w:tc>
          <w:tcPr>
            <w:tcW w:w="56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100" w:type="dxa"/>
            <w:vAlign w:val="bottom"/>
          </w:tcPr>
          <w:p>
            <w:pPr>
              <w:jc w:val="right"/>
              <w:ind w:right="490"/>
              <w:spacing w:after="0"/>
              <w:rPr>
                <w:sz w:val="20"/>
                <w:szCs w:val="20"/>
                <w:color w:val="auto"/>
              </w:rPr>
            </w:pPr>
            <w:r>
              <w:rPr>
                <w:rFonts w:ascii="Arial" w:cs="Arial" w:eastAsia="Arial" w:hAnsi="Arial"/>
                <w:sz w:val="18"/>
                <w:szCs w:val="18"/>
                <w:b w:val="1"/>
                <w:bCs w:val="1"/>
                <w:color w:val="auto"/>
              </w:rPr>
              <w:t>Low</w:t>
            </w:r>
          </w:p>
        </w:tc>
        <w:tc>
          <w:tcPr>
            <w:tcW w:w="400" w:type="dxa"/>
            <w:vAlign w:val="bottom"/>
          </w:tcPr>
          <w:p>
            <w:pPr>
              <w:spacing w:after="0"/>
              <w:rPr>
                <w:sz w:val="19"/>
                <w:szCs w:val="19"/>
                <w:color w:val="auto"/>
              </w:rPr>
            </w:pPr>
          </w:p>
        </w:tc>
        <w:tc>
          <w:tcPr>
            <w:tcW w:w="1120" w:type="dxa"/>
            <w:vAlign w:val="bottom"/>
            <w:gridSpan w:val="2"/>
          </w:tcPr>
          <w:p>
            <w:pPr>
              <w:jc w:val="right"/>
              <w:ind w:right="530"/>
              <w:spacing w:after="0"/>
              <w:rPr>
                <w:sz w:val="20"/>
                <w:szCs w:val="20"/>
                <w:color w:val="auto"/>
              </w:rPr>
            </w:pPr>
            <w:r>
              <w:rPr>
                <w:rFonts w:ascii="Arial" w:cs="Arial" w:eastAsia="Arial" w:hAnsi="Arial"/>
                <w:sz w:val="18"/>
                <w:szCs w:val="18"/>
                <w:b w:val="1"/>
                <w:bCs w:val="1"/>
                <w:color w:val="auto"/>
              </w:rPr>
              <w:t>High</w:t>
            </w:r>
          </w:p>
        </w:tc>
        <w:tc>
          <w:tcPr>
            <w:tcW w:w="400" w:type="dxa"/>
            <w:vAlign w:val="bottom"/>
          </w:tcPr>
          <w:p>
            <w:pPr>
              <w:spacing w:after="0"/>
              <w:rPr>
                <w:sz w:val="19"/>
                <w:szCs w:val="19"/>
                <w:color w:val="auto"/>
              </w:rPr>
            </w:pPr>
          </w:p>
        </w:tc>
        <w:tc>
          <w:tcPr>
            <w:tcW w:w="940" w:type="dxa"/>
            <w:vAlign w:val="bottom"/>
          </w:tcPr>
          <w:p>
            <w:pPr>
              <w:jc w:val="right"/>
              <w:ind w:right="470"/>
              <w:spacing w:after="0"/>
              <w:rPr>
                <w:sz w:val="20"/>
                <w:szCs w:val="20"/>
                <w:color w:val="auto"/>
              </w:rPr>
            </w:pPr>
            <w:r>
              <w:rPr>
                <w:rFonts w:ascii="Arial" w:cs="Arial" w:eastAsia="Arial" w:hAnsi="Arial"/>
                <w:sz w:val="18"/>
                <w:szCs w:val="18"/>
                <w:b w:val="1"/>
                <w:bCs w:val="1"/>
                <w:color w:val="auto"/>
                <w:w w:val="99"/>
              </w:rPr>
              <w:t>Low</w:t>
            </w:r>
          </w:p>
        </w:tc>
        <w:tc>
          <w:tcPr>
            <w:tcW w:w="400" w:type="dxa"/>
            <w:vAlign w:val="bottom"/>
          </w:tcPr>
          <w:p>
            <w:pPr>
              <w:spacing w:after="0"/>
              <w:rPr>
                <w:sz w:val="19"/>
                <w:szCs w:val="19"/>
                <w:color w:val="auto"/>
              </w:rPr>
            </w:pPr>
          </w:p>
        </w:tc>
        <w:tc>
          <w:tcPr>
            <w:tcW w:w="880" w:type="dxa"/>
            <w:vAlign w:val="bottom"/>
          </w:tcPr>
          <w:p>
            <w:pPr>
              <w:jc w:val="right"/>
              <w:ind w:right="310"/>
              <w:spacing w:after="0"/>
              <w:rPr>
                <w:sz w:val="20"/>
                <w:szCs w:val="20"/>
                <w:color w:val="auto"/>
              </w:rPr>
            </w:pPr>
            <w:r>
              <w:rPr>
                <w:rFonts w:ascii="Arial" w:cs="Arial" w:eastAsia="Arial" w:hAnsi="Arial"/>
                <w:sz w:val="18"/>
                <w:szCs w:val="18"/>
                <w:b w:val="1"/>
                <w:bCs w:val="1"/>
                <w:color w:val="auto"/>
              </w:rPr>
              <w:t>High</w:t>
            </w:r>
          </w:p>
        </w:tc>
        <w:tc>
          <w:tcPr>
            <w:tcW w:w="100" w:type="dxa"/>
            <w:vAlign w:val="bottom"/>
          </w:tcPr>
          <w:p>
            <w:pPr>
              <w:spacing w:after="0"/>
              <w:rPr>
                <w:sz w:val="19"/>
                <w:szCs w:val="19"/>
                <w:color w:val="auto"/>
              </w:rPr>
            </w:pPr>
          </w:p>
        </w:tc>
      </w:tr>
      <w:tr>
        <w:trPr>
          <w:trHeight w:val="229"/>
        </w:trPr>
        <w:tc>
          <w:tcPr>
            <w:tcW w:w="564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100.0</w:t>
            </w:r>
          </w:p>
        </w:tc>
        <w:tc>
          <w:tcPr>
            <w:tcW w:w="40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102.0</w:t>
            </w:r>
          </w:p>
        </w:tc>
        <w:tc>
          <w:tcPr>
            <w:tcW w:w="220" w:type="dxa"/>
            <w:vAlign w:val="bottom"/>
            <w:shd w:val="clear" w:color="auto" w:fill="CFF0FC"/>
          </w:tcPr>
          <w:p>
            <w:pPr>
              <w:spacing w:after="0"/>
              <w:rPr>
                <w:sz w:val="19"/>
                <w:szCs w:val="19"/>
                <w:color w:val="auto"/>
              </w:rPr>
            </w:pPr>
          </w:p>
        </w:tc>
        <w:tc>
          <w:tcPr>
            <w:tcW w:w="400" w:type="dxa"/>
            <w:vAlign w:val="bottom"/>
            <w:shd w:val="clear" w:color="auto" w:fill="CFF0FC"/>
          </w:tcPr>
          <w:p>
            <w:pPr>
              <w:jc w:val="center"/>
              <w:ind w:right="170"/>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rPr>
              <w:t>470.0</w:t>
            </w:r>
          </w:p>
        </w:tc>
        <w:tc>
          <w:tcPr>
            <w:tcW w:w="40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480.0</w:t>
            </w:r>
          </w:p>
        </w:tc>
        <w:tc>
          <w:tcPr>
            <w:tcW w:w="100" w:type="dxa"/>
            <w:vAlign w:val="bottom"/>
            <w:shd w:val="clear" w:color="auto" w:fill="CFF0FC"/>
          </w:tcPr>
          <w:p>
            <w:pPr>
              <w:spacing w:after="0"/>
              <w:rPr>
                <w:sz w:val="19"/>
                <w:szCs w:val="19"/>
                <w:color w:val="auto"/>
              </w:rPr>
            </w:pPr>
          </w:p>
        </w:tc>
      </w:tr>
      <w:tr>
        <w:trPr>
          <w:trHeight w:val="239"/>
        </w:trPr>
        <w:tc>
          <w:tcPr>
            <w:tcW w:w="5640" w:type="dxa"/>
            <w:vAlign w:val="bottom"/>
          </w:tcPr>
          <w:p>
            <w:pPr>
              <w:ind w:left="20"/>
              <w:spacing w:after="0"/>
              <w:rPr>
                <w:sz w:val="20"/>
                <w:szCs w:val="20"/>
                <w:color w:val="auto"/>
              </w:rPr>
            </w:pPr>
            <w:r>
              <w:rPr>
                <w:rFonts w:ascii="Arial" w:cs="Arial" w:eastAsia="Arial" w:hAnsi="Arial"/>
                <w:sz w:val="18"/>
                <w:szCs w:val="18"/>
                <w:color w:val="auto"/>
              </w:rPr>
              <w:t>Adjusted EBITDA</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(11.0 )</w:t>
            </w:r>
          </w:p>
        </w:tc>
        <w:tc>
          <w:tcPr>
            <w:tcW w:w="40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gridSpan w:val="2"/>
          </w:tcPr>
          <w:p>
            <w:pPr>
              <w:jc w:val="right"/>
              <w:ind w:right="50"/>
              <w:spacing w:after="0"/>
              <w:rPr>
                <w:sz w:val="20"/>
                <w:szCs w:val="20"/>
                <w:color w:val="auto"/>
              </w:rPr>
            </w:pPr>
            <w:r>
              <w:rPr>
                <w:rFonts w:ascii="Arial" w:cs="Arial" w:eastAsia="Arial" w:hAnsi="Arial"/>
                <w:sz w:val="18"/>
                <w:szCs w:val="18"/>
                <w:color w:val="auto"/>
              </w:rPr>
              <w:t>(9.0 )</w:t>
            </w:r>
          </w:p>
        </w:tc>
        <w:tc>
          <w:tcPr>
            <w:tcW w:w="400" w:type="dxa"/>
            <w:vAlign w:val="bottom"/>
          </w:tcPr>
          <w:p>
            <w:pPr>
              <w:jc w:val="center"/>
              <w:ind w:right="170"/>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(22.0 )</w:t>
            </w:r>
          </w:p>
        </w:tc>
        <w:tc>
          <w:tcPr>
            <w:tcW w:w="400" w:type="dxa"/>
            <w:vAlign w:val="bottom"/>
          </w:tcPr>
          <w:p>
            <w:pPr>
              <w:jc w:val="right"/>
              <w:ind w:right="130"/>
              <w:spacing w:after="0"/>
              <w:rPr>
                <w:sz w:val="20"/>
                <w:szCs w:val="20"/>
                <w:color w:val="auto"/>
              </w:rPr>
            </w:pPr>
            <w:r>
              <w:rPr>
                <w:rFonts w:ascii="Arial" w:cs="Arial" w:eastAsia="Arial" w:hAnsi="Arial"/>
                <w:sz w:val="18"/>
                <w:szCs w:val="18"/>
                <w:color w:val="auto"/>
              </w:rPr>
              <w:t>$</w:t>
            </w:r>
          </w:p>
        </w:tc>
        <w:tc>
          <w:tcPr>
            <w:tcW w:w="980" w:type="dxa"/>
            <w:vAlign w:val="bottom"/>
            <w:gridSpan w:val="2"/>
          </w:tcPr>
          <w:p>
            <w:pPr>
              <w:jc w:val="right"/>
              <w:ind w:right="40"/>
              <w:spacing w:after="0"/>
              <w:rPr>
                <w:sz w:val="20"/>
                <w:szCs w:val="20"/>
                <w:color w:val="auto"/>
              </w:rPr>
            </w:pPr>
            <w:r>
              <w:rPr>
                <w:rFonts w:ascii="Arial" w:cs="Arial" w:eastAsia="Arial" w:hAnsi="Arial"/>
                <w:sz w:val="18"/>
                <w:szCs w:val="18"/>
                <w:color w:val="auto"/>
              </w:rPr>
              <w:t>(20.0 )</w:t>
            </w:r>
          </w:p>
        </w:tc>
      </w:tr>
    </w:tbl>
    <w:p>
      <w:pPr>
        <w:spacing w:after="0" w:line="185" w:lineRule="exact"/>
        <w:rPr>
          <w:sz w:val="20"/>
          <w:szCs w:val="20"/>
          <w:color w:val="auto"/>
        </w:rPr>
      </w:pPr>
    </w:p>
    <w:p>
      <w:pPr>
        <w:ind w:right="220"/>
        <w:spacing w:after="0" w:line="241" w:lineRule="auto"/>
        <w:rPr>
          <w:sz w:val="20"/>
          <w:szCs w:val="20"/>
          <w:color w:val="auto"/>
        </w:rPr>
      </w:pPr>
      <w:r>
        <w:rPr>
          <w:rFonts w:ascii="Arial" w:cs="Arial" w:eastAsia="Arial" w:hAnsi="Arial"/>
          <w:sz w:val="20"/>
          <w:szCs w:val="20"/>
          <w:color w:val="auto"/>
        </w:rPr>
        <w:t>Xometry’s first quarter and full year 2023 financial outlook is based on a number of assumptions that are subject to change and many of which are outside of its control. If actual results vary from these assumptions, Xometry’s expectations may change. There can be no assurance that Xometry will achieve these results.</w:t>
      </w:r>
    </w:p>
    <w:p>
      <w:pPr>
        <w:spacing w:after="0" w:line="170" w:lineRule="exact"/>
        <w:rPr>
          <w:sz w:val="20"/>
          <w:szCs w:val="20"/>
          <w:color w:val="auto"/>
        </w:rPr>
      </w:pPr>
    </w:p>
    <w:p>
      <w:pPr>
        <w:ind w:right="280"/>
        <w:spacing w:after="0" w:line="248" w:lineRule="auto"/>
        <w:rPr>
          <w:sz w:val="20"/>
          <w:szCs w:val="20"/>
          <w:color w:val="auto"/>
        </w:rPr>
      </w:pPr>
      <w:r>
        <w:rPr>
          <w:rFonts w:ascii="Arial" w:cs="Arial" w:eastAsia="Arial" w:hAnsi="Arial"/>
          <w:sz w:val="19"/>
          <w:szCs w:val="19"/>
          <w:color w:val="auto"/>
        </w:rPr>
        <w:t>Reconciliation of Adjusted EBITDA on a forward-looking basis to net loss, the most directly comparable GAAP measure, is not available without unreasonable efforts due to the high variability and complexity and low visibility with respect to the charges excluded from this non-GAAP measure; in particular, the effects of stock-based compensation expense specific to equity compensation awards that are directly impacted by unpredictable fluctuations in Xometry’s stock price. Xometry expects the variability of the above charges to have a significant, and potentially unpredictable, impact on its future GAAP financial results.</w:t>
      </w:r>
    </w:p>
    <w:p>
      <w:pPr>
        <w:spacing w:after="0" w:line="169"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300"/>
          </w:cols>
          <w:pgMar w:left="320" w:top="514" w:right="279" w:bottom="1440" w:gutter="0" w:footer="0" w:header="0"/>
        </w:sectPr>
      </w:pPr>
    </w:p>
    <w:bookmarkStart w:id="7" w:name="page8"/>
    <w:bookmarkEnd w:id="7"/>
    <w:p>
      <w:pPr>
        <w:spacing w:after="0"/>
        <w:rPr>
          <w:sz w:val="20"/>
          <w:szCs w:val="20"/>
          <w:color w:val="auto"/>
        </w:rPr>
      </w:pPr>
      <w:r>
        <w:rPr>
          <w:rFonts w:ascii="Arial" w:cs="Arial" w:eastAsia="Arial" w:hAnsi="Arial"/>
          <w:sz w:val="20"/>
          <w:szCs w:val="20"/>
          <w:b w:val="1"/>
          <w:bCs w:val="1"/>
          <w:color w:val="auto"/>
        </w:rPr>
        <w:t>Use of Non-GAAP Financial Measures</w:t>
      </w:r>
    </w:p>
    <w:p>
      <w:pPr>
        <w:spacing w:after="0" w:line="6" w:lineRule="exact"/>
        <w:rPr>
          <w:sz w:val="20"/>
          <w:szCs w:val="20"/>
          <w:color w:val="auto"/>
        </w:rPr>
      </w:pPr>
    </w:p>
    <w:p>
      <w:pPr>
        <w:spacing w:after="0" w:line="238" w:lineRule="auto"/>
        <w:rPr>
          <w:sz w:val="20"/>
          <w:szCs w:val="20"/>
          <w:color w:val="auto"/>
        </w:rPr>
      </w:pPr>
      <w:r>
        <w:rPr>
          <w:rFonts w:ascii="Arial" w:cs="Arial" w:eastAsia="Arial" w:hAnsi="Arial"/>
          <w:sz w:val="19"/>
          <w:szCs w:val="19"/>
          <w:color w:val="auto"/>
        </w:rPr>
        <w:t>To supplement its consolidated financial statements, which are prepared and presented in accordance with generally accepted accounting principles in the United States of America (“GAAP”), Xometry, Inc. (“Xometry”, the “Company”, “we” or “our”) uses Adjusted EBITDA, non-GAAP net loss and non-GAAP Earnings Per Share, which are considered non-GAAP financial measures, as described below. These non-GAAP financial measures are presented to enhance the user’s overall understanding of Xometry’s financial performance and should not be considered a substitute for, nor superior to, the financial information prepared and presented in accordance with GAAP. The non-GAAP financial measures presented in this release, together with the GAAP financial results, are the primary measures used by the Company’s management and board of directors to understand and evaluate the Company’s financial performance and operating trends, including period-to-period comparisons, because they exclude certain expenses and gains that management believes are not indicative of the Company’s core operating results. Management also uses these measures to prepare and update the Company’s short and long term financial and operational plans, to evaluate investment decisions, and in its discussions with investors, commercial bankers, equity research analysts and other users of the Company’s financial statements. Accordingly, the Company believes that these non-GAAP financial measures provide useful information to investors and others in understanding and evaluating the Company’s operating results in the same manner as the Company’s management and in comparing operating results across periods and to those of Xometry’s peer companies. In addition, from time to time we may present adjusted information (for example, revenue growth) to exclude the impact of certain gains, losses or other changes that affect period-to-period comparability of our operating performance.</w:t>
      </w:r>
    </w:p>
    <w:p>
      <w:pPr>
        <w:spacing w:after="0" w:line="183" w:lineRule="exact"/>
        <w:rPr>
          <w:sz w:val="20"/>
          <w:szCs w:val="20"/>
          <w:color w:val="auto"/>
        </w:rPr>
      </w:pPr>
    </w:p>
    <w:p>
      <w:pPr>
        <w:ind w:right="40"/>
        <w:spacing w:after="0" w:line="231" w:lineRule="auto"/>
        <w:rPr>
          <w:sz w:val="20"/>
          <w:szCs w:val="20"/>
          <w:color w:val="auto"/>
        </w:rPr>
      </w:pPr>
      <w:r>
        <w:rPr>
          <w:rFonts w:ascii="Arial" w:cs="Arial" w:eastAsia="Arial" w:hAnsi="Arial"/>
          <w:sz w:val="20"/>
          <w:szCs w:val="20"/>
          <w:color w:val="auto"/>
        </w:rPr>
        <w:t>The use of non-GAAP financial measures has certain limitations because they do not reflect all items of income and expense, or cash flows, that affect the Company’s financial performance and operations. Additionally, non-GAAP financial measures do not have standardized meanings, and therefore other companies, including peer companies, may use the same or similarly named measures but exclude or include different items or use different computations. Management compensates for these limitations by reconciling these non-GAAP financial measures to their most comparable GAAP financial measures in the tables captioned “Reconciliations of Non-GAAP Financial Measures” included at the end of this release. Investors and others are encouraged to review the Company’s financial information in its entirety and not rely on a single financial measure.</w:t>
      </w:r>
    </w:p>
    <w:p>
      <w:pPr>
        <w:spacing w:after="0" w:line="174" w:lineRule="exact"/>
        <w:rPr>
          <w:sz w:val="20"/>
          <w:szCs w:val="20"/>
          <w:color w:val="auto"/>
        </w:rPr>
      </w:pPr>
    </w:p>
    <w:p>
      <w:pPr>
        <w:ind w:right="5020"/>
        <w:spacing w:after="0" w:line="473" w:lineRule="auto"/>
        <w:rPr>
          <w:sz w:val="20"/>
          <w:szCs w:val="20"/>
          <w:color w:val="auto"/>
        </w:rPr>
      </w:pPr>
      <w:r>
        <w:rPr>
          <w:rFonts w:ascii="Arial" w:cs="Arial" w:eastAsia="Arial" w:hAnsi="Arial"/>
          <w:sz w:val="19"/>
          <w:szCs w:val="19"/>
          <w:b w:val="1"/>
          <w:bCs w:val="1"/>
          <w:color w:val="auto"/>
        </w:rPr>
        <w:t xml:space="preserve">Key Terms for our Key Metrics and Non-GAAP Financial Measures Marketplace revenue: </w:t>
      </w:r>
      <w:r>
        <w:rPr>
          <w:rFonts w:ascii="Arial" w:cs="Arial" w:eastAsia="Arial" w:hAnsi="Arial"/>
          <w:sz w:val="19"/>
          <w:szCs w:val="19"/>
          <w:color w:val="auto"/>
        </w:rPr>
        <w:t>includes the sale of parts and assemblies.</w:t>
      </w:r>
    </w:p>
    <w:p>
      <w:pPr>
        <w:spacing w:after="0" w:line="2" w:lineRule="exact"/>
        <w:rPr>
          <w:sz w:val="20"/>
          <w:szCs w:val="20"/>
          <w:color w:val="auto"/>
        </w:rPr>
      </w:pPr>
    </w:p>
    <w:p>
      <w:pPr>
        <w:ind w:right="540"/>
        <w:spacing w:after="0" w:line="259" w:lineRule="auto"/>
        <w:rPr>
          <w:sz w:val="20"/>
          <w:szCs w:val="20"/>
          <w:color w:val="auto"/>
        </w:rPr>
      </w:pPr>
      <w:r>
        <w:rPr>
          <w:rFonts w:ascii="Arial" w:cs="Arial" w:eastAsia="Arial" w:hAnsi="Arial"/>
          <w:sz w:val="20"/>
          <w:szCs w:val="20"/>
          <w:b w:val="1"/>
          <w:bCs w:val="1"/>
          <w:color w:val="auto"/>
        </w:rPr>
        <w:t xml:space="preserve">Supplier service revenue: </w:t>
      </w:r>
      <w:r>
        <w:rPr>
          <w:rFonts w:ascii="Arial" w:cs="Arial" w:eastAsia="Arial" w:hAnsi="Arial"/>
          <w:sz w:val="20"/>
          <w:szCs w:val="20"/>
          <w:color w:val="auto"/>
        </w:rPr>
        <w:t>includes the sales of advertising on Thomasnet, marketing services, supplies, financial service</w:t>
      </w:r>
      <w:r>
        <w:rPr>
          <w:rFonts w:ascii="Arial" w:cs="Arial" w:eastAsia="Arial" w:hAnsi="Arial"/>
          <w:sz w:val="20"/>
          <w:szCs w:val="20"/>
          <w:b w:val="1"/>
          <w:bCs w:val="1"/>
          <w:color w:val="auto"/>
        </w:rPr>
        <w:t xml:space="preserve"> </w:t>
      </w:r>
      <w:r>
        <w:rPr>
          <w:rFonts w:ascii="Arial" w:cs="Arial" w:eastAsia="Arial" w:hAnsi="Arial"/>
          <w:sz w:val="20"/>
          <w:szCs w:val="20"/>
          <w:color w:val="auto"/>
        </w:rPr>
        <w:t>products and other fintech products.</w:t>
      </w:r>
    </w:p>
    <w:p>
      <w:pPr>
        <w:spacing w:after="0" w:line="151" w:lineRule="exact"/>
        <w:rPr>
          <w:sz w:val="20"/>
          <w:szCs w:val="20"/>
          <w:color w:val="auto"/>
        </w:rPr>
      </w:pPr>
    </w:p>
    <w:p>
      <w:pPr>
        <w:ind w:right="480"/>
        <w:spacing w:after="0" w:line="242" w:lineRule="auto"/>
        <w:rPr>
          <w:sz w:val="20"/>
          <w:szCs w:val="20"/>
          <w:color w:val="auto"/>
        </w:rPr>
      </w:pPr>
      <w:r>
        <w:rPr>
          <w:rFonts w:ascii="Arial" w:cs="Arial" w:eastAsia="Arial" w:hAnsi="Arial"/>
          <w:sz w:val="20"/>
          <w:szCs w:val="20"/>
          <w:b w:val="1"/>
          <w:bCs w:val="1"/>
          <w:color w:val="auto"/>
        </w:rPr>
        <w:t xml:space="preserve">Active Buyers: </w:t>
      </w:r>
      <w:r>
        <w:rPr>
          <w:rFonts w:ascii="Arial" w:cs="Arial" w:eastAsia="Arial" w:hAnsi="Arial"/>
          <w:sz w:val="20"/>
          <w:szCs w:val="20"/>
          <w:color w:val="auto"/>
        </w:rPr>
        <w:t>The Company defines “buyers” as individuals who have placed an order to purchase on-demand parts or</w:t>
      </w:r>
      <w:r>
        <w:rPr>
          <w:rFonts w:ascii="Arial" w:cs="Arial" w:eastAsia="Arial" w:hAnsi="Arial"/>
          <w:sz w:val="20"/>
          <w:szCs w:val="20"/>
          <w:b w:val="1"/>
          <w:bCs w:val="1"/>
          <w:color w:val="auto"/>
        </w:rPr>
        <w:t xml:space="preserve"> </w:t>
      </w:r>
      <w:r>
        <w:rPr>
          <w:rFonts w:ascii="Arial" w:cs="Arial" w:eastAsia="Arial" w:hAnsi="Arial"/>
          <w:sz w:val="20"/>
          <w:szCs w:val="20"/>
          <w:color w:val="auto"/>
        </w:rPr>
        <w:t>assemblies on our marketplace. The Company defines Active Buyers as the number of buyers who have made at least one purchase on our marketplace during the last twelve months.</w:t>
      </w:r>
    </w:p>
    <w:p>
      <w:pPr>
        <w:spacing w:after="0" w:line="167" w:lineRule="exact"/>
        <w:rPr>
          <w:sz w:val="20"/>
          <w:szCs w:val="20"/>
          <w:color w:val="auto"/>
        </w:rPr>
      </w:pPr>
    </w:p>
    <w:p>
      <w:pPr>
        <w:ind w:right="60"/>
        <w:spacing w:after="0" w:line="237" w:lineRule="auto"/>
        <w:rPr>
          <w:sz w:val="20"/>
          <w:szCs w:val="20"/>
          <w:color w:val="auto"/>
        </w:rPr>
      </w:pPr>
      <w:r>
        <w:rPr>
          <w:rFonts w:ascii="Arial" w:cs="Arial" w:eastAsia="Arial" w:hAnsi="Arial"/>
          <w:sz w:val="20"/>
          <w:szCs w:val="20"/>
          <w:b w:val="1"/>
          <w:bCs w:val="1"/>
          <w:color w:val="auto"/>
        </w:rPr>
        <w:t xml:space="preserve">Active Suppliers: </w:t>
      </w:r>
      <w:r>
        <w:rPr>
          <w:rFonts w:ascii="Arial" w:cs="Arial" w:eastAsia="Arial" w:hAnsi="Arial"/>
          <w:sz w:val="20"/>
          <w:szCs w:val="20"/>
          <w:color w:val="auto"/>
        </w:rPr>
        <w:t>The Company defines “suppliers” as individuals or businesses that have been approved by us to either</w:t>
      </w:r>
      <w:r>
        <w:rPr>
          <w:rFonts w:ascii="Arial" w:cs="Arial" w:eastAsia="Arial" w:hAnsi="Arial"/>
          <w:sz w:val="20"/>
          <w:szCs w:val="20"/>
          <w:b w:val="1"/>
          <w:bCs w:val="1"/>
          <w:color w:val="auto"/>
        </w:rPr>
        <w:t xml:space="preserve"> </w:t>
      </w:r>
      <w:r>
        <w:rPr>
          <w:rFonts w:ascii="Arial" w:cs="Arial" w:eastAsia="Arial" w:hAnsi="Arial"/>
          <w:sz w:val="20"/>
          <w:szCs w:val="20"/>
          <w:color w:val="auto"/>
        </w:rPr>
        <w:t>manufacture a product on our platform for a buyer or have utilized our supplier services, including our digital marketing services, data services, financial services or supplies. The Company defines Active Suppliers as suppliers that have used our platform at least once during the last twelve months to manufacture a product or buy tools or supplies.</w:t>
      </w:r>
    </w:p>
    <w:p>
      <w:pPr>
        <w:spacing w:after="0" w:line="170" w:lineRule="exact"/>
        <w:rPr>
          <w:sz w:val="20"/>
          <w:szCs w:val="20"/>
          <w:color w:val="auto"/>
        </w:rPr>
      </w:pPr>
    </w:p>
    <w:p>
      <w:pPr>
        <w:jc w:val="both"/>
        <w:ind w:right="160"/>
        <w:spacing w:after="0" w:line="261" w:lineRule="auto"/>
        <w:rPr>
          <w:sz w:val="20"/>
          <w:szCs w:val="20"/>
          <w:color w:val="auto"/>
        </w:rPr>
      </w:pPr>
      <w:r>
        <w:rPr>
          <w:rFonts w:ascii="Arial" w:cs="Arial" w:eastAsia="Arial" w:hAnsi="Arial"/>
          <w:sz w:val="19"/>
          <w:szCs w:val="19"/>
          <w:b w:val="1"/>
          <w:bCs w:val="1"/>
          <w:color w:val="auto"/>
        </w:rPr>
        <w:t xml:space="preserve">Percentage of Revenue from Existing Accounts: </w:t>
      </w:r>
      <w:r>
        <w:rPr>
          <w:rFonts w:ascii="Arial" w:cs="Arial" w:eastAsia="Arial" w:hAnsi="Arial"/>
          <w:sz w:val="19"/>
          <w:szCs w:val="19"/>
          <w:color w:val="auto"/>
        </w:rPr>
        <w:t>The Company defines an “account” as an individual entity, such as a sole</w:t>
      </w:r>
      <w:r>
        <w:rPr>
          <w:rFonts w:ascii="Arial" w:cs="Arial" w:eastAsia="Arial" w:hAnsi="Arial"/>
          <w:sz w:val="19"/>
          <w:szCs w:val="19"/>
          <w:b w:val="1"/>
          <w:bCs w:val="1"/>
          <w:color w:val="auto"/>
        </w:rPr>
        <w:t xml:space="preserve"> </w:t>
      </w:r>
      <w:r>
        <w:rPr>
          <w:rFonts w:ascii="Arial" w:cs="Arial" w:eastAsia="Arial" w:hAnsi="Arial"/>
          <w:sz w:val="19"/>
          <w:szCs w:val="19"/>
          <w:color w:val="auto"/>
        </w:rPr>
        <w:t>proprietor with a single buyer or corporate entities with multiple buyers, having purchased at least one part on our marketplace. The Company defines an existing account as an account where at least one buyer has made a purchase on our marketplace.</w:t>
      </w:r>
    </w:p>
    <w:p>
      <w:pPr>
        <w:spacing w:after="0" w:line="3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47" w:right="339" w:bottom="1440" w:gutter="0" w:footer="0" w:header="0"/>
        </w:sectPr>
      </w:pPr>
    </w:p>
    <w:bookmarkStart w:id="8" w:name="page9"/>
    <w:bookmarkEnd w:id="8"/>
    <w:p>
      <w:pPr>
        <w:ind w:right="220"/>
        <w:spacing w:after="0" w:line="242" w:lineRule="auto"/>
        <w:rPr>
          <w:sz w:val="20"/>
          <w:szCs w:val="20"/>
          <w:color w:val="auto"/>
        </w:rPr>
      </w:pPr>
      <w:r>
        <w:rPr>
          <w:rFonts w:ascii="Arial" w:cs="Arial" w:eastAsia="Arial" w:hAnsi="Arial"/>
          <w:sz w:val="20"/>
          <w:szCs w:val="20"/>
          <w:b w:val="1"/>
          <w:bCs w:val="1"/>
          <w:color w:val="auto"/>
        </w:rPr>
        <w:t xml:space="preserve">Accounts with Last Twelve-Month Spend of At Least $50,000: </w:t>
      </w:r>
      <w:r>
        <w:rPr>
          <w:rFonts w:ascii="Arial" w:cs="Arial" w:eastAsia="Arial" w:hAnsi="Arial"/>
          <w:sz w:val="20"/>
          <w:szCs w:val="20"/>
          <w:color w:val="auto"/>
        </w:rPr>
        <w:t>The Company defines Accounts with Last Twelve-Month</w:t>
      </w:r>
      <w:r>
        <w:rPr>
          <w:rFonts w:ascii="Arial" w:cs="Arial" w:eastAsia="Arial" w:hAnsi="Arial"/>
          <w:sz w:val="20"/>
          <w:szCs w:val="20"/>
          <w:b w:val="1"/>
          <w:bCs w:val="1"/>
          <w:color w:val="auto"/>
        </w:rPr>
        <w:t xml:space="preserve"> </w:t>
      </w:r>
      <w:r>
        <w:rPr>
          <w:rFonts w:ascii="Arial" w:cs="Arial" w:eastAsia="Arial" w:hAnsi="Arial"/>
          <w:sz w:val="20"/>
          <w:szCs w:val="20"/>
          <w:color w:val="auto"/>
        </w:rPr>
        <w:t>Spend of At Least $50,000 as an account that has spent at least $50,000 on our marketplace in the most recent twelve-month period.</w:t>
      </w:r>
    </w:p>
    <w:p>
      <w:pPr>
        <w:spacing w:after="0" w:line="167" w:lineRule="exact"/>
        <w:rPr>
          <w:sz w:val="20"/>
          <w:szCs w:val="20"/>
          <w:color w:val="auto"/>
        </w:rPr>
      </w:pPr>
    </w:p>
    <w:p>
      <w:pPr>
        <w:ind w:right="160"/>
        <w:spacing w:after="0" w:line="232" w:lineRule="auto"/>
        <w:rPr>
          <w:sz w:val="20"/>
          <w:szCs w:val="20"/>
          <w:color w:val="auto"/>
        </w:rPr>
      </w:pPr>
      <w:r>
        <w:rPr>
          <w:rFonts w:ascii="Arial" w:cs="Arial" w:eastAsia="Arial" w:hAnsi="Arial"/>
          <w:sz w:val="20"/>
          <w:szCs w:val="20"/>
          <w:b w:val="1"/>
          <w:bCs w:val="1"/>
          <w:color w:val="auto"/>
        </w:rPr>
        <w:t>Adjusted earnings before interest, taxes, depreciation and amortization (Adjusted EBITDA)</w:t>
      </w:r>
      <w:r>
        <w:rPr>
          <w:rFonts w:ascii="Arial" w:cs="Arial" w:eastAsia="Arial" w:hAnsi="Arial"/>
          <w:sz w:val="20"/>
          <w:szCs w:val="20"/>
          <w:color w:val="auto"/>
        </w:rPr>
        <w:t>: The Company defines</w:t>
      </w:r>
      <w:r>
        <w:rPr>
          <w:rFonts w:ascii="Arial" w:cs="Arial" w:eastAsia="Arial" w:hAnsi="Arial"/>
          <w:sz w:val="20"/>
          <w:szCs w:val="20"/>
          <w:b w:val="1"/>
          <w:bCs w:val="1"/>
          <w:color w:val="auto"/>
        </w:rPr>
        <w:t xml:space="preserve"> </w:t>
      </w:r>
      <w:r>
        <w:rPr>
          <w:rFonts w:ascii="Arial" w:cs="Arial" w:eastAsia="Arial" w:hAnsi="Arial"/>
          <w:sz w:val="20"/>
          <w:szCs w:val="20"/>
          <w:color w:val="auto"/>
        </w:rPr>
        <w:t>Adjusted EBITDA as net loss, adjusted for interest expense, interest and dividend income and other expenses, income tax benefit, and certain other non-cash or non-recurring items impacting net loss from time to time, principally comprised of depreciation and amortization, stock-based compensation, charitable contributions of common stock, income from unconsolidated joint venture, impairment charges, restructuring charges and acquisition and other adjustments not reflective of the Company’s ongoing business, such as adjustments related to purchase accounting, the revaluation of contingent consideration and transaction costs.</w:t>
      </w:r>
    </w:p>
    <w:p>
      <w:pPr>
        <w:spacing w:after="0" w:line="170" w:lineRule="exact"/>
        <w:rPr>
          <w:sz w:val="20"/>
          <w:szCs w:val="20"/>
          <w:color w:val="auto"/>
        </w:rPr>
      </w:pPr>
    </w:p>
    <w:p>
      <w:pPr>
        <w:ind w:right="20"/>
        <w:spacing w:after="0" w:line="234" w:lineRule="auto"/>
        <w:rPr>
          <w:sz w:val="20"/>
          <w:szCs w:val="20"/>
          <w:color w:val="auto"/>
        </w:rPr>
      </w:pPr>
      <w:r>
        <w:rPr>
          <w:rFonts w:ascii="Arial" w:cs="Arial" w:eastAsia="Arial" w:hAnsi="Arial"/>
          <w:sz w:val="20"/>
          <w:szCs w:val="20"/>
          <w:b w:val="1"/>
          <w:bCs w:val="1"/>
          <w:color w:val="auto"/>
        </w:rPr>
        <w:t xml:space="preserve">Non-GAAP net loss: </w:t>
      </w:r>
      <w:r>
        <w:rPr>
          <w:rFonts w:ascii="Arial" w:cs="Arial" w:eastAsia="Arial" w:hAnsi="Arial"/>
          <w:sz w:val="20"/>
          <w:szCs w:val="20"/>
          <w:color w:val="auto"/>
        </w:rPr>
        <w:t>The Company defines non-GAAP net loss as net loss adjusted for depreciation and amortization, stock-based compensation expense, amortization of lease intangible, amortization of deferred costs on convertible notes, unrealized loss on marketable securities, loss on sale of property and equipment, charitable contributions of common stock, impairment charges, restructuring charges and acquisition and other adjustments not reflective of the Company’s ongoing business, such as adjustments related to purchase accounting, the revaluation of contingent consideration and transaction costs.</w:t>
      </w:r>
    </w:p>
    <w:p>
      <w:pPr>
        <w:spacing w:after="0" w:line="173" w:lineRule="exact"/>
        <w:rPr>
          <w:sz w:val="20"/>
          <w:szCs w:val="20"/>
          <w:color w:val="auto"/>
        </w:rPr>
      </w:pPr>
    </w:p>
    <w:p>
      <w:pPr>
        <w:jc w:val="both"/>
        <w:ind w:right="400"/>
        <w:spacing w:after="0" w:line="242" w:lineRule="auto"/>
        <w:rPr>
          <w:sz w:val="20"/>
          <w:szCs w:val="20"/>
          <w:color w:val="auto"/>
        </w:rPr>
      </w:pPr>
      <w:r>
        <w:rPr>
          <w:rFonts w:ascii="Arial" w:cs="Arial" w:eastAsia="Arial" w:hAnsi="Arial"/>
          <w:sz w:val="20"/>
          <w:szCs w:val="20"/>
          <w:b w:val="1"/>
          <w:bCs w:val="1"/>
          <w:color w:val="auto"/>
        </w:rPr>
        <w:t xml:space="preserve">Non-GAAP Earnings Per Share, basic and diluted (Non-GAAP EPS, basic and diluted): </w:t>
      </w:r>
      <w:r>
        <w:rPr>
          <w:rFonts w:ascii="Arial" w:cs="Arial" w:eastAsia="Arial" w:hAnsi="Arial"/>
          <w:sz w:val="20"/>
          <w:szCs w:val="20"/>
          <w:color w:val="auto"/>
        </w:rPr>
        <w:t>The Company calculates non-GAAP earnings per share, (basic and diluted) as non-GAAP net loss divided by weighted average number of common stock outstanding.</w:t>
      </w:r>
    </w:p>
    <w:p>
      <w:pPr>
        <w:spacing w:after="0" w:line="169" w:lineRule="exact"/>
        <w:rPr>
          <w:sz w:val="20"/>
          <w:szCs w:val="20"/>
          <w:color w:val="auto"/>
        </w:rPr>
      </w:pPr>
    </w:p>
    <w:p>
      <w:pPr>
        <w:spacing w:after="0" w:line="233" w:lineRule="auto"/>
        <w:rPr>
          <w:sz w:val="20"/>
          <w:szCs w:val="20"/>
          <w:color w:val="auto"/>
        </w:rPr>
      </w:pPr>
      <w:r>
        <w:rPr>
          <w:rFonts w:ascii="Arial" w:cs="Arial" w:eastAsia="Arial" w:hAnsi="Arial"/>
          <w:sz w:val="20"/>
          <w:szCs w:val="20"/>
          <w:color w:val="auto"/>
        </w:rPr>
        <w:t>Management believes that the exclusion of certain expenses and gains in calculating Adjusted EBITDA, non-GAAP net loss and non-GAAP EPS, basic and diluted provides a useful measure for period-to-period comparisons of the Company’s underlying core revenue and operating costs that is focused more closely on the current costs necessary to operate the Company’s businesses, and reflects its ongoing business in a manner that allows for meaningful analysis of trends. Management also believes that excluding certain non-cash charges can be useful because the amounts of such expenses is the result of long-term investment decisions made in previous periods rather than day-to-day operating decisions.</w:t>
      </w:r>
    </w:p>
    <w:p>
      <w:pPr>
        <w:spacing w:after="0" w:line="16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Xometry</w:t>
      </w:r>
    </w:p>
    <w:p>
      <w:pPr>
        <w:spacing w:after="0" w:line="204" w:lineRule="exact"/>
        <w:rPr>
          <w:sz w:val="20"/>
          <w:szCs w:val="20"/>
          <w:color w:val="auto"/>
        </w:rPr>
      </w:pPr>
    </w:p>
    <w:p>
      <w:pPr>
        <w:spacing w:after="0" w:line="236" w:lineRule="auto"/>
        <w:rPr>
          <w:sz w:val="20"/>
          <w:szCs w:val="20"/>
          <w:color w:val="auto"/>
        </w:rPr>
      </w:pPr>
      <w:r>
        <w:rPr>
          <w:rFonts w:ascii="Arial" w:cs="Arial" w:eastAsia="Arial" w:hAnsi="Arial"/>
          <w:sz w:val="20"/>
          <w:szCs w:val="20"/>
          <w:color w:val="auto"/>
        </w:rPr>
        <w:t>Xometry (XMTR) powers the industries of today and tomorrow by connecting the people with big ideas to the manufacturers who can bring them to life. Xometry’s digital marketplace gives manufacturers the critical resources they need to grow their business while also making it easy for buyers at Fortune 1000 companies to tap into global manufacturing capacity and create locally resilient supply chains. Learn more at www.xometry.com or follow @xometry.</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Conference Call and Webcast Information</w:t>
      </w:r>
    </w:p>
    <w:p>
      <w:pPr>
        <w:spacing w:after="0" w:line="204" w:lineRule="exact"/>
        <w:rPr>
          <w:sz w:val="20"/>
          <w:szCs w:val="20"/>
          <w:color w:val="auto"/>
        </w:rPr>
      </w:pPr>
    </w:p>
    <w:p>
      <w:pPr>
        <w:spacing w:after="0" w:line="241" w:lineRule="auto"/>
        <w:rPr>
          <w:sz w:val="20"/>
          <w:szCs w:val="20"/>
          <w:color w:val="auto"/>
        </w:rPr>
      </w:pPr>
      <w:r>
        <w:rPr>
          <w:rFonts w:ascii="Arial" w:cs="Arial" w:eastAsia="Arial" w:hAnsi="Arial"/>
          <w:sz w:val="20"/>
          <w:szCs w:val="20"/>
          <w:color w:val="auto"/>
        </w:rPr>
        <w:t>The Company will host a conference call and webcast to discuss the results at 8:30 a.m. ET (5:30 a.m. PT) on March 1, 2023. In addition to issuing a press release, the Company will post an earnings presentation to its investor website at investors.xometry.com.</w:t>
      </w:r>
    </w:p>
    <w:p>
      <w:pPr>
        <w:spacing w:after="0" w:line="170" w:lineRule="exact"/>
        <w:rPr>
          <w:sz w:val="20"/>
          <w:szCs w:val="20"/>
          <w:color w:val="auto"/>
        </w:rPr>
      </w:pPr>
    </w:p>
    <w:p>
      <w:pPr>
        <w:spacing w:after="0"/>
        <w:rPr>
          <w:sz w:val="20"/>
          <w:szCs w:val="20"/>
          <w:color w:val="auto"/>
        </w:rPr>
      </w:pPr>
      <w:r>
        <w:rPr>
          <w:rFonts w:ascii="Arial" w:cs="Arial" w:eastAsia="Arial" w:hAnsi="Arial"/>
          <w:sz w:val="20"/>
          <w:szCs w:val="20"/>
          <w:color w:val="auto"/>
        </w:rPr>
        <w:t>Xometry, Inc. Fourth Quarter 2022 Earnings Presentation and Conference Call</w:t>
      </w:r>
    </w:p>
    <w:p>
      <w:pPr>
        <w:spacing w:after="0" w:line="2" w:lineRule="exact"/>
        <w:rPr>
          <w:sz w:val="20"/>
          <w:szCs w:val="20"/>
          <w:color w:val="auto"/>
        </w:rPr>
      </w:pPr>
    </w:p>
    <w:p>
      <w:pPr>
        <w:ind w:left="1020" w:hanging="504"/>
        <w:spacing w:after="0"/>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8:30 a.m. Eastern / 5:30 a.m. Pacific on Wednesday, March 1, 2023</w:t>
      </w:r>
    </w:p>
    <w:p>
      <w:pPr>
        <w:ind w:left="1020" w:hanging="504"/>
        <w:spacing w:after="0" w:line="238" w:lineRule="auto"/>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To register please use the following link: Xometry, Inc. Q4 2022 Earnings Call</w:t>
      </w:r>
    </w:p>
    <w:p>
      <w:pPr>
        <w:ind w:left="1020" w:right="140" w:hanging="504"/>
        <w:spacing w:after="0" w:line="238" w:lineRule="auto"/>
        <w:tabs>
          <w:tab w:leader="none" w:pos="1020" w:val="left"/>
        </w:tabs>
        <w:numPr>
          <w:ilvl w:val="0"/>
          <w:numId w:val="10"/>
        </w:numPr>
        <w:rPr>
          <w:rFonts w:ascii="Times New Roman" w:cs="Times New Roman" w:eastAsia="Times New Roman" w:hAnsi="Times New Roman"/>
          <w:sz w:val="20"/>
          <w:szCs w:val="20"/>
          <w:color w:val="auto"/>
        </w:rPr>
      </w:pPr>
      <w:r>
        <w:rPr>
          <w:rFonts w:ascii="Arial" w:cs="Arial" w:eastAsia="Arial" w:hAnsi="Arial"/>
          <w:sz w:val="20"/>
          <w:szCs w:val="20"/>
          <w:color w:val="auto"/>
        </w:rPr>
        <w:t>You may also visit the Xometry Investor Relations Homepage at investors.xometry.com to listen to a live webcast of the call</w:t>
      </w:r>
    </w:p>
    <w:p>
      <w:pPr>
        <w:spacing w:after="0" w:line="17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332" w:right="35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Cautionary Information Regarding Forward-Looking Statements</w:t>
      </w:r>
    </w:p>
    <w:p>
      <w:pPr>
        <w:spacing w:after="0" w:line="6" w:lineRule="exact"/>
        <w:rPr>
          <w:sz w:val="20"/>
          <w:szCs w:val="20"/>
          <w:color w:val="auto"/>
        </w:rPr>
      </w:pPr>
    </w:p>
    <w:p>
      <w:pPr>
        <w:spacing w:after="0" w:line="226" w:lineRule="auto"/>
        <w:rPr>
          <w:sz w:val="20"/>
          <w:szCs w:val="20"/>
          <w:color w:val="auto"/>
        </w:rPr>
      </w:pPr>
      <w:r>
        <w:rPr>
          <w:rFonts w:ascii="Arial" w:cs="Arial" w:eastAsia="Arial" w:hAnsi="Arial"/>
          <w:sz w:val="20"/>
          <w:szCs w:val="20"/>
          <w:color w:val="auto"/>
        </w:rPr>
        <w:t>This press release contains forward-looking statements within the meaning of Section 27A of the Securities Act of 1933, as amended, and Section 21E of the Securities Exchange Act of 1934, as amended, which statements involve substantial risks and uncertainties. Forward-looking statements generally relate to future events or our future financial or operating performance. In some cases, you can identify forward-looking statements because they contain words such as “may,” “will,” “should,” “expect,” “plan,” “anticipate,” “could,” “would,” “intend,” “target,” “project,” “contemplate,” “believe,” “estimate,” “predict,” “potential” or “continue” or the negative of these words or other similar terms or expressions that concern our expectations, strategy, plans or intentions. Forward-looking statements in this press release include, but are not limited to, our beliefs regarding our financial position and operating performance, including our outlook and guidance for the first quarter and full year 2023, our expectation regarding our operating leverage and 2023 operating expenses, our potential for growth, and demand for our marketplaces in general. Our expectations and beliefs regarding these matters may not materialize, and actual results in future periods are subject to risks and uncertainties that could cause actual results to differ materially from those projected, including risks and uncertainties related to: competition, managing our growth, financial performance, the impact of the health crises such as COVID-19 on our business and operations, our ability to forecast our performance due to our limited operating history, investments in new products or offerings, our ability to attract buyers and sellers to our marketplace, legal proceedings and regulatory matters and developments, any future changes to our business or our financial or operating model, our brand and reputation, and the impact of fluctuations in general macroeconomic conditions, such as the current inflationary environment and rising interest rates. The forward-looking statements contained in this press release are also subject to other risks and uncertainties that could cause actual results to differ from the results predicted, including those more fully described in our filings with the SEC, including our Annual Report on Form 10-K for the period ended December 31, 2022. All forward-looking statements in this press release are based on information available to Xometry and assumptions and beliefs as of the date hereof, and we disclaim any obligation to update any forward-looking statements, except as required by law.</w:t>
      </w:r>
    </w:p>
    <w:p>
      <w:pPr>
        <w:spacing w:after="0" w:line="233" w:lineRule="exact"/>
        <w:rPr>
          <w:sz w:val="20"/>
          <w:szCs w:val="20"/>
          <w:color w:val="auto"/>
        </w:rPr>
      </w:pPr>
    </w:p>
    <w:p>
      <w:pPr>
        <w:ind w:left="20"/>
        <w:spacing w:after="0"/>
        <w:tabs>
          <w:tab w:leader="none" w:pos="5620" w:val="left"/>
        </w:tabs>
        <w:rPr>
          <w:sz w:val="20"/>
          <w:szCs w:val="20"/>
          <w:color w:val="auto"/>
        </w:rPr>
      </w:pPr>
      <w:r>
        <w:rPr>
          <w:rFonts w:ascii="Arial" w:cs="Arial" w:eastAsia="Arial" w:hAnsi="Arial"/>
          <w:sz w:val="20"/>
          <w:szCs w:val="20"/>
          <w:b w:val="1"/>
          <w:bCs w:val="1"/>
          <w:color w:val="auto"/>
        </w:rPr>
        <w:t>Investor Contact:</w:t>
      </w:r>
      <w:r>
        <w:rPr>
          <w:sz w:val="20"/>
          <w:szCs w:val="20"/>
          <w:color w:val="auto"/>
        </w:rPr>
        <w:tab/>
      </w:r>
      <w:r>
        <w:rPr>
          <w:rFonts w:ascii="Arial" w:cs="Arial" w:eastAsia="Arial" w:hAnsi="Arial"/>
          <w:sz w:val="19"/>
          <w:szCs w:val="19"/>
          <w:b w:val="1"/>
          <w:bCs w:val="1"/>
          <w:color w:val="auto"/>
        </w:rPr>
        <w:t>Media Contact:</w:t>
      </w:r>
    </w:p>
    <w:p>
      <w:pPr>
        <w:sectPr>
          <w:pgSz w:w="11900" w:h="16838" w:orient="portrait"/>
          <w:cols w:equalWidth="0" w:num="1">
            <w:col w:w="11220"/>
          </w:cols>
          <w:pgMar w:left="320" w:top="547" w:right="359" w:bottom="1440" w:gutter="0" w:footer="0" w:header="0"/>
        </w:sectPr>
      </w:pPr>
    </w:p>
    <w:p>
      <w:pPr>
        <w:spacing w:after="0" w:line="217" w:lineRule="exact"/>
        <w:rPr>
          <w:sz w:val="20"/>
          <w:szCs w:val="20"/>
          <w:color w:val="auto"/>
        </w:rPr>
      </w:pPr>
    </w:p>
    <w:p>
      <w:pPr>
        <w:ind w:left="20"/>
        <w:spacing w:after="0"/>
        <w:rPr>
          <w:sz w:val="20"/>
          <w:szCs w:val="20"/>
          <w:color w:val="auto"/>
        </w:rPr>
      </w:pPr>
      <w:r>
        <w:rPr>
          <w:rFonts w:ascii="Arial" w:cs="Arial" w:eastAsia="Arial" w:hAnsi="Arial"/>
          <w:sz w:val="20"/>
          <w:szCs w:val="20"/>
          <w:color w:val="auto"/>
        </w:rPr>
        <w:t>Shawn Milne</w:t>
      </w:r>
    </w:p>
    <w:p>
      <w:pPr>
        <w:ind w:left="20"/>
        <w:spacing w:after="0" w:line="229" w:lineRule="auto"/>
        <w:rPr>
          <w:sz w:val="20"/>
          <w:szCs w:val="20"/>
          <w:color w:val="auto"/>
        </w:rPr>
      </w:pPr>
      <w:r>
        <w:rPr>
          <w:rFonts w:ascii="Arial" w:cs="Arial" w:eastAsia="Arial" w:hAnsi="Arial"/>
          <w:sz w:val="20"/>
          <w:szCs w:val="20"/>
          <w:color w:val="auto"/>
        </w:rPr>
        <w:t>VP Investor Relations</w:t>
      </w:r>
    </w:p>
    <w:p>
      <w:pPr>
        <w:ind w:left="20"/>
        <w:spacing w:after="0" w:line="225" w:lineRule="auto"/>
        <w:rPr>
          <w:sz w:val="20"/>
          <w:szCs w:val="20"/>
          <w:color w:val="auto"/>
        </w:rPr>
      </w:pPr>
      <w:r>
        <w:rPr>
          <w:rFonts w:ascii="Arial" w:cs="Arial" w:eastAsia="Arial" w:hAnsi="Arial"/>
          <w:sz w:val="20"/>
          <w:szCs w:val="20"/>
          <w:color w:val="auto"/>
        </w:rPr>
        <w:t>240-335-8132</w:t>
      </w:r>
    </w:p>
    <w:p>
      <w:pPr>
        <w:ind w:left="20"/>
        <w:spacing w:after="0"/>
        <w:rPr>
          <w:sz w:val="20"/>
          <w:szCs w:val="20"/>
          <w:color w:val="auto"/>
        </w:rPr>
      </w:pPr>
      <w:r>
        <w:rPr>
          <w:rFonts w:ascii="Arial" w:cs="Arial" w:eastAsia="Arial" w:hAnsi="Arial"/>
          <w:sz w:val="19"/>
          <w:szCs w:val="19"/>
          <w:color w:val="auto"/>
        </w:rPr>
        <w:t>shawn.milne@xometry.com</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color w:val="auto"/>
        </w:rPr>
        <w:t>Matthew Hutchison</w:t>
      </w:r>
    </w:p>
    <w:p>
      <w:pPr>
        <w:spacing w:after="0" w:line="1" w:lineRule="exact"/>
        <w:rPr>
          <w:sz w:val="20"/>
          <w:szCs w:val="20"/>
          <w:color w:val="auto"/>
        </w:rPr>
      </w:pPr>
    </w:p>
    <w:p>
      <w:pPr>
        <w:spacing w:after="0"/>
        <w:rPr>
          <w:sz w:val="20"/>
          <w:szCs w:val="20"/>
          <w:color w:val="auto"/>
        </w:rPr>
      </w:pPr>
      <w:r>
        <w:rPr>
          <w:rFonts w:ascii="Arial" w:cs="Arial" w:eastAsia="Arial" w:hAnsi="Arial"/>
          <w:sz w:val="19"/>
          <w:szCs w:val="19"/>
          <w:color w:val="auto"/>
        </w:rPr>
        <w:t>Corporate Communications for Xometry</w:t>
      </w:r>
    </w:p>
    <w:p>
      <w:pPr>
        <w:spacing w:after="0" w:line="225" w:lineRule="auto"/>
        <w:rPr>
          <w:sz w:val="20"/>
          <w:szCs w:val="20"/>
          <w:color w:val="auto"/>
        </w:rPr>
      </w:pPr>
      <w:r>
        <w:rPr>
          <w:rFonts w:ascii="Arial" w:cs="Arial" w:eastAsia="Arial" w:hAnsi="Arial"/>
          <w:sz w:val="20"/>
          <w:szCs w:val="20"/>
          <w:color w:val="auto"/>
        </w:rPr>
        <w:t>415-583-2119</w:t>
      </w:r>
    </w:p>
    <w:p>
      <w:pPr>
        <w:spacing w:after="0"/>
        <w:rPr>
          <w:sz w:val="20"/>
          <w:szCs w:val="20"/>
          <w:color w:val="auto"/>
        </w:rPr>
      </w:pPr>
      <w:r>
        <w:rPr>
          <w:rFonts w:ascii="Arial" w:cs="Arial" w:eastAsia="Arial" w:hAnsi="Arial"/>
          <w:sz w:val="20"/>
          <w:szCs w:val="20"/>
          <w:color w:val="auto"/>
        </w:rPr>
        <w:t>matthew.hutchison@xometry.com</w:t>
      </w:r>
    </w:p>
    <w:p>
      <w:pPr>
        <w:spacing w:after="0" w:line="200" w:lineRule="exact"/>
        <w:rPr>
          <w:sz w:val="20"/>
          <w:szCs w:val="20"/>
          <w:color w:val="auto"/>
        </w:rPr>
      </w:pPr>
    </w:p>
    <w:p>
      <w:pPr>
        <w:sectPr>
          <w:pgSz w:w="11900" w:h="16838" w:orient="portrait"/>
          <w:cols w:equalWidth="0" w:num="2">
            <w:col w:w="4920" w:space="720"/>
            <w:col w:w="5580"/>
          </w:cols>
          <w:pgMar w:left="320" w:top="547" w:right="359" w:bottom="1440" w:gutter="0" w:footer="0" w:header="0"/>
          <w:type w:val="continuous"/>
        </w:sectPr>
      </w:pPr>
    </w:p>
    <w:p>
      <w:pPr>
        <w:spacing w:after="0" w:line="200" w:lineRule="exact"/>
        <w:rPr>
          <w:sz w:val="20"/>
          <w:szCs w:val="20"/>
          <w:color w:val="auto"/>
        </w:rPr>
      </w:pPr>
    </w:p>
    <w:p>
      <w:pPr>
        <w:spacing w:after="0" w:line="25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87630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547" w:right="359" w:bottom="1440" w:gutter="0" w:footer="0" w:header="0"/>
          <w:type w:val="continuous"/>
        </w:sectPr>
      </w:pPr>
    </w:p>
    <w:bookmarkStart w:id="10" w:name="page11"/>
    <w:bookmarkEnd w:id="10"/>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spacing w:after="0" w:line="231" w:lineRule="auto"/>
        <w:rPr>
          <w:sz w:val="20"/>
          <w:szCs w:val="20"/>
          <w:color w:val="auto"/>
        </w:rPr>
      </w:pPr>
      <w:r>
        <w:rPr>
          <w:rFonts w:ascii="Arial" w:cs="Arial" w:eastAsia="Arial" w:hAnsi="Arial"/>
          <w:sz w:val="20"/>
          <w:szCs w:val="20"/>
          <w:color w:val="auto"/>
        </w:rPr>
        <w:t>Consolidated Balance Sheets</w:t>
      </w:r>
    </w:p>
    <w:p>
      <w:pPr>
        <w:jc w:val="center"/>
        <w:spacing w:after="0"/>
        <w:rPr>
          <w:sz w:val="20"/>
          <w:szCs w:val="20"/>
          <w:color w:val="auto"/>
        </w:rPr>
      </w:pPr>
      <w:r>
        <w:rPr>
          <w:rFonts w:ascii="Arial" w:cs="Arial" w:eastAsia="Arial" w:hAnsi="Arial"/>
          <w:sz w:val="20"/>
          <w:szCs w:val="20"/>
          <w:color w:val="auto"/>
        </w:rPr>
        <w:t>(In thousands, except share and per share data)</w:t>
      </w:r>
    </w:p>
    <w:p>
      <w:pPr>
        <w:spacing w:after="0" w:line="2"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6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9"/>
              </w:rPr>
              <w:t>December 31,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December 31,</w:t>
            </w:r>
          </w:p>
        </w:tc>
      </w:tr>
      <w:tr>
        <w:trPr>
          <w:trHeight w:val="223"/>
        </w:trPr>
        <w:tc>
          <w:tcPr>
            <w:tcW w:w="6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99"/>
              </w:rPr>
              <w:t>2022</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66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Assets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Current assets: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Cash and cash equivalents</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319,432</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86,262</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Marketable securities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30,465</w:t>
            </w:r>
          </w:p>
        </w:tc>
        <w:tc>
          <w:tcPr>
            <w:tcW w:w="100" w:type="dxa"/>
            <w:vAlign w:val="bottom"/>
          </w:tcPr>
          <w:p>
            <w:pPr>
              <w:spacing w:after="0"/>
              <w:rPr>
                <w:sz w:val="19"/>
                <w:szCs w:val="19"/>
                <w:color w:val="auto"/>
              </w:rPr>
            </w:pPr>
          </w:p>
        </w:tc>
      </w:tr>
      <w:tr>
        <w:trPr>
          <w:trHeight w:val="197"/>
        </w:trPr>
        <w:tc>
          <w:tcPr>
            <w:tcW w:w="8040" w:type="dxa"/>
            <w:vAlign w:val="bottom"/>
            <w:gridSpan w:val="3"/>
            <w:shd w:val="clear" w:color="auto" w:fill="CFF0FC"/>
          </w:tcPr>
          <w:p>
            <w:pPr>
              <w:ind w:left="280"/>
              <w:spacing w:after="0" w:line="197" w:lineRule="exact"/>
              <w:rPr>
                <w:sz w:val="20"/>
                <w:szCs w:val="20"/>
                <w:color w:val="auto"/>
              </w:rPr>
            </w:pPr>
            <w:r>
              <w:rPr>
                <w:rFonts w:ascii="Arial" w:cs="Arial" w:eastAsia="Arial" w:hAnsi="Arial"/>
                <w:sz w:val="18"/>
                <w:szCs w:val="18"/>
                <w:color w:val="auto"/>
              </w:rPr>
              <w:t>Accounts receivable, less allowance for credit losses of $2.0 million and $0.8 million as of</w:t>
            </w: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December 31, 2022 and 2021, respectively.</w:t>
            </w: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49,188</w:t>
            </w:r>
          </w:p>
        </w:tc>
        <w:tc>
          <w:tcPr>
            <w:tcW w:w="10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32,427</w:t>
            </w:r>
          </w:p>
        </w:tc>
        <w:tc>
          <w:tcPr>
            <w:tcW w:w="100" w:type="dxa"/>
            <w:vAlign w:val="bottom"/>
            <w:shd w:val="clear" w:color="auto" w:fill="CFF0FC"/>
          </w:tcPr>
          <w:p>
            <w:pPr>
              <w:spacing w:after="0"/>
              <w:rPr>
                <w:sz w:val="20"/>
                <w:szCs w:val="20"/>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Inventory</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1,571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Prepaid expenses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7,591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6,664</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Other current assets</w:t>
            </w: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12,273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5,580</w:t>
            </w:r>
          </w:p>
        </w:tc>
        <w:tc>
          <w:tcPr>
            <w:tcW w:w="100" w:type="dxa"/>
            <w:vAlign w:val="bottom"/>
          </w:tcPr>
          <w:p>
            <w:pPr>
              <w:spacing w:after="0"/>
              <w:rPr>
                <w:sz w:val="19"/>
                <w:szCs w:val="19"/>
                <w:color w:val="auto"/>
              </w:rPr>
            </w:pPr>
          </w:p>
        </w:tc>
      </w:tr>
      <w:tr>
        <w:trPr>
          <w:trHeight w:val="223"/>
        </w:trPr>
        <w:tc>
          <w:tcPr>
            <w:tcW w:w="66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assets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390,055</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163,431</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Property and equipment, net</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19,079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10,287</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right-of-use assets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25,923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27,489</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Investment in unconsolidated joint venture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4,068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4,198</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Intangible assets, net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39,351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41,736</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Goodwill</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258,036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254,672</w:t>
            </w:r>
          </w:p>
        </w:tc>
        <w:tc>
          <w:tcPr>
            <w:tcW w:w="100" w:type="dxa"/>
            <w:vAlign w:val="bottom"/>
          </w:tcPr>
          <w:p>
            <w:pPr>
              <w:spacing w:after="0"/>
              <w:rPr>
                <w:sz w:val="19"/>
                <w:szCs w:val="19"/>
                <w:color w:val="auto"/>
              </w:rPr>
            </w:pPr>
          </w:p>
        </w:tc>
      </w:tr>
      <w:tr>
        <w:trPr>
          <w:trHeight w:val="229"/>
        </w:trPr>
        <w:tc>
          <w:tcPr>
            <w:tcW w:w="666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color w:val="auto"/>
              </w:rPr>
              <w:t>Other assets</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413</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ind w:left="520"/>
              <w:spacing w:after="0"/>
              <w:rPr>
                <w:sz w:val="20"/>
                <w:szCs w:val="20"/>
                <w:color w:val="auto"/>
              </w:rPr>
            </w:pPr>
            <w:r>
              <w:rPr>
                <w:rFonts w:ascii="Arial" w:cs="Arial" w:eastAsia="Arial" w:hAnsi="Arial"/>
                <w:sz w:val="18"/>
                <w:szCs w:val="18"/>
                <w:b w:val="1"/>
                <w:bCs w:val="1"/>
                <w:color w:val="auto"/>
              </w:rPr>
              <w:t>Total assets</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736,925</w:t>
            </w:r>
          </w:p>
        </w:tc>
        <w:tc>
          <w:tcPr>
            <w:tcW w:w="100" w:type="dxa"/>
            <w:vAlign w:val="bottom"/>
          </w:tcPr>
          <w:p>
            <w:pPr>
              <w:spacing w:after="0"/>
              <w:rPr>
                <w:sz w:val="19"/>
                <w:szCs w:val="19"/>
                <w:color w:val="auto"/>
              </w:rPr>
            </w:pPr>
          </w:p>
        </w:tc>
        <w:tc>
          <w:tcPr>
            <w:tcW w:w="2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502,586</w:t>
            </w:r>
          </w:p>
        </w:tc>
        <w:tc>
          <w:tcPr>
            <w:tcW w:w="100" w:type="dxa"/>
            <w:vAlign w:val="bottom"/>
          </w:tcPr>
          <w:p>
            <w:pPr>
              <w:spacing w:after="0"/>
              <w:rPr>
                <w:sz w:val="19"/>
                <w:szCs w:val="19"/>
                <w:color w:val="auto"/>
              </w:rPr>
            </w:pPr>
          </w:p>
        </w:tc>
      </w:tr>
      <w:tr>
        <w:trPr>
          <w:trHeight w:val="20"/>
        </w:trPr>
        <w:tc>
          <w:tcPr>
            <w:tcW w:w="666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124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3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160" w:type="dxa"/>
            <w:vAlign w:val="bottom"/>
            <w:shd w:val="clear" w:color="auto" w:fill="CFF0FC"/>
          </w:tcPr>
          <w:p>
            <w:pPr>
              <w:spacing w:after="0"/>
              <w:rPr>
                <w:sz w:val="18"/>
                <w:szCs w:val="18"/>
                <w:color w:val="auto"/>
              </w:rPr>
            </w:pPr>
          </w:p>
        </w:tc>
        <w:tc>
          <w:tcPr>
            <w:tcW w:w="13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29"/>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Current liabilities: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Accounts payable</w:t>
            </w:r>
          </w:p>
        </w:tc>
        <w:tc>
          <w:tcPr>
            <w:tcW w:w="13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12,437</w:t>
            </w:r>
          </w:p>
        </w:tc>
        <w:tc>
          <w:tcPr>
            <w:tcW w:w="100" w:type="dxa"/>
            <w:vAlign w:val="bottom"/>
            <w:shd w:val="clear" w:color="auto" w:fill="CFF0FC"/>
          </w:tcPr>
          <w:p>
            <w:pPr>
              <w:spacing w:after="0"/>
              <w:rPr>
                <w:sz w:val="19"/>
                <w:szCs w:val="19"/>
                <w:color w:val="auto"/>
              </w:rPr>
            </w:pPr>
          </w:p>
        </w:tc>
        <w:tc>
          <w:tcPr>
            <w:tcW w:w="2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12,718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33,430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30,905</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Contract liabilities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8,509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7,863</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Income taxes payable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3,956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liabilities, current portion</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5,471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5,549</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Finance lease liabilities, current portion</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r>
      <w:tr>
        <w:trPr>
          <w:trHeight w:val="223"/>
        </w:trPr>
        <w:tc>
          <w:tcPr>
            <w:tcW w:w="6660" w:type="dxa"/>
            <w:vAlign w:val="bottom"/>
            <w:shd w:val="clear" w:color="auto" w:fill="CFF0FC"/>
          </w:tcPr>
          <w:p>
            <w:pPr>
              <w:ind w:left="520"/>
              <w:spacing w:after="0"/>
              <w:rPr>
                <w:sz w:val="20"/>
                <w:szCs w:val="20"/>
                <w:color w:val="auto"/>
              </w:rPr>
            </w:pPr>
            <w:r>
              <w:rPr>
                <w:rFonts w:ascii="Arial" w:cs="Arial" w:eastAsia="Arial" w:hAnsi="Arial"/>
                <w:sz w:val="18"/>
                <w:szCs w:val="18"/>
                <w:b w:val="1"/>
                <w:bCs w:val="1"/>
                <w:color w:val="auto"/>
              </w:rPr>
              <w:t>Total current liabilities</w:t>
            </w:r>
          </w:p>
        </w:tc>
        <w:tc>
          <w:tcPr>
            <w:tcW w:w="1240" w:type="dxa"/>
            <w:vAlign w:val="bottom"/>
            <w:shd w:val="clear" w:color="auto" w:fill="CFF0FC"/>
          </w:tcPr>
          <w:p>
            <w:pPr>
              <w:spacing w:after="0"/>
              <w:rPr>
                <w:sz w:val="19"/>
                <w:szCs w:val="19"/>
                <w:color w:val="auto"/>
              </w:rPr>
            </w:pPr>
          </w:p>
        </w:tc>
        <w:tc>
          <w:tcPr>
            <w:tcW w:w="140" w:type="dxa"/>
            <w:vAlign w:val="bottom"/>
            <w:tcBorders>
              <w:top w:val="single" w:sz="8" w:color="auto"/>
            </w:tcBorders>
            <w:shd w:val="clear" w:color="auto" w:fill="CFF0FC"/>
          </w:tcPr>
          <w:p>
            <w:pPr>
              <w:spacing w:after="0"/>
              <w:rPr>
                <w:sz w:val="19"/>
                <w:szCs w:val="19"/>
                <w:color w:val="auto"/>
              </w:rPr>
            </w:pPr>
          </w:p>
        </w:tc>
        <w:tc>
          <w:tcPr>
            <w:tcW w:w="13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63,803</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tcBorders>
              <w:top w:val="single" w:sz="8" w:color="auto"/>
            </w:tcBorders>
            <w:shd w:val="clear" w:color="auto" w:fill="CFF0FC"/>
          </w:tcPr>
          <w:p>
            <w:pPr>
              <w:spacing w:after="0"/>
              <w:rPr>
                <w:sz w:val="19"/>
                <w:szCs w:val="19"/>
                <w:color w:val="auto"/>
              </w:rPr>
            </w:pPr>
          </w:p>
        </w:tc>
        <w:tc>
          <w:tcPr>
            <w:tcW w:w="138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57,037</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Convertible notes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279,909</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Operating lease liabilities, net of current portion</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16,940</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16,920</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Long term income taxes payable</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1,450</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Deferred income taxes</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429</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Other liabilities</w:t>
            </w: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1,011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1,678</w:t>
            </w:r>
          </w:p>
        </w:tc>
        <w:tc>
          <w:tcPr>
            <w:tcW w:w="100" w:type="dxa"/>
            <w:vAlign w:val="bottom"/>
          </w:tcPr>
          <w:p>
            <w:pPr>
              <w:spacing w:after="0"/>
              <w:rPr>
                <w:sz w:val="19"/>
                <w:szCs w:val="19"/>
                <w:color w:val="auto"/>
              </w:rPr>
            </w:pPr>
          </w:p>
        </w:tc>
      </w:tr>
      <w:tr>
        <w:trPr>
          <w:trHeight w:val="223"/>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Total liabilities</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362,092</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77,103</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ind w:left="20"/>
              <w:spacing w:after="0"/>
              <w:rPr>
                <w:sz w:val="20"/>
                <w:szCs w:val="20"/>
                <w:color w:val="auto"/>
              </w:rPr>
            </w:pPr>
            <w:r>
              <w:rPr>
                <w:rFonts w:ascii="Arial" w:cs="Arial" w:eastAsia="Arial" w:hAnsi="Arial"/>
                <w:sz w:val="18"/>
                <w:szCs w:val="18"/>
                <w:b w:val="1"/>
                <w:bCs w:val="1"/>
                <w:color w:val="auto"/>
              </w:rPr>
              <w:t>Commitments and contingencies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Stockholders’ equity</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197"/>
        </w:trPr>
        <w:tc>
          <w:tcPr>
            <w:tcW w:w="8040" w:type="dxa"/>
            <w:vAlign w:val="bottom"/>
            <w:gridSpan w:val="3"/>
          </w:tcPr>
          <w:p>
            <w:pPr>
              <w:ind w:left="280"/>
              <w:spacing w:after="0" w:line="197" w:lineRule="exact"/>
              <w:rPr>
                <w:sz w:val="20"/>
                <w:szCs w:val="20"/>
                <w:color w:val="auto"/>
              </w:rPr>
            </w:pPr>
            <w:r>
              <w:rPr>
                <w:rFonts w:ascii="Arial" w:cs="Arial" w:eastAsia="Arial" w:hAnsi="Arial"/>
                <w:sz w:val="18"/>
                <w:szCs w:val="18"/>
                <w:color w:val="auto"/>
              </w:rPr>
              <w:t>Preferred stock, $0.000001 par value. Authorized; 50,000,000 shares; zero shares issued</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6660" w:type="dxa"/>
            <w:vAlign w:val="bottom"/>
          </w:tcPr>
          <w:p>
            <w:pPr>
              <w:ind w:left="280"/>
              <w:spacing w:after="0"/>
              <w:rPr>
                <w:sz w:val="20"/>
                <w:szCs w:val="20"/>
                <w:color w:val="auto"/>
              </w:rPr>
            </w:pPr>
            <w:r>
              <w:rPr>
                <w:rFonts w:ascii="Arial" w:cs="Arial" w:eastAsia="Arial" w:hAnsi="Arial"/>
                <w:sz w:val="18"/>
                <w:szCs w:val="18"/>
                <w:color w:val="auto"/>
              </w:rPr>
              <w:t>and outstanding as of December 31, 2022 and 2021, respectively</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6660" w:type="dxa"/>
            <w:vAlign w:val="bottom"/>
            <w:shd w:val="clear" w:color="auto" w:fill="CFF0FC"/>
          </w:tcPr>
          <w:p>
            <w:pPr>
              <w:ind w:left="280"/>
              <w:spacing w:after="0" w:line="197" w:lineRule="exact"/>
              <w:rPr>
                <w:sz w:val="20"/>
                <w:szCs w:val="20"/>
                <w:color w:val="auto"/>
              </w:rPr>
            </w:pPr>
            <w:r>
              <w:rPr>
                <w:rFonts w:ascii="Arial" w:cs="Arial" w:eastAsia="Arial" w:hAnsi="Arial"/>
                <w:sz w:val="18"/>
                <w:szCs w:val="18"/>
                <w:color w:val="auto"/>
              </w:rPr>
              <w:t>Class A Common stock, $0.000001 par value. Authorized; 750,000,000 shares;</w:t>
            </w:r>
          </w:p>
        </w:tc>
        <w:tc>
          <w:tcPr>
            <w:tcW w:w="1240" w:type="dxa"/>
            <w:vAlign w:val="bottom"/>
            <w:shd w:val="clear" w:color="auto" w:fill="CFF0FC"/>
          </w:tcPr>
          <w:p>
            <w:pPr>
              <w:jc w:val="right"/>
              <w:ind w:right="230"/>
              <w:spacing w:after="0" w:line="197" w:lineRule="exact"/>
              <w:rPr>
                <w:sz w:val="20"/>
                <w:szCs w:val="20"/>
                <w:color w:val="auto"/>
              </w:rPr>
            </w:pPr>
            <w:r>
              <w:rPr>
                <w:rFonts w:ascii="Arial" w:cs="Arial" w:eastAsia="Arial" w:hAnsi="Arial"/>
                <w:sz w:val="18"/>
                <w:szCs w:val="18"/>
                <w:color w:val="auto"/>
                <w:w w:val="99"/>
              </w:rPr>
              <w:t>44,822,264</w:t>
            </w:r>
          </w:p>
        </w:tc>
        <w:tc>
          <w:tcPr>
            <w:tcW w:w="140" w:type="dxa"/>
            <w:vAlign w:val="bottom"/>
            <w:shd w:val="clear" w:color="auto" w:fill="CFF0FC"/>
          </w:tcPr>
          <w:p>
            <w:pPr>
              <w:spacing w:after="0"/>
              <w:rPr>
                <w:sz w:val="17"/>
                <w:szCs w:val="17"/>
                <w:color w:val="auto"/>
              </w:rPr>
            </w:pP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02"/>
        </w:trPr>
        <w:tc>
          <w:tcPr>
            <w:tcW w:w="8040" w:type="dxa"/>
            <w:vAlign w:val="bottom"/>
            <w:gridSpan w:val="3"/>
            <w:shd w:val="clear" w:color="auto" w:fill="CFF0FC"/>
          </w:tcPr>
          <w:p>
            <w:pPr>
              <w:ind w:left="280"/>
              <w:spacing w:after="0" w:line="202" w:lineRule="exact"/>
              <w:rPr>
                <w:sz w:val="20"/>
                <w:szCs w:val="20"/>
                <w:color w:val="auto"/>
              </w:rPr>
            </w:pPr>
            <w:r>
              <w:rPr>
                <w:rFonts w:ascii="Arial" w:cs="Arial" w:eastAsia="Arial" w:hAnsi="Arial"/>
                <w:sz w:val="18"/>
                <w:szCs w:val="18"/>
                <w:color w:val="auto"/>
              </w:rPr>
              <w:t>shares and 43,998,404 shares issued and outstanding as of December 31, 2022 and 2021,</w:t>
            </w:r>
          </w:p>
        </w:tc>
        <w:tc>
          <w:tcPr>
            <w:tcW w:w="13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13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35"/>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respectively</w:t>
            </w:r>
          </w:p>
        </w:tc>
        <w:tc>
          <w:tcPr>
            <w:tcW w:w="124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8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97"/>
        </w:trPr>
        <w:tc>
          <w:tcPr>
            <w:tcW w:w="8040" w:type="dxa"/>
            <w:vAlign w:val="bottom"/>
            <w:gridSpan w:val="3"/>
          </w:tcPr>
          <w:p>
            <w:pPr>
              <w:ind w:left="280"/>
              <w:spacing w:after="0" w:line="197" w:lineRule="exact"/>
              <w:rPr>
                <w:sz w:val="20"/>
                <w:szCs w:val="20"/>
                <w:color w:val="auto"/>
              </w:rPr>
            </w:pPr>
            <w:r>
              <w:rPr>
                <w:rFonts w:ascii="Arial" w:cs="Arial" w:eastAsia="Arial" w:hAnsi="Arial"/>
                <w:sz w:val="18"/>
                <w:szCs w:val="18"/>
                <w:color w:val="auto"/>
              </w:rPr>
              <w:t>Class B Common stock, $0.000001 par value. Authorized; 5,000,000 shares; 2,676,154</w:t>
            </w: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6660" w:type="dxa"/>
            <w:vAlign w:val="bottom"/>
          </w:tcPr>
          <w:p>
            <w:pPr>
              <w:ind w:left="280"/>
              <w:spacing w:after="0"/>
              <w:rPr>
                <w:sz w:val="20"/>
                <w:szCs w:val="20"/>
                <w:color w:val="auto"/>
              </w:rPr>
            </w:pPr>
            <w:r>
              <w:rPr>
                <w:rFonts w:ascii="Arial" w:cs="Arial" w:eastAsia="Arial" w:hAnsi="Arial"/>
                <w:sz w:val="18"/>
                <w:szCs w:val="18"/>
                <w:color w:val="auto"/>
                <w:w w:val="99"/>
              </w:rPr>
              <w:t>shares issued and outstanding as of December 31, 2022 and 2021, respectively</w:t>
            </w:r>
          </w:p>
        </w:tc>
        <w:tc>
          <w:tcPr>
            <w:tcW w:w="1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8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Additional paid-in capital</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623,081</w:t>
            </w:r>
          </w:p>
        </w:tc>
        <w:tc>
          <w:tcPr>
            <w:tcW w:w="1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3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597,641</w:t>
            </w:r>
          </w:p>
        </w:tc>
        <w:tc>
          <w:tcPr>
            <w:tcW w:w="100" w:type="dxa"/>
            <w:vAlign w:val="bottom"/>
            <w:shd w:val="clear" w:color="auto" w:fill="CFF0FC"/>
          </w:tcPr>
          <w:p>
            <w:pPr>
              <w:spacing w:after="0"/>
              <w:rPr>
                <w:sz w:val="19"/>
                <w:szCs w:val="19"/>
                <w:color w:val="auto"/>
              </w:rPr>
            </w:pPr>
          </w:p>
        </w:tc>
      </w:tr>
      <w:tr>
        <w:trPr>
          <w:trHeight w:val="229"/>
        </w:trPr>
        <w:tc>
          <w:tcPr>
            <w:tcW w:w="6660" w:type="dxa"/>
            <w:vAlign w:val="bottom"/>
          </w:tcPr>
          <w:p>
            <w:pPr>
              <w:ind w:left="280"/>
              <w:spacing w:after="0"/>
              <w:rPr>
                <w:sz w:val="20"/>
                <w:szCs w:val="20"/>
                <w:color w:val="auto"/>
              </w:rPr>
            </w:pPr>
            <w:r>
              <w:rPr>
                <w:rFonts w:ascii="Arial" w:cs="Arial" w:eastAsia="Arial" w:hAnsi="Arial"/>
                <w:sz w:val="18"/>
                <w:szCs w:val="18"/>
                <w:color w:val="auto"/>
              </w:rPr>
              <w:t>Accumulated other comprehensive income (loss)</w:t>
            </w:r>
          </w:p>
        </w:tc>
        <w:tc>
          <w:tcPr>
            <w:tcW w:w="12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149</w:t>
            </w:r>
          </w:p>
        </w:tc>
        <w:tc>
          <w:tcPr>
            <w:tcW w:w="100" w:type="dxa"/>
            <w:vAlign w:val="bottom"/>
          </w:tcPr>
          <w:p>
            <w:pPr>
              <w:spacing w:after="0"/>
              <w:rPr>
                <w:sz w:val="19"/>
                <w:szCs w:val="19"/>
                <w:color w:val="auto"/>
              </w:rPr>
            </w:pPr>
          </w:p>
        </w:tc>
      </w:tr>
      <w:tr>
        <w:trPr>
          <w:trHeight w:val="229"/>
        </w:trPr>
        <w:tc>
          <w:tcPr>
            <w:tcW w:w="6660" w:type="dxa"/>
            <w:vAlign w:val="bottom"/>
            <w:shd w:val="clear" w:color="auto" w:fill="CFF0FC"/>
          </w:tcPr>
          <w:p>
            <w:pPr>
              <w:ind w:left="280"/>
              <w:spacing w:after="0"/>
              <w:rPr>
                <w:sz w:val="20"/>
                <w:szCs w:val="20"/>
                <w:color w:val="auto"/>
              </w:rPr>
            </w:pPr>
            <w:r>
              <w:rPr>
                <w:rFonts w:ascii="Arial" w:cs="Arial" w:eastAsia="Arial" w:hAnsi="Arial"/>
                <w:sz w:val="18"/>
                <w:szCs w:val="18"/>
                <w:color w:val="auto"/>
              </w:rPr>
              <w:t>Accumulated deficit</w:t>
            </w:r>
          </w:p>
        </w:tc>
        <w:tc>
          <w:tcPr>
            <w:tcW w:w="124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(249,366 )</w:t>
            </w:r>
          </w:p>
        </w:tc>
        <w:tc>
          <w:tcPr>
            <w:tcW w:w="1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8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(173,341 )</w:t>
            </w:r>
          </w:p>
        </w:tc>
      </w:tr>
      <w:tr>
        <w:trPr>
          <w:trHeight w:val="223"/>
        </w:trPr>
        <w:tc>
          <w:tcPr>
            <w:tcW w:w="6660" w:type="dxa"/>
            <w:vAlign w:val="bottom"/>
            <w:tcBorders>
              <w:top w:val="single" w:sz="8" w:color="CFF0FC"/>
            </w:tcBorders>
          </w:tcPr>
          <w:p>
            <w:pPr>
              <w:ind w:left="20"/>
              <w:spacing w:after="0"/>
              <w:rPr>
                <w:sz w:val="20"/>
                <w:szCs w:val="20"/>
                <w:color w:val="auto"/>
              </w:rPr>
            </w:pPr>
            <w:r>
              <w:rPr>
                <w:rFonts w:ascii="Arial" w:cs="Arial" w:eastAsia="Arial" w:hAnsi="Arial"/>
                <w:sz w:val="18"/>
                <w:szCs w:val="18"/>
                <w:b w:val="1"/>
                <w:bCs w:val="1"/>
                <w:color w:val="auto"/>
              </w:rPr>
              <w:t>Total stockholders’ equity</w:t>
            </w:r>
          </w:p>
        </w:tc>
        <w:tc>
          <w:tcPr>
            <w:tcW w:w="1240" w:type="dxa"/>
            <w:vAlign w:val="bottom"/>
            <w:tcBorders>
              <w:top w:val="single" w:sz="8" w:color="CFF0FC"/>
            </w:tcBorders>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373,743</w:t>
            </w:r>
          </w:p>
        </w:tc>
        <w:tc>
          <w:tcPr>
            <w:tcW w:w="100" w:type="dxa"/>
            <w:vAlign w:val="bottom"/>
            <w:tcBorders>
              <w:top w:val="single" w:sz="8" w:color="CFF0FC"/>
            </w:tcBorders>
          </w:tcPr>
          <w:p>
            <w:pPr>
              <w:spacing w:after="0"/>
              <w:rPr>
                <w:sz w:val="19"/>
                <w:szCs w:val="19"/>
                <w:color w:val="auto"/>
              </w:rPr>
            </w:pPr>
          </w:p>
        </w:tc>
        <w:tc>
          <w:tcPr>
            <w:tcW w:w="100" w:type="dxa"/>
            <w:vAlign w:val="bottom"/>
            <w:tcBorders>
              <w:top w:val="single" w:sz="8" w:color="CFF0FC"/>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3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424,449</w:t>
            </w:r>
          </w:p>
        </w:tc>
        <w:tc>
          <w:tcPr>
            <w:tcW w:w="100" w:type="dxa"/>
            <w:vAlign w:val="bottom"/>
            <w:tcBorders>
              <w:top w:val="single" w:sz="8" w:color="CFF0FC"/>
            </w:tcBorders>
          </w:tcPr>
          <w:p>
            <w:pPr>
              <w:spacing w:after="0"/>
              <w:rPr>
                <w:sz w:val="19"/>
                <w:szCs w:val="19"/>
                <w:color w:val="auto"/>
              </w:rPr>
            </w:pPr>
          </w:p>
        </w:tc>
      </w:tr>
      <w:tr>
        <w:trPr>
          <w:trHeight w:val="229"/>
        </w:trPr>
        <w:tc>
          <w:tcPr>
            <w:tcW w:w="6660" w:type="dxa"/>
            <w:vAlign w:val="bottom"/>
            <w:tcBorders>
              <w:bottom w:val="single" w:sz="8" w:color="CFF0FC"/>
            </w:tcBorders>
            <w:shd w:val="clear" w:color="auto" w:fill="CFF0FC"/>
          </w:tcPr>
          <w:p>
            <w:pPr>
              <w:ind w:left="520"/>
              <w:spacing w:after="0"/>
              <w:rPr>
                <w:sz w:val="20"/>
                <w:szCs w:val="20"/>
                <w:color w:val="auto"/>
              </w:rPr>
            </w:pPr>
            <w:r>
              <w:rPr>
                <w:rFonts w:ascii="Arial" w:cs="Arial" w:eastAsia="Arial" w:hAnsi="Arial"/>
                <w:sz w:val="18"/>
                <w:szCs w:val="18"/>
                <w:b w:val="1"/>
                <w:bCs w:val="1"/>
                <w:color w:val="auto"/>
              </w:rPr>
              <w:t>Noncontrolling interest</w:t>
            </w:r>
          </w:p>
        </w:tc>
        <w:tc>
          <w:tcPr>
            <w:tcW w:w="124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1,090</w:t>
            </w:r>
          </w:p>
        </w:tc>
        <w:tc>
          <w:tcPr>
            <w:tcW w:w="100" w:type="dxa"/>
            <w:vAlign w:val="bottom"/>
            <w:tcBorders>
              <w:bottom w:val="single" w:sz="8" w:color="CFF0FC"/>
            </w:tcBorders>
            <w:shd w:val="clear" w:color="auto" w:fill="CFF0FC"/>
          </w:tcPr>
          <w:p>
            <w:pPr>
              <w:spacing w:after="0"/>
              <w:rPr>
                <w:sz w:val="19"/>
                <w:szCs w:val="19"/>
                <w:color w:val="auto"/>
              </w:rPr>
            </w:pPr>
          </w:p>
        </w:tc>
        <w:tc>
          <w:tcPr>
            <w:tcW w:w="100" w:type="dxa"/>
            <w:vAlign w:val="bottom"/>
            <w:tcBorders>
              <w:bottom w:val="single" w:sz="8" w:color="CFF0FC"/>
            </w:tcBorders>
            <w:shd w:val="clear" w:color="auto" w:fill="CFF0FC"/>
          </w:tcPr>
          <w:p>
            <w:pPr>
              <w:spacing w:after="0"/>
              <w:rPr>
                <w:sz w:val="19"/>
                <w:szCs w:val="19"/>
                <w:color w:val="auto"/>
              </w:rPr>
            </w:pPr>
          </w:p>
        </w:tc>
        <w:tc>
          <w:tcPr>
            <w:tcW w:w="160" w:type="dxa"/>
            <w:vAlign w:val="bottom"/>
            <w:tcBorders>
              <w:bottom w:val="single" w:sz="8" w:color="auto"/>
            </w:tcBorders>
            <w:shd w:val="clear" w:color="auto" w:fill="CFF0FC"/>
          </w:tcPr>
          <w:p>
            <w:pPr>
              <w:spacing w:after="0"/>
              <w:rPr>
                <w:sz w:val="19"/>
                <w:szCs w:val="19"/>
                <w:color w:val="auto"/>
              </w:rPr>
            </w:pP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1,034</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6660" w:type="dxa"/>
            <w:vAlign w:val="bottom"/>
          </w:tcPr>
          <w:p>
            <w:pPr>
              <w:ind w:left="520"/>
              <w:spacing w:after="0"/>
              <w:rPr>
                <w:sz w:val="20"/>
                <w:szCs w:val="20"/>
                <w:color w:val="auto"/>
              </w:rPr>
            </w:pPr>
            <w:r>
              <w:rPr>
                <w:rFonts w:ascii="Arial" w:cs="Arial" w:eastAsia="Arial" w:hAnsi="Arial"/>
                <w:sz w:val="18"/>
                <w:szCs w:val="18"/>
                <w:b w:val="1"/>
                <w:bCs w:val="1"/>
                <w:color w:val="auto"/>
              </w:rPr>
              <w:t>Total equity</w:t>
            </w:r>
          </w:p>
        </w:tc>
        <w:tc>
          <w:tcPr>
            <w:tcW w:w="124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374,833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425,483</w:t>
            </w:r>
          </w:p>
        </w:tc>
        <w:tc>
          <w:tcPr>
            <w:tcW w:w="100" w:type="dxa"/>
            <w:vAlign w:val="bottom"/>
          </w:tcPr>
          <w:p>
            <w:pPr>
              <w:spacing w:after="0"/>
              <w:rPr>
                <w:sz w:val="19"/>
                <w:szCs w:val="19"/>
                <w:color w:val="auto"/>
              </w:rPr>
            </w:pPr>
          </w:p>
        </w:tc>
      </w:tr>
      <w:tr>
        <w:trPr>
          <w:trHeight w:val="263"/>
        </w:trPr>
        <w:tc>
          <w:tcPr>
            <w:tcW w:w="66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Total liabilities and stockholders’ equity</w:t>
            </w:r>
          </w:p>
        </w:tc>
        <w:tc>
          <w:tcPr>
            <w:tcW w:w="124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736,925</w:t>
            </w:r>
          </w:p>
        </w:tc>
        <w:tc>
          <w:tcPr>
            <w:tcW w:w="100" w:type="dxa"/>
            <w:vAlign w:val="bottom"/>
            <w:tcBorders>
              <w:bottom w:val="single" w:sz="8" w:color="CFF0FC"/>
            </w:tcBorders>
            <w:shd w:val="clear" w:color="auto" w:fill="CFF0FC"/>
          </w:tcPr>
          <w:p>
            <w:pPr>
              <w:spacing w:after="0"/>
              <w:rPr>
                <w:sz w:val="22"/>
                <w:szCs w:val="22"/>
                <w:color w:val="auto"/>
              </w:rPr>
            </w:pPr>
          </w:p>
        </w:tc>
        <w:tc>
          <w:tcPr>
            <w:tcW w:w="100" w:type="dxa"/>
            <w:vAlign w:val="bottom"/>
            <w:tcBorders>
              <w:bottom w:val="single" w:sz="8" w:color="CFF0FC"/>
            </w:tcBorders>
            <w:shd w:val="clear" w:color="auto" w:fill="CFF0FC"/>
          </w:tcPr>
          <w:p>
            <w:pPr>
              <w:spacing w:after="0"/>
              <w:rPr>
                <w:sz w:val="22"/>
                <w:szCs w:val="22"/>
                <w:color w:val="auto"/>
              </w:rPr>
            </w:pPr>
          </w:p>
        </w:tc>
        <w:tc>
          <w:tcPr>
            <w:tcW w:w="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502,586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857"/>
        </w:trPr>
        <w:tc>
          <w:tcPr>
            <w:tcW w:w="6660" w:type="dxa"/>
            <w:vAlign w:val="bottom"/>
          </w:tcPr>
          <w:p>
            <w:pPr>
              <w:ind w:left="5580"/>
              <w:spacing w:after="0"/>
              <w:rPr>
                <w:sz w:val="20"/>
                <w:szCs w:val="20"/>
                <w:color w:val="auto"/>
              </w:rPr>
            </w:pPr>
            <w:r>
              <w:rPr>
                <w:rFonts w:ascii="Times New Roman" w:cs="Times New Roman" w:eastAsia="Times New Roman" w:hAnsi="Times New Roman"/>
                <w:sz w:val="18"/>
                <w:szCs w:val="18"/>
                <w:color w:val="auto"/>
              </w:rPr>
              <w:t>8</w:t>
            </w:r>
          </w:p>
        </w:tc>
        <w:tc>
          <w:tcPr>
            <w:tcW w:w="1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6660" w:type="dxa"/>
            <w:vAlign w:val="bottom"/>
            <w:tcBorders>
              <w:bottom w:val="single" w:sz="8" w:color="9A9A9A"/>
            </w:tcBorders>
          </w:tcPr>
          <w:p>
            <w:pPr>
              <w:spacing w:after="0"/>
              <w:rPr>
                <w:sz w:val="9"/>
                <w:szCs w:val="9"/>
                <w:color w:val="auto"/>
              </w:rPr>
            </w:pPr>
          </w:p>
        </w:tc>
        <w:tc>
          <w:tcPr>
            <w:tcW w:w="124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36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160" w:type="dxa"/>
            <w:vAlign w:val="bottom"/>
            <w:tcBorders>
              <w:bottom w:val="single" w:sz="8" w:color="9A9A9A"/>
            </w:tcBorders>
          </w:tcPr>
          <w:p>
            <w:pPr>
              <w:spacing w:after="0"/>
              <w:rPr>
                <w:sz w:val="9"/>
                <w:szCs w:val="9"/>
                <w:color w:val="auto"/>
              </w:rPr>
            </w:pPr>
          </w:p>
        </w:tc>
        <w:tc>
          <w:tcPr>
            <w:tcW w:w="138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5964555</wp:posOffset>
            </wp:positionH>
            <wp:positionV relativeFrom="paragraph">
              <wp:posOffset>-5342255</wp:posOffset>
            </wp:positionV>
            <wp:extent cx="68580" cy="17970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-5342255</wp:posOffset>
            </wp:positionV>
            <wp:extent cx="68580" cy="1797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-2961640</wp:posOffset>
            </wp:positionV>
            <wp:extent cx="68580" cy="1543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-2961640</wp:posOffset>
            </wp:positionV>
            <wp:extent cx="68580" cy="1543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-1275080</wp:posOffset>
            </wp:positionV>
            <wp:extent cx="68580" cy="1543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-1275080</wp:posOffset>
            </wp:positionV>
            <wp:extent cx="68580" cy="1543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-975360</wp:posOffset>
            </wp:positionV>
            <wp:extent cx="68580" cy="16256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-975360</wp:posOffset>
            </wp:positionV>
            <wp:extent cx="68580" cy="1625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5964555</wp:posOffset>
            </wp:positionH>
            <wp:positionV relativeFrom="paragraph">
              <wp:posOffset>-667385</wp:posOffset>
            </wp:positionV>
            <wp:extent cx="1172845" cy="17145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172845" cy="171450"/>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1" w:name="page12"/>
    <w:bookmarkEnd w:id="11"/>
    <w:tbl>
      <w:tblPr>
        <w:tblLayout w:type="fixed"/>
        <w:tblInd w:w="0" w:type="dxa"/>
        <w:tblCellMar>
          <w:top w:w="0" w:type="dxa"/>
          <w:left w:w="0" w:type="dxa"/>
          <w:bottom w:w="0" w:type="dxa"/>
          <w:right w:w="0" w:type="dxa"/>
        </w:tblCellMar>
      </w:tblPr>
      <w:tr>
        <w:trPr>
          <w:trHeight w:val="207"/>
        </w:trPr>
        <w:tc>
          <w:tcPr>
            <w:tcW w:w="6940" w:type="dxa"/>
            <w:vAlign w:val="bottom"/>
            <w:gridSpan w:val="4"/>
          </w:tcPr>
          <w:p>
            <w:pPr>
              <w:jc w:val="center"/>
              <w:ind w:left="4170"/>
              <w:spacing w:after="0"/>
              <w:rPr>
                <w:sz w:val="20"/>
                <w:szCs w:val="20"/>
                <w:color w:val="auto"/>
              </w:rPr>
            </w:pPr>
            <w:r>
              <w:rPr>
                <w:rFonts w:ascii="Arial" w:cs="Arial" w:eastAsia="Arial" w:hAnsi="Arial"/>
                <w:sz w:val="18"/>
                <w:szCs w:val="18"/>
                <w:b w:val="1"/>
                <w:bCs w:val="1"/>
                <w:color w:val="auto"/>
                <w:w w:val="99"/>
              </w:rPr>
              <w:t>Xometry, Inc. and Subsidiaries</w:t>
            </w:r>
          </w:p>
        </w:tc>
        <w:tc>
          <w:tcPr>
            <w:tcW w:w="2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8440" w:type="dxa"/>
            <w:vAlign w:val="bottom"/>
            <w:gridSpan w:val="7"/>
          </w:tcPr>
          <w:p>
            <w:pPr>
              <w:jc w:val="center"/>
              <w:ind w:left="2730"/>
              <w:spacing w:after="0" w:line="202" w:lineRule="exact"/>
              <w:rPr>
                <w:sz w:val="20"/>
                <w:szCs w:val="20"/>
                <w:color w:val="auto"/>
              </w:rPr>
            </w:pPr>
            <w:r>
              <w:rPr>
                <w:rFonts w:ascii="Arial" w:cs="Arial" w:eastAsia="Arial" w:hAnsi="Arial"/>
                <w:sz w:val="18"/>
                <w:szCs w:val="18"/>
                <w:color w:val="auto"/>
                <w:w w:val="99"/>
              </w:rPr>
              <w:t>Consolidated Statements of Operations and Comprehensive Loss</w:t>
            </w:r>
          </w:p>
        </w:tc>
        <w:tc>
          <w:tcPr>
            <w:tcW w:w="12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8440" w:type="dxa"/>
            <w:vAlign w:val="bottom"/>
            <w:gridSpan w:val="7"/>
          </w:tcPr>
          <w:p>
            <w:pPr>
              <w:jc w:val="center"/>
              <w:ind w:left="2730"/>
              <w:spacing w:after="0"/>
              <w:rPr>
                <w:sz w:val="20"/>
                <w:szCs w:val="20"/>
                <w:color w:val="auto"/>
              </w:rPr>
            </w:pPr>
            <w:r>
              <w:rPr>
                <w:rFonts w:ascii="Arial" w:cs="Arial" w:eastAsia="Arial" w:hAnsi="Arial"/>
                <w:sz w:val="18"/>
                <w:szCs w:val="18"/>
                <w:color w:val="auto"/>
                <w:w w:val="99"/>
              </w:rPr>
              <w:t>(In thousands, except share and per share amounts)</w:t>
            </w:r>
          </w:p>
        </w:tc>
        <w:tc>
          <w:tcPr>
            <w:tcW w:w="1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54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880" w:type="dxa"/>
            <w:vAlign w:val="bottom"/>
            <w:gridSpan w:val="5"/>
          </w:tcPr>
          <w:p>
            <w:pPr>
              <w:jc w:val="center"/>
              <w:ind w:right="301"/>
              <w:spacing w:after="0" w:line="202" w:lineRule="exact"/>
              <w:rPr>
                <w:sz w:val="20"/>
                <w:szCs w:val="20"/>
                <w:color w:val="auto"/>
              </w:rPr>
            </w:pPr>
            <w:r>
              <w:rPr>
                <w:rFonts w:ascii="Arial" w:cs="Arial" w:eastAsia="Arial" w:hAnsi="Arial"/>
                <w:sz w:val="18"/>
                <w:szCs w:val="18"/>
                <w:b w:val="1"/>
                <w:bCs w:val="1"/>
                <w:color w:val="auto"/>
                <w:w w:val="99"/>
              </w:rPr>
              <w:t>Three Months Ended</w:t>
            </w:r>
          </w:p>
        </w:tc>
        <w:tc>
          <w:tcPr>
            <w:tcW w:w="120" w:type="dxa"/>
            <w:vAlign w:val="bottom"/>
          </w:tcPr>
          <w:p>
            <w:pPr>
              <w:spacing w:after="0"/>
              <w:rPr>
                <w:sz w:val="17"/>
                <w:szCs w:val="17"/>
                <w:color w:val="auto"/>
              </w:rPr>
            </w:pPr>
          </w:p>
        </w:tc>
        <w:tc>
          <w:tcPr>
            <w:tcW w:w="2680" w:type="dxa"/>
            <w:vAlign w:val="bottom"/>
            <w:gridSpan w:val="5"/>
          </w:tcPr>
          <w:p>
            <w:pPr>
              <w:jc w:val="right"/>
              <w:ind w:right="881"/>
              <w:spacing w:after="0" w:line="202" w:lineRule="exact"/>
              <w:rPr>
                <w:sz w:val="20"/>
                <w:szCs w:val="20"/>
                <w:color w:val="auto"/>
              </w:rPr>
            </w:pPr>
            <w:r>
              <w:rPr>
                <w:rFonts w:ascii="Arial" w:cs="Arial" w:eastAsia="Arial" w:hAnsi="Arial"/>
                <w:sz w:val="18"/>
                <w:szCs w:val="18"/>
                <w:b w:val="1"/>
                <w:bCs w:val="1"/>
                <w:color w:val="auto"/>
              </w:rPr>
              <w:t>Year Ended</w:t>
            </w:r>
          </w:p>
        </w:tc>
        <w:tc>
          <w:tcPr>
            <w:tcW w:w="0" w:type="dxa"/>
            <w:vAlign w:val="bottom"/>
          </w:tcPr>
          <w:p>
            <w:pPr>
              <w:spacing w:after="0"/>
              <w:rPr>
                <w:sz w:val="1"/>
                <w:szCs w:val="1"/>
                <w:color w:val="auto"/>
              </w:rPr>
            </w:pPr>
          </w:p>
        </w:tc>
      </w:tr>
      <w:tr>
        <w:trPr>
          <w:trHeight w:val="235"/>
        </w:trPr>
        <w:tc>
          <w:tcPr>
            <w:tcW w:w="5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880" w:type="dxa"/>
            <w:vAlign w:val="bottom"/>
            <w:gridSpan w:val="5"/>
          </w:tcPr>
          <w:p>
            <w:pPr>
              <w:jc w:val="center"/>
              <w:ind w:right="301"/>
              <w:spacing w:after="0"/>
              <w:rPr>
                <w:sz w:val="20"/>
                <w:szCs w:val="20"/>
                <w:color w:val="auto"/>
              </w:rPr>
            </w:pPr>
            <w:r>
              <w:rPr>
                <w:rFonts w:ascii="Arial" w:cs="Arial" w:eastAsia="Arial" w:hAnsi="Arial"/>
                <w:sz w:val="18"/>
                <w:szCs w:val="18"/>
                <w:b w:val="1"/>
                <w:bCs w:val="1"/>
                <w:color w:val="auto"/>
              </w:rPr>
              <w:t>December 31,</w:t>
            </w:r>
          </w:p>
        </w:tc>
        <w:tc>
          <w:tcPr>
            <w:tcW w:w="120" w:type="dxa"/>
            <w:vAlign w:val="bottom"/>
          </w:tcPr>
          <w:p>
            <w:pPr>
              <w:spacing w:after="0"/>
              <w:rPr>
                <w:sz w:val="20"/>
                <w:szCs w:val="20"/>
                <w:color w:val="auto"/>
              </w:rPr>
            </w:pPr>
          </w:p>
        </w:tc>
        <w:tc>
          <w:tcPr>
            <w:tcW w:w="2680" w:type="dxa"/>
            <w:vAlign w:val="bottom"/>
            <w:gridSpan w:val="5"/>
          </w:tcPr>
          <w:p>
            <w:pPr>
              <w:jc w:val="right"/>
              <w:ind w:right="781"/>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4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2021</w:t>
            </w:r>
          </w:p>
        </w:tc>
        <w:tc>
          <w:tcPr>
            <w:tcW w:w="2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880" w:type="dxa"/>
            <w:vAlign w:val="bottom"/>
            <w:gridSpan w:val="5"/>
          </w:tcPr>
          <w:p>
            <w:pPr>
              <w:jc w:val="center"/>
              <w:ind w:right="301"/>
              <w:spacing w:after="0"/>
              <w:rPr>
                <w:sz w:val="20"/>
                <w:szCs w:val="20"/>
                <w:color w:val="auto"/>
              </w:rPr>
            </w:pPr>
            <w:r>
              <w:rPr>
                <w:rFonts w:ascii="Arial" w:cs="Arial" w:eastAsia="Arial" w:hAnsi="Arial"/>
                <w:sz w:val="18"/>
                <w:szCs w:val="18"/>
                <w:b w:val="1"/>
                <w:bCs w:val="1"/>
                <w:color w:val="auto"/>
                <w:w w:val="99"/>
              </w:rPr>
              <w:t>(unaudited)</w:t>
            </w:r>
          </w:p>
        </w:tc>
        <w:tc>
          <w:tcPr>
            <w:tcW w:w="12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b w:val="1"/>
                <w:bCs w:val="1"/>
                <w:color w:val="auto"/>
                <w:w w:val="97"/>
              </w:rPr>
              <w:t>(unaudited)</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98,196</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67,098</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381,053</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218,336</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62,166</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46,161</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233,487</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161,195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Gross profit</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36,030</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20,937</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147,566</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57,141</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24,376</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13,173</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83,222</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39,422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12,414</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8,089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48,572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23,683</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8,315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5,648</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31,013</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17,780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14,849</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16,601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57,992</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34,942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Impairment of assets</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824</w:t>
            </w:r>
          </w:p>
        </w:tc>
        <w:tc>
          <w:tcPr>
            <w:tcW w:w="24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operating expenses</w:t>
            </w:r>
          </w:p>
        </w:tc>
        <w:tc>
          <w:tcPr>
            <w:tcW w:w="14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60,334</w:t>
            </w:r>
          </w:p>
        </w:tc>
        <w:tc>
          <w:tcPr>
            <w:tcW w:w="28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43,511</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221,623</w:t>
            </w:r>
          </w:p>
        </w:tc>
        <w:tc>
          <w:tcPr>
            <w:tcW w:w="24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115,827</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tcPr>
          <w:p>
            <w:pPr>
              <w:ind w:left="280"/>
              <w:spacing w:after="0"/>
              <w:rPr>
                <w:sz w:val="20"/>
                <w:szCs w:val="20"/>
                <w:color w:val="auto"/>
              </w:rPr>
            </w:pPr>
            <w:r>
              <w:rPr>
                <w:rFonts w:ascii="Arial" w:cs="Arial" w:eastAsia="Arial" w:hAnsi="Arial"/>
                <w:sz w:val="18"/>
                <w:szCs w:val="18"/>
                <w:b w:val="1"/>
                <w:bCs w:val="1"/>
                <w:color w:val="auto"/>
              </w:rPr>
              <w:t>Loss from operations</w:t>
            </w:r>
          </w:p>
        </w:tc>
        <w:tc>
          <w:tcPr>
            <w:tcW w:w="140" w:type="dxa"/>
            <w:vAlign w:val="bottom"/>
          </w:tcPr>
          <w:p>
            <w:pPr>
              <w:spacing w:after="0"/>
              <w:rPr>
                <w:sz w:val="19"/>
                <w:szCs w:val="19"/>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(24,304 )</w:t>
            </w: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(22,574 )</w:t>
            </w:r>
          </w:p>
        </w:tc>
        <w:tc>
          <w:tcPr>
            <w:tcW w:w="1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(74,057 )</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(58,686 )</w:t>
            </w: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Other (expenses) income</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19"/>
                <w:szCs w:val="19"/>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(1,246 )</w:t>
            </w: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(53 )</w:t>
            </w:r>
          </w:p>
        </w:tc>
        <w:tc>
          <w:tcPr>
            <w:tcW w:w="1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(4,418 )</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(852 )</w:t>
            </w: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and dividend income</w:t>
            </w:r>
          </w:p>
        </w:tc>
        <w:tc>
          <w:tcPr>
            <w:tcW w:w="14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2,201</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4,115</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982</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Other expenses</w:t>
            </w:r>
          </w:p>
        </w:tc>
        <w:tc>
          <w:tcPr>
            <w:tcW w:w="140" w:type="dxa"/>
            <w:vAlign w:val="bottom"/>
          </w:tcPr>
          <w:p>
            <w:pPr>
              <w:spacing w:after="0"/>
              <w:rPr>
                <w:sz w:val="19"/>
                <w:szCs w:val="19"/>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(450 )</w:t>
            </w: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(1,846 )</w:t>
            </w:r>
          </w:p>
        </w:tc>
        <w:tc>
          <w:tcPr>
            <w:tcW w:w="1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(2,183 )</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(2,866 )</w:t>
            </w: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(Loss) income from unconsolidated joint venture</w:t>
            </w:r>
          </w:p>
        </w:tc>
        <w:tc>
          <w:tcPr>
            <w:tcW w:w="140" w:type="dxa"/>
            <w:vAlign w:val="bottom"/>
            <w:shd w:val="clear" w:color="auto" w:fill="CFF0FC"/>
          </w:tcPr>
          <w:p>
            <w:pPr>
              <w:spacing w:after="0"/>
              <w:rPr>
                <w:sz w:val="19"/>
                <w:szCs w:val="19"/>
                <w:color w:val="auto"/>
              </w:rPr>
            </w:pPr>
          </w:p>
        </w:tc>
        <w:tc>
          <w:tcPr>
            <w:tcW w:w="1380" w:type="dxa"/>
            <w:vAlign w:val="bottom"/>
            <w:gridSpan w:val="2"/>
            <w:shd w:val="clear" w:color="auto" w:fill="CFF0FC"/>
          </w:tcPr>
          <w:p>
            <w:pPr>
              <w:jc w:val="right"/>
              <w:ind w:right="110"/>
              <w:spacing w:after="0"/>
              <w:rPr>
                <w:sz w:val="20"/>
                <w:szCs w:val="20"/>
                <w:color w:val="auto"/>
              </w:rPr>
            </w:pPr>
            <w:r>
              <w:rPr>
                <w:rFonts w:ascii="Arial" w:cs="Arial" w:eastAsia="Arial" w:hAnsi="Arial"/>
                <w:sz w:val="18"/>
                <w:szCs w:val="18"/>
                <w:color w:val="auto"/>
              </w:rPr>
              <w:t>(30 )</w:t>
            </w:r>
          </w:p>
        </w:tc>
        <w:tc>
          <w:tcPr>
            <w:tcW w:w="220" w:type="dxa"/>
            <w:vAlign w:val="bottom"/>
            <w:shd w:val="clear" w:color="auto" w:fill="CFF0FC"/>
          </w:tcPr>
          <w:p>
            <w:pPr>
              <w:spacing w:after="0"/>
              <w:rPr>
                <w:sz w:val="19"/>
                <w:szCs w:val="19"/>
                <w:color w:val="auto"/>
              </w:rPr>
            </w:pP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570</w:t>
            </w: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color w:val="auto"/>
              </w:rPr>
              <w:t>Total other income (expenses)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475</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(1,333 )</w:t>
            </w:r>
          </w:p>
        </w:tc>
        <w:tc>
          <w:tcPr>
            <w:tcW w:w="1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(1,916 )</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(2,695 )</w:t>
            </w: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Loss before income taxes</w:t>
            </w: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(23,829</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(75,973</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Provision (benefit) for income taxes</w:t>
            </w:r>
          </w:p>
        </w:tc>
        <w:tc>
          <w:tcPr>
            <w:tcW w:w="140" w:type="dxa"/>
            <w:vAlign w:val="bottom"/>
          </w:tcPr>
          <w:p>
            <w:pPr>
              <w:spacing w:after="0"/>
              <w:rPr>
                <w:sz w:val="19"/>
                <w:szCs w:val="19"/>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(595 )</w:t>
            </w:r>
          </w:p>
        </w:tc>
        <w:tc>
          <w:tcPr>
            <w:tcW w:w="22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(36 )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(24,424</w:t>
            </w:r>
          </w:p>
        </w:tc>
        <w:tc>
          <w:tcPr>
            <w:tcW w:w="28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9"/>
                <w:szCs w:val="19"/>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(23,907</w:t>
            </w:r>
          </w:p>
        </w:tc>
        <w:tc>
          <w:tcPr>
            <w:tcW w:w="240" w:type="dxa"/>
            <w:vAlign w:val="bottom"/>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tcBorders>
            <w:shd w:val="clear" w:color="auto" w:fill="CFF0FC"/>
          </w:tcPr>
          <w:p>
            <w:pPr>
              <w:spacing w:after="0"/>
              <w:rPr>
                <w:sz w:val="19"/>
                <w:szCs w:val="19"/>
                <w:color w:val="auto"/>
              </w:rPr>
            </w:pPr>
          </w:p>
        </w:tc>
        <w:tc>
          <w:tcPr>
            <w:tcW w:w="110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(76,009</w:t>
            </w:r>
          </w:p>
        </w:tc>
        <w:tc>
          <w:tcPr>
            <w:tcW w:w="24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tcBorders>
            <w:shd w:val="clear" w:color="auto" w:fill="CFF0FC"/>
          </w:tcPr>
          <w:p>
            <w:pPr>
              <w:spacing w:after="0"/>
              <w:rPr>
                <w:sz w:val="19"/>
                <w:szCs w:val="19"/>
                <w:color w:val="auto"/>
              </w:rPr>
            </w:pPr>
          </w:p>
        </w:tc>
        <w:tc>
          <w:tcPr>
            <w:tcW w:w="10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9"/>
        </w:trPr>
        <w:tc>
          <w:tcPr>
            <w:tcW w:w="5420" w:type="dxa"/>
            <w:vAlign w:val="bottom"/>
          </w:tcPr>
          <w:p>
            <w:pPr>
              <w:ind w:left="20"/>
              <w:spacing w:after="0"/>
              <w:rPr>
                <w:sz w:val="20"/>
                <w:szCs w:val="20"/>
                <w:color w:val="auto"/>
              </w:rPr>
            </w:pPr>
            <w:r>
              <w:rPr>
                <w:rFonts w:ascii="Arial" w:cs="Arial" w:eastAsia="Arial" w:hAnsi="Arial"/>
                <w:sz w:val="18"/>
                <w:szCs w:val="18"/>
                <w:color w:val="auto"/>
              </w:rPr>
              <w:t>Net (loss) income attributable to noncontrolling interest</w:t>
            </w:r>
          </w:p>
        </w:tc>
        <w:tc>
          <w:tcPr>
            <w:tcW w:w="140" w:type="dxa"/>
            <w:vAlign w:val="bottom"/>
          </w:tcPr>
          <w:p>
            <w:pPr>
              <w:spacing w:after="0"/>
              <w:rPr>
                <w:sz w:val="19"/>
                <w:szCs w:val="19"/>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(1 )</w:t>
            </w: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(2 )</w:t>
            </w:r>
          </w:p>
        </w:tc>
        <w:tc>
          <w:tcPr>
            <w:tcW w:w="12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63"/>
        </w:trPr>
        <w:tc>
          <w:tcPr>
            <w:tcW w:w="5420" w:type="dxa"/>
            <w:vAlign w:val="bottom"/>
            <w:tcBorders>
              <w:bottom w:val="single" w:sz="8" w:color="CFF0FC"/>
            </w:tcBorders>
            <w:shd w:val="clear" w:color="auto" w:fill="CFF0FC"/>
          </w:tcPr>
          <w:p>
            <w:pPr>
              <w:ind w:left="280"/>
              <w:spacing w:after="0"/>
              <w:rPr>
                <w:sz w:val="20"/>
                <w:szCs w:val="20"/>
                <w:color w:val="auto"/>
              </w:rPr>
            </w:pPr>
            <w:r>
              <w:rPr>
                <w:rFonts w:ascii="Arial" w:cs="Arial" w:eastAsia="Arial" w:hAnsi="Arial"/>
                <w:sz w:val="18"/>
                <w:szCs w:val="18"/>
                <w:b w:val="1"/>
                <w:bCs w:val="1"/>
                <w:color w:val="auto"/>
              </w:rPr>
              <w:t>Net loss attributable to common stockholders</w:t>
            </w: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(24,423</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(23,905</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(76,025</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(61,379</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10"/>
        </w:trPr>
        <w:tc>
          <w:tcPr>
            <w:tcW w:w="5420" w:type="dxa"/>
            <w:vAlign w:val="bottom"/>
          </w:tcPr>
          <w:p>
            <w:pPr>
              <w:ind w:left="20"/>
              <w:spacing w:after="0"/>
              <w:rPr>
                <w:sz w:val="20"/>
                <w:szCs w:val="20"/>
                <w:color w:val="auto"/>
              </w:rPr>
            </w:pPr>
            <w:r>
              <w:rPr>
                <w:rFonts w:ascii="Arial" w:cs="Arial" w:eastAsia="Arial" w:hAnsi="Arial"/>
                <w:sz w:val="18"/>
                <w:szCs w:val="18"/>
                <w:color w:val="auto"/>
              </w:rPr>
              <w:t>Net loss per share, basic and diluted</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(0.51 )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(0.53 )</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(1.61 )</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(2.33 )</w:t>
            </w: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420" w:type="dxa"/>
            <w:vAlign w:val="bottom"/>
            <w:shd w:val="clear" w:color="auto" w:fill="CFF0FC"/>
          </w:tcPr>
          <w:p>
            <w:pPr>
              <w:ind w:left="20"/>
              <w:spacing w:after="0" w:line="177" w:lineRule="exact"/>
              <w:rPr>
                <w:sz w:val="20"/>
                <w:szCs w:val="20"/>
                <w:color w:val="auto"/>
              </w:rPr>
            </w:pPr>
            <w:r>
              <w:rPr>
                <w:rFonts w:ascii="Arial" w:cs="Arial" w:eastAsia="Arial" w:hAnsi="Arial"/>
                <w:sz w:val="18"/>
                <w:szCs w:val="18"/>
                <w:color w:val="auto"/>
              </w:rPr>
              <w:t>Weighted-average number of shares outstanding used to</w:t>
            </w:r>
          </w:p>
        </w:tc>
        <w:tc>
          <w:tcPr>
            <w:tcW w:w="14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1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02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542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compute</w:t>
            </w:r>
          </w:p>
        </w:tc>
        <w:tc>
          <w:tcPr>
            <w:tcW w:w="14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47,457,139</w:t>
            </w:r>
          </w:p>
        </w:tc>
        <w:tc>
          <w:tcPr>
            <w:tcW w:w="28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44,995,598</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47,158,247</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26,318,349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420" w:type="dxa"/>
            <w:vAlign w:val="bottom"/>
            <w:tcBorders>
              <w:bottom w:val="single" w:sz="8" w:color="CFF0FC"/>
            </w:tcBorders>
            <w:shd w:val="clear" w:color="auto" w:fill="CFF0FC"/>
          </w:tcPr>
          <w:p>
            <w:pPr>
              <w:ind w:left="180"/>
              <w:spacing w:after="0" w:line="195" w:lineRule="exact"/>
              <w:rPr>
                <w:sz w:val="20"/>
                <w:szCs w:val="20"/>
                <w:color w:val="auto"/>
              </w:rPr>
            </w:pPr>
            <w:r>
              <w:rPr>
                <w:rFonts w:ascii="Arial" w:cs="Arial" w:eastAsia="Arial" w:hAnsi="Arial"/>
                <w:sz w:val="18"/>
                <w:szCs w:val="18"/>
                <w:color w:val="auto"/>
              </w:rPr>
              <w:t>net loss per share, basic and diluted</w:t>
            </w:r>
          </w:p>
        </w:tc>
        <w:tc>
          <w:tcPr>
            <w:tcW w:w="14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8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4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120" w:type="dxa"/>
            <w:vAlign w:val="bottom"/>
            <w:tcBorders>
              <w:bottom w:val="single" w:sz="8" w:color="auto"/>
            </w:tcBorders>
            <w:shd w:val="clear" w:color="auto" w:fill="CFF0FC"/>
          </w:tcPr>
          <w:p>
            <w:pPr>
              <w:spacing w:after="0"/>
              <w:rPr>
                <w:sz w:val="20"/>
                <w:szCs w:val="20"/>
                <w:color w:val="auto"/>
              </w:rPr>
            </w:pPr>
          </w:p>
        </w:tc>
        <w:tc>
          <w:tcPr>
            <w:tcW w:w="1100" w:type="dxa"/>
            <w:vAlign w:val="bottom"/>
            <w:tcBorders>
              <w:bottom w:val="single" w:sz="8" w:color="auto"/>
            </w:tcBorders>
            <w:vMerge w:val="continue"/>
            <w:shd w:val="clear" w:color="auto" w:fill="CFF0FC"/>
          </w:tcPr>
          <w:p>
            <w:pPr>
              <w:spacing w:after="0"/>
              <w:rPr>
                <w:sz w:val="20"/>
                <w:szCs w:val="20"/>
                <w:color w:val="auto"/>
              </w:rPr>
            </w:pPr>
          </w:p>
        </w:tc>
        <w:tc>
          <w:tcPr>
            <w:tcW w:w="24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bottom w:val="single" w:sz="8" w:color="auto"/>
            </w:tcBorders>
            <w:shd w:val="clear" w:color="auto" w:fill="CFF0FC"/>
          </w:tcPr>
          <w:p>
            <w:pPr>
              <w:spacing w:after="0"/>
              <w:rPr>
                <w:sz w:val="20"/>
                <w:szCs w:val="20"/>
                <w:color w:val="auto"/>
              </w:rPr>
            </w:pPr>
          </w:p>
        </w:tc>
        <w:tc>
          <w:tcPr>
            <w:tcW w:w="1020" w:type="dxa"/>
            <w:vAlign w:val="bottom"/>
            <w:tcBorders>
              <w:bottom w:val="single" w:sz="8" w:color="auto"/>
            </w:tcBorders>
            <w:vMerge w:val="continue"/>
            <w:shd w:val="clear" w:color="auto" w:fill="CFF0FC"/>
          </w:tcPr>
          <w:p>
            <w:pPr>
              <w:spacing w:after="0"/>
              <w:rPr>
                <w:sz w:val="20"/>
                <w:szCs w:val="20"/>
                <w:color w:val="auto"/>
              </w:rPr>
            </w:pP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439"/>
        </w:trPr>
        <w:tc>
          <w:tcPr>
            <w:tcW w:w="5420" w:type="dxa"/>
            <w:vAlign w:val="bottom"/>
          </w:tcPr>
          <w:p>
            <w:pPr>
              <w:ind w:left="20"/>
              <w:spacing w:after="0"/>
              <w:rPr>
                <w:sz w:val="20"/>
                <w:szCs w:val="20"/>
                <w:color w:val="auto"/>
              </w:rPr>
            </w:pPr>
            <w:r>
              <w:rPr>
                <w:rFonts w:ascii="Arial" w:cs="Arial" w:eastAsia="Arial" w:hAnsi="Arial"/>
                <w:sz w:val="18"/>
                <w:szCs w:val="18"/>
                <w:color w:val="auto"/>
              </w:rPr>
              <w:t>Comprehensive loss:</w:t>
            </w: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9"/>
        </w:trPr>
        <w:tc>
          <w:tcPr>
            <w:tcW w:w="5420" w:type="dxa"/>
            <w:vAlign w:val="bottom"/>
            <w:shd w:val="clear" w:color="auto" w:fill="CFF0FC"/>
          </w:tcPr>
          <w:p>
            <w:pPr>
              <w:ind w:left="280"/>
              <w:spacing w:after="0"/>
              <w:rPr>
                <w:sz w:val="20"/>
                <w:szCs w:val="20"/>
                <w:color w:val="auto"/>
              </w:rPr>
            </w:pPr>
            <w:r>
              <w:rPr>
                <w:rFonts w:ascii="Arial" w:cs="Arial" w:eastAsia="Arial" w:hAnsi="Arial"/>
                <w:sz w:val="18"/>
                <w:szCs w:val="18"/>
                <w:color w:val="auto"/>
              </w:rPr>
              <w:t>Foreign currency translation</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492</w:t>
            </w:r>
          </w:p>
        </w:tc>
        <w:tc>
          <w:tcPr>
            <w:tcW w:w="280" w:type="dxa"/>
            <w:vAlign w:val="bottom"/>
            <w:shd w:val="clear" w:color="auto" w:fill="CFF0FC"/>
          </w:tcPr>
          <w:p>
            <w:pPr>
              <w:spacing w:after="0"/>
              <w:rPr>
                <w:sz w:val="19"/>
                <w:szCs w:val="19"/>
                <w:color w:val="auto"/>
              </w:rPr>
            </w:pP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(38 )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shd w:val="clear" w:color="auto" w:fill="CFF0FC"/>
          </w:tcPr>
          <w:p>
            <w:pPr>
              <w:jc w:val="right"/>
              <w:ind w:right="70"/>
              <w:spacing w:after="0"/>
              <w:rPr>
                <w:sz w:val="20"/>
                <w:szCs w:val="20"/>
                <w:color w:val="auto"/>
              </w:rPr>
            </w:pPr>
            <w:r>
              <w:rPr>
                <w:rFonts w:ascii="Arial" w:cs="Arial" w:eastAsia="Arial" w:hAnsi="Arial"/>
                <w:sz w:val="18"/>
                <w:szCs w:val="18"/>
                <w:color w:val="auto"/>
              </w:rPr>
              <w:t>(81 )</w:t>
            </w:r>
          </w:p>
        </w:tc>
        <w:tc>
          <w:tcPr>
            <w:tcW w:w="22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5420" w:type="dxa"/>
            <w:vAlign w:val="bottom"/>
          </w:tcPr>
          <w:p>
            <w:pPr>
              <w:ind w:left="520"/>
              <w:spacing w:after="0"/>
              <w:rPr>
                <w:sz w:val="20"/>
                <w:szCs w:val="20"/>
                <w:color w:val="auto"/>
              </w:rPr>
            </w:pPr>
            <w:r>
              <w:rPr>
                <w:rFonts w:ascii="Arial" w:cs="Arial" w:eastAsia="Arial" w:hAnsi="Arial"/>
                <w:sz w:val="18"/>
                <w:szCs w:val="18"/>
                <w:color w:val="auto"/>
              </w:rPr>
              <w:t>Total other comprehensive income (loss)</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492</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(38 )</w:t>
            </w:r>
          </w:p>
        </w:tc>
        <w:tc>
          <w:tcPr>
            <w:tcW w:w="1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(81 )</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(61 )</w:t>
            </w:r>
          </w:p>
        </w:tc>
        <w:tc>
          <w:tcPr>
            <w:tcW w:w="0" w:type="dxa"/>
            <w:vAlign w:val="bottom"/>
          </w:tcPr>
          <w:p>
            <w:pPr>
              <w:spacing w:after="0"/>
              <w:rPr>
                <w:sz w:val="1"/>
                <w:szCs w:val="1"/>
                <w:color w:val="auto"/>
              </w:rPr>
            </w:pPr>
          </w:p>
        </w:tc>
      </w:tr>
      <w:tr>
        <w:trPr>
          <w:trHeight w:val="223"/>
        </w:trPr>
        <w:tc>
          <w:tcPr>
            <w:tcW w:w="54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b w:val="1"/>
                <w:bCs w:val="1"/>
                <w:color w:val="auto"/>
              </w:rPr>
              <w:t>Net loss</w:t>
            </w:r>
          </w:p>
        </w:tc>
        <w:tc>
          <w:tcPr>
            <w:tcW w:w="14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(24,424</w:t>
            </w:r>
          </w:p>
        </w:tc>
        <w:tc>
          <w:tcPr>
            <w:tcW w:w="280" w:type="dxa"/>
            <w:vAlign w:val="bottom"/>
            <w:tcBorders>
              <w:bottom w:val="single" w:sz="8" w:color="CFF0FC"/>
            </w:tcBorders>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(23,907</w:t>
            </w:r>
          </w:p>
        </w:tc>
        <w:tc>
          <w:tcPr>
            <w:tcW w:w="240" w:type="dxa"/>
            <w:vAlign w:val="bottom"/>
            <w:tcBorders>
              <w:bottom w:val="single" w:sz="8" w:color="CFF0FC"/>
            </w:tcBorders>
            <w:shd w:val="clear" w:color="auto" w:fill="CFF0FC"/>
          </w:tcPr>
          <w:p>
            <w:pPr>
              <w:jc w:val="right"/>
              <w:ind w:right="101"/>
              <w:spacing w:after="0"/>
              <w:rPr>
                <w:sz w:val="20"/>
                <w:szCs w:val="20"/>
                <w:color w:val="auto"/>
              </w:rPr>
            </w:pPr>
            <w:r>
              <w:rPr>
                <w:rFonts w:ascii="Arial" w:cs="Arial" w:eastAsia="Arial" w:hAnsi="Arial"/>
                <w:sz w:val="16"/>
                <w:szCs w:val="16"/>
                <w:color w:val="auto"/>
                <w:w w:val="74"/>
              </w:rPr>
              <w:t>)</w:t>
            </w:r>
          </w:p>
        </w:tc>
        <w:tc>
          <w:tcPr>
            <w:tcW w:w="120" w:type="dxa"/>
            <w:vAlign w:val="bottom"/>
            <w:tcBorders>
              <w:top w:val="single" w:sz="8" w:color="auto"/>
              <w:bottom w:val="single" w:sz="8" w:color="auto"/>
            </w:tcBorders>
            <w:shd w:val="clear" w:color="auto" w:fill="CFF0FC"/>
          </w:tcPr>
          <w:p>
            <w:pPr>
              <w:spacing w:after="0"/>
              <w:rPr>
                <w:sz w:val="19"/>
                <w:szCs w:val="19"/>
                <w:color w:val="auto"/>
              </w:rPr>
            </w:pPr>
          </w:p>
        </w:tc>
        <w:tc>
          <w:tcPr>
            <w:tcW w:w="11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(76,009</w:t>
            </w:r>
          </w:p>
        </w:tc>
        <w:tc>
          <w:tcPr>
            <w:tcW w:w="240" w:type="dxa"/>
            <w:vAlign w:val="bottom"/>
            <w:tcBorders>
              <w:bottom w:val="single" w:sz="8" w:color="CFF0FC"/>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220" w:type="dxa"/>
            <w:vAlign w:val="bottom"/>
            <w:tcBorders>
              <w:top w:val="single" w:sz="8" w:color="auto"/>
              <w:bottom w:val="single" w:sz="8" w:color="auto"/>
            </w:tcBorders>
            <w:shd w:val="clear" w:color="auto" w:fill="CFF0FC"/>
          </w:tcPr>
          <w:p>
            <w:pPr>
              <w:spacing w:after="0"/>
              <w:rPr>
                <w:sz w:val="19"/>
                <w:szCs w:val="19"/>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(61,381</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23"/>
        </w:trPr>
        <w:tc>
          <w:tcPr>
            <w:tcW w:w="5420" w:type="dxa"/>
            <w:vAlign w:val="bottom"/>
          </w:tcPr>
          <w:p>
            <w:pPr>
              <w:ind w:left="20"/>
              <w:spacing w:after="0"/>
              <w:rPr>
                <w:sz w:val="20"/>
                <w:szCs w:val="20"/>
                <w:color w:val="auto"/>
              </w:rPr>
            </w:pPr>
            <w:r>
              <w:rPr>
                <w:rFonts w:ascii="Arial" w:cs="Arial" w:eastAsia="Arial" w:hAnsi="Arial"/>
                <w:sz w:val="18"/>
                <w:szCs w:val="18"/>
                <w:b w:val="1"/>
                <w:bCs w:val="1"/>
                <w:color w:val="auto"/>
              </w:rPr>
              <w:t>Comprehensive loss</w:t>
            </w:r>
          </w:p>
        </w:tc>
        <w:tc>
          <w:tcPr>
            <w:tcW w:w="140" w:type="dxa"/>
            <w:vAlign w:val="bottom"/>
          </w:tcPr>
          <w:p>
            <w:pPr>
              <w:spacing w:after="0"/>
              <w:rPr>
                <w:sz w:val="19"/>
                <w:szCs w:val="19"/>
                <w:color w:val="auto"/>
              </w:rPr>
            </w:pPr>
          </w:p>
        </w:tc>
        <w:tc>
          <w:tcPr>
            <w:tcW w:w="1380" w:type="dxa"/>
            <w:vAlign w:val="bottom"/>
            <w:gridSpan w:val="2"/>
          </w:tcPr>
          <w:p>
            <w:pPr>
              <w:jc w:val="right"/>
              <w:ind w:right="110"/>
              <w:spacing w:after="0"/>
              <w:rPr>
                <w:sz w:val="20"/>
                <w:szCs w:val="20"/>
                <w:color w:val="auto"/>
              </w:rPr>
            </w:pPr>
            <w:r>
              <w:rPr>
                <w:rFonts w:ascii="Arial" w:cs="Arial" w:eastAsia="Arial" w:hAnsi="Arial"/>
                <w:sz w:val="18"/>
                <w:szCs w:val="18"/>
                <w:color w:val="auto"/>
              </w:rPr>
              <w:t>(23,932 )</w:t>
            </w:r>
          </w:p>
        </w:tc>
        <w:tc>
          <w:tcPr>
            <w:tcW w:w="22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Arial" w:cs="Arial" w:eastAsia="Arial" w:hAnsi="Arial"/>
                <w:sz w:val="18"/>
                <w:szCs w:val="18"/>
                <w:color w:val="auto"/>
              </w:rPr>
              <w:t>(23,945 )</w:t>
            </w:r>
          </w:p>
        </w:tc>
        <w:tc>
          <w:tcPr>
            <w:tcW w:w="120" w:type="dxa"/>
            <w:vAlign w:val="bottom"/>
          </w:tcPr>
          <w:p>
            <w:pPr>
              <w:spacing w:after="0"/>
              <w:rPr>
                <w:sz w:val="19"/>
                <w:szCs w:val="19"/>
                <w:color w:val="auto"/>
              </w:rPr>
            </w:pPr>
          </w:p>
        </w:tc>
        <w:tc>
          <w:tcPr>
            <w:tcW w:w="1340" w:type="dxa"/>
            <w:vAlign w:val="bottom"/>
            <w:gridSpan w:val="2"/>
          </w:tcPr>
          <w:p>
            <w:pPr>
              <w:jc w:val="right"/>
              <w:ind w:right="70"/>
              <w:spacing w:after="0"/>
              <w:rPr>
                <w:sz w:val="20"/>
                <w:szCs w:val="20"/>
                <w:color w:val="auto"/>
              </w:rPr>
            </w:pPr>
            <w:r>
              <w:rPr>
                <w:rFonts w:ascii="Arial" w:cs="Arial" w:eastAsia="Arial" w:hAnsi="Arial"/>
                <w:sz w:val="18"/>
                <w:szCs w:val="18"/>
                <w:color w:val="auto"/>
              </w:rPr>
              <w:t>(76,090 )</w:t>
            </w:r>
          </w:p>
        </w:tc>
        <w:tc>
          <w:tcPr>
            <w:tcW w:w="220" w:type="dxa"/>
            <w:vAlign w:val="bottom"/>
          </w:tcPr>
          <w:p>
            <w:pPr>
              <w:spacing w:after="0"/>
              <w:rPr>
                <w:sz w:val="19"/>
                <w:szCs w:val="19"/>
                <w:color w:val="auto"/>
              </w:rPr>
            </w:pPr>
          </w:p>
        </w:tc>
        <w:tc>
          <w:tcPr>
            <w:tcW w:w="1120" w:type="dxa"/>
            <w:vAlign w:val="bottom"/>
            <w:gridSpan w:val="2"/>
          </w:tcPr>
          <w:p>
            <w:pPr>
              <w:jc w:val="right"/>
              <w:spacing w:after="0"/>
              <w:rPr>
                <w:sz w:val="20"/>
                <w:szCs w:val="20"/>
                <w:color w:val="auto"/>
              </w:rPr>
            </w:pPr>
            <w:r>
              <w:rPr>
                <w:rFonts w:ascii="Arial" w:cs="Arial" w:eastAsia="Arial" w:hAnsi="Arial"/>
                <w:sz w:val="18"/>
                <w:szCs w:val="18"/>
                <w:color w:val="auto"/>
              </w:rPr>
              <w:t>(61,442 )</w:t>
            </w:r>
          </w:p>
        </w:tc>
        <w:tc>
          <w:tcPr>
            <w:tcW w:w="0" w:type="dxa"/>
            <w:vAlign w:val="bottom"/>
          </w:tcPr>
          <w:p>
            <w:pPr>
              <w:spacing w:after="0"/>
              <w:rPr>
                <w:sz w:val="1"/>
                <w:szCs w:val="1"/>
                <w:color w:val="auto"/>
              </w:rPr>
            </w:pPr>
          </w:p>
        </w:tc>
      </w:tr>
      <w:tr>
        <w:trPr>
          <w:trHeight w:val="197"/>
        </w:trPr>
        <w:tc>
          <w:tcPr>
            <w:tcW w:w="5420" w:type="dxa"/>
            <w:vAlign w:val="bottom"/>
            <w:shd w:val="clear" w:color="auto" w:fill="CFF0FC"/>
          </w:tcPr>
          <w:p>
            <w:pPr>
              <w:ind w:left="20"/>
              <w:spacing w:after="0" w:line="197" w:lineRule="exact"/>
              <w:rPr>
                <w:sz w:val="20"/>
                <w:szCs w:val="20"/>
                <w:color w:val="auto"/>
              </w:rPr>
            </w:pPr>
            <w:r>
              <w:rPr>
                <w:rFonts w:ascii="Arial" w:cs="Arial" w:eastAsia="Arial" w:hAnsi="Arial"/>
                <w:sz w:val="18"/>
                <w:szCs w:val="18"/>
                <w:color w:val="auto"/>
              </w:rPr>
              <w:t>Comprehensive (loss) income attributable to noncontrolling</w:t>
            </w:r>
          </w:p>
        </w:tc>
        <w:tc>
          <w:tcPr>
            <w:tcW w:w="140" w:type="dxa"/>
            <w:vAlign w:val="bottom"/>
            <w:shd w:val="clear" w:color="auto" w:fill="CFF0FC"/>
          </w:tcPr>
          <w:p>
            <w:pPr>
              <w:spacing w:after="0"/>
              <w:rPr>
                <w:sz w:val="17"/>
                <w:szCs w:val="17"/>
                <w:color w:val="auto"/>
              </w:rPr>
            </w:pPr>
          </w:p>
        </w:tc>
        <w:tc>
          <w:tcPr>
            <w:tcW w:w="1380" w:type="dxa"/>
            <w:vAlign w:val="bottom"/>
            <w:gridSpan w:val="2"/>
            <w:vMerge w:val="restart"/>
            <w:shd w:val="clear" w:color="auto" w:fill="CFF0FC"/>
          </w:tcPr>
          <w:p>
            <w:pPr>
              <w:jc w:val="right"/>
              <w:ind w:right="110"/>
              <w:spacing w:after="0"/>
              <w:rPr>
                <w:sz w:val="20"/>
                <w:szCs w:val="20"/>
                <w:color w:val="auto"/>
              </w:rPr>
            </w:pPr>
            <w:r>
              <w:rPr>
                <w:rFonts w:ascii="Arial" w:cs="Arial" w:eastAsia="Arial" w:hAnsi="Arial"/>
                <w:sz w:val="18"/>
                <w:szCs w:val="18"/>
                <w:color w:val="auto"/>
              </w:rPr>
              <w:t>(29 )</w:t>
            </w:r>
          </w:p>
        </w:tc>
        <w:tc>
          <w:tcPr>
            <w:tcW w:w="220" w:type="dxa"/>
            <w:vAlign w:val="bottom"/>
            <w:shd w:val="clear" w:color="auto" w:fill="CFF0FC"/>
          </w:tcPr>
          <w:p>
            <w:pPr>
              <w:spacing w:after="0"/>
              <w:rPr>
                <w:sz w:val="17"/>
                <w:szCs w:val="17"/>
                <w:color w:val="auto"/>
              </w:rPr>
            </w:pPr>
          </w:p>
        </w:tc>
        <w:tc>
          <w:tcPr>
            <w:tcW w:w="104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1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56</w:t>
            </w:r>
          </w:p>
        </w:tc>
        <w:tc>
          <w:tcPr>
            <w:tcW w:w="24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5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w:t>
            </w:r>
          </w:p>
        </w:tc>
        <w:tc>
          <w:tcPr>
            <w:tcW w:w="140" w:type="dxa"/>
            <w:vAlign w:val="bottom"/>
            <w:shd w:val="clear" w:color="auto" w:fill="CFF0FC"/>
          </w:tcPr>
          <w:p>
            <w:pPr>
              <w:spacing w:after="0"/>
              <w:rPr>
                <w:sz w:val="19"/>
                <w:szCs w:val="19"/>
                <w:color w:val="auto"/>
              </w:rPr>
            </w:pPr>
          </w:p>
        </w:tc>
        <w:tc>
          <w:tcPr>
            <w:tcW w:w="1380" w:type="dxa"/>
            <w:vAlign w:val="bottom"/>
            <w:gridSpan w:val="2"/>
            <w:vMerge w:val="continue"/>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4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00" w:type="dxa"/>
            <w:vAlign w:val="bottom"/>
            <w:vMerge w:val="continue"/>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vMerge w:val="continue"/>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42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5420" w:type="dxa"/>
            <w:vAlign w:val="bottom"/>
          </w:tcPr>
          <w:p>
            <w:pPr>
              <w:ind w:left="20"/>
              <w:spacing w:after="0" w:line="190" w:lineRule="exact"/>
              <w:rPr>
                <w:sz w:val="20"/>
                <w:szCs w:val="20"/>
                <w:color w:val="auto"/>
              </w:rPr>
            </w:pPr>
            <w:r>
              <w:rPr>
                <w:rFonts w:ascii="Arial" w:cs="Arial" w:eastAsia="Arial" w:hAnsi="Arial"/>
                <w:sz w:val="18"/>
                <w:szCs w:val="18"/>
                <w:b w:val="1"/>
                <w:bCs w:val="1"/>
                <w:color w:val="auto"/>
              </w:rPr>
              <w:t>Total comprehensive loss attributable to common</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vMerge w:val="restart"/>
          </w:tcPr>
          <w:p>
            <w:pPr>
              <w:jc w:val="right"/>
              <w:ind w:right="110"/>
              <w:spacing w:after="0"/>
              <w:rPr>
                <w:sz w:val="20"/>
                <w:szCs w:val="20"/>
                <w:color w:val="auto"/>
              </w:rPr>
            </w:pPr>
            <w:r>
              <w:rPr>
                <w:rFonts w:ascii="Arial" w:cs="Arial" w:eastAsia="Arial" w:hAnsi="Arial"/>
                <w:sz w:val="18"/>
                <w:szCs w:val="18"/>
                <w:color w:val="auto"/>
              </w:rPr>
              <w:t>(23,903 )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280" w:type="dxa"/>
            <w:vAlign w:val="bottom"/>
            <w:gridSpan w:val="2"/>
            <w:vMerge w:val="restart"/>
          </w:tcPr>
          <w:p>
            <w:pPr>
              <w:jc w:val="right"/>
              <w:ind w:right="101"/>
              <w:spacing w:after="0"/>
              <w:rPr>
                <w:sz w:val="20"/>
                <w:szCs w:val="20"/>
                <w:color w:val="auto"/>
              </w:rPr>
            </w:pPr>
            <w:r>
              <w:rPr>
                <w:rFonts w:ascii="Arial" w:cs="Arial" w:eastAsia="Arial" w:hAnsi="Arial"/>
                <w:sz w:val="18"/>
                <w:szCs w:val="18"/>
                <w:color w:val="auto"/>
              </w:rPr>
              <w:t>(23,945 )</w:t>
            </w:r>
          </w:p>
        </w:tc>
        <w:tc>
          <w:tcPr>
            <w:tcW w:w="120" w:type="dxa"/>
            <w:vAlign w:val="bottom"/>
            <w:vMerge w:val="restart"/>
          </w:tcPr>
          <w:p>
            <w:pPr>
              <w:jc w:val="right"/>
              <w:spacing w:after="0"/>
              <w:rPr>
                <w:sz w:val="20"/>
                <w:szCs w:val="20"/>
                <w:color w:val="auto"/>
              </w:rPr>
            </w:pPr>
            <w:r>
              <w:rPr>
                <w:rFonts w:ascii="Arial" w:cs="Arial" w:eastAsia="Arial" w:hAnsi="Arial"/>
                <w:sz w:val="18"/>
                <w:szCs w:val="18"/>
                <w:color w:val="auto"/>
                <w:w w:val="99"/>
              </w:rPr>
              <w:t>$</w:t>
            </w:r>
          </w:p>
        </w:tc>
        <w:tc>
          <w:tcPr>
            <w:tcW w:w="1340" w:type="dxa"/>
            <w:vAlign w:val="bottom"/>
            <w:gridSpan w:val="2"/>
            <w:vMerge w:val="restart"/>
          </w:tcPr>
          <w:p>
            <w:pPr>
              <w:jc w:val="right"/>
              <w:ind w:right="70"/>
              <w:spacing w:after="0"/>
              <w:rPr>
                <w:sz w:val="20"/>
                <w:szCs w:val="20"/>
                <w:color w:val="auto"/>
              </w:rPr>
            </w:pPr>
            <w:r>
              <w:rPr>
                <w:rFonts w:ascii="Arial" w:cs="Arial" w:eastAsia="Arial" w:hAnsi="Arial"/>
                <w:sz w:val="18"/>
                <w:szCs w:val="18"/>
                <w:color w:val="auto"/>
              </w:rPr>
              <w:t>(76,146 )</w:t>
            </w:r>
          </w:p>
        </w:tc>
        <w:tc>
          <w:tcPr>
            <w:tcW w:w="220" w:type="dxa"/>
            <w:vAlign w:val="bottom"/>
            <w:vMerge w:val="restart"/>
          </w:tcPr>
          <w:p>
            <w:pPr>
              <w:jc w:val="right"/>
              <w:ind w:right="10"/>
              <w:spacing w:after="0"/>
              <w:rPr>
                <w:sz w:val="20"/>
                <w:szCs w:val="20"/>
                <w:color w:val="auto"/>
              </w:rPr>
            </w:pPr>
            <w:r>
              <w:rPr>
                <w:rFonts w:ascii="Arial" w:cs="Arial" w:eastAsia="Arial" w:hAnsi="Arial"/>
                <w:sz w:val="18"/>
                <w:szCs w:val="18"/>
                <w:color w:val="auto"/>
                <w:w w:val="99"/>
              </w:rPr>
              <w:t>$</w:t>
            </w:r>
          </w:p>
        </w:tc>
        <w:tc>
          <w:tcPr>
            <w:tcW w:w="1120" w:type="dxa"/>
            <w:vAlign w:val="bottom"/>
            <w:gridSpan w:val="2"/>
            <w:vMerge w:val="restart"/>
          </w:tcPr>
          <w:p>
            <w:pPr>
              <w:jc w:val="right"/>
              <w:spacing w:after="0"/>
              <w:rPr>
                <w:sz w:val="20"/>
                <w:szCs w:val="20"/>
                <w:color w:val="auto"/>
              </w:rPr>
            </w:pPr>
            <w:r>
              <w:rPr>
                <w:rFonts w:ascii="Arial" w:cs="Arial" w:eastAsia="Arial" w:hAnsi="Arial"/>
                <w:sz w:val="18"/>
                <w:szCs w:val="18"/>
                <w:color w:val="auto"/>
              </w:rPr>
              <w:t>(61,442 )</w:t>
            </w:r>
          </w:p>
        </w:tc>
        <w:tc>
          <w:tcPr>
            <w:tcW w:w="0" w:type="dxa"/>
            <w:vAlign w:val="bottom"/>
          </w:tcPr>
          <w:p>
            <w:pPr>
              <w:spacing w:after="0"/>
              <w:rPr>
                <w:sz w:val="1"/>
                <w:szCs w:val="1"/>
                <w:color w:val="auto"/>
              </w:rPr>
            </w:pPr>
          </w:p>
        </w:tc>
      </w:tr>
      <w:tr>
        <w:trPr>
          <w:trHeight w:val="194"/>
        </w:trPr>
        <w:tc>
          <w:tcPr>
            <w:tcW w:w="5420" w:type="dxa"/>
            <w:vAlign w:val="bottom"/>
          </w:tcPr>
          <w:p>
            <w:pPr>
              <w:ind w:left="20"/>
              <w:spacing w:after="0" w:line="195" w:lineRule="exact"/>
              <w:rPr>
                <w:sz w:val="20"/>
                <w:szCs w:val="20"/>
                <w:color w:val="auto"/>
              </w:rPr>
            </w:pPr>
            <w:r>
              <w:rPr>
                <w:rFonts w:ascii="Arial" w:cs="Arial" w:eastAsia="Arial" w:hAnsi="Arial"/>
                <w:sz w:val="18"/>
                <w:szCs w:val="18"/>
                <w:b w:val="1"/>
                <w:bCs w:val="1"/>
                <w:color w:val="auto"/>
              </w:rPr>
              <w:t>stockholders</w:t>
            </w:r>
          </w:p>
        </w:tc>
        <w:tc>
          <w:tcPr>
            <w:tcW w:w="140" w:type="dxa"/>
            <w:vAlign w:val="bottom"/>
            <w:vMerge w:val="continue"/>
          </w:tcPr>
          <w:p>
            <w:pPr>
              <w:spacing w:after="0"/>
              <w:rPr>
                <w:sz w:val="16"/>
                <w:szCs w:val="16"/>
                <w:color w:val="auto"/>
              </w:rPr>
            </w:pPr>
          </w:p>
        </w:tc>
        <w:tc>
          <w:tcPr>
            <w:tcW w:w="138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280" w:type="dxa"/>
            <w:vAlign w:val="bottom"/>
            <w:gridSpan w:val="2"/>
            <w:vMerge w:val="continue"/>
          </w:tcPr>
          <w:p>
            <w:pPr>
              <w:spacing w:after="0"/>
              <w:rPr>
                <w:sz w:val="16"/>
                <w:szCs w:val="16"/>
                <w:color w:val="auto"/>
              </w:rPr>
            </w:pPr>
          </w:p>
        </w:tc>
        <w:tc>
          <w:tcPr>
            <w:tcW w:w="120" w:type="dxa"/>
            <w:vAlign w:val="bottom"/>
            <w:vMerge w:val="continue"/>
          </w:tcPr>
          <w:p>
            <w:pPr>
              <w:spacing w:after="0"/>
              <w:rPr>
                <w:sz w:val="16"/>
                <w:szCs w:val="16"/>
                <w:color w:val="auto"/>
              </w:rPr>
            </w:pPr>
          </w:p>
        </w:tc>
        <w:tc>
          <w:tcPr>
            <w:tcW w:w="1340" w:type="dxa"/>
            <w:vAlign w:val="bottom"/>
            <w:gridSpan w:val="2"/>
            <w:vMerge w:val="continue"/>
          </w:tcPr>
          <w:p>
            <w:pPr>
              <w:spacing w:after="0"/>
              <w:rPr>
                <w:sz w:val="16"/>
                <w:szCs w:val="16"/>
                <w:color w:val="auto"/>
              </w:rPr>
            </w:pPr>
          </w:p>
        </w:tc>
        <w:tc>
          <w:tcPr>
            <w:tcW w:w="220" w:type="dxa"/>
            <w:vAlign w:val="bottom"/>
            <w:vMerge w:val="continue"/>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4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8"/>
        </w:trPr>
        <w:tc>
          <w:tcPr>
            <w:tcW w:w="5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890"/>
              <w:spacing w:after="0"/>
              <w:rPr>
                <w:sz w:val="20"/>
                <w:szCs w:val="20"/>
                <w:color w:val="auto"/>
              </w:rPr>
            </w:pPr>
            <w:r>
              <w:rPr>
                <w:rFonts w:ascii="Times New Roman" w:cs="Times New Roman" w:eastAsia="Times New Roman" w:hAnsi="Times New Roman"/>
                <w:sz w:val="18"/>
                <w:szCs w:val="18"/>
                <w:color w:val="auto"/>
                <w:w w:val="88"/>
              </w:rPr>
              <w:t>9</w:t>
            </w:r>
          </w:p>
        </w:tc>
        <w:tc>
          <w:tcPr>
            <w:tcW w:w="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420" w:type="dxa"/>
            <w:vAlign w:val="bottom"/>
            <w:tcBorders>
              <w:bottom w:val="single" w:sz="8" w:color="9A9A9A"/>
            </w:tcBorders>
          </w:tcPr>
          <w:p>
            <w:pPr>
              <w:spacing w:after="0"/>
              <w:rPr>
                <w:sz w:val="9"/>
                <w:szCs w:val="9"/>
                <w:color w:val="auto"/>
              </w:rPr>
            </w:pPr>
          </w:p>
        </w:tc>
        <w:tc>
          <w:tcPr>
            <w:tcW w:w="14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8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4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0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220" w:type="dxa"/>
            <w:vAlign w:val="bottom"/>
            <w:tcBorders>
              <w:bottom w:val="single" w:sz="8" w:color="9A9A9A"/>
            </w:tcBorders>
          </w:tcPr>
          <w:p>
            <w:pPr>
              <w:spacing w:after="0"/>
              <w:rPr>
                <w:sz w:val="9"/>
                <w:szCs w:val="9"/>
                <w:color w:val="auto"/>
              </w:rPr>
            </w:pPr>
          </w:p>
        </w:tc>
        <w:tc>
          <w:tcPr>
            <w:tcW w:w="102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4234815</wp:posOffset>
            </wp:positionH>
            <wp:positionV relativeFrom="paragraph">
              <wp:posOffset>-5222240</wp:posOffset>
            </wp:positionV>
            <wp:extent cx="76835" cy="15430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-5222240</wp:posOffset>
            </wp:positionV>
            <wp:extent cx="76835" cy="15430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-5222240</wp:posOffset>
            </wp:positionV>
            <wp:extent cx="68580" cy="15430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-5222240</wp:posOffset>
            </wp:positionV>
            <wp:extent cx="68580" cy="15430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-4331970</wp:posOffset>
            </wp:positionV>
            <wp:extent cx="76835" cy="15430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-4331970</wp:posOffset>
            </wp:positionV>
            <wp:extent cx="76835" cy="15430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-4331970</wp:posOffset>
            </wp:positionV>
            <wp:extent cx="68580" cy="15430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-4331970</wp:posOffset>
            </wp:positionV>
            <wp:extent cx="68580" cy="15430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-3449955</wp:posOffset>
            </wp:positionV>
            <wp:extent cx="76835" cy="16256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-3449955</wp:posOffset>
            </wp:positionV>
            <wp:extent cx="76835" cy="1625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-3449955</wp:posOffset>
            </wp:positionV>
            <wp:extent cx="68580" cy="1625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-3449955</wp:posOffset>
            </wp:positionV>
            <wp:extent cx="68580" cy="16256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-2542540</wp:posOffset>
            </wp:positionV>
            <wp:extent cx="2902585" cy="19685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2902585" cy="19685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-1968500</wp:posOffset>
            </wp:positionV>
            <wp:extent cx="2902585" cy="31686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2902585" cy="31686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-1506220</wp:posOffset>
            </wp:positionV>
            <wp:extent cx="76835" cy="16256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-1506220</wp:posOffset>
            </wp:positionV>
            <wp:extent cx="76835" cy="1625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62560"/>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-1506220</wp:posOffset>
            </wp:positionV>
            <wp:extent cx="68580" cy="1625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-1506220</wp:posOffset>
            </wp:positionV>
            <wp:extent cx="68580" cy="1625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62560"/>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-1198245</wp:posOffset>
            </wp:positionV>
            <wp:extent cx="76835" cy="15430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-1198245</wp:posOffset>
            </wp:positionV>
            <wp:extent cx="76835" cy="15430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6835" cy="15430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-1198245</wp:posOffset>
            </wp:positionV>
            <wp:extent cx="68580" cy="15430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-1198245</wp:posOffset>
            </wp:positionV>
            <wp:extent cx="68580" cy="15430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4234815</wp:posOffset>
            </wp:positionH>
            <wp:positionV relativeFrom="paragraph">
              <wp:posOffset>-778510</wp:posOffset>
            </wp:positionV>
            <wp:extent cx="76835" cy="28257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5202555</wp:posOffset>
            </wp:positionH>
            <wp:positionV relativeFrom="paragraph">
              <wp:posOffset>-778510</wp:posOffset>
            </wp:positionV>
            <wp:extent cx="76835" cy="28257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6835" cy="282575"/>
                    </a:xfrm>
                    <a:prstGeom prst="rect">
                      <a:avLst/>
                    </a:prstGeom>
                    <a:noFill/>
                  </pic:spPr>
                </pic:pic>
              </a:graphicData>
            </a:graphic>
          </wp:anchor>
        </w:drawing>
        <w:drawing>
          <wp:anchor simplePos="0" relativeHeight="251657728" behindDoc="1" locked="0" layoutInCell="0" allowOverlap="1">
            <wp:simplePos x="0" y="0"/>
            <wp:positionH relativeFrom="column">
              <wp:posOffset>6135370</wp:posOffset>
            </wp:positionH>
            <wp:positionV relativeFrom="paragraph">
              <wp:posOffset>-778510</wp:posOffset>
            </wp:positionV>
            <wp:extent cx="68580" cy="28257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-778510</wp:posOffset>
            </wp:positionV>
            <wp:extent cx="68580" cy="28257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28257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2" w:name="page13"/>
    <w:bookmarkEnd w:id="12"/>
    <w:p>
      <w:pPr>
        <w:ind w:left="4460"/>
        <w:spacing w:after="0"/>
        <w:rPr>
          <w:sz w:val="20"/>
          <w:szCs w:val="20"/>
          <w:color w:val="auto"/>
        </w:rPr>
      </w:pPr>
      <w:r>
        <w:rPr>
          <w:rFonts w:ascii="Arial" w:cs="Arial" w:eastAsia="Arial" w:hAnsi="Arial"/>
          <w:sz w:val="16"/>
          <w:szCs w:val="16"/>
          <w:b w:val="1"/>
          <w:bCs w:val="1"/>
          <w:color w:val="auto"/>
        </w:rPr>
        <w:t>Xometry, Inc. and Subsidiaries</w:t>
      </w:r>
    </w:p>
    <w:p>
      <w:pPr>
        <w:spacing w:after="0" w:line="21" w:lineRule="exact"/>
        <w:rPr>
          <w:sz w:val="20"/>
          <w:szCs w:val="20"/>
          <w:color w:val="auto"/>
        </w:rPr>
      </w:pPr>
    </w:p>
    <w:p>
      <w:pPr>
        <w:ind w:left="4200"/>
        <w:spacing w:after="0"/>
        <w:rPr>
          <w:sz w:val="20"/>
          <w:szCs w:val="20"/>
          <w:color w:val="auto"/>
        </w:rPr>
      </w:pPr>
      <w:r>
        <w:rPr>
          <w:rFonts w:ascii="Arial" w:cs="Arial" w:eastAsia="Arial" w:hAnsi="Arial"/>
          <w:sz w:val="16"/>
          <w:szCs w:val="16"/>
          <w:color w:val="auto"/>
        </w:rPr>
        <w:t>Consolidated Statements of Cash Flows</w:t>
      </w:r>
    </w:p>
    <w:p>
      <w:pPr>
        <w:spacing w:after="0" w:line="5" w:lineRule="exact"/>
        <w:rPr>
          <w:sz w:val="20"/>
          <w:szCs w:val="20"/>
          <w:color w:val="auto"/>
        </w:rPr>
      </w:pPr>
    </w:p>
    <w:p>
      <w:pPr>
        <w:ind w:left="5100"/>
        <w:spacing w:after="0"/>
        <w:rPr>
          <w:sz w:val="20"/>
          <w:szCs w:val="20"/>
          <w:color w:val="auto"/>
        </w:rPr>
      </w:pPr>
      <w:r>
        <w:rPr>
          <w:rFonts w:ascii="Arial" w:cs="Arial" w:eastAsia="Arial" w:hAnsi="Arial"/>
          <w:sz w:val="16"/>
          <w:szCs w:val="16"/>
          <w:color w:val="auto"/>
        </w:rPr>
        <w:t>(In thousands)</w:t>
      </w:r>
    </w:p>
    <w:p>
      <w:pPr>
        <w:spacing w:after="0" w:line="14" w:lineRule="exact"/>
        <w:rPr>
          <w:sz w:val="20"/>
          <w:szCs w:val="20"/>
          <w:color w:val="auto"/>
        </w:rPr>
      </w:pPr>
    </w:p>
    <w:tbl>
      <w:tblPr>
        <w:tblLayout w:type="fixed"/>
        <w:tblInd w:w="0" w:type="dxa"/>
        <w:tblCellMar>
          <w:top w:w="0" w:type="dxa"/>
          <w:left w:w="0" w:type="dxa"/>
          <w:bottom w:w="0" w:type="dxa"/>
          <w:right w:w="0" w:type="dxa"/>
        </w:tblCellMar>
      </w:tblPr>
      <w:tr>
        <w:trPr>
          <w:trHeight w:val="177"/>
        </w:trPr>
        <w:tc>
          <w:tcPr>
            <w:tcW w:w="6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2980" w:type="dxa"/>
            <w:vAlign w:val="bottom"/>
            <w:tcBorders>
              <w:bottom w:val="single" w:sz="8" w:color="auto"/>
            </w:tcBorders>
            <w:gridSpan w:val="6"/>
          </w:tcPr>
          <w:p>
            <w:pPr>
              <w:jc w:val="right"/>
              <w:ind w:right="120"/>
              <w:spacing w:after="0"/>
              <w:rPr>
                <w:sz w:val="20"/>
                <w:szCs w:val="20"/>
                <w:color w:val="auto"/>
              </w:rPr>
            </w:pPr>
            <w:r>
              <w:rPr>
                <w:rFonts w:ascii="Arial" w:cs="Arial" w:eastAsia="Arial" w:hAnsi="Arial"/>
                <w:sz w:val="14"/>
                <w:szCs w:val="14"/>
                <w:b w:val="1"/>
                <w:bCs w:val="1"/>
                <w:color w:val="auto"/>
              </w:rPr>
              <w:t>Year Ended December 31,</w:t>
            </w: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6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16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2022</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ind w:right="42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Cash flows from operating activities:</w:t>
            </w:r>
          </w:p>
        </w:tc>
        <w:tc>
          <w:tcPr>
            <w:tcW w:w="200" w:type="dxa"/>
            <w:vAlign w:val="bottom"/>
          </w:tcPr>
          <w:p>
            <w:pPr>
              <w:spacing w:after="0"/>
              <w:rPr>
                <w:sz w:val="15"/>
                <w:szCs w:val="15"/>
                <w:color w:val="auto"/>
              </w:rPr>
            </w:pPr>
          </w:p>
        </w:tc>
        <w:tc>
          <w:tcPr>
            <w:tcW w:w="1400" w:type="dxa"/>
            <w:vAlign w:val="bottom"/>
            <w:gridSpan w:val="3"/>
          </w:tcPr>
          <w:p>
            <w:pPr>
              <w:ind w:left="80"/>
              <w:spacing w:after="0"/>
              <w:rPr>
                <w:sz w:val="20"/>
                <w:szCs w:val="20"/>
                <w:color w:val="auto"/>
              </w:rPr>
            </w:pPr>
            <w:r>
              <w:rPr>
                <w:rFonts w:ascii="Arial" w:cs="Arial" w:eastAsia="Arial" w:hAnsi="Arial"/>
                <w:sz w:val="14"/>
                <w:szCs w:val="14"/>
                <w:b w:val="1"/>
                <w:bCs w:val="1"/>
                <w:color w:val="auto"/>
              </w:rPr>
              <w:t>(unaudited)</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Net loss</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(76,009 )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(61,381 )</w:t>
            </w: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(31,085 )</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Adjustments to reconcile net loss to net cash used in operating activities: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7,819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3,596</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3,120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Impairment of assets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1,592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Reduction in carrying amount of right-of-use asset</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7,236</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1,056</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1,045</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Stock based compensation</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19,172</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7,395</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1,006</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Non-cash interest expense</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111</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320</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Loss on debt extinguishment</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272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Revaluation of contingent consideration</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817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Loss (income) from unconsolidated joint venture</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130</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(41 )</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Donation of common stock</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2,272</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2,226</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Unrealized loss on marketable securities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1,855</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2,002</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Loss on sale of property and equipment</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47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20</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Inventory write-off</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133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(15 )</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Amortization of deferred costs on convertible notes</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1,718</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Deferred taxes benefit</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(653 )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(179 )</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color w:val="auto"/>
              </w:rPr>
              <w:t>Restructuring charge</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1,549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380"/>
              <w:spacing w:after="0"/>
              <w:rPr>
                <w:sz w:val="20"/>
                <w:szCs w:val="20"/>
                <w:color w:val="auto"/>
              </w:rPr>
            </w:pPr>
            <w:r>
              <w:rPr>
                <w:rFonts w:ascii="Arial" w:cs="Arial" w:eastAsia="Arial" w:hAnsi="Arial"/>
                <w:sz w:val="14"/>
                <w:szCs w:val="14"/>
                <w:color w:val="auto"/>
              </w:rPr>
              <w:t>Changes in other assets and liabilities: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receivable, net</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(16,923 )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(11,117 )</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(2,130 )</w:t>
            </w:r>
          </w:p>
        </w:tc>
        <w:tc>
          <w:tcPr>
            <w:tcW w:w="0" w:type="dxa"/>
            <w:vAlign w:val="bottom"/>
          </w:tcPr>
          <w:p>
            <w:pPr>
              <w:spacing w:after="0"/>
              <w:rPr>
                <w:sz w:val="1"/>
                <w:szCs w:val="1"/>
                <w:color w:val="auto"/>
              </w:rPr>
            </w:pPr>
          </w:p>
        </w:tc>
      </w:tr>
      <w:tr>
        <w:trPr>
          <w:trHeight w:val="189"/>
        </w:trPr>
        <w:tc>
          <w:tcPr>
            <w:tcW w:w="6760" w:type="dxa"/>
            <w:vAlign w:val="bottom"/>
          </w:tcPr>
          <w:p>
            <w:pPr>
              <w:ind w:left="560"/>
              <w:spacing w:after="0"/>
              <w:rPr>
                <w:sz w:val="20"/>
                <w:szCs w:val="20"/>
                <w:color w:val="auto"/>
              </w:rPr>
            </w:pPr>
            <w:r>
              <w:rPr>
                <w:rFonts w:ascii="Arial" w:cs="Arial" w:eastAsia="Arial" w:hAnsi="Arial"/>
                <w:sz w:val="14"/>
                <w:szCs w:val="14"/>
                <w:color w:val="auto"/>
              </w:rPr>
              <w:t>Inventory</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351</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293</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(956 )</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Prepaid expenses</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(1,616 )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(4,025 )</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(210 )</w:t>
            </w:r>
          </w:p>
        </w:tc>
        <w:tc>
          <w:tcPr>
            <w:tcW w:w="0" w:type="dxa"/>
            <w:vAlign w:val="bottom"/>
          </w:tcPr>
          <w:p>
            <w:pPr>
              <w:spacing w:after="0"/>
              <w:rPr>
                <w:sz w:val="1"/>
                <w:szCs w:val="1"/>
                <w:color w:val="auto"/>
              </w:rPr>
            </w:pPr>
          </w:p>
        </w:tc>
      </w:tr>
      <w:tr>
        <w:trPr>
          <w:trHeight w:val="189"/>
        </w:trPr>
        <w:tc>
          <w:tcPr>
            <w:tcW w:w="6760" w:type="dxa"/>
            <w:vAlign w:val="bottom"/>
          </w:tcPr>
          <w:p>
            <w:pPr>
              <w:ind w:left="560"/>
              <w:spacing w:after="0"/>
              <w:rPr>
                <w:sz w:val="20"/>
                <w:szCs w:val="20"/>
                <w:color w:val="auto"/>
              </w:rPr>
            </w:pPr>
            <w:r>
              <w:rPr>
                <w:rFonts w:ascii="Arial" w:cs="Arial" w:eastAsia="Arial" w:hAnsi="Arial"/>
                <w:sz w:val="14"/>
                <w:szCs w:val="14"/>
                <w:color w:val="auto"/>
              </w:rPr>
              <w:t>Other assets</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(7,016 )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464</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(469 )</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Accounts payable</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(215 )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5,215</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(2,350 )</w:t>
            </w:r>
          </w:p>
        </w:tc>
        <w:tc>
          <w:tcPr>
            <w:tcW w:w="0" w:type="dxa"/>
            <w:vAlign w:val="bottom"/>
          </w:tcPr>
          <w:p>
            <w:pPr>
              <w:spacing w:after="0"/>
              <w:rPr>
                <w:sz w:val="1"/>
                <w:szCs w:val="1"/>
                <w:color w:val="auto"/>
              </w:rPr>
            </w:pPr>
          </w:p>
        </w:tc>
      </w:tr>
      <w:tr>
        <w:trPr>
          <w:trHeight w:val="189"/>
        </w:trPr>
        <w:tc>
          <w:tcPr>
            <w:tcW w:w="6760" w:type="dxa"/>
            <w:vAlign w:val="bottom"/>
          </w:tcPr>
          <w:p>
            <w:pPr>
              <w:ind w:left="560"/>
              <w:spacing w:after="0"/>
              <w:rPr>
                <w:sz w:val="20"/>
                <w:szCs w:val="20"/>
                <w:color w:val="auto"/>
              </w:rPr>
            </w:pPr>
            <w:r>
              <w:rPr>
                <w:rFonts w:ascii="Arial" w:cs="Arial" w:eastAsia="Arial" w:hAnsi="Arial"/>
                <w:sz w:val="14"/>
                <w:szCs w:val="14"/>
                <w:color w:val="auto"/>
              </w:rPr>
              <w:t>Accrued expenses</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403</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(12,008 )</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8,569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560"/>
              <w:spacing w:after="0"/>
              <w:rPr>
                <w:sz w:val="20"/>
                <w:szCs w:val="20"/>
                <w:color w:val="auto"/>
              </w:rPr>
            </w:pPr>
            <w:r>
              <w:rPr>
                <w:rFonts w:ascii="Arial" w:cs="Arial" w:eastAsia="Arial" w:hAnsi="Arial"/>
                <w:sz w:val="14"/>
                <w:szCs w:val="14"/>
                <w:color w:val="auto"/>
              </w:rPr>
              <w:t>Contract liabilities</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(1,625 )</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560"/>
              <w:spacing w:after="0"/>
              <w:rPr>
                <w:sz w:val="20"/>
                <w:szCs w:val="20"/>
                <w:color w:val="auto"/>
              </w:rPr>
            </w:pPr>
            <w:r>
              <w:rPr>
                <w:rFonts w:ascii="Arial" w:cs="Arial" w:eastAsia="Arial" w:hAnsi="Arial"/>
                <w:sz w:val="14"/>
                <w:szCs w:val="14"/>
                <w:color w:val="auto"/>
              </w:rPr>
              <w:t>Lease liabilities</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(5,727 )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(845 )</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(1,004 )</w:t>
            </w:r>
          </w:p>
        </w:tc>
        <w:tc>
          <w:tcPr>
            <w:tcW w:w="0" w:type="dxa"/>
            <w:vAlign w:val="bottom"/>
          </w:tcPr>
          <w:p>
            <w:pPr>
              <w:spacing w:after="0"/>
              <w:rPr>
                <w:sz w:val="1"/>
                <w:szCs w:val="1"/>
                <w:color w:val="auto"/>
              </w:rPr>
            </w:pPr>
          </w:p>
        </w:tc>
      </w:tr>
      <w:tr>
        <w:trPr>
          <w:trHeight w:val="189"/>
        </w:trPr>
        <w:tc>
          <w:tcPr>
            <w:tcW w:w="67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4"/>
                <w:szCs w:val="14"/>
                <w:color w:val="auto"/>
              </w:rPr>
              <w:t>Income taxes payable</w:t>
            </w:r>
          </w:p>
        </w:tc>
        <w:tc>
          <w:tcPr>
            <w:tcW w:w="200" w:type="dxa"/>
            <w:vAlign w:val="bottom"/>
            <w:tcBorders>
              <w:bottom w:val="single" w:sz="8" w:color="auto"/>
            </w:tcBorders>
            <w:shd w:val="clear" w:color="auto" w:fill="CFF0FC"/>
          </w:tcPr>
          <w:p>
            <w:pPr>
              <w:spacing w:after="0"/>
              <w:rPr>
                <w:sz w:val="16"/>
                <w:szCs w:val="16"/>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743</w:t>
            </w:r>
          </w:p>
        </w:tc>
        <w:tc>
          <w:tcPr>
            <w:tcW w:w="120" w:type="dxa"/>
            <w:vAlign w:val="bottom"/>
            <w:tcBorders>
              <w:bottom w:val="single" w:sz="8" w:color="CFF0FC"/>
            </w:tcBorders>
            <w:shd w:val="clear" w:color="auto" w:fill="CFF0FC"/>
          </w:tcPr>
          <w:p>
            <w:pPr>
              <w:spacing w:after="0"/>
              <w:rPr>
                <w:sz w:val="16"/>
                <w:szCs w:val="16"/>
                <w:color w:val="auto"/>
              </w:rPr>
            </w:pPr>
          </w:p>
        </w:tc>
        <w:tc>
          <w:tcPr>
            <w:tcW w:w="120" w:type="dxa"/>
            <w:vAlign w:val="bottom"/>
            <w:tcBorders>
              <w:bottom w:val="single" w:sz="8" w:color="CFF0FC"/>
            </w:tcBorders>
            <w:shd w:val="clear" w:color="auto" w:fill="CFF0FC"/>
          </w:tcPr>
          <w:p>
            <w:pPr>
              <w:spacing w:after="0"/>
              <w:rPr>
                <w:sz w:val="16"/>
                <w:szCs w:val="16"/>
                <w:color w:val="auto"/>
              </w:rPr>
            </w:pPr>
          </w:p>
        </w:tc>
        <w:tc>
          <w:tcPr>
            <w:tcW w:w="300" w:type="dxa"/>
            <w:vAlign w:val="bottom"/>
            <w:tcBorders>
              <w:bottom w:val="single" w:sz="8" w:color="auto"/>
            </w:tcBorders>
            <w:shd w:val="clear" w:color="auto" w:fill="CFF0FC"/>
          </w:tcPr>
          <w:p>
            <w:pPr>
              <w:spacing w:after="0"/>
              <w:rPr>
                <w:sz w:val="16"/>
                <w:szCs w:val="16"/>
                <w:color w:val="auto"/>
              </w:rPr>
            </w:pP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60" w:type="dxa"/>
            <w:vAlign w:val="bottom"/>
            <w:tcBorders>
              <w:bottom w:val="single" w:sz="8" w:color="CFF0FC"/>
            </w:tcBorders>
            <w:shd w:val="clear" w:color="auto" w:fill="CFF0FC"/>
          </w:tcPr>
          <w:p>
            <w:pPr>
              <w:spacing w:after="0"/>
              <w:rPr>
                <w:sz w:val="16"/>
                <w:szCs w:val="16"/>
                <w:color w:val="auto"/>
              </w:rPr>
            </w:pPr>
          </w:p>
        </w:tc>
        <w:tc>
          <w:tcPr>
            <w:tcW w:w="260" w:type="dxa"/>
            <w:vAlign w:val="bottom"/>
            <w:tcBorders>
              <w:bottom w:val="single" w:sz="8" w:color="auto"/>
            </w:tcBorders>
            <w:shd w:val="clear" w:color="auto" w:fill="CFF0FC"/>
          </w:tcPr>
          <w:p>
            <w:pPr>
              <w:spacing w:after="0"/>
              <w:rPr>
                <w:sz w:val="16"/>
                <w:szCs w:val="16"/>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380"/>
              <w:spacing w:after="0"/>
              <w:rPr>
                <w:sz w:val="20"/>
                <w:szCs w:val="20"/>
                <w:color w:val="auto"/>
              </w:rPr>
            </w:pPr>
            <w:r>
              <w:rPr>
                <w:rFonts w:ascii="Arial" w:cs="Arial" w:eastAsia="Arial" w:hAnsi="Arial"/>
                <w:sz w:val="14"/>
                <w:szCs w:val="14"/>
                <w:b w:val="1"/>
                <w:bCs w:val="1"/>
                <w:color w:val="auto"/>
              </w:rPr>
              <w:t>Net cash used in operating activities</w:t>
            </w:r>
          </w:p>
        </w:tc>
        <w:tc>
          <w:tcPr>
            <w:tcW w:w="2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(62,575 )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(68,571 )</w:t>
            </w: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(22,049 )</w:t>
            </w:r>
          </w:p>
        </w:tc>
        <w:tc>
          <w:tcPr>
            <w:tcW w:w="0" w:type="dxa"/>
            <w:vAlign w:val="bottom"/>
          </w:tcPr>
          <w:p>
            <w:pPr>
              <w:spacing w:after="0"/>
              <w:rPr>
                <w:sz w:val="1"/>
                <w:szCs w:val="1"/>
                <w:color w:val="auto"/>
              </w:rPr>
            </w:pPr>
          </w:p>
        </w:tc>
      </w:tr>
      <w:tr>
        <w:trPr>
          <w:trHeight w:val="182"/>
        </w:trPr>
        <w:tc>
          <w:tcPr>
            <w:tcW w:w="6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investing activities:</w:t>
            </w:r>
          </w:p>
        </w:tc>
        <w:tc>
          <w:tcPr>
            <w:tcW w:w="2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Purchase of marketable securities</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(326 )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(267,467 )</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sale of marketable securities</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28,927</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235,000</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Purchase of short-term investments</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(17,711 )</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short-term investments</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28,571</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Purchases of property and equipment</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(13,650 )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(6,262 )</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(4,190 )</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life insurance</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627</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Proceeds from sale of property and equipment</w:t>
            </w:r>
          </w:p>
        </w:tc>
        <w:tc>
          <w:tcPr>
            <w:tcW w:w="200" w:type="dxa"/>
            <w:vAlign w:val="bottom"/>
          </w:tcPr>
          <w:p>
            <w:pPr>
              <w:spacing w:after="0"/>
              <w:rPr>
                <w:sz w:val="16"/>
                <w:szCs w:val="16"/>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189</w:t>
            </w: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Cash paid for business combinations, net of cash acquired</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w:t>
            </w:r>
          </w:p>
        </w:tc>
        <w:tc>
          <w:tcPr>
            <w:tcW w:w="240" w:type="dxa"/>
            <w:vAlign w:val="bottom"/>
            <w:gridSpan w:val="2"/>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(174,646 )</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6760" w:type="dxa"/>
            <w:vAlign w:val="bottom"/>
            <w:shd w:val="clear" w:color="auto" w:fill="CFF0FC"/>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6760" w:type="dxa"/>
            <w:vAlign w:val="bottom"/>
          </w:tcPr>
          <w:p>
            <w:pPr>
              <w:ind w:left="38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20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15,140</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(212,748 )</w:t>
            </w:r>
          </w:p>
        </w:tc>
        <w:tc>
          <w:tcPr>
            <w:tcW w:w="260" w:type="dxa"/>
            <w:vAlign w:val="bottom"/>
          </w:tcPr>
          <w:p>
            <w:pPr>
              <w:spacing w:after="0"/>
              <w:rPr>
                <w:sz w:val="15"/>
                <w:szCs w:val="15"/>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6,670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60" w:type="dxa"/>
            <w:vAlign w:val="bottom"/>
            <w:shd w:val="clear" w:color="auto" w:fill="CFF0FC"/>
          </w:tcPr>
          <w:p>
            <w:pPr>
              <w:ind w:left="20"/>
              <w:spacing w:after="0"/>
              <w:rPr>
                <w:sz w:val="20"/>
                <w:szCs w:val="20"/>
                <w:color w:val="auto"/>
              </w:rPr>
            </w:pPr>
            <w:r>
              <w:rPr>
                <w:rFonts w:ascii="Arial" w:cs="Arial" w:eastAsia="Arial" w:hAnsi="Arial"/>
                <w:sz w:val="14"/>
                <w:szCs w:val="14"/>
                <w:b w:val="1"/>
                <w:bCs w:val="1"/>
                <w:color w:val="auto"/>
              </w:rPr>
              <w:t>Cash flows from financing activities:</w:t>
            </w:r>
          </w:p>
        </w:tc>
        <w:tc>
          <w:tcPr>
            <w:tcW w:w="200" w:type="dxa"/>
            <w:vAlign w:val="bottom"/>
            <w:tcBorders>
              <w:top w:val="single" w:sz="8" w:color="auto"/>
            </w:tcBorders>
            <w:shd w:val="clear" w:color="auto" w:fill="CFF0FC"/>
          </w:tcPr>
          <w:p>
            <w:pPr>
              <w:spacing w:after="0"/>
              <w:rPr>
                <w:sz w:val="15"/>
                <w:szCs w:val="15"/>
                <w:color w:val="auto"/>
              </w:rPr>
            </w:pPr>
          </w:p>
        </w:tc>
        <w:tc>
          <w:tcPr>
            <w:tcW w:w="1160" w:type="dxa"/>
            <w:vAlign w:val="bottom"/>
            <w:tcBorders>
              <w:top w:val="single" w:sz="8" w:color="auto"/>
            </w:tcBorders>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300" w:type="dxa"/>
            <w:vAlign w:val="bottom"/>
            <w:tcBorders>
              <w:top w:val="single" w:sz="8" w:color="auto"/>
            </w:tcBorders>
            <w:shd w:val="clear" w:color="auto" w:fill="CFF0FC"/>
          </w:tcPr>
          <w:p>
            <w:pPr>
              <w:spacing w:after="0"/>
              <w:rPr>
                <w:sz w:val="15"/>
                <w:szCs w:val="15"/>
                <w:color w:val="auto"/>
              </w:rPr>
            </w:pPr>
          </w:p>
        </w:tc>
        <w:tc>
          <w:tcPr>
            <w:tcW w:w="1020" w:type="dxa"/>
            <w:vAlign w:val="bottom"/>
            <w:tcBorders>
              <w:top w:val="single" w:sz="8" w:color="auto"/>
            </w:tcBorders>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260" w:type="dxa"/>
            <w:vAlign w:val="bottom"/>
            <w:tcBorders>
              <w:top w:val="single" w:sz="8" w:color="auto"/>
            </w:tcBorders>
            <w:shd w:val="clear" w:color="auto" w:fill="CFF0FC"/>
          </w:tcPr>
          <w:p>
            <w:pPr>
              <w:spacing w:after="0"/>
              <w:rPr>
                <w:sz w:val="15"/>
                <w:szCs w:val="15"/>
                <w:color w:val="auto"/>
              </w:rPr>
            </w:pPr>
          </w:p>
        </w:tc>
        <w:tc>
          <w:tcPr>
            <w:tcW w:w="940" w:type="dxa"/>
            <w:vAlign w:val="bottom"/>
            <w:tcBorders>
              <w:top w:val="single" w:sz="8" w:color="auto"/>
            </w:tcBorders>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66"/>
        </w:trPr>
        <w:tc>
          <w:tcPr>
            <w:tcW w:w="6760" w:type="dxa"/>
            <w:vAlign w:val="bottom"/>
          </w:tcPr>
          <w:p>
            <w:pPr>
              <w:ind w:left="200"/>
              <w:spacing w:after="0"/>
              <w:rPr>
                <w:sz w:val="20"/>
                <w:szCs w:val="20"/>
                <w:color w:val="auto"/>
              </w:rPr>
            </w:pPr>
            <w:r>
              <w:rPr>
                <w:rFonts w:ascii="Arial" w:cs="Arial" w:eastAsia="Arial" w:hAnsi="Arial"/>
                <w:sz w:val="14"/>
                <w:szCs w:val="14"/>
                <w:color w:val="auto"/>
              </w:rPr>
              <w:t>Proceeds from issuance of Series A-2, Series B, Series C, Series D and Series E convertible</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5"/>
        </w:trPr>
        <w:tc>
          <w:tcPr>
            <w:tcW w:w="6760" w:type="dxa"/>
            <w:vAlign w:val="bottom"/>
          </w:tcPr>
          <w:p>
            <w:pPr>
              <w:ind w:left="200"/>
              <w:spacing w:after="0"/>
              <w:rPr>
                <w:sz w:val="20"/>
                <w:szCs w:val="20"/>
                <w:color w:val="auto"/>
              </w:rPr>
            </w:pPr>
            <w:r>
              <w:rPr>
                <w:rFonts w:ascii="Arial" w:cs="Arial" w:eastAsia="Arial" w:hAnsi="Arial"/>
                <w:sz w:val="14"/>
                <w:szCs w:val="14"/>
                <w:color w:val="auto"/>
              </w:rPr>
              <w:t>preferred stock, net of issuance costs</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52,409</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Repurchase of Series A-2, Series B, Series C and Series D convertible preferred stock</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(12,852 )</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Deemed dividend to preferred stockholders</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(8,801 )</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initial public offering, net of underwriters' discount</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325,263</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Payments in connection with initial public offering</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(3,678 )</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stock options exercised</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3,715</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2,291</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518</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Proceeds from term loan</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4,000</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term loan</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180"/>
              <w:spacing w:after="0"/>
              <w:rPr>
                <w:sz w:val="20"/>
                <w:szCs w:val="20"/>
                <w:color w:val="auto"/>
              </w:rPr>
            </w:pPr>
            <w:r>
              <w:rPr>
                <w:rFonts w:ascii="Arial" w:cs="Arial" w:eastAsia="Arial" w:hAnsi="Arial"/>
                <w:sz w:val="14"/>
                <w:szCs w:val="14"/>
                <w:color w:val="auto"/>
              </w:rPr>
              <w:t>(16,136 )</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Proceeds from the exercise of warrants</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Proceeds from issuance of convertible notes</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287,500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Costs incurred in connection with issuance of convertible notes</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(9,309 )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Payment of contingent consideration</w:t>
            </w:r>
          </w:p>
        </w:tc>
        <w:tc>
          <w:tcPr>
            <w:tcW w:w="2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60"/>
              <w:spacing w:after="0"/>
              <w:rPr>
                <w:sz w:val="20"/>
                <w:szCs w:val="20"/>
                <w:color w:val="auto"/>
              </w:rPr>
            </w:pPr>
            <w:r>
              <w:rPr>
                <w:rFonts w:ascii="Arial" w:cs="Arial" w:eastAsia="Arial" w:hAnsi="Arial"/>
                <w:sz w:val="14"/>
                <w:szCs w:val="14"/>
                <w:color w:val="auto"/>
              </w:rPr>
              <w:t>(932 )</w:t>
            </w: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Proceeds from other borrowings</w:t>
            </w:r>
          </w:p>
        </w:tc>
        <w:tc>
          <w:tcPr>
            <w:tcW w:w="200" w:type="dxa"/>
            <w:vAlign w:val="bottom"/>
          </w:tcPr>
          <w:p>
            <w:pPr>
              <w:spacing w:after="0"/>
              <w:rPr>
                <w:sz w:val="16"/>
                <w:szCs w:val="16"/>
                <w:color w:val="auto"/>
              </w:rPr>
            </w:pPr>
          </w:p>
        </w:tc>
        <w:tc>
          <w:tcPr>
            <w:tcW w:w="1400" w:type="dxa"/>
            <w:vAlign w:val="bottom"/>
            <w:gridSpan w:val="3"/>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tcPr>
          <w:p>
            <w:pPr>
              <w:spacing w:after="0"/>
              <w:rPr>
                <w:sz w:val="16"/>
                <w:szCs w:val="16"/>
                <w:color w:val="auto"/>
              </w:rPr>
            </w:pPr>
          </w:p>
        </w:tc>
        <w:tc>
          <w:tcPr>
            <w:tcW w:w="1280" w:type="dxa"/>
            <w:vAlign w:val="bottom"/>
            <w:gridSpan w:val="2"/>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tcPr>
          <w:p>
            <w:pPr>
              <w:spacing w:after="0"/>
              <w:rPr>
                <w:sz w:val="16"/>
                <w:szCs w:val="16"/>
                <w:color w:val="auto"/>
              </w:rPr>
            </w:pPr>
          </w:p>
        </w:tc>
        <w:tc>
          <w:tcPr>
            <w:tcW w:w="940" w:type="dxa"/>
            <w:vAlign w:val="bottom"/>
          </w:tcPr>
          <w:p>
            <w:pPr>
              <w:jc w:val="right"/>
              <w:spacing w:after="0"/>
              <w:rPr>
                <w:sz w:val="20"/>
                <w:szCs w:val="20"/>
                <w:color w:val="auto"/>
              </w:rPr>
            </w:pPr>
            <w:r>
              <w:rPr>
                <w:rFonts w:ascii="Arial" w:cs="Arial" w:eastAsia="Arial" w:hAnsi="Arial"/>
                <w:sz w:val="14"/>
                <w:szCs w:val="14"/>
                <w:color w:val="auto"/>
              </w:rPr>
              <w:t>4,783</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0"/>
              <w:spacing w:after="0"/>
              <w:rPr>
                <w:sz w:val="20"/>
                <w:szCs w:val="20"/>
                <w:color w:val="auto"/>
              </w:rPr>
            </w:pPr>
            <w:r>
              <w:rPr>
                <w:rFonts w:ascii="Arial" w:cs="Arial" w:eastAsia="Arial" w:hAnsi="Arial"/>
                <w:sz w:val="14"/>
                <w:szCs w:val="14"/>
                <w:color w:val="auto"/>
              </w:rPr>
              <w:t>Repayment of other borrowings</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4"/>
                <w:szCs w:val="14"/>
                <w:color w:val="auto"/>
              </w:rPr>
              <w:t>(4,783 )</w:t>
            </w:r>
          </w:p>
        </w:tc>
        <w:tc>
          <w:tcPr>
            <w:tcW w:w="0" w:type="dxa"/>
            <w:vAlign w:val="bottom"/>
          </w:tcPr>
          <w:p>
            <w:pPr>
              <w:spacing w:after="0"/>
              <w:rPr>
                <w:sz w:val="1"/>
                <w:szCs w:val="1"/>
                <w:color w:val="auto"/>
              </w:rPr>
            </w:pPr>
          </w:p>
        </w:tc>
      </w:tr>
      <w:tr>
        <w:trPr>
          <w:trHeight w:val="189"/>
        </w:trPr>
        <w:tc>
          <w:tcPr>
            <w:tcW w:w="6760" w:type="dxa"/>
            <w:vAlign w:val="bottom"/>
          </w:tcPr>
          <w:p>
            <w:pPr>
              <w:ind w:left="200"/>
              <w:spacing w:after="0"/>
              <w:rPr>
                <w:sz w:val="20"/>
                <w:szCs w:val="20"/>
                <w:color w:val="auto"/>
              </w:rPr>
            </w:pPr>
            <w:r>
              <w:rPr>
                <w:rFonts w:ascii="Arial" w:cs="Arial" w:eastAsia="Arial" w:hAnsi="Arial"/>
                <w:sz w:val="14"/>
                <w:szCs w:val="14"/>
                <w:color w:val="auto"/>
              </w:rPr>
              <w:t>Payments on finance lease obligations</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(2 )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(12 )</w:t>
            </w:r>
          </w:p>
        </w:tc>
        <w:tc>
          <w:tcPr>
            <w:tcW w:w="260" w:type="dxa"/>
            <w:vAlign w:val="bottom"/>
          </w:tcPr>
          <w:p>
            <w:pPr>
              <w:spacing w:after="0"/>
              <w:rPr>
                <w:sz w:val="16"/>
                <w:szCs w:val="16"/>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(13 )</w:t>
            </w:r>
          </w:p>
        </w:tc>
        <w:tc>
          <w:tcPr>
            <w:tcW w:w="0" w:type="dxa"/>
            <w:vAlign w:val="bottom"/>
          </w:tcPr>
          <w:p>
            <w:pPr>
              <w:spacing w:after="0"/>
              <w:rPr>
                <w:sz w:val="1"/>
                <w:szCs w:val="1"/>
                <w:color w:val="auto"/>
              </w:rPr>
            </w:pPr>
          </w:p>
        </w:tc>
      </w:tr>
      <w:tr>
        <w:trPr>
          <w:trHeight w:val="182"/>
        </w:trPr>
        <w:tc>
          <w:tcPr>
            <w:tcW w:w="67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4"/>
                <w:szCs w:val="14"/>
                <w:b w:val="1"/>
                <w:bCs w:val="1"/>
                <w:color w:val="auto"/>
              </w:rPr>
              <w:t>Net cash provided by financing activities</w:t>
            </w:r>
          </w:p>
        </w:tc>
        <w:tc>
          <w:tcPr>
            <w:tcW w:w="200" w:type="dxa"/>
            <w:vAlign w:val="bottom"/>
            <w:tcBorders>
              <w:top w:val="single" w:sz="8" w:color="auto"/>
              <w:bottom w:val="single" w:sz="8" w:color="auto"/>
            </w:tcBorders>
            <w:shd w:val="clear" w:color="auto" w:fill="CFF0FC"/>
          </w:tcPr>
          <w:p>
            <w:pPr>
              <w:spacing w:after="0"/>
              <w:rPr>
                <w:sz w:val="15"/>
                <w:szCs w:val="15"/>
                <w:color w:val="auto"/>
              </w:rPr>
            </w:pP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280,972</w:t>
            </w:r>
          </w:p>
        </w:tc>
        <w:tc>
          <w:tcPr>
            <w:tcW w:w="120" w:type="dxa"/>
            <w:vAlign w:val="bottom"/>
            <w:tcBorders>
              <w:bottom w:val="single" w:sz="8" w:color="CFF0FC"/>
            </w:tcBorders>
            <w:shd w:val="clear" w:color="auto" w:fill="CFF0FC"/>
          </w:tcPr>
          <w:p>
            <w:pPr>
              <w:spacing w:after="0"/>
              <w:rPr>
                <w:sz w:val="15"/>
                <w:szCs w:val="15"/>
                <w:color w:val="auto"/>
              </w:rPr>
            </w:pPr>
          </w:p>
        </w:tc>
        <w:tc>
          <w:tcPr>
            <w:tcW w:w="120" w:type="dxa"/>
            <w:vAlign w:val="bottom"/>
            <w:tcBorders>
              <w:bottom w:val="single" w:sz="8" w:color="CFF0FC"/>
            </w:tcBorders>
            <w:shd w:val="clear" w:color="auto" w:fill="CFF0FC"/>
          </w:tcPr>
          <w:p>
            <w:pPr>
              <w:spacing w:after="0"/>
              <w:rPr>
                <w:sz w:val="15"/>
                <w:szCs w:val="15"/>
                <w:color w:val="auto"/>
              </w:rPr>
            </w:pPr>
          </w:p>
        </w:tc>
        <w:tc>
          <w:tcPr>
            <w:tcW w:w="300" w:type="dxa"/>
            <w:vAlign w:val="bottom"/>
            <w:tcBorders>
              <w:top w:val="single" w:sz="8" w:color="auto"/>
              <w:bottom w:val="single" w:sz="8" w:color="auto"/>
            </w:tcBorders>
            <w:shd w:val="clear" w:color="auto" w:fill="CFF0FC"/>
          </w:tcPr>
          <w:p>
            <w:pPr>
              <w:spacing w:after="0"/>
              <w:rPr>
                <w:sz w:val="15"/>
                <w:szCs w:val="15"/>
                <w:color w:val="auto"/>
              </w:rPr>
            </w:pP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307,768</w:t>
            </w:r>
          </w:p>
        </w:tc>
        <w:tc>
          <w:tcPr>
            <w:tcW w:w="260" w:type="dxa"/>
            <w:vAlign w:val="bottom"/>
            <w:tcBorders>
              <w:bottom w:val="single" w:sz="8" w:color="CFF0FC"/>
            </w:tcBorders>
            <w:shd w:val="clear" w:color="auto" w:fill="CFF0FC"/>
          </w:tcPr>
          <w:p>
            <w:pPr>
              <w:spacing w:after="0"/>
              <w:rPr>
                <w:sz w:val="15"/>
                <w:szCs w:val="15"/>
                <w:color w:val="auto"/>
              </w:rPr>
            </w:pPr>
          </w:p>
        </w:tc>
        <w:tc>
          <w:tcPr>
            <w:tcW w:w="260" w:type="dxa"/>
            <w:vAlign w:val="bottom"/>
            <w:tcBorders>
              <w:top w:val="single" w:sz="8" w:color="auto"/>
              <w:bottom w:val="single" w:sz="8" w:color="auto"/>
            </w:tcBorders>
            <w:shd w:val="clear" w:color="auto" w:fill="CFF0FC"/>
          </w:tcPr>
          <w:p>
            <w:pPr>
              <w:spacing w:after="0"/>
              <w:rPr>
                <w:sz w:val="15"/>
                <w:szCs w:val="15"/>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35,261</w:t>
            </w:r>
          </w:p>
        </w:tc>
        <w:tc>
          <w:tcPr>
            <w:tcW w:w="100" w:type="dxa"/>
            <w:vAlign w:val="bottom"/>
            <w:tcBorders>
              <w:bottom w:val="single" w:sz="8" w:color="CFF0FC"/>
            </w:tcBorders>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2"/>
        </w:trPr>
        <w:tc>
          <w:tcPr>
            <w:tcW w:w="6760" w:type="dxa"/>
            <w:vAlign w:val="bottom"/>
          </w:tcPr>
          <w:p>
            <w:pPr>
              <w:ind w:left="200"/>
              <w:spacing w:after="0"/>
              <w:rPr>
                <w:sz w:val="20"/>
                <w:szCs w:val="20"/>
                <w:color w:val="auto"/>
              </w:rPr>
            </w:pPr>
            <w:r>
              <w:rPr>
                <w:rFonts w:ascii="Arial" w:cs="Arial" w:eastAsia="Arial" w:hAnsi="Arial"/>
                <w:sz w:val="14"/>
                <w:szCs w:val="14"/>
                <w:color w:val="auto"/>
              </w:rPr>
              <w:t>Effect of foreign currency translation on cash and cash equivalents</w:t>
            </w:r>
          </w:p>
        </w:tc>
        <w:tc>
          <w:tcPr>
            <w:tcW w:w="200" w:type="dxa"/>
            <w:vAlign w:val="bottom"/>
          </w:tcPr>
          <w:p>
            <w:pPr>
              <w:spacing w:after="0"/>
              <w:rPr>
                <w:sz w:val="15"/>
                <w:szCs w:val="15"/>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(367 )</w:t>
            </w:r>
          </w:p>
        </w:tc>
        <w:tc>
          <w:tcPr>
            <w:tcW w:w="1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gridSpan w:val="2"/>
          </w:tcPr>
          <w:p>
            <w:pPr>
              <w:jc w:val="right"/>
              <w:ind w:right="180"/>
              <w:spacing w:after="0"/>
              <w:rPr>
                <w:sz w:val="20"/>
                <w:szCs w:val="20"/>
                <w:color w:val="auto"/>
              </w:rPr>
            </w:pPr>
            <w:r>
              <w:rPr>
                <w:rFonts w:ascii="Arial" w:cs="Arial" w:eastAsia="Arial" w:hAnsi="Arial"/>
                <w:sz w:val="14"/>
                <w:szCs w:val="14"/>
                <w:color w:val="auto"/>
              </w:rPr>
              <w:t>(61 )</w:t>
            </w:r>
          </w:p>
        </w:tc>
        <w:tc>
          <w:tcPr>
            <w:tcW w:w="260" w:type="dxa"/>
            <w:vAlign w:val="bottom"/>
          </w:tcPr>
          <w:p>
            <w:pPr>
              <w:spacing w:after="0"/>
              <w:rPr>
                <w:sz w:val="15"/>
                <w:szCs w:val="15"/>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4"/>
                <w:szCs w:val="14"/>
                <w:color w:val="auto"/>
              </w:rPr>
              <w:t>(130 )</w:t>
            </w:r>
          </w:p>
        </w:tc>
        <w:tc>
          <w:tcPr>
            <w:tcW w:w="0" w:type="dxa"/>
            <w:vAlign w:val="bottom"/>
          </w:tcPr>
          <w:p>
            <w:pPr>
              <w:spacing w:after="0"/>
              <w:rPr>
                <w:sz w:val="1"/>
                <w:szCs w:val="1"/>
                <w:color w:val="auto"/>
              </w:rPr>
            </w:pPr>
          </w:p>
        </w:tc>
      </w:tr>
      <w:tr>
        <w:trPr>
          <w:trHeight w:val="194"/>
        </w:trPr>
        <w:tc>
          <w:tcPr>
            <w:tcW w:w="6760" w:type="dxa"/>
            <w:vAlign w:val="bottom"/>
            <w:shd w:val="clear" w:color="auto" w:fill="CFF0FC"/>
          </w:tcPr>
          <w:p>
            <w:pPr>
              <w:ind w:left="380"/>
              <w:spacing w:after="0"/>
              <w:rPr>
                <w:sz w:val="20"/>
                <w:szCs w:val="20"/>
                <w:color w:val="auto"/>
              </w:rPr>
            </w:pPr>
            <w:r>
              <w:rPr>
                <w:rFonts w:ascii="Arial" w:cs="Arial" w:eastAsia="Arial" w:hAnsi="Arial"/>
                <w:sz w:val="14"/>
                <w:szCs w:val="14"/>
                <w:b w:val="1"/>
                <w:bCs w:val="1"/>
                <w:color w:val="auto"/>
              </w:rPr>
              <w:t>Net (decrease) increase in cash and cash equivalents</w:t>
            </w:r>
          </w:p>
        </w:tc>
        <w:tc>
          <w:tcPr>
            <w:tcW w:w="200" w:type="dxa"/>
            <w:vAlign w:val="bottom"/>
            <w:tcBorders>
              <w:top w:val="single" w:sz="8" w:color="auto"/>
            </w:tcBorders>
            <w:shd w:val="clear" w:color="auto" w:fill="CFF0FC"/>
          </w:tcPr>
          <w:p>
            <w:pPr>
              <w:spacing w:after="0"/>
              <w:rPr>
                <w:sz w:val="16"/>
                <w:szCs w:val="16"/>
                <w:color w:val="auto"/>
              </w:rPr>
            </w:pPr>
          </w:p>
        </w:tc>
        <w:tc>
          <w:tcPr>
            <w:tcW w:w="116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233,170</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tcBorders>
              <w:top w:val="single" w:sz="8" w:color="auto"/>
            </w:tcBorders>
            <w:shd w:val="clear" w:color="auto" w:fill="CFF0FC"/>
          </w:tcPr>
          <w:p>
            <w:pPr>
              <w:spacing w:after="0"/>
              <w:rPr>
                <w:sz w:val="16"/>
                <w:szCs w:val="16"/>
                <w:color w:val="auto"/>
              </w:rPr>
            </w:pPr>
          </w:p>
        </w:tc>
        <w:tc>
          <w:tcPr>
            <w:tcW w:w="102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26,388</w:t>
            </w:r>
          </w:p>
        </w:tc>
        <w:tc>
          <w:tcPr>
            <w:tcW w:w="260" w:type="dxa"/>
            <w:vAlign w:val="bottom"/>
            <w:shd w:val="clear" w:color="auto" w:fill="CFF0FC"/>
          </w:tcPr>
          <w:p>
            <w:pPr>
              <w:spacing w:after="0"/>
              <w:rPr>
                <w:sz w:val="16"/>
                <w:szCs w:val="16"/>
                <w:color w:val="auto"/>
              </w:rPr>
            </w:pPr>
          </w:p>
        </w:tc>
        <w:tc>
          <w:tcPr>
            <w:tcW w:w="260" w:type="dxa"/>
            <w:vAlign w:val="bottom"/>
            <w:tcBorders>
              <w:top w:val="single" w:sz="8" w:color="auto"/>
            </w:tcBorders>
            <w:shd w:val="clear" w:color="auto" w:fill="CFF0FC"/>
          </w:tcPr>
          <w:p>
            <w:pPr>
              <w:spacing w:after="0"/>
              <w:rPr>
                <w:sz w:val="16"/>
                <w:szCs w:val="16"/>
                <w:color w:val="auto"/>
              </w:rPr>
            </w:pPr>
          </w:p>
        </w:tc>
        <w:tc>
          <w:tcPr>
            <w:tcW w:w="940" w:type="dxa"/>
            <w:vAlign w:val="bottom"/>
            <w:tcBorders>
              <w:top w:val="single" w:sz="8" w:color="auto"/>
            </w:tcBorders>
            <w:vMerge w:val="restart"/>
            <w:shd w:val="clear" w:color="auto" w:fill="CFF0FC"/>
          </w:tcPr>
          <w:p>
            <w:pPr>
              <w:jc w:val="right"/>
              <w:spacing w:after="0"/>
              <w:rPr>
                <w:sz w:val="20"/>
                <w:szCs w:val="20"/>
                <w:color w:val="auto"/>
              </w:rPr>
            </w:pPr>
            <w:r>
              <w:rPr>
                <w:rFonts w:ascii="Arial" w:cs="Arial" w:eastAsia="Arial" w:hAnsi="Arial"/>
                <w:sz w:val="14"/>
                <w:szCs w:val="14"/>
                <w:color w:val="auto"/>
              </w:rPr>
              <w:t>19,752</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50"/>
        </w:trPr>
        <w:tc>
          <w:tcPr>
            <w:tcW w:w="6760" w:type="dxa"/>
            <w:vAlign w:val="bottom"/>
            <w:shd w:val="clear" w:color="auto" w:fill="CFF0FC"/>
          </w:tcPr>
          <w:p>
            <w:pPr>
              <w:spacing w:after="0"/>
              <w:rPr>
                <w:sz w:val="13"/>
                <w:szCs w:val="13"/>
                <w:color w:val="auto"/>
              </w:rPr>
            </w:pPr>
          </w:p>
        </w:tc>
        <w:tc>
          <w:tcPr>
            <w:tcW w:w="200" w:type="dxa"/>
            <w:vAlign w:val="bottom"/>
            <w:shd w:val="clear" w:color="auto" w:fill="CFF0FC"/>
          </w:tcPr>
          <w:p>
            <w:pPr>
              <w:spacing w:after="0"/>
              <w:rPr>
                <w:sz w:val="13"/>
                <w:szCs w:val="13"/>
                <w:color w:val="auto"/>
              </w:rPr>
            </w:pPr>
          </w:p>
        </w:tc>
        <w:tc>
          <w:tcPr>
            <w:tcW w:w="1160" w:type="dxa"/>
            <w:vAlign w:val="bottom"/>
            <w:vMerge w:val="continue"/>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12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1020" w:type="dxa"/>
            <w:vAlign w:val="bottom"/>
            <w:vMerge w:val="continue"/>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260" w:type="dxa"/>
            <w:vAlign w:val="bottom"/>
            <w:shd w:val="clear" w:color="auto" w:fill="CFF0FC"/>
          </w:tcPr>
          <w:p>
            <w:pPr>
              <w:spacing w:after="0"/>
              <w:rPr>
                <w:sz w:val="13"/>
                <w:szCs w:val="13"/>
                <w:color w:val="auto"/>
              </w:rPr>
            </w:pPr>
          </w:p>
        </w:tc>
        <w:tc>
          <w:tcPr>
            <w:tcW w:w="940" w:type="dxa"/>
            <w:vAlign w:val="bottom"/>
            <w:vMerge w:val="continue"/>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Cash and cash equivalents at beginning of the year</w:t>
            </w: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86,262</w:t>
            </w:r>
          </w:p>
        </w:tc>
        <w:tc>
          <w:tcPr>
            <w:tcW w:w="1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59,874</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40,122</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67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4"/>
                <w:szCs w:val="14"/>
                <w:b w:val="1"/>
                <w:bCs w:val="1"/>
                <w:color w:val="auto"/>
              </w:rPr>
              <w:t>Cash and cash equivalents at end of the year</w:t>
            </w:r>
          </w:p>
        </w:tc>
        <w:tc>
          <w:tcPr>
            <w:tcW w:w="200" w:type="dxa"/>
            <w:vAlign w:val="bottom"/>
            <w:tcBorders>
              <w:bottom w:val="single" w:sz="8" w:color="auto"/>
            </w:tcBorders>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319,432</w:t>
            </w:r>
          </w:p>
        </w:tc>
        <w:tc>
          <w:tcPr>
            <w:tcW w:w="12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300" w:type="dxa"/>
            <w:vAlign w:val="bottom"/>
            <w:tcBorders>
              <w:bottom w:val="single" w:sz="8" w:color="auto"/>
            </w:tcBorders>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86,262</w:t>
            </w:r>
          </w:p>
        </w:tc>
        <w:tc>
          <w:tcPr>
            <w:tcW w:w="260" w:type="dxa"/>
            <w:vAlign w:val="bottom"/>
            <w:tcBorders>
              <w:bottom w:val="single" w:sz="8" w:color="CFF0FC"/>
            </w:tcBorders>
            <w:shd w:val="clear" w:color="auto" w:fill="CFF0FC"/>
          </w:tcPr>
          <w:p>
            <w:pPr>
              <w:spacing w:after="0"/>
              <w:rPr>
                <w:sz w:val="19"/>
                <w:szCs w:val="19"/>
                <w:color w:val="auto"/>
              </w:rPr>
            </w:pPr>
          </w:p>
        </w:tc>
        <w:tc>
          <w:tcPr>
            <w:tcW w:w="260" w:type="dxa"/>
            <w:vAlign w:val="bottom"/>
            <w:tcBorders>
              <w:bottom w:val="single" w:sz="8" w:color="auto"/>
            </w:tcBorders>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4"/>
                <w:szCs w:val="14"/>
                <w:color w:val="auto"/>
              </w:rPr>
              <w:t>59,874</w:t>
            </w:r>
          </w:p>
        </w:tc>
        <w:tc>
          <w:tcPr>
            <w:tcW w:w="100" w:type="dxa"/>
            <w:vAlign w:val="bottom"/>
            <w:tcBorders>
              <w:bottom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Supplemental cash flow information:</w:t>
            </w:r>
          </w:p>
        </w:tc>
        <w:tc>
          <w:tcPr>
            <w:tcW w:w="20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Cash paid for interest</w:t>
            </w:r>
          </w:p>
        </w:tc>
        <w:tc>
          <w:tcPr>
            <w:tcW w:w="200" w:type="dxa"/>
            <w:vAlign w:val="bottom"/>
            <w:shd w:val="clear" w:color="auto" w:fill="CFF0FC"/>
          </w:tcPr>
          <w:p>
            <w:pPr>
              <w:jc w:val="right"/>
              <w:ind w:right="28"/>
              <w:spacing w:after="0"/>
              <w:rPr>
                <w:sz w:val="20"/>
                <w:szCs w:val="20"/>
                <w:color w:val="auto"/>
              </w:rPr>
            </w:pPr>
            <w:r>
              <w:rPr>
                <w:rFonts w:ascii="Arial" w:cs="Arial" w:eastAsia="Arial" w:hAnsi="Arial"/>
                <w:sz w:val="14"/>
                <w:szCs w:val="14"/>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1,414</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jc w:val="right"/>
              <w:ind w:right="128"/>
              <w:spacing w:after="0"/>
              <w:rPr>
                <w:sz w:val="20"/>
                <w:szCs w:val="20"/>
                <w:color w:val="auto"/>
              </w:rPr>
            </w:pPr>
            <w:r>
              <w:rPr>
                <w:rFonts w:ascii="Arial" w:cs="Arial" w:eastAsia="Arial" w:hAnsi="Arial"/>
                <w:sz w:val="14"/>
                <w:szCs w:val="14"/>
                <w:color w:val="auto"/>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907</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jc w:val="right"/>
              <w:ind w:right="108"/>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1,269</w:t>
            </w: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b w:val="1"/>
                <w:bCs w:val="1"/>
                <w:color w:val="auto"/>
              </w:rPr>
              <w:t>Non-cash investing and financing activities:</w:t>
            </w:r>
          </w:p>
        </w:tc>
        <w:tc>
          <w:tcPr>
            <w:tcW w:w="2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Non-cash purchase of property and equipment</w:t>
            </w:r>
          </w:p>
        </w:tc>
        <w:tc>
          <w:tcPr>
            <w:tcW w:w="200" w:type="dxa"/>
            <w:vAlign w:val="bottom"/>
            <w:shd w:val="clear" w:color="auto" w:fill="CFF0FC"/>
          </w:tcPr>
          <w:p>
            <w:pPr>
              <w:spacing w:after="0"/>
              <w:rPr>
                <w:sz w:val="16"/>
                <w:szCs w:val="16"/>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4"/>
                <w:szCs w:val="14"/>
                <w:color w:val="auto"/>
              </w:rPr>
              <w:t>279</w:t>
            </w:r>
          </w:p>
        </w:tc>
        <w:tc>
          <w:tcPr>
            <w:tcW w:w="120" w:type="dxa"/>
            <w:vAlign w:val="bottom"/>
            <w:shd w:val="clear" w:color="auto" w:fill="CFF0FC"/>
          </w:tcPr>
          <w:p>
            <w:pPr>
              <w:spacing w:after="0"/>
              <w:rPr>
                <w:sz w:val="16"/>
                <w:szCs w:val="16"/>
                <w:color w:val="auto"/>
              </w:rPr>
            </w:pPr>
          </w:p>
        </w:tc>
        <w:tc>
          <w:tcPr>
            <w:tcW w:w="1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280" w:type="dxa"/>
            <w:vAlign w:val="bottom"/>
            <w:gridSpan w:val="2"/>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tcPr>
          <w:p>
            <w:pPr>
              <w:ind w:left="20"/>
              <w:spacing w:after="0"/>
              <w:rPr>
                <w:sz w:val="20"/>
                <w:szCs w:val="20"/>
                <w:color w:val="auto"/>
              </w:rPr>
            </w:pPr>
            <w:r>
              <w:rPr>
                <w:rFonts w:ascii="Arial" w:cs="Arial" w:eastAsia="Arial" w:hAnsi="Arial"/>
                <w:sz w:val="14"/>
                <w:szCs w:val="14"/>
                <w:color w:val="auto"/>
              </w:rPr>
              <w:t>Non-cash consideration in connection with business combinations</w:t>
            </w:r>
          </w:p>
        </w:tc>
        <w:tc>
          <w:tcPr>
            <w:tcW w:w="200" w:type="dxa"/>
            <w:vAlign w:val="bottom"/>
          </w:tcPr>
          <w:p>
            <w:pPr>
              <w:spacing w:after="0"/>
              <w:rPr>
                <w:sz w:val="16"/>
                <w:szCs w:val="16"/>
                <w:color w:val="auto"/>
              </w:rPr>
            </w:pPr>
          </w:p>
        </w:tc>
        <w:tc>
          <w:tcPr>
            <w:tcW w:w="1280" w:type="dxa"/>
            <w:vAlign w:val="bottom"/>
            <w:gridSpan w:val="2"/>
          </w:tcPr>
          <w:p>
            <w:pPr>
              <w:jc w:val="right"/>
              <w:ind w:right="60"/>
              <w:spacing w:after="0"/>
              <w:rPr>
                <w:sz w:val="20"/>
                <w:szCs w:val="20"/>
                <w:color w:val="auto"/>
              </w:rPr>
            </w:pPr>
            <w:r>
              <w:rPr>
                <w:rFonts w:ascii="Arial" w:cs="Arial" w:eastAsia="Arial" w:hAnsi="Arial"/>
                <w:sz w:val="14"/>
                <w:szCs w:val="14"/>
                <w:color w:val="auto"/>
              </w:rPr>
              <w:t>(518 )</w:t>
            </w: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2,339</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9"/>
        </w:trPr>
        <w:tc>
          <w:tcPr>
            <w:tcW w:w="6760" w:type="dxa"/>
            <w:vAlign w:val="bottom"/>
            <w:shd w:val="clear" w:color="auto" w:fill="CFF0FC"/>
          </w:tcPr>
          <w:p>
            <w:pPr>
              <w:ind w:left="20"/>
              <w:spacing w:after="0"/>
              <w:rPr>
                <w:sz w:val="20"/>
                <w:szCs w:val="20"/>
                <w:color w:val="auto"/>
              </w:rPr>
            </w:pPr>
            <w:r>
              <w:rPr>
                <w:rFonts w:ascii="Arial" w:cs="Arial" w:eastAsia="Arial" w:hAnsi="Arial"/>
                <w:sz w:val="14"/>
                <w:szCs w:val="14"/>
                <w:color w:val="auto"/>
              </w:rPr>
              <w:t>Shares issued in business combinations</w:t>
            </w:r>
          </w:p>
        </w:tc>
        <w:tc>
          <w:tcPr>
            <w:tcW w:w="200" w:type="dxa"/>
            <w:vAlign w:val="bottom"/>
            <w:shd w:val="clear" w:color="auto" w:fill="CFF0FC"/>
          </w:tcPr>
          <w:p>
            <w:pPr>
              <w:spacing w:after="0"/>
              <w:rPr>
                <w:sz w:val="16"/>
                <w:szCs w:val="16"/>
                <w:color w:val="auto"/>
              </w:rPr>
            </w:pPr>
          </w:p>
        </w:tc>
        <w:tc>
          <w:tcPr>
            <w:tcW w:w="1400" w:type="dxa"/>
            <w:vAlign w:val="bottom"/>
            <w:gridSpan w:val="3"/>
            <w:shd w:val="clear" w:color="auto" w:fill="CFF0FC"/>
          </w:tcPr>
          <w:p>
            <w:pPr>
              <w:jc w:val="right"/>
              <w:ind w:right="260"/>
              <w:spacing w:after="0"/>
              <w:rPr>
                <w:sz w:val="20"/>
                <w:szCs w:val="20"/>
                <w:color w:val="auto"/>
              </w:rPr>
            </w:pPr>
            <w:r>
              <w:rPr>
                <w:rFonts w:ascii="Arial" w:cs="Arial" w:eastAsia="Arial" w:hAnsi="Arial"/>
                <w:sz w:val="14"/>
                <w:szCs w:val="14"/>
                <w:color w:val="auto"/>
              </w:rPr>
              <w:t>—</w:t>
            </w:r>
          </w:p>
        </w:tc>
        <w:tc>
          <w:tcPr>
            <w:tcW w:w="300" w:type="dxa"/>
            <w:vAlign w:val="bottom"/>
            <w:shd w:val="clear" w:color="auto" w:fill="CFF0FC"/>
          </w:tcPr>
          <w:p>
            <w:pPr>
              <w:spacing w:after="0"/>
              <w:rPr>
                <w:sz w:val="16"/>
                <w:szCs w:val="16"/>
                <w:color w:val="auto"/>
              </w:rPr>
            </w:pPr>
          </w:p>
        </w:tc>
        <w:tc>
          <w:tcPr>
            <w:tcW w:w="1020" w:type="dxa"/>
            <w:vAlign w:val="bottom"/>
            <w:shd w:val="clear" w:color="auto" w:fill="CFF0FC"/>
          </w:tcPr>
          <w:p>
            <w:pPr>
              <w:jc w:val="right"/>
              <w:spacing w:after="0"/>
              <w:rPr>
                <w:sz w:val="20"/>
                <w:szCs w:val="20"/>
                <w:color w:val="auto"/>
              </w:rPr>
            </w:pPr>
            <w:r>
              <w:rPr>
                <w:rFonts w:ascii="Arial" w:cs="Arial" w:eastAsia="Arial" w:hAnsi="Arial"/>
                <w:sz w:val="14"/>
                <w:szCs w:val="14"/>
                <w:color w:val="auto"/>
              </w:rPr>
              <w:t>102,888</w:t>
            </w:r>
          </w:p>
        </w:tc>
        <w:tc>
          <w:tcPr>
            <w:tcW w:w="260" w:type="dxa"/>
            <w:vAlign w:val="bottom"/>
            <w:shd w:val="clear" w:color="auto" w:fill="CFF0FC"/>
          </w:tcPr>
          <w:p>
            <w:pPr>
              <w:spacing w:after="0"/>
              <w:rPr>
                <w:sz w:val="16"/>
                <w:szCs w:val="16"/>
                <w:color w:val="auto"/>
              </w:rPr>
            </w:pPr>
          </w:p>
        </w:tc>
        <w:tc>
          <w:tcPr>
            <w:tcW w:w="260" w:type="dxa"/>
            <w:vAlign w:val="bottom"/>
            <w:shd w:val="clear" w:color="auto" w:fill="CFF0FC"/>
          </w:tcPr>
          <w:p>
            <w:pPr>
              <w:spacing w:after="0"/>
              <w:rPr>
                <w:sz w:val="16"/>
                <w:szCs w:val="16"/>
                <w:color w:val="auto"/>
              </w:rPr>
            </w:pPr>
          </w:p>
        </w:tc>
        <w:tc>
          <w:tcPr>
            <w:tcW w:w="1040" w:type="dxa"/>
            <w:vAlign w:val="bottom"/>
            <w:gridSpan w:val="2"/>
            <w:shd w:val="clear" w:color="auto" w:fill="CFF0FC"/>
          </w:tcPr>
          <w:p>
            <w:pPr>
              <w:jc w:val="right"/>
              <w:ind w:right="120"/>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5151120</wp:posOffset>
            </wp:positionH>
            <wp:positionV relativeFrom="paragraph">
              <wp:posOffset>-4853940</wp:posOffset>
            </wp:positionV>
            <wp:extent cx="76835"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-4853940</wp:posOffset>
            </wp:positionV>
            <wp:extent cx="68580" cy="137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-4853940</wp:posOffset>
            </wp:positionV>
            <wp:extent cx="68580" cy="13716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-3638550</wp:posOffset>
            </wp:positionV>
            <wp:extent cx="76835" cy="13716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-3638550</wp:posOffset>
            </wp:positionV>
            <wp:extent cx="68580" cy="13716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-3638550</wp:posOffset>
            </wp:positionV>
            <wp:extent cx="68580" cy="13716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-1351915</wp:posOffset>
            </wp:positionV>
            <wp:extent cx="76835" cy="13716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6152515</wp:posOffset>
            </wp:positionH>
            <wp:positionV relativeFrom="paragraph">
              <wp:posOffset>-1351915</wp:posOffset>
            </wp:positionV>
            <wp:extent cx="68580" cy="13716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-1351915</wp:posOffset>
            </wp:positionV>
            <wp:extent cx="68580" cy="13716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5151120</wp:posOffset>
            </wp:positionH>
            <wp:positionV relativeFrom="paragraph">
              <wp:posOffset>-744220</wp:posOffset>
            </wp:positionV>
            <wp:extent cx="1986280" cy="14541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1986280" cy="145415"/>
                    </a:xfrm>
                    <a:prstGeom prst="rect">
                      <a:avLst/>
                    </a:prstGeom>
                    <a:noFill/>
                  </pic:spPr>
                </pic:pic>
              </a:graphicData>
            </a:graphic>
          </wp:anchor>
        </w:drawing>
      </w:r>
    </w:p>
    <w:p>
      <w:pPr>
        <w:spacing w:after="0" w:line="3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41" w:right="339" w:bottom="1440" w:gutter="0" w:footer="0" w:header="0"/>
        </w:sectPr>
      </w:pPr>
    </w:p>
    <w:bookmarkStart w:id="13" w:name="page14"/>
    <w:bookmarkEnd w:id="13"/>
    <w:p>
      <w:pPr>
        <w:jc w:val="center"/>
        <w:ind w:right="40"/>
        <w:spacing w:after="0"/>
        <w:rPr>
          <w:sz w:val="20"/>
          <w:szCs w:val="20"/>
          <w:color w:val="auto"/>
        </w:rPr>
      </w:pPr>
      <w:r>
        <w:rPr>
          <w:rFonts w:ascii="Arial" w:cs="Arial" w:eastAsia="Arial" w:hAnsi="Arial"/>
          <w:sz w:val="20"/>
          <w:szCs w:val="20"/>
          <w:b w:val="1"/>
          <w:bCs w:val="1"/>
          <w:color w:val="auto"/>
        </w:rPr>
        <w:t>Xometry, Inc. and Subsidiaries</w:t>
      </w:r>
    </w:p>
    <w:p>
      <w:pPr>
        <w:jc w:val="center"/>
        <w:ind w:right="40"/>
        <w:spacing w:after="0" w:line="234" w:lineRule="auto"/>
        <w:rPr>
          <w:sz w:val="20"/>
          <w:szCs w:val="20"/>
          <w:color w:val="auto"/>
        </w:rPr>
      </w:pPr>
      <w:r>
        <w:rPr>
          <w:rFonts w:ascii="Arial" w:cs="Arial" w:eastAsia="Arial" w:hAnsi="Arial"/>
          <w:sz w:val="20"/>
          <w:szCs w:val="20"/>
          <w:color w:val="auto"/>
        </w:rPr>
        <w:t>Unaudited Reconciliations of No</w:t>
      </w:r>
      <w:r>
        <w:rPr>
          <w:rFonts w:ascii="Arial" w:cs="Arial" w:eastAsia="Arial" w:hAnsi="Arial"/>
          <w:sz w:val="17"/>
          <w:szCs w:val="17"/>
          <w:color w:val="auto"/>
        </w:rPr>
        <w:t>n-GAAP Financial Measures</w:t>
      </w:r>
    </w:p>
    <w:tbl>
      <w:tblPr>
        <w:tblLayout w:type="fixed"/>
        <w:tblInd w:w="0" w:type="dxa"/>
        <w:tblCellMar>
          <w:top w:w="0" w:type="dxa"/>
          <w:left w:w="0" w:type="dxa"/>
          <w:bottom w:w="0" w:type="dxa"/>
          <w:right w:w="0" w:type="dxa"/>
        </w:tblCellMar>
      </w:tblPr>
      <w:tr>
        <w:trPr>
          <w:trHeight w:val="198"/>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80" w:type="dxa"/>
            <w:vAlign w:val="bottom"/>
            <w:gridSpan w:val="4"/>
          </w:tcPr>
          <w:p>
            <w:pPr>
              <w:jc w:val="right"/>
              <w:ind w:right="861"/>
              <w:spacing w:after="0" w:line="198" w:lineRule="exact"/>
              <w:rPr>
                <w:sz w:val="20"/>
                <w:szCs w:val="20"/>
                <w:color w:val="auto"/>
              </w:rPr>
            </w:pPr>
            <w:r>
              <w:rPr>
                <w:rFonts w:ascii="Arial" w:cs="Arial" w:eastAsia="Arial" w:hAnsi="Arial"/>
                <w:sz w:val="18"/>
                <w:szCs w:val="18"/>
                <w:color w:val="auto"/>
              </w:rPr>
              <w:t>(In thousands)</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60" w:type="dxa"/>
            <w:vAlign w:val="bottom"/>
            <w:gridSpan w:val="5"/>
          </w:tcPr>
          <w:p>
            <w:pPr>
              <w:ind w:left="200"/>
              <w:spacing w:after="0" w:line="202" w:lineRule="exact"/>
              <w:rPr>
                <w:sz w:val="20"/>
                <w:szCs w:val="20"/>
                <w:color w:val="auto"/>
              </w:rPr>
            </w:pPr>
            <w:r>
              <w:rPr>
                <w:rFonts w:ascii="Arial" w:cs="Arial" w:eastAsia="Arial" w:hAnsi="Arial"/>
                <w:sz w:val="18"/>
                <w:szCs w:val="18"/>
                <w:b w:val="1"/>
                <w:bCs w:val="1"/>
                <w:color w:val="auto"/>
              </w:rPr>
              <w:t>For the Three Months</w:t>
            </w:r>
          </w:p>
        </w:tc>
        <w:tc>
          <w:tcPr>
            <w:tcW w:w="180" w:type="dxa"/>
            <w:vAlign w:val="bottom"/>
          </w:tcPr>
          <w:p>
            <w:pPr>
              <w:spacing w:after="0"/>
              <w:rPr>
                <w:sz w:val="17"/>
                <w:szCs w:val="17"/>
                <w:color w:val="auto"/>
              </w:rPr>
            </w:pPr>
          </w:p>
        </w:tc>
        <w:tc>
          <w:tcPr>
            <w:tcW w:w="2560" w:type="dxa"/>
            <w:vAlign w:val="bottom"/>
            <w:gridSpan w:val="5"/>
          </w:tcPr>
          <w:p>
            <w:pPr>
              <w:jc w:val="right"/>
              <w:ind w:right="861"/>
              <w:spacing w:after="0" w:line="202" w:lineRule="exact"/>
              <w:rPr>
                <w:sz w:val="20"/>
                <w:szCs w:val="20"/>
                <w:color w:val="auto"/>
              </w:rPr>
            </w:pPr>
            <w:r>
              <w:rPr>
                <w:rFonts w:ascii="Arial" w:cs="Arial" w:eastAsia="Arial" w:hAnsi="Arial"/>
                <w:sz w:val="18"/>
                <w:szCs w:val="18"/>
                <w:b w:val="1"/>
                <w:bCs w:val="1"/>
                <w:color w:val="auto"/>
              </w:rPr>
              <w:t>For the Year</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5"/>
          </w:tcPr>
          <w:p>
            <w:pPr>
              <w:jc w:val="right"/>
              <w:ind w:right="581"/>
              <w:spacing w:after="0"/>
              <w:rPr>
                <w:sz w:val="20"/>
                <w:szCs w:val="20"/>
                <w:color w:val="auto"/>
              </w:rPr>
            </w:pPr>
            <w:r>
              <w:rPr>
                <w:rFonts w:ascii="Arial" w:cs="Arial" w:eastAsia="Arial" w:hAnsi="Arial"/>
                <w:sz w:val="18"/>
                <w:szCs w:val="18"/>
                <w:b w:val="1"/>
                <w:bCs w:val="1"/>
                <w:color w:val="auto"/>
              </w:rPr>
              <w:t>Ended December 31,</w:t>
            </w:r>
          </w:p>
        </w:tc>
        <w:tc>
          <w:tcPr>
            <w:tcW w:w="180" w:type="dxa"/>
            <w:vAlign w:val="bottom"/>
          </w:tcPr>
          <w:p>
            <w:pPr>
              <w:spacing w:after="0"/>
              <w:rPr>
                <w:sz w:val="20"/>
                <w:szCs w:val="20"/>
                <w:color w:val="auto"/>
              </w:rPr>
            </w:pPr>
          </w:p>
        </w:tc>
        <w:tc>
          <w:tcPr>
            <w:tcW w:w="2560" w:type="dxa"/>
            <w:vAlign w:val="bottom"/>
            <w:gridSpan w:val="5"/>
          </w:tcPr>
          <w:p>
            <w:pPr>
              <w:jc w:val="right"/>
              <w:ind w:right="501"/>
              <w:spacing w:after="0"/>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20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580" w:type="dxa"/>
            <w:vAlign w:val="bottom"/>
            <w:tcBorders>
              <w:right w:val="single" w:sz="8" w:color="CFF0FC"/>
            </w:tcBorders>
            <w:gridSpan w:val="3"/>
            <w:shd w:val="clear" w:color="auto" w:fill="CFF0FC"/>
          </w:tcPr>
          <w:p>
            <w:pPr>
              <w:spacing w:after="0" w:line="182" w:lineRule="exact"/>
              <w:rPr>
                <w:sz w:val="20"/>
                <w:szCs w:val="20"/>
                <w:color w:val="auto"/>
              </w:rPr>
            </w:pPr>
            <w:r>
              <w:rPr>
                <w:rFonts w:ascii="Arial" w:cs="Arial" w:eastAsia="Arial" w:hAnsi="Arial"/>
                <w:sz w:val="18"/>
                <w:szCs w:val="18"/>
                <w:b w:val="1"/>
                <w:bCs w:val="1"/>
                <w:color w:val="auto"/>
              </w:rPr>
              <w:t>Adjusted EBITDA:</w:t>
            </w:r>
          </w:p>
        </w:tc>
        <w:tc>
          <w:tcPr>
            <w:tcW w:w="18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24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20" w:type="dxa"/>
            <w:vAlign w:val="bottom"/>
            <w:tcBorders>
              <w:right w:val="single" w:sz="8" w:color="CFF0FC"/>
            </w:tcBorders>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1000" w:type="dxa"/>
            <w:vAlign w:val="bottom"/>
            <w:tcBorders>
              <w:right w:val="single" w:sz="8" w:color="CFF0FC"/>
            </w:tcBorders>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020" w:type="dxa"/>
            <w:vAlign w:val="bottom"/>
            <w:tcBorders>
              <w:right w:val="single" w:sz="8" w:color="CFF0FC"/>
            </w:tcBorders>
            <w:shd w:val="clear" w:color="auto" w:fill="CFF0FC"/>
          </w:tcPr>
          <w:p>
            <w:pPr>
              <w:spacing w:after="0"/>
              <w:rPr>
                <w:sz w:val="17"/>
                <w:szCs w:val="17"/>
                <w:color w:val="auto"/>
              </w:rPr>
            </w:pPr>
          </w:p>
        </w:tc>
        <w:tc>
          <w:tcPr>
            <w:tcW w:w="100" w:type="dxa"/>
            <w:vAlign w:val="bottom"/>
            <w:tcBorders>
              <w:left w:val="single" w:sz="8" w:color="CFF0FC"/>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Net loss</w:t>
            </w:r>
          </w:p>
        </w:tc>
        <w:tc>
          <w:tcPr>
            <w:tcW w:w="4040" w:type="dxa"/>
            <w:vAlign w:val="bottom"/>
            <w:tcBorders>
              <w:top w:val="single" w:sz="8" w:color="CFF0FC"/>
            </w:tcBorders>
            <w:gridSpan w:val="2"/>
          </w:tcPr>
          <w:p>
            <w:pPr>
              <w:spacing w:after="0"/>
              <w:rPr>
                <w:sz w:val="19"/>
                <w:szCs w:val="19"/>
                <w:color w:val="auto"/>
              </w:rPr>
            </w:pP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CFF0FC"/>
            </w:tcBorders>
            <w:gridSpan w:val="2"/>
          </w:tcPr>
          <w:p>
            <w:pPr>
              <w:jc w:val="right"/>
              <w:ind w:right="141"/>
              <w:spacing w:after="0"/>
              <w:rPr>
                <w:sz w:val="20"/>
                <w:szCs w:val="20"/>
                <w:color w:val="auto"/>
              </w:rPr>
            </w:pPr>
            <w:r>
              <w:rPr>
                <w:rFonts w:ascii="Arial" w:cs="Arial" w:eastAsia="Arial" w:hAnsi="Arial"/>
                <w:sz w:val="18"/>
                <w:szCs w:val="18"/>
                <w:color w:val="auto"/>
              </w:rPr>
              <w:t>(24,424 )</w:t>
            </w: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gridSpan w:val="2"/>
          </w:tcPr>
          <w:p>
            <w:pPr>
              <w:jc w:val="right"/>
              <w:ind w:right="81"/>
              <w:spacing w:after="0"/>
              <w:rPr>
                <w:sz w:val="20"/>
                <w:szCs w:val="20"/>
                <w:color w:val="auto"/>
              </w:rPr>
            </w:pPr>
            <w:r>
              <w:rPr>
                <w:rFonts w:ascii="Arial" w:cs="Arial" w:eastAsia="Arial" w:hAnsi="Arial"/>
                <w:sz w:val="18"/>
                <w:szCs w:val="18"/>
                <w:color w:val="auto"/>
              </w:rPr>
              <w:t>(23,907 )</w:t>
            </w:r>
          </w:p>
        </w:tc>
        <w:tc>
          <w:tcPr>
            <w:tcW w:w="18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CFF0FC"/>
            </w:tcBorders>
            <w:gridSpan w:val="2"/>
          </w:tcPr>
          <w:p>
            <w:pPr>
              <w:jc w:val="right"/>
              <w:ind w:right="101"/>
              <w:spacing w:after="0"/>
              <w:rPr>
                <w:sz w:val="20"/>
                <w:szCs w:val="20"/>
                <w:color w:val="auto"/>
              </w:rPr>
            </w:pPr>
            <w:r>
              <w:rPr>
                <w:rFonts w:ascii="Arial" w:cs="Arial" w:eastAsia="Arial" w:hAnsi="Arial"/>
                <w:sz w:val="18"/>
                <w:szCs w:val="18"/>
                <w:color w:val="auto"/>
              </w:rPr>
              <w:t>(76,009 )</w:t>
            </w:r>
          </w:p>
        </w:tc>
        <w:tc>
          <w:tcPr>
            <w:tcW w:w="220" w:type="dxa"/>
            <w:vAlign w:val="bottom"/>
            <w:tcBorders>
              <w:top w:val="single" w:sz="8" w:color="CFF0FC"/>
            </w:tcBorders>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CFF0FC"/>
            </w:tcBorders>
          </w:tcPr>
          <w:p>
            <w:pPr>
              <w:jc w:val="right"/>
              <w:spacing w:after="0"/>
              <w:rPr>
                <w:sz w:val="20"/>
                <w:szCs w:val="20"/>
                <w:color w:val="auto"/>
              </w:rPr>
            </w:pPr>
            <w:r>
              <w:rPr>
                <w:rFonts w:ascii="Arial" w:cs="Arial" w:eastAsia="Arial" w:hAnsi="Arial"/>
                <w:sz w:val="18"/>
                <w:szCs w:val="18"/>
                <w:color w:val="auto"/>
              </w:rPr>
              <w:t>(61,381 )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Add (deduct):</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spacing w:after="0"/>
              <w:rPr>
                <w:sz w:val="19"/>
                <w:szCs w:val="19"/>
                <w:color w:val="auto"/>
              </w:rPr>
            </w:pP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spacing w:after="0"/>
              <w:rPr>
                <w:sz w:val="19"/>
                <w:szCs w:val="19"/>
                <w:color w:val="auto"/>
              </w:rPr>
            </w:pPr>
          </w:p>
        </w:tc>
        <w:tc>
          <w:tcPr>
            <w:tcW w:w="1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Interest expense, interest and dividend income and other expenses</w:t>
            </w:r>
          </w:p>
        </w:tc>
        <w:tc>
          <w:tcPr>
            <w:tcW w:w="180" w:type="dxa"/>
            <w:vAlign w:val="bottom"/>
          </w:tcPr>
          <w:p>
            <w:pPr>
              <w:spacing w:after="0"/>
              <w:rPr>
                <w:sz w:val="19"/>
                <w:szCs w:val="19"/>
                <w:color w:val="auto"/>
              </w:rPr>
            </w:pP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(505 )</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1,374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2,486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2,736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tcBorders>
              <w:right w:val="single" w:sz="8" w:color="CFF0FC"/>
            </w:tcBorders>
            <w:gridSpan w:val="3"/>
            <w:shd w:val="clear" w:color="auto" w:fill="CFF0FC"/>
          </w:tcPr>
          <w:p>
            <w:pPr>
              <w:spacing w:after="0" w:line="229"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Income tax provision</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595</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36</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gridSpan w:val="3"/>
          </w:tcPr>
          <w:p>
            <w:pPr>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tcBorders>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Charitable contribution of common stock</w:t>
            </w:r>
          </w:p>
        </w:tc>
        <w:tc>
          <w:tcPr>
            <w:tcW w:w="18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1,084</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2,272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(Loss) income from unconsolidated joint venture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(41 )</w:t>
            </w:r>
          </w:p>
        </w:tc>
        <w:tc>
          <w:tcPr>
            <w:tcW w:w="180" w:type="dxa"/>
            <w:vAlign w:val="bottom"/>
          </w:tcPr>
          <w:p>
            <w:pPr>
              <w:spacing w:after="0"/>
              <w:rPr>
                <w:sz w:val="19"/>
                <w:szCs w:val="19"/>
                <w:color w:val="auto"/>
              </w:rPr>
            </w:pP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(570 )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(41 )</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tcBorders>
              <w:right w:val="single" w:sz="8" w:color="CFF0FC"/>
            </w:tcBorders>
            <w:gridSpan w:val="3"/>
            <w:shd w:val="clear" w:color="auto" w:fill="CFF0FC"/>
          </w:tcPr>
          <w:p>
            <w:pPr>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gridSpan w:val="2"/>
            <w:shd w:val="clear" w:color="auto" w:fill="CFF0FC"/>
          </w:tcPr>
          <w:p>
            <w:pPr>
              <w:jc w:val="right"/>
              <w:ind w:right="101"/>
              <w:spacing w:after="0"/>
              <w:rPr>
                <w:sz w:val="20"/>
                <w:szCs w:val="20"/>
                <w:color w:val="auto"/>
              </w:rPr>
            </w:pPr>
            <w:r>
              <w:rPr>
                <w:rFonts w:ascii="Arial" w:cs="Arial" w:eastAsia="Arial" w:hAnsi="Arial"/>
                <w:sz w:val="18"/>
                <w:szCs w:val="18"/>
                <w:color w:val="auto"/>
              </w:rPr>
              <w:t>(676 )</w:t>
            </w: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color w:val="auto"/>
              </w:rPr>
              <w:t>Impairment of assets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824</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tcBorders>
              <w:bottom w:val="single" w:sz="8" w:color="CFF0FC"/>
              <w:right w:val="single" w:sz="8" w:color="CFF0FC"/>
            </w:tcBorders>
            <w:gridSpan w:val="3"/>
            <w:shd w:val="clear" w:color="auto" w:fill="CFF0FC"/>
          </w:tcPr>
          <w:p>
            <w:pPr>
              <w:spacing w:after="0"/>
              <w:rPr>
                <w:sz w:val="20"/>
                <w:szCs w:val="20"/>
                <w:color w:val="auto"/>
              </w:rPr>
            </w:pPr>
            <w:r>
              <w:rPr>
                <w:rFonts w:ascii="Arial" w:cs="Arial" w:eastAsia="Arial" w:hAnsi="Arial"/>
                <w:sz w:val="18"/>
                <w:szCs w:val="18"/>
                <w:color w:val="auto"/>
              </w:rPr>
              <w:t>Restructuring charge</w:t>
            </w:r>
          </w:p>
        </w:tc>
        <w:tc>
          <w:tcPr>
            <w:tcW w:w="18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FF0FC"/>
              <w:right w:val="single" w:sz="8" w:color="CFF0FC"/>
            </w:tcBorders>
            <w:shd w:val="clear" w:color="auto" w:fill="CFF0FC"/>
          </w:tcPr>
          <w:p>
            <w:pPr>
              <w:spacing w:after="0"/>
              <w:rPr>
                <w:sz w:val="19"/>
                <w:szCs w:val="19"/>
                <w:color w:val="auto"/>
              </w:rPr>
            </w:pPr>
          </w:p>
        </w:tc>
        <w:tc>
          <w:tcPr>
            <w:tcW w:w="180" w:type="dxa"/>
            <w:vAlign w:val="bottom"/>
            <w:tcBorders>
              <w:bottom w:val="single" w:sz="8" w:color="auto"/>
            </w:tcBorders>
            <w:shd w:val="clear" w:color="auto" w:fill="CFF0FC"/>
          </w:tcPr>
          <w:p>
            <w:pPr>
              <w:spacing w:after="0"/>
              <w:rPr>
                <w:sz w:val="19"/>
                <w:szCs w:val="19"/>
                <w:color w:val="auto"/>
              </w:rPr>
            </w:pPr>
          </w:p>
        </w:tc>
        <w:tc>
          <w:tcPr>
            <w:tcW w:w="100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Borders>
              <w:bottom w:val="single" w:sz="8" w:color="CFF0FC"/>
            </w:tcBorders>
            <w:shd w:val="clear" w:color="auto" w:fill="CFF0FC"/>
          </w:tcPr>
          <w:p>
            <w:pPr>
              <w:spacing w:after="0"/>
              <w:rPr>
                <w:sz w:val="19"/>
                <w:szCs w:val="19"/>
                <w:color w:val="auto"/>
              </w:rPr>
            </w:pPr>
          </w:p>
        </w:tc>
        <w:tc>
          <w:tcPr>
            <w:tcW w:w="220" w:type="dxa"/>
            <w:vAlign w:val="bottom"/>
            <w:tcBorders>
              <w:bottom w:val="single" w:sz="8" w:color="auto"/>
            </w:tcBorders>
            <w:shd w:val="clear" w:color="auto" w:fill="CFF0FC"/>
          </w:tcPr>
          <w:p>
            <w:pPr>
              <w:spacing w:after="0"/>
              <w:rPr>
                <w:sz w:val="19"/>
                <w:szCs w:val="19"/>
                <w:color w:val="auto"/>
              </w:rPr>
            </w:pPr>
          </w:p>
        </w:tc>
        <w:tc>
          <w:tcPr>
            <w:tcW w:w="1020" w:type="dxa"/>
            <w:vAlign w:val="bottom"/>
            <w:tcBorders>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left w:val="single" w:sz="8" w:color="CFF0FC"/>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580" w:type="dxa"/>
            <w:vAlign w:val="bottom"/>
            <w:gridSpan w:val="3"/>
          </w:tcPr>
          <w:p>
            <w:pPr>
              <w:spacing w:after="0"/>
              <w:rPr>
                <w:sz w:val="20"/>
                <w:szCs w:val="20"/>
                <w:color w:val="auto"/>
              </w:rPr>
            </w:pPr>
            <w:r>
              <w:rPr>
                <w:rFonts w:ascii="Arial" w:cs="Arial" w:eastAsia="Arial" w:hAnsi="Arial"/>
                <w:sz w:val="18"/>
                <w:szCs w:val="18"/>
                <w:b w:val="1"/>
                <w:bCs w:val="1"/>
                <w:color w:val="auto"/>
              </w:rPr>
              <w:t>Adjusted EBITDA</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41"/>
              <w:spacing w:after="0"/>
              <w:rPr>
                <w:sz w:val="20"/>
                <w:szCs w:val="20"/>
                <w:color w:val="auto"/>
              </w:rPr>
            </w:pPr>
            <w:r>
              <w:rPr>
                <w:rFonts w:ascii="Arial" w:cs="Arial" w:eastAsia="Arial" w:hAnsi="Arial"/>
                <w:sz w:val="18"/>
                <w:szCs w:val="18"/>
                <w:color w:val="auto"/>
              </w:rPr>
              <w:t xml:space="preserve">(14,249 </w:t>
            </w:r>
            <w:r>
              <w:rPr>
                <w:rFonts w:ascii="Arial" w:cs="Arial" w:eastAsia="Arial" w:hAnsi="Arial"/>
                <w:sz w:val="18"/>
                <w:szCs w:val="18"/>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 xml:space="preserve">(11,854 </w:t>
            </w:r>
            <w:r>
              <w:rPr>
                <w:rFonts w:ascii="Arial" w:cs="Arial" w:eastAsia="Arial" w:hAnsi="Arial"/>
                <w:sz w:val="18"/>
                <w:szCs w:val="18"/>
                <w:color w:val="auto"/>
                <w:highlight w:val="white"/>
              </w:rPr>
              <w:t>)</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tcPr>
          <w:p>
            <w:pPr>
              <w:jc w:val="right"/>
              <w:ind w:right="101"/>
              <w:spacing w:after="0"/>
              <w:rPr>
                <w:sz w:val="20"/>
                <w:szCs w:val="20"/>
                <w:color w:val="auto"/>
              </w:rPr>
            </w:pPr>
            <w:r>
              <w:rPr>
                <w:rFonts w:ascii="Arial" w:cs="Arial" w:eastAsia="Arial" w:hAnsi="Arial"/>
                <w:sz w:val="18"/>
                <w:szCs w:val="18"/>
                <w:color w:val="auto"/>
              </w:rPr>
              <w:t xml:space="preserve">(41,765 </w:t>
            </w:r>
            <w:r>
              <w:rPr>
                <w:rFonts w:ascii="Arial" w:cs="Arial" w:eastAsia="Arial" w:hAnsi="Arial"/>
                <w:sz w:val="18"/>
                <w:szCs w:val="18"/>
                <w:color w:val="auto"/>
                <w:highlight w:val="white"/>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 xml:space="preserve">(39,757 </w:t>
            </w:r>
            <w:r>
              <w:rPr>
                <w:rFonts w:ascii="Arial" w:cs="Arial" w:eastAsia="Arial" w:hAnsi="Arial"/>
                <w:sz w:val="18"/>
                <w:szCs w:val="18"/>
                <w:color w:val="auto"/>
                <w:highlight w:val="white"/>
              </w:rPr>
              <w:t>)</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0"/>
        </w:trPr>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8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60" w:type="dxa"/>
            <w:vAlign w:val="bottom"/>
            <w:gridSpan w:val="5"/>
          </w:tcPr>
          <w:p>
            <w:pPr>
              <w:ind w:left="180"/>
              <w:spacing w:after="0"/>
              <w:rPr>
                <w:sz w:val="20"/>
                <w:szCs w:val="20"/>
                <w:color w:val="auto"/>
              </w:rPr>
            </w:pPr>
            <w:r>
              <w:rPr>
                <w:rFonts w:ascii="Arial" w:cs="Arial" w:eastAsia="Arial" w:hAnsi="Arial"/>
                <w:sz w:val="18"/>
                <w:szCs w:val="18"/>
                <w:b w:val="1"/>
                <w:bCs w:val="1"/>
                <w:color w:val="auto"/>
              </w:rPr>
              <w:t>For the Three Months</w:t>
            </w:r>
          </w:p>
        </w:tc>
        <w:tc>
          <w:tcPr>
            <w:tcW w:w="180" w:type="dxa"/>
            <w:vAlign w:val="bottom"/>
          </w:tcPr>
          <w:p>
            <w:pPr>
              <w:spacing w:after="0"/>
              <w:rPr>
                <w:sz w:val="24"/>
                <w:szCs w:val="24"/>
                <w:color w:val="auto"/>
              </w:rPr>
            </w:pPr>
          </w:p>
        </w:tc>
        <w:tc>
          <w:tcPr>
            <w:tcW w:w="2560" w:type="dxa"/>
            <w:vAlign w:val="bottom"/>
            <w:gridSpan w:val="5"/>
          </w:tcPr>
          <w:p>
            <w:pPr>
              <w:jc w:val="right"/>
              <w:ind w:right="821"/>
              <w:spacing w:after="0"/>
              <w:rPr>
                <w:sz w:val="20"/>
                <w:szCs w:val="20"/>
                <w:color w:val="auto"/>
              </w:rPr>
            </w:pPr>
            <w:r>
              <w:rPr>
                <w:rFonts w:ascii="Arial" w:cs="Arial" w:eastAsia="Arial" w:hAnsi="Arial"/>
                <w:sz w:val="18"/>
                <w:szCs w:val="18"/>
                <w:b w:val="1"/>
                <w:bCs w:val="1"/>
                <w:color w:val="auto"/>
              </w:rPr>
              <w:t>For the Year</w:t>
            </w: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Ended December 31,</w:t>
            </w:r>
          </w:p>
        </w:tc>
        <w:tc>
          <w:tcPr>
            <w:tcW w:w="180" w:type="dxa"/>
            <w:vAlign w:val="bottom"/>
          </w:tcPr>
          <w:p>
            <w:pPr>
              <w:spacing w:after="0"/>
              <w:rPr>
                <w:sz w:val="20"/>
                <w:szCs w:val="20"/>
                <w:color w:val="auto"/>
              </w:rPr>
            </w:pPr>
          </w:p>
        </w:tc>
        <w:tc>
          <w:tcPr>
            <w:tcW w:w="2560" w:type="dxa"/>
            <w:vAlign w:val="bottom"/>
            <w:gridSpan w:val="5"/>
          </w:tcPr>
          <w:p>
            <w:pPr>
              <w:jc w:val="right"/>
              <w:ind w:right="461"/>
              <w:spacing w:after="0"/>
              <w:rPr>
                <w:sz w:val="20"/>
                <w:szCs w:val="20"/>
                <w:color w:val="auto"/>
              </w:rPr>
            </w:pPr>
            <w:r>
              <w:rPr>
                <w:rFonts w:ascii="Arial" w:cs="Arial" w:eastAsia="Arial" w:hAnsi="Arial"/>
                <w:sz w:val="18"/>
                <w:szCs w:val="18"/>
                <w:b w:val="1"/>
                <w:bCs w:val="1"/>
                <w:color w:val="auto"/>
              </w:rPr>
              <w:t>Ended December 31,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640" w:type="dxa"/>
            <w:vAlign w:val="bottom"/>
            <w:gridSpan w:val="4"/>
            <w:vMerge w:val="restart"/>
          </w:tcPr>
          <w:p>
            <w:pPr>
              <w:spacing w:after="0"/>
              <w:rPr>
                <w:sz w:val="20"/>
                <w:szCs w:val="20"/>
                <w:color w:val="auto"/>
              </w:rPr>
            </w:pPr>
            <w:r>
              <w:rPr>
                <w:rFonts w:ascii="Arial" w:cs="Arial" w:eastAsia="Arial" w:hAnsi="Arial"/>
                <w:sz w:val="18"/>
                <w:szCs w:val="18"/>
                <w:b w:val="1"/>
                <w:bCs w:val="1"/>
                <w:color w:val="auto"/>
              </w:rPr>
              <w:t>Non-GAAP Net Loss:</w:t>
            </w:r>
          </w:p>
        </w:tc>
        <w:tc>
          <w:tcPr>
            <w:tcW w:w="18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ind w:left="180"/>
              <w:spacing w:after="0"/>
              <w:rPr>
                <w:sz w:val="20"/>
                <w:szCs w:val="20"/>
                <w:color w:val="auto"/>
              </w:rPr>
            </w:pPr>
            <w:r>
              <w:rPr>
                <w:rFonts w:ascii="Arial" w:cs="Arial" w:eastAsia="Arial" w:hAnsi="Arial"/>
                <w:sz w:val="18"/>
                <w:szCs w:val="18"/>
                <w:b w:val="1"/>
                <w:bCs w:val="1"/>
                <w:color w:val="auto"/>
              </w:rPr>
              <w:t>2022</w:t>
            </w: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2021</w:t>
            </w:r>
          </w:p>
        </w:tc>
        <w:tc>
          <w:tcPr>
            <w:tcW w:w="2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0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2022</w:t>
            </w:r>
          </w:p>
        </w:tc>
        <w:tc>
          <w:tcPr>
            <w:tcW w:w="220" w:type="dxa"/>
            <w:vAlign w:val="bottom"/>
            <w:tcBorders>
              <w:top w:val="single" w:sz="8" w:color="auto"/>
            </w:tcBorders>
          </w:tcPr>
          <w:p>
            <w:pPr>
              <w:spacing w:after="0"/>
              <w:rPr>
                <w:sz w:val="19"/>
                <w:szCs w:val="19"/>
                <w:color w:val="auto"/>
              </w:rPr>
            </w:pPr>
          </w:p>
        </w:tc>
        <w:tc>
          <w:tcPr>
            <w:tcW w:w="220" w:type="dxa"/>
            <w:vAlign w:val="bottom"/>
            <w:tcBorders>
              <w:top w:val="single" w:sz="8" w:color="auto"/>
              <w:bottom w:val="single" w:sz="8" w:color="auto"/>
            </w:tcBorders>
          </w:tcPr>
          <w:p>
            <w:pPr>
              <w:spacing w:after="0"/>
              <w:rPr>
                <w:sz w:val="19"/>
                <w:szCs w:val="19"/>
                <w:color w:val="auto"/>
              </w:rPr>
            </w:pPr>
          </w:p>
        </w:tc>
        <w:tc>
          <w:tcPr>
            <w:tcW w:w="10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5640" w:type="dxa"/>
            <w:vAlign w:val="bottom"/>
            <w:gridSpan w:val="4"/>
            <w:vMerge w:val="continue"/>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154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38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Net loss</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FF0FC"/>
            </w:tcBorders>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(24,424 )</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(23,907 )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(76,009 )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(61,381 )</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Add (deduct):</w:t>
            </w:r>
          </w:p>
        </w:tc>
        <w:tc>
          <w:tcPr>
            <w:tcW w:w="1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tcBorders>
              <w:right w:val="single" w:sz="8" w:color="CFF0FC"/>
            </w:tcBorders>
            <w:gridSpan w:val="4"/>
            <w:shd w:val="clear" w:color="auto" w:fill="CFF0FC"/>
          </w:tcPr>
          <w:p>
            <w:pPr>
              <w:spacing w:after="0" w:line="229" w:lineRule="exact"/>
              <w:rPr>
                <w:sz w:val="20"/>
                <w:szCs w:val="20"/>
                <w:color w:val="auto"/>
              </w:rPr>
            </w:pPr>
            <w:r>
              <w:rPr>
                <w:rFonts w:ascii="Arial" w:cs="Arial" w:eastAsia="Arial" w:hAnsi="Arial"/>
                <w:sz w:val="18"/>
                <w:szCs w:val="18"/>
                <w:color w:val="auto"/>
              </w:rPr>
              <w:t>Depreciation and amortization expense</w:t>
            </w:r>
            <w:r>
              <w:rPr>
                <w:rFonts w:ascii="Arial" w:cs="Arial" w:eastAsia="Arial" w:hAnsi="Arial"/>
                <w:sz w:val="24"/>
                <w:szCs w:val="24"/>
                <w:color w:val="auto"/>
                <w:vertAlign w:val="superscript"/>
              </w:rPr>
              <w:t>(1)</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2,103</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1,292</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7,819</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line="229" w:lineRule="exact"/>
              <w:rPr>
                <w:sz w:val="20"/>
                <w:szCs w:val="20"/>
                <w:color w:val="auto"/>
              </w:rPr>
            </w:pPr>
            <w:r>
              <w:rPr>
                <w:rFonts w:ascii="Arial" w:cs="Arial" w:eastAsia="Arial" w:hAnsi="Arial"/>
                <w:sz w:val="18"/>
                <w:szCs w:val="18"/>
                <w:color w:val="auto"/>
              </w:rPr>
              <w:t>Stock-based compensation</w:t>
            </w:r>
            <w:r>
              <w:rPr>
                <w:rFonts w:ascii="Arial" w:cs="Arial" w:eastAsia="Arial" w:hAnsi="Arial"/>
                <w:sz w:val="24"/>
                <w:szCs w:val="24"/>
                <w:color w:val="auto"/>
                <w:vertAlign w:val="superscript"/>
              </w:rPr>
              <w:t>(2)</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5,124</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2,648</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19,172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Amortization of lease intangible</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333</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1,332</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Amortization of deferred costs on convertible notes</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468</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1,718</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Unrealized loss on marketable securities</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196</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1,763</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1,855</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line="229" w:lineRule="exact"/>
              <w:rPr>
                <w:sz w:val="20"/>
                <w:szCs w:val="20"/>
                <w:color w:val="auto"/>
              </w:rPr>
            </w:pPr>
            <w:r>
              <w:rPr>
                <w:rFonts w:ascii="Arial" w:cs="Arial" w:eastAsia="Arial" w:hAnsi="Arial"/>
                <w:sz w:val="18"/>
                <w:szCs w:val="18"/>
                <w:color w:val="auto"/>
              </w:rPr>
              <w:t>Acquisition and other</w:t>
            </w:r>
            <w:r>
              <w:rPr>
                <w:rFonts w:ascii="Arial" w:cs="Arial" w:eastAsia="Arial" w:hAnsi="Arial"/>
                <w:sz w:val="24"/>
                <w:szCs w:val="24"/>
                <w:color w:val="auto"/>
                <w:vertAlign w:val="superscript"/>
              </w:rPr>
              <w:t>(3)</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566</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5,696</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81"/>
              <w:spacing w:after="0"/>
              <w:rPr>
                <w:sz w:val="20"/>
                <w:szCs w:val="20"/>
                <w:color w:val="auto"/>
              </w:rPr>
            </w:pPr>
            <w:r>
              <w:rPr>
                <w:rFonts w:ascii="Arial" w:cs="Arial" w:eastAsia="Arial" w:hAnsi="Arial"/>
                <w:sz w:val="18"/>
                <w:szCs w:val="18"/>
                <w:color w:val="auto"/>
              </w:rPr>
              <w:t>(676 )</w:t>
            </w: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5,696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(Gain) loss on sale of property and equipment</w:t>
            </w:r>
          </w:p>
        </w:tc>
        <w:tc>
          <w:tcPr>
            <w:tcW w:w="180" w:type="dxa"/>
            <w:vAlign w:val="bottom"/>
            <w:shd w:val="clear" w:color="auto" w:fill="CFF0FC"/>
          </w:tcPr>
          <w:p>
            <w:pPr>
              <w:spacing w:after="0"/>
              <w:rPr>
                <w:sz w:val="19"/>
                <w:szCs w:val="19"/>
                <w:color w:val="auto"/>
              </w:rPr>
            </w:pPr>
          </w:p>
        </w:tc>
        <w:tc>
          <w:tcPr>
            <w:tcW w:w="1260" w:type="dxa"/>
            <w:vAlign w:val="bottom"/>
            <w:tcBorders>
              <w:right w:val="single" w:sz="8" w:color="CFF0FC"/>
            </w:tcBorders>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(24 )</w:t>
            </w:r>
          </w:p>
        </w:tc>
        <w:tc>
          <w:tcPr>
            <w:tcW w:w="180" w:type="dxa"/>
            <w:vAlign w:val="bottom"/>
            <w:shd w:val="clear" w:color="auto" w:fill="CFF0FC"/>
          </w:tcPr>
          <w:p>
            <w:pPr>
              <w:spacing w:after="0"/>
              <w:rPr>
                <w:sz w:val="19"/>
                <w:szCs w:val="19"/>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2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left w:val="single" w:sz="8" w:color="CFF0FC"/>
            </w:tcBorders>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Charitable contribution of common stock</w:t>
            </w:r>
          </w:p>
        </w:tc>
        <w:tc>
          <w:tcPr>
            <w:tcW w:w="180" w:type="dxa"/>
            <w:vAlign w:val="bottom"/>
          </w:tcPr>
          <w:p>
            <w:pPr>
              <w:spacing w:after="0"/>
              <w:rPr>
                <w:sz w:val="19"/>
                <w:szCs w:val="19"/>
                <w:color w:val="auto"/>
              </w:rPr>
            </w:pPr>
          </w:p>
        </w:tc>
        <w:tc>
          <w:tcPr>
            <w:tcW w:w="1260" w:type="dxa"/>
            <w:vAlign w:val="bottom"/>
            <w:gridSpan w:val="2"/>
          </w:tcPr>
          <w:p>
            <w:pPr>
              <w:jc w:val="right"/>
              <w:ind w:right="24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1,084</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2,272</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2,242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FF0FC"/>
          </w:tcPr>
          <w:p>
            <w:pPr>
              <w:spacing w:after="0"/>
              <w:rPr>
                <w:sz w:val="19"/>
                <w:szCs w:val="19"/>
                <w:color w:val="auto"/>
              </w:rPr>
            </w:pPr>
          </w:p>
        </w:tc>
        <w:tc>
          <w:tcPr>
            <w:tcW w:w="564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Impairment of assets</w:t>
            </w:r>
          </w:p>
        </w:tc>
        <w:tc>
          <w:tcPr>
            <w:tcW w:w="180" w:type="dxa"/>
            <w:vAlign w:val="bottom"/>
            <w:shd w:val="clear" w:color="auto" w:fill="CFF0FC"/>
          </w:tcPr>
          <w:p>
            <w:pPr>
              <w:spacing w:after="0"/>
              <w:rPr>
                <w:sz w:val="19"/>
                <w:szCs w:val="19"/>
                <w:color w:val="auto"/>
              </w:rPr>
            </w:pPr>
          </w:p>
        </w:tc>
        <w:tc>
          <w:tcPr>
            <w:tcW w:w="102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380</w:t>
            </w:r>
          </w:p>
        </w:tc>
        <w:tc>
          <w:tcPr>
            <w:tcW w:w="240" w:type="dxa"/>
            <w:vAlign w:val="bottom"/>
            <w:tcBorders>
              <w:right w:val="single" w:sz="8" w:color="CFF0FC"/>
            </w:tcBorders>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20" w:type="dxa"/>
            <w:vAlign w:val="bottom"/>
            <w:tcBorders>
              <w:right w:val="single" w:sz="8" w:color="CFF0FC"/>
            </w:tcBorders>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shd w:val="clear" w:color="auto" w:fill="CFF0FC"/>
          </w:tcPr>
          <w:p>
            <w:pPr>
              <w:spacing w:after="0"/>
              <w:rPr>
                <w:sz w:val="19"/>
                <w:szCs w:val="19"/>
                <w:color w:val="auto"/>
              </w:rPr>
            </w:pPr>
          </w:p>
        </w:tc>
        <w:tc>
          <w:tcPr>
            <w:tcW w:w="10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824</w:t>
            </w:r>
          </w:p>
        </w:tc>
        <w:tc>
          <w:tcPr>
            <w:tcW w:w="220" w:type="dxa"/>
            <w:vAlign w:val="bottom"/>
            <w:shd w:val="clear" w:color="auto" w:fill="CFF0FC"/>
          </w:tcPr>
          <w:p>
            <w:pPr>
              <w:spacing w:after="0"/>
              <w:rPr>
                <w:sz w:val="19"/>
                <w:szCs w:val="19"/>
                <w:color w:val="auto"/>
              </w:rPr>
            </w:pPr>
          </w:p>
        </w:tc>
        <w:tc>
          <w:tcPr>
            <w:tcW w:w="220" w:type="dxa"/>
            <w:vAlign w:val="bottom"/>
            <w:shd w:val="clear" w:color="auto" w:fill="CFF0FC"/>
          </w:tcPr>
          <w:p>
            <w:pPr>
              <w:spacing w:after="0"/>
              <w:rPr>
                <w:sz w:val="19"/>
                <w:szCs w:val="19"/>
                <w:color w:val="auto"/>
              </w:rPr>
            </w:pPr>
          </w:p>
        </w:tc>
        <w:tc>
          <w:tcPr>
            <w:tcW w:w="1120" w:type="dxa"/>
            <w:vAlign w:val="bottom"/>
            <w:gridSpan w:val="2"/>
            <w:shd w:val="clear" w:color="auto" w:fill="CFF0FC"/>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Restructuring charge</w:t>
            </w:r>
          </w:p>
        </w:tc>
        <w:tc>
          <w:tcPr>
            <w:tcW w:w="1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jc w:val="right"/>
              <w:ind w:right="161"/>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1,549</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jc w:val="right"/>
              <w:ind w:right="4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5640" w:type="dxa"/>
            <w:vAlign w:val="bottom"/>
            <w:tcBorders>
              <w:bottom w:val="single" w:sz="8" w:color="CFF0FC"/>
              <w:right w:val="single" w:sz="8" w:color="CFF0FC"/>
            </w:tcBorders>
            <w:gridSpan w:val="4"/>
            <w:shd w:val="clear" w:color="auto" w:fill="CFF0FC"/>
          </w:tcPr>
          <w:p>
            <w:pPr>
              <w:spacing w:after="0"/>
              <w:rPr>
                <w:sz w:val="20"/>
                <w:szCs w:val="20"/>
                <w:color w:val="auto"/>
              </w:rPr>
            </w:pPr>
            <w:r>
              <w:rPr>
                <w:rFonts w:ascii="Arial" w:cs="Arial" w:eastAsia="Arial" w:hAnsi="Arial"/>
                <w:sz w:val="18"/>
                <w:szCs w:val="18"/>
                <w:b w:val="1"/>
                <w:bCs w:val="1"/>
                <w:color w:val="auto"/>
              </w:rPr>
              <w:t>Non-GAAP Net Loss</w:t>
            </w: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0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(13,729</w:t>
            </w:r>
          </w:p>
        </w:tc>
        <w:tc>
          <w:tcPr>
            <w:tcW w:w="240" w:type="dxa"/>
            <w:vAlign w:val="bottom"/>
            <w:tcBorders>
              <w:bottom w:val="single" w:sz="8" w:color="CFF0FC"/>
              <w:right w:val="single" w:sz="8" w:color="CFF0FC"/>
            </w:tcBorders>
            <w:shd w:val="clear" w:color="auto" w:fill="CFF0FC"/>
          </w:tcPr>
          <w:p>
            <w:pPr>
              <w:jc w:val="right"/>
              <w:ind w:right="161"/>
              <w:spacing w:after="0"/>
              <w:rPr>
                <w:sz w:val="20"/>
                <w:szCs w:val="20"/>
                <w:color w:val="auto"/>
              </w:rPr>
            </w:pPr>
            <w:r>
              <w:rPr>
                <w:rFonts w:ascii="Arial" w:cs="Arial" w:eastAsia="Arial" w:hAnsi="Arial"/>
                <w:sz w:val="8"/>
                <w:szCs w:val="8"/>
                <w:color w:val="auto"/>
                <w:w w:val="73"/>
              </w:rPr>
              <w:t>)</w:t>
            </w:r>
          </w:p>
        </w:tc>
        <w:tc>
          <w:tcPr>
            <w:tcW w:w="180" w:type="dxa"/>
            <w:vAlign w:val="bottom"/>
            <w:tcBorders>
              <w:top w:val="single" w:sz="8" w:color="auto"/>
              <w:bottom w:val="single" w:sz="8" w:color="auto"/>
            </w:tcBorders>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(11,414</w:t>
            </w:r>
          </w:p>
        </w:tc>
        <w:tc>
          <w:tcPr>
            <w:tcW w:w="220" w:type="dxa"/>
            <w:vAlign w:val="bottom"/>
            <w:tcBorders>
              <w:bottom w:val="single" w:sz="8" w:color="CFF0FC"/>
              <w:right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(40,097</w:t>
            </w:r>
          </w:p>
        </w:tc>
        <w:tc>
          <w:tcPr>
            <w:tcW w:w="220" w:type="dxa"/>
            <w:vAlign w:val="bottom"/>
            <w:tcBorders>
              <w:bottom w:val="single" w:sz="8" w:color="CFF0FC"/>
            </w:tcBorders>
            <w:shd w:val="clear" w:color="auto" w:fill="CFF0FC"/>
          </w:tcPr>
          <w:p>
            <w:pPr>
              <w:jc w:val="right"/>
              <w:ind w:right="81"/>
              <w:spacing w:after="0"/>
              <w:rPr>
                <w:sz w:val="20"/>
                <w:szCs w:val="20"/>
                <w:color w:val="auto"/>
              </w:rPr>
            </w:pPr>
            <w:r>
              <w:rPr>
                <w:rFonts w:ascii="Arial" w:cs="Arial" w:eastAsia="Arial" w:hAnsi="Arial"/>
                <w:sz w:val="16"/>
                <w:szCs w:val="16"/>
                <w:color w:val="auto"/>
                <w:w w:val="74"/>
              </w:rPr>
              <w:t>)</w:t>
            </w: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(40,432</w:t>
            </w:r>
          </w:p>
        </w:tc>
        <w:tc>
          <w:tcPr>
            <w:tcW w:w="100" w:type="dxa"/>
            <w:vAlign w:val="bottom"/>
            <w:tcBorders>
              <w:left w:val="single" w:sz="8" w:color="CFF0FC"/>
              <w:bottom w:val="single" w:sz="8" w:color="CFF0FC"/>
            </w:tcBorders>
            <w:shd w:val="clear" w:color="auto" w:fill="CFF0FC"/>
          </w:tcPr>
          <w:p>
            <w:pPr>
              <w:jc w:val="right"/>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407"/>
        </w:trPr>
        <w:tc>
          <w:tcPr>
            <w:tcW w:w="20" w:type="dxa"/>
            <w:vAlign w:val="bottom"/>
          </w:tcPr>
          <w:p>
            <w:pPr>
              <w:spacing w:after="0"/>
              <w:rPr>
                <w:sz w:val="24"/>
                <w:szCs w:val="24"/>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Weighted-average number of shares outstanding used to compute</w:t>
            </w:r>
          </w:p>
        </w:tc>
        <w:tc>
          <w:tcPr>
            <w:tcW w:w="18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47,457,139</w:t>
            </w: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44,995,598</w:t>
            </w:r>
          </w:p>
        </w:tc>
        <w:tc>
          <w:tcPr>
            <w:tcW w:w="2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0" w:type="dxa"/>
            <w:vAlign w:val="bottom"/>
            <w:vMerge w:val="restart"/>
          </w:tcPr>
          <w:p>
            <w:pPr>
              <w:jc w:val="right"/>
              <w:spacing w:after="0"/>
              <w:rPr>
                <w:sz w:val="20"/>
                <w:szCs w:val="20"/>
                <w:color w:val="auto"/>
              </w:rPr>
            </w:pPr>
            <w:r>
              <w:rPr>
                <w:rFonts w:ascii="Arial" w:cs="Arial" w:eastAsia="Arial" w:hAnsi="Arial"/>
                <w:sz w:val="18"/>
                <w:szCs w:val="18"/>
                <w:color w:val="auto"/>
              </w:rPr>
              <w:t>47,158,247</w:t>
            </w: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vMerge w:val="restart"/>
          </w:tcPr>
          <w:p>
            <w:pPr>
              <w:jc w:val="right"/>
              <w:spacing w:after="0"/>
              <w:rPr>
                <w:sz w:val="20"/>
                <w:szCs w:val="20"/>
                <w:color w:val="auto"/>
              </w:rPr>
            </w:pPr>
            <w:r>
              <w:rPr>
                <w:rFonts w:ascii="Arial" w:cs="Arial" w:eastAsia="Arial" w:hAnsi="Arial"/>
                <w:sz w:val="18"/>
                <w:szCs w:val="18"/>
                <w:color w:val="auto"/>
              </w:rPr>
              <w:t>26,318,349</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5640" w:type="dxa"/>
            <w:vAlign w:val="bottom"/>
            <w:gridSpan w:val="4"/>
          </w:tcPr>
          <w:p>
            <w:pPr>
              <w:spacing w:after="0"/>
              <w:rPr>
                <w:sz w:val="20"/>
                <w:szCs w:val="20"/>
                <w:color w:val="auto"/>
              </w:rPr>
            </w:pPr>
            <w:r>
              <w:rPr>
                <w:rFonts w:ascii="Arial" w:cs="Arial" w:eastAsia="Arial" w:hAnsi="Arial"/>
                <w:sz w:val="18"/>
                <w:szCs w:val="18"/>
                <w:color w:val="auto"/>
              </w:rPr>
              <w:t>Non-GAAP Net Loss per share, basic and diluted</w:t>
            </w:r>
          </w:p>
        </w:tc>
        <w:tc>
          <w:tcPr>
            <w:tcW w:w="18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24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2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8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180" w:type="dxa"/>
            <w:vAlign w:val="bottom"/>
          </w:tcPr>
          <w:p>
            <w:pPr>
              <w:spacing w:after="0"/>
              <w:rPr>
                <w:sz w:val="19"/>
                <w:szCs w:val="19"/>
                <w:color w:val="auto"/>
              </w:rPr>
            </w:pPr>
          </w:p>
        </w:tc>
        <w:tc>
          <w:tcPr>
            <w:tcW w:w="122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112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249"/>
        </w:trPr>
        <w:tc>
          <w:tcPr>
            <w:tcW w:w="20" w:type="dxa"/>
            <w:vAlign w:val="bottom"/>
            <w:shd w:val="clear" w:color="auto" w:fill="CFF0FC"/>
          </w:tcPr>
          <w:p>
            <w:pPr>
              <w:spacing w:after="0"/>
              <w:rPr>
                <w:sz w:val="21"/>
                <w:szCs w:val="21"/>
                <w:color w:val="auto"/>
              </w:rPr>
            </w:pPr>
          </w:p>
        </w:tc>
        <w:tc>
          <w:tcPr>
            <w:tcW w:w="5640" w:type="dxa"/>
            <w:vAlign w:val="bottom"/>
            <w:tcBorders>
              <w:right w:val="single" w:sz="8" w:color="CFF0FC"/>
            </w:tcBorders>
            <w:gridSpan w:val="4"/>
            <w:shd w:val="clear" w:color="auto" w:fill="CFF0FC"/>
          </w:tcPr>
          <w:p>
            <w:pPr>
              <w:spacing w:after="0"/>
              <w:rPr>
                <w:sz w:val="20"/>
                <w:szCs w:val="20"/>
                <w:color w:val="auto"/>
              </w:rPr>
            </w:pPr>
            <w:r>
              <w:rPr>
                <w:rFonts w:ascii="Arial" w:cs="Arial" w:eastAsia="Arial" w:hAnsi="Arial"/>
                <w:sz w:val="18"/>
                <w:szCs w:val="18"/>
                <w:color w:val="auto"/>
              </w:rPr>
              <w:t>Non-GAAP EPS, basic and diluted</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60" w:type="dxa"/>
            <w:vAlign w:val="bottom"/>
            <w:tcBorders>
              <w:right w:val="single" w:sz="8" w:color="CFF0FC"/>
            </w:tcBorders>
            <w:gridSpan w:val="2"/>
            <w:shd w:val="clear" w:color="auto" w:fill="CFF0FC"/>
          </w:tcPr>
          <w:p>
            <w:pPr>
              <w:jc w:val="right"/>
              <w:ind w:right="161"/>
              <w:spacing w:after="0"/>
              <w:rPr>
                <w:sz w:val="20"/>
                <w:szCs w:val="20"/>
                <w:color w:val="auto"/>
              </w:rPr>
            </w:pPr>
            <w:r>
              <w:rPr>
                <w:rFonts w:ascii="Arial" w:cs="Arial" w:eastAsia="Arial" w:hAnsi="Arial"/>
                <w:sz w:val="18"/>
                <w:szCs w:val="18"/>
                <w:color w:val="auto"/>
              </w:rPr>
              <w:t>(0.29 )</w:t>
            </w:r>
          </w:p>
        </w:tc>
        <w:tc>
          <w:tcPr>
            <w:tcW w:w="180" w:type="dxa"/>
            <w:vAlign w:val="bottom"/>
            <w:shd w:val="clear" w:color="auto" w:fill="CFF0FC"/>
          </w:tcPr>
          <w:p>
            <w:pPr>
              <w:jc w:val="right"/>
              <w:ind w:right="20"/>
              <w:spacing w:after="0"/>
              <w:rPr>
                <w:sz w:val="20"/>
                <w:szCs w:val="20"/>
                <w:color w:val="auto"/>
              </w:rPr>
            </w:pPr>
            <w:r>
              <w:rPr>
                <w:rFonts w:ascii="Arial" w:cs="Arial" w:eastAsia="Arial" w:hAnsi="Arial"/>
                <w:sz w:val="15"/>
                <w:szCs w:val="15"/>
                <w:color w:val="auto"/>
                <w:w w:val="71"/>
              </w:rPr>
              <w:t>$</w:t>
            </w:r>
          </w:p>
        </w:tc>
        <w:tc>
          <w:tcPr>
            <w:tcW w:w="1220" w:type="dxa"/>
            <w:vAlign w:val="bottom"/>
            <w:tcBorders>
              <w:right w:val="single" w:sz="8" w:color="CFF0FC"/>
            </w:tcBorders>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(0.25 )</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81"/>
              <w:spacing w:after="0"/>
              <w:rPr>
                <w:sz w:val="20"/>
                <w:szCs w:val="20"/>
                <w:color w:val="auto"/>
              </w:rPr>
            </w:pPr>
            <w:r>
              <w:rPr>
                <w:rFonts w:ascii="Arial" w:cs="Arial" w:eastAsia="Arial" w:hAnsi="Arial"/>
                <w:sz w:val="18"/>
                <w:szCs w:val="18"/>
                <w:color w:val="auto"/>
              </w:rPr>
              <w:t>(0.85 )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(1.54 )</w:t>
            </w: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60" w:type="dxa"/>
            <w:vAlign w:val="bottom"/>
            <w:tcBorders>
              <w:top w:val="single" w:sz="8" w:color="CFF0FC"/>
            </w:tcBorders>
            <w:shd w:val="clear" w:color="auto" w:fill="CFF0FC"/>
          </w:tcPr>
          <w:p>
            <w:pPr>
              <w:spacing w:after="0" w:line="20" w:lineRule="exact"/>
              <w:rPr>
                <w:sz w:val="1"/>
                <w:szCs w:val="1"/>
                <w:color w:val="auto"/>
              </w:rPr>
            </w:pPr>
          </w:p>
        </w:tc>
        <w:tc>
          <w:tcPr>
            <w:tcW w:w="15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CFF0FC"/>
            </w:tcBorders>
            <w:shd w:val="clear" w:color="auto" w:fill="CFF0FC"/>
          </w:tcPr>
          <w:p>
            <w:pPr>
              <w:spacing w:after="0" w:line="20" w:lineRule="exact"/>
              <w:rPr>
                <w:sz w:val="1"/>
                <w:szCs w:val="1"/>
                <w:color w:val="auto"/>
              </w:rPr>
            </w:pPr>
          </w:p>
        </w:tc>
        <w:tc>
          <w:tcPr>
            <w:tcW w:w="38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CFF0FC"/>
            </w:tcBorders>
            <w:shd w:val="clear" w:color="auto" w:fill="000000"/>
          </w:tcPr>
          <w:p>
            <w:pPr>
              <w:spacing w:after="0" w:line="20" w:lineRule="exact"/>
              <w:rPr>
                <w:sz w:val="1"/>
                <w:szCs w:val="1"/>
                <w:color w:val="auto"/>
              </w:rPr>
            </w:pPr>
          </w:p>
        </w:tc>
        <w:tc>
          <w:tcPr>
            <w:tcW w:w="24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right w:val="single" w:sz="8" w:color="auto"/>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left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4337685</wp:posOffset>
            </wp:positionH>
            <wp:positionV relativeFrom="paragraph">
              <wp:posOffset>-761365</wp:posOffset>
            </wp:positionV>
            <wp:extent cx="2799715" cy="5905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2799715" cy="590550"/>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-24765</wp:posOffset>
            </wp:positionV>
            <wp:extent cx="7683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4337685</wp:posOffset>
            </wp:positionH>
            <wp:positionV relativeFrom="paragraph">
              <wp:posOffset>-7620</wp:posOffset>
            </wp:positionV>
            <wp:extent cx="76835"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-24765</wp:posOffset>
            </wp:positionV>
            <wp:extent cx="6858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5253990</wp:posOffset>
            </wp:positionH>
            <wp:positionV relativeFrom="paragraph">
              <wp:posOffset>-7620</wp:posOffset>
            </wp:positionV>
            <wp:extent cx="6858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-24765</wp:posOffset>
            </wp:positionV>
            <wp:extent cx="6858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6144260</wp:posOffset>
            </wp:positionH>
            <wp:positionV relativeFrom="paragraph">
              <wp:posOffset>-7620</wp:posOffset>
            </wp:positionV>
            <wp:extent cx="6858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161" w:lineRule="exact"/>
        <w:rPr>
          <w:sz w:val="20"/>
          <w:szCs w:val="20"/>
          <w:color w:val="auto"/>
        </w:rPr>
      </w:pPr>
    </w:p>
    <w:p>
      <w:pPr>
        <w:ind w:left="380" w:right="320" w:hanging="372"/>
        <w:spacing w:after="0" w:line="234" w:lineRule="auto"/>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Represents depreciation expense of the Company’s long-lived tangible assets and amortization expense of its finite-lived intangible assets, as included in the Company’s GAAP results of operations.</w:t>
      </w:r>
    </w:p>
    <w:p>
      <w:pPr>
        <w:spacing w:after="0" w:line="1" w:lineRule="exact"/>
        <w:rPr>
          <w:rFonts w:ascii="Arial" w:cs="Arial" w:eastAsia="Arial" w:hAnsi="Arial"/>
          <w:sz w:val="20"/>
          <w:szCs w:val="20"/>
          <w:color w:val="auto"/>
        </w:rPr>
      </w:pPr>
    </w:p>
    <w:p>
      <w:pPr>
        <w:ind w:left="380" w:right="520" w:hanging="372"/>
        <w:spacing w:after="0" w:line="225" w:lineRule="auto"/>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Represents the non-cash expense related to stock-based awards granted to employees, as included in the Company’s GAAP results of operations.</w:t>
      </w:r>
    </w:p>
    <w:p>
      <w:pPr>
        <w:ind w:left="380" w:hanging="372"/>
        <w:spacing w:after="0"/>
        <w:tabs>
          <w:tab w:leader="none" w:pos="380" w:val="left"/>
        </w:tabs>
        <w:numPr>
          <w:ilvl w:val="0"/>
          <w:numId w:val="11"/>
        </w:numPr>
        <w:rPr>
          <w:rFonts w:ascii="Arial" w:cs="Arial" w:eastAsia="Arial" w:hAnsi="Arial"/>
          <w:sz w:val="20"/>
          <w:szCs w:val="20"/>
          <w:color w:val="auto"/>
        </w:rPr>
      </w:pPr>
      <w:r>
        <w:rPr>
          <w:rFonts w:ascii="Arial" w:cs="Arial" w:eastAsia="Arial" w:hAnsi="Arial"/>
          <w:sz w:val="20"/>
          <w:szCs w:val="20"/>
          <w:color w:val="auto"/>
        </w:rPr>
        <w:t>Includes adjustments related to purchase accounting, the revaluation of contingent consideration and transaction costs.</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2" w:right="339" w:bottom="1440" w:gutter="0" w:footer="0" w:header="0"/>
        </w:sectPr>
      </w:pPr>
    </w:p>
    <w:bookmarkStart w:id="14" w:name="page15"/>
    <w:bookmarkEnd w:id="14"/>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Segment Results</w:t>
      </w:r>
    </w:p>
    <w:p>
      <w:pPr>
        <w:jc w:val="center"/>
        <w:spacing w:after="0"/>
        <w:rPr>
          <w:sz w:val="20"/>
          <w:szCs w:val="20"/>
          <w:color w:val="auto"/>
        </w:rPr>
      </w:pPr>
      <w:r>
        <w:rPr>
          <w:rFonts w:ascii="Arial" w:cs="Arial" w:eastAsia="Arial" w:hAnsi="Arial"/>
          <w:sz w:val="18"/>
          <w:szCs w:val="18"/>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40" w:type="dxa"/>
            <w:vAlign w:val="bottom"/>
            <w:gridSpan w:val="5"/>
          </w:tcPr>
          <w:p>
            <w:pPr>
              <w:jc w:val="center"/>
              <w:ind w:right="540"/>
              <w:spacing w:after="0"/>
              <w:rPr>
                <w:sz w:val="20"/>
                <w:szCs w:val="20"/>
                <w:color w:val="auto"/>
              </w:rPr>
            </w:pPr>
            <w:r>
              <w:rPr>
                <w:rFonts w:ascii="Arial" w:cs="Arial" w:eastAsia="Arial" w:hAnsi="Arial"/>
                <w:sz w:val="18"/>
                <w:szCs w:val="18"/>
                <w:b w:val="1"/>
                <w:bCs w:val="1"/>
                <w:color w:val="auto"/>
                <w:w w:val="99"/>
              </w:rPr>
              <w:t>For the Three Months Ended</w:t>
            </w:r>
          </w:p>
        </w:tc>
        <w:tc>
          <w:tcPr>
            <w:tcW w:w="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4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000" w:type="dxa"/>
            <w:vAlign w:val="bottom"/>
            <w:gridSpan w:val="3"/>
          </w:tcPr>
          <w:p>
            <w:pPr>
              <w:jc w:val="center"/>
              <w:ind w:left="670"/>
              <w:spacing w:after="0"/>
              <w:rPr>
                <w:sz w:val="20"/>
                <w:szCs w:val="20"/>
                <w:color w:val="auto"/>
              </w:rPr>
            </w:pPr>
            <w:r>
              <w:rPr>
                <w:rFonts w:ascii="Arial" w:cs="Arial" w:eastAsia="Arial" w:hAnsi="Arial"/>
                <w:sz w:val="18"/>
                <w:szCs w:val="18"/>
                <w:b w:val="1"/>
                <w:bCs w:val="1"/>
                <w:color w:val="auto"/>
                <w:w w:val="99"/>
              </w:rPr>
              <w:t>December 31,</w:t>
            </w:r>
          </w:p>
        </w:tc>
        <w:tc>
          <w:tcPr>
            <w:tcW w:w="9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40" w:type="dxa"/>
            <w:vAlign w:val="bottom"/>
            <w:gridSpan w:val="5"/>
          </w:tcPr>
          <w:p>
            <w:pPr>
              <w:jc w:val="right"/>
              <w:ind w:right="260"/>
              <w:spacing w:after="0"/>
              <w:rPr>
                <w:sz w:val="20"/>
                <w:szCs w:val="20"/>
                <w:color w:val="auto"/>
              </w:rPr>
            </w:pPr>
            <w:r>
              <w:rPr>
                <w:rFonts w:ascii="Arial" w:cs="Arial" w:eastAsia="Arial" w:hAnsi="Arial"/>
                <w:sz w:val="18"/>
                <w:szCs w:val="18"/>
                <w:b w:val="1"/>
                <w:bCs w:val="1"/>
                <w:color w:val="auto"/>
                <w:w w:val="99"/>
              </w:rPr>
              <w:t>For the Year Ended December 31,</w:t>
            </w:r>
          </w:p>
        </w:tc>
      </w:tr>
      <w:tr>
        <w:trPr>
          <w:trHeight w:val="223"/>
        </w:trPr>
        <w:tc>
          <w:tcPr>
            <w:tcW w:w="44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2022</w:t>
            </w:r>
          </w:p>
        </w:tc>
        <w:tc>
          <w:tcPr>
            <w:tcW w:w="280" w:type="dxa"/>
            <w:vAlign w:val="bottom"/>
            <w:tcBorders>
              <w:top w:val="single" w:sz="8" w:color="auto"/>
            </w:tcBorders>
          </w:tcPr>
          <w:p>
            <w:pPr>
              <w:spacing w:after="0"/>
              <w:rPr>
                <w:sz w:val="19"/>
                <w:szCs w:val="19"/>
                <w:color w:val="auto"/>
              </w:rPr>
            </w:pPr>
          </w:p>
        </w:tc>
        <w:tc>
          <w:tcPr>
            <w:tcW w:w="48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2021</w:t>
            </w:r>
          </w:p>
        </w:tc>
        <w:tc>
          <w:tcPr>
            <w:tcW w:w="2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2022</w:t>
            </w:r>
          </w:p>
        </w:tc>
        <w:tc>
          <w:tcPr>
            <w:tcW w:w="26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2021</w:t>
            </w:r>
          </w:p>
        </w:tc>
        <w:tc>
          <w:tcPr>
            <w:tcW w:w="100" w:type="dxa"/>
            <w:vAlign w:val="bottom"/>
          </w:tcPr>
          <w:p>
            <w:pPr>
              <w:spacing w:after="0"/>
              <w:rPr>
                <w:sz w:val="19"/>
                <w:szCs w:val="19"/>
                <w:color w:val="auto"/>
              </w:rPr>
            </w:pPr>
          </w:p>
        </w:tc>
      </w:tr>
      <w:tr>
        <w:trPr>
          <w:trHeight w:val="223"/>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Revenue:</w:t>
            </w:r>
          </w:p>
        </w:tc>
        <w:tc>
          <w:tcPr>
            <w:tcW w:w="240" w:type="dxa"/>
            <w:vAlign w:val="bottom"/>
            <w:shd w:val="clear" w:color="auto" w:fill="CFF0FC"/>
          </w:tcPr>
          <w:p>
            <w:pPr>
              <w:spacing w:after="0"/>
              <w:rPr>
                <w:sz w:val="19"/>
                <w:szCs w:val="19"/>
                <w:color w:val="auto"/>
              </w:rPr>
            </w:pPr>
          </w:p>
        </w:tc>
        <w:tc>
          <w:tcPr>
            <w:tcW w:w="2000" w:type="dxa"/>
            <w:vAlign w:val="bottom"/>
            <w:gridSpan w:val="3"/>
            <w:shd w:val="clear" w:color="auto" w:fill="CFF0FC"/>
          </w:tcPr>
          <w:p>
            <w:pPr>
              <w:jc w:val="center"/>
              <w:ind w:left="650"/>
              <w:spacing w:after="0"/>
              <w:rPr>
                <w:sz w:val="20"/>
                <w:szCs w:val="20"/>
                <w:color w:val="auto"/>
              </w:rPr>
            </w:pPr>
            <w:r>
              <w:rPr>
                <w:rFonts w:ascii="Arial" w:cs="Arial" w:eastAsia="Arial" w:hAnsi="Arial"/>
                <w:sz w:val="18"/>
                <w:szCs w:val="18"/>
                <w:b w:val="1"/>
                <w:bCs w:val="1"/>
                <w:color w:val="auto"/>
                <w:w w:val="99"/>
              </w:rPr>
              <w:t>(unaudited)</w:t>
            </w: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jc w:val="right"/>
              <w:ind w:right="130"/>
              <w:spacing w:after="0"/>
              <w:rPr>
                <w:sz w:val="20"/>
                <w:szCs w:val="20"/>
                <w:color w:val="auto"/>
              </w:rPr>
            </w:pPr>
            <w:r>
              <w:rPr>
                <w:rFonts w:ascii="Arial" w:cs="Arial" w:eastAsia="Arial" w:hAnsi="Arial"/>
                <w:sz w:val="18"/>
                <w:szCs w:val="18"/>
                <w:b w:val="1"/>
                <w:bCs w:val="1"/>
                <w:color w:val="auto"/>
              </w:rPr>
              <w:t>(unaudited)</w:t>
            </w: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88,130</w:t>
            </w:r>
          </w:p>
        </w:tc>
        <w:tc>
          <w:tcPr>
            <w:tcW w:w="280" w:type="dxa"/>
            <w:vAlign w:val="bottom"/>
          </w:tcPr>
          <w:p>
            <w:pPr>
              <w:spacing w:after="0"/>
              <w:rPr>
                <w:sz w:val="19"/>
                <w:szCs w:val="19"/>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Pr>
          <w:p>
            <w:pPr>
              <w:jc w:val="right"/>
              <w:spacing w:after="0"/>
              <w:rPr>
                <w:sz w:val="20"/>
                <w:szCs w:val="20"/>
                <w:color w:val="auto"/>
              </w:rPr>
            </w:pPr>
            <w:r>
              <w:rPr>
                <w:rFonts w:ascii="Arial" w:cs="Arial" w:eastAsia="Arial" w:hAnsi="Arial"/>
                <w:sz w:val="18"/>
                <w:szCs w:val="18"/>
                <w:color w:val="auto"/>
              </w:rPr>
              <w:t>61,769</w:t>
            </w:r>
          </w:p>
        </w:tc>
        <w:tc>
          <w:tcPr>
            <w:tcW w:w="26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347,842</w:t>
            </w:r>
          </w:p>
        </w:tc>
        <w:tc>
          <w:tcPr>
            <w:tcW w:w="260" w:type="dxa"/>
            <w:vAlign w:val="bottom"/>
          </w:tcPr>
          <w:p>
            <w:pPr>
              <w:spacing w:after="0"/>
              <w:rPr>
                <w:sz w:val="19"/>
                <w:szCs w:val="19"/>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202,034</w:t>
            </w:r>
          </w:p>
        </w:tc>
        <w:tc>
          <w:tcPr>
            <w:tcW w:w="100" w:type="dxa"/>
            <w:vAlign w:val="bottom"/>
          </w:tcPr>
          <w:p>
            <w:pPr>
              <w:spacing w:after="0"/>
              <w:rPr>
                <w:sz w:val="19"/>
                <w:szCs w:val="19"/>
                <w:color w:val="auto"/>
              </w:rPr>
            </w:pPr>
          </w:p>
        </w:tc>
      </w:tr>
      <w:tr>
        <w:trPr>
          <w:trHeight w:val="229"/>
        </w:trPr>
        <w:tc>
          <w:tcPr>
            <w:tcW w:w="4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tcBorders>
              <w:bottom w:val="single" w:sz="8" w:color="auto"/>
            </w:tcBorders>
            <w:shd w:val="clear" w:color="auto" w:fill="CFF0FC"/>
          </w:tcPr>
          <w:p>
            <w:pPr>
              <w:spacing w:after="0"/>
              <w:rPr>
                <w:sz w:val="19"/>
                <w:szCs w:val="19"/>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10,066</w:t>
            </w:r>
          </w:p>
        </w:tc>
        <w:tc>
          <w:tcPr>
            <w:tcW w:w="280" w:type="dxa"/>
            <w:vAlign w:val="bottom"/>
            <w:tcBorders>
              <w:bottom w:val="single" w:sz="8" w:color="CFF0FC"/>
            </w:tcBorders>
            <w:shd w:val="clear" w:color="auto" w:fill="CFF0FC"/>
          </w:tcPr>
          <w:p>
            <w:pPr>
              <w:spacing w:after="0"/>
              <w:rPr>
                <w:sz w:val="19"/>
                <w:szCs w:val="19"/>
                <w:color w:val="auto"/>
              </w:rPr>
            </w:pPr>
          </w:p>
        </w:tc>
        <w:tc>
          <w:tcPr>
            <w:tcW w:w="480" w:type="dxa"/>
            <w:vAlign w:val="bottom"/>
            <w:tcBorders>
              <w:bottom w:val="single" w:sz="8" w:color="auto"/>
            </w:tcBorders>
            <w:shd w:val="clear" w:color="auto" w:fill="CFF0FC"/>
          </w:tcPr>
          <w:p>
            <w:pPr>
              <w:spacing w:after="0"/>
              <w:rPr>
                <w:sz w:val="19"/>
                <w:szCs w:val="19"/>
                <w:color w:val="auto"/>
              </w:rPr>
            </w:pPr>
          </w:p>
        </w:tc>
        <w:tc>
          <w:tcPr>
            <w:tcW w:w="9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5,329</w:t>
            </w:r>
          </w:p>
        </w:tc>
        <w:tc>
          <w:tcPr>
            <w:tcW w:w="260" w:type="dxa"/>
            <w:vAlign w:val="bottom"/>
            <w:tcBorders>
              <w:bottom w:val="single" w:sz="8" w:color="CFF0FC"/>
            </w:tcBorders>
            <w:shd w:val="clear" w:color="auto" w:fill="CFF0FC"/>
          </w:tcPr>
          <w:p>
            <w:pPr>
              <w:spacing w:after="0"/>
              <w:rPr>
                <w:sz w:val="19"/>
                <w:szCs w:val="19"/>
                <w:color w:val="auto"/>
              </w:rPr>
            </w:pPr>
          </w:p>
        </w:tc>
        <w:tc>
          <w:tcPr>
            <w:tcW w:w="140" w:type="dxa"/>
            <w:vAlign w:val="bottom"/>
            <w:tcBorders>
              <w:bottom w:val="single" w:sz="8" w:color="auto"/>
            </w:tcBorders>
            <w:shd w:val="clear" w:color="auto" w:fill="CFF0FC"/>
          </w:tcPr>
          <w:p>
            <w:pPr>
              <w:spacing w:after="0"/>
              <w:rPr>
                <w:sz w:val="19"/>
                <w:szCs w:val="19"/>
                <w:color w:val="auto"/>
              </w:rPr>
            </w:pPr>
          </w:p>
        </w:tc>
        <w:tc>
          <w:tcPr>
            <w:tcW w:w="13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33,211</w:t>
            </w:r>
          </w:p>
        </w:tc>
        <w:tc>
          <w:tcPr>
            <w:tcW w:w="260" w:type="dxa"/>
            <w:vAlign w:val="bottom"/>
            <w:tcBorders>
              <w:bottom w:val="single" w:sz="8" w:color="CFF0FC"/>
            </w:tcBorders>
            <w:shd w:val="clear" w:color="auto" w:fill="CFF0FC"/>
          </w:tcPr>
          <w:p>
            <w:pPr>
              <w:spacing w:after="0"/>
              <w:rPr>
                <w:sz w:val="19"/>
                <w:szCs w:val="19"/>
                <w:color w:val="auto"/>
              </w:rPr>
            </w:pPr>
          </w:p>
        </w:tc>
        <w:tc>
          <w:tcPr>
            <w:tcW w:w="3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16,302</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revenue</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98,196</w:t>
            </w:r>
          </w:p>
        </w:tc>
        <w:tc>
          <w:tcPr>
            <w:tcW w:w="280" w:type="dxa"/>
            <w:vAlign w:val="bottom"/>
          </w:tcPr>
          <w:p>
            <w:pPr>
              <w:spacing w:after="0"/>
              <w:rPr>
                <w:sz w:val="19"/>
                <w:szCs w:val="19"/>
                <w:color w:val="auto"/>
              </w:rPr>
            </w:pPr>
          </w:p>
        </w:tc>
        <w:tc>
          <w:tcPr>
            <w:tcW w:w="4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67,098</w:t>
            </w:r>
          </w:p>
        </w:tc>
        <w:tc>
          <w:tcPr>
            <w:tcW w:w="260" w:type="dxa"/>
            <w:vAlign w:val="bottom"/>
          </w:tcPr>
          <w:p>
            <w:pPr>
              <w:spacing w:after="0"/>
              <w:rPr>
                <w:sz w:val="19"/>
                <w:szCs w:val="19"/>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381,053</w:t>
            </w:r>
          </w:p>
        </w:tc>
        <w:tc>
          <w:tcPr>
            <w:tcW w:w="260" w:type="dxa"/>
            <w:vAlign w:val="bottom"/>
          </w:tcPr>
          <w:p>
            <w:pPr>
              <w:spacing w:after="0"/>
              <w:rPr>
                <w:sz w:val="19"/>
                <w:szCs w:val="19"/>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218,336</w:t>
            </w:r>
          </w:p>
        </w:tc>
        <w:tc>
          <w:tcPr>
            <w:tcW w:w="100" w:type="dxa"/>
            <w:vAlign w:val="bottom"/>
          </w:tcPr>
          <w:p>
            <w:pPr>
              <w:spacing w:after="0"/>
              <w:rPr>
                <w:sz w:val="19"/>
                <w:szCs w:val="19"/>
                <w:color w:val="auto"/>
              </w:rPr>
            </w:pPr>
          </w:p>
        </w:tc>
      </w:tr>
      <w:tr>
        <w:trPr>
          <w:trHeight w:val="20"/>
        </w:trPr>
        <w:tc>
          <w:tcPr>
            <w:tcW w:w="44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4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Segment Net Loss:</w:t>
            </w:r>
          </w:p>
        </w:tc>
        <w:tc>
          <w:tcPr>
            <w:tcW w:w="240" w:type="dxa"/>
            <w:vAlign w:val="bottom"/>
            <w:shd w:val="clear" w:color="auto" w:fill="CFF0FC"/>
          </w:tcPr>
          <w:p>
            <w:pPr>
              <w:spacing w:after="0"/>
              <w:rPr>
                <w:sz w:val="19"/>
                <w:szCs w:val="19"/>
                <w:color w:val="auto"/>
              </w:rPr>
            </w:pPr>
          </w:p>
        </w:tc>
        <w:tc>
          <w:tcPr>
            <w:tcW w:w="1240" w:type="dxa"/>
            <w:vAlign w:val="bottom"/>
            <w:shd w:val="clear" w:color="auto" w:fill="CFF0FC"/>
          </w:tcPr>
          <w:p>
            <w:pPr>
              <w:spacing w:after="0"/>
              <w:rPr>
                <w:sz w:val="19"/>
                <w:szCs w:val="19"/>
                <w:color w:val="auto"/>
              </w:rPr>
            </w:pPr>
          </w:p>
        </w:tc>
        <w:tc>
          <w:tcPr>
            <w:tcW w:w="280" w:type="dxa"/>
            <w:vAlign w:val="bottom"/>
            <w:shd w:val="clear" w:color="auto" w:fill="CFF0FC"/>
          </w:tcPr>
          <w:p>
            <w:pPr>
              <w:spacing w:after="0"/>
              <w:rPr>
                <w:sz w:val="19"/>
                <w:szCs w:val="19"/>
                <w:color w:val="auto"/>
              </w:rPr>
            </w:pPr>
          </w:p>
        </w:tc>
        <w:tc>
          <w:tcPr>
            <w:tcW w:w="480" w:type="dxa"/>
            <w:vAlign w:val="bottom"/>
            <w:shd w:val="clear" w:color="auto" w:fill="CFF0FC"/>
          </w:tcPr>
          <w:p>
            <w:pPr>
              <w:spacing w:after="0"/>
              <w:rPr>
                <w:sz w:val="19"/>
                <w:szCs w:val="19"/>
                <w:color w:val="auto"/>
              </w:rPr>
            </w:pPr>
          </w:p>
        </w:tc>
        <w:tc>
          <w:tcPr>
            <w:tcW w:w="98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30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3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4480" w:type="dxa"/>
            <w:vAlign w:val="bottom"/>
          </w:tcPr>
          <w:p>
            <w:pPr>
              <w:ind w:left="20"/>
              <w:spacing w:after="0"/>
              <w:rPr>
                <w:sz w:val="20"/>
                <w:szCs w:val="20"/>
                <w:color w:val="auto"/>
              </w:rPr>
            </w:pPr>
            <w:r>
              <w:rPr>
                <w:rFonts w:ascii="Arial" w:cs="Arial" w:eastAsia="Arial" w:hAnsi="Arial"/>
                <w:sz w:val="18"/>
                <w:szCs w:val="18"/>
                <w:color w:val="auto"/>
              </w:rPr>
              <w:t>U.S.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(20,509 )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(21,080 )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(58,758 )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(51,230 )</w:t>
            </w:r>
          </w:p>
        </w:tc>
      </w:tr>
      <w:tr>
        <w:trPr>
          <w:trHeight w:val="229"/>
        </w:trPr>
        <w:tc>
          <w:tcPr>
            <w:tcW w:w="4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International</w:t>
            </w:r>
          </w:p>
        </w:tc>
        <w:tc>
          <w:tcPr>
            <w:tcW w:w="240" w:type="dxa"/>
            <w:vAlign w:val="bottom"/>
            <w:shd w:val="clear" w:color="auto" w:fill="CFF0FC"/>
          </w:tcPr>
          <w:p>
            <w:pPr>
              <w:spacing w:after="0"/>
              <w:rPr>
                <w:sz w:val="19"/>
                <w:szCs w:val="19"/>
                <w:color w:val="auto"/>
              </w:rPr>
            </w:pPr>
          </w:p>
        </w:tc>
        <w:tc>
          <w:tcPr>
            <w:tcW w:w="15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(3,914 )</w:t>
            </w:r>
          </w:p>
        </w:tc>
        <w:tc>
          <w:tcPr>
            <w:tcW w:w="480" w:type="dxa"/>
            <w:vAlign w:val="bottom"/>
            <w:shd w:val="clear" w:color="auto" w:fill="CFF0FC"/>
          </w:tcPr>
          <w:p>
            <w:pPr>
              <w:spacing w:after="0"/>
              <w:rPr>
                <w:sz w:val="19"/>
                <w:szCs w:val="19"/>
                <w:color w:val="auto"/>
              </w:rPr>
            </w:pPr>
          </w:p>
        </w:tc>
        <w:tc>
          <w:tcPr>
            <w:tcW w:w="124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(2,825 )</w:t>
            </w:r>
          </w:p>
        </w:tc>
        <w:tc>
          <w:tcPr>
            <w:tcW w:w="140" w:type="dxa"/>
            <w:vAlign w:val="bottom"/>
            <w:shd w:val="clear" w:color="auto" w:fill="CFF0FC"/>
          </w:tcPr>
          <w:p>
            <w:pPr>
              <w:spacing w:after="0"/>
              <w:rPr>
                <w:sz w:val="19"/>
                <w:szCs w:val="19"/>
                <w:color w:val="auto"/>
              </w:rPr>
            </w:pPr>
          </w:p>
        </w:tc>
        <w:tc>
          <w:tcPr>
            <w:tcW w:w="15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(17,267 )</w:t>
            </w:r>
          </w:p>
        </w:tc>
        <w:tc>
          <w:tcPr>
            <w:tcW w:w="320" w:type="dxa"/>
            <w:vAlign w:val="bottom"/>
            <w:shd w:val="clear" w:color="auto" w:fill="CFF0FC"/>
          </w:tcPr>
          <w:p>
            <w:pPr>
              <w:spacing w:after="0"/>
              <w:rPr>
                <w:sz w:val="19"/>
                <w:szCs w:val="19"/>
                <w:color w:val="auto"/>
              </w:rPr>
            </w:pPr>
          </w:p>
        </w:tc>
        <w:tc>
          <w:tcPr>
            <w:tcW w:w="12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(10,149 )</w:t>
            </w:r>
          </w:p>
        </w:tc>
      </w:tr>
      <w:tr>
        <w:trPr>
          <w:trHeight w:val="20"/>
        </w:trPr>
        <w:tc>
          <w:tcPr>
            <w:tcW w:w="4480" w:type="dxa"/>
            <w:vAlign w:val="bottom"/>
            <w:shd w:val="clear" w:color="auto" w:fill="CFF0FC"/>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23"/>
        </w:trPr>
        <w:tc>
          <w:tcPr>
            <w:tcW w:w="4480" w:type="dxa"/>
            <w:vAlign w:val="bottom"/>
          </w:tcPr>
          <w:p>
            <w:pPr>
              <w:ind w:left="280"/>
              <w:spacing w:after="0"/>
              <w:rPr>
                <w:sz w:val="20"/>
                <w:szCs w:val="20"/>
                <w:color w:val="auto"/>
              </w:rPr>
            </w:pPr>
            <w:r>
              <w:rPr>
                <w:rFonts w:ascii="Arial" w:cs="Arial" w:eastAsia="Arial" w:hAnsi="Arial"/>
                <w:sz w:val="18"/>
                <w:szCs w:val="18"/>
                <w:color w:val="auto"/>
              </w:rPr>
              <w:t>Total net loss attributable to common stockholders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520" w:type="dxa"/>
            <w:vAlign w:val="bottom"/>
            <w:gridSpan w:val="2"/>
          </w:tcPr>
          <w:p>
            <w:pPr>
              <w:jc w:val="right"/>
              <w:ind w:right="220"/>
              <w:spacing w:after="0"/>
              <w:rPr>
                <w:sz w:val="20"/>
                <w:szCs w:val="20"/>
                <w:color w:val="auto"/>
              </w:rPr>
            </w:pPr>
            <w:r>
              <w:rPr>
                <w:rFonts w:ascii="Arial" w:cs="Arial" w:eastAsia="Arial" w:hAnsi="Arial"/>
                <w:sz w:val="18"/>
                <w:szCs w:val="18"/>
                <w:color w:val="auto"/>
              </w:rPr>
              <w:t>(24,423 )</w:t>
            </w: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(23,905 )</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60" w:type="dxa"/>
            <w:vAlign w:val="bottom"/>
            <w:gridSpan w:val="2"/>
          </w:tcPr>
          <w:p>
            <w:pPr>
              <w:jc w:val="right"/>
              <w:ind w:right="180"/>
              <w:spacing w:after="0"/>
              <w:rPr>
                <w:sz w:val="20"/>
                <w:szCs w:val="20"/>
                <w:color w:val="auto"/>
              </w:rPr>
            </w:pPr>
            <w:r>
              <w:rPr>
                <w:rFonts w:ascii="Arial" w:cs="Arial" w:eastAsia="Arial" w:hAnsi="Arial"/>
                <w:sz w:val="18"/>
                <w:szCs w:val="18"/>
                <w:color w:val="auto"/>
              </w:rPr>
              <w:t>(76,025 )</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gridSpan w:val="2"/>
          </w:tcPr>
          <w:p>
            <w:pPr>
              <w:jc w:val="right"/>
              <w:ind w:right="40"/>
              <w:spacing w:after="0"/>
              <w:rPr>
                <w:sz w:val="20"/>
                <w:szCs w:val="20"/>
                <w:color w:val="auto"/>
              </w:rPr>
            </w:pPr>
            <w:r>
              <w:rPr>
                <w:rFonts w:ascii="Arial" w:cs="Arial" w:eastAsia="Arial" w:hAnsi="Arial"/>
                <w:sz w:val="18"/>
                <w:szCs w:val="18"/>
                <w:color w:val="auto"/>
              </w:rPr>
              <w:t>(61,379 )</w:t>
            </w:r>
          </w:p>
        </w:tc>
      </w:tr>
      <w:tr>
        <w:trPr>
          <w:trHeight w:val="20"/>
        </w:trPr>
        <w:tc>
          <w:tcPr>
            <w:tcW w:w="4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3780790</wp:posOffset>
            </wp:positionH>
            <wp:positionV relativeFrom="paragraph">
              <wp:posOffset>-941070</wp:posOffset>
            </wp:positionV>
            <wp:extent cx="76835" cy="32512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-941070</wp:posOffset>
            </wp:positionV>
            <wp:extent cx="68580" cy="32512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-941070</wp:posOffset>
            </wp:positionV>
            <wp:extent cx="68580" cy="32512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-941070</wp:posOffset>
            </wp:positionV>
            <wp:extent cx="68580" cy="32512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3780790</wp:posOffset>
            </wp:positionH>
            <wp:positionV relativeFrom="paragraph">
              <wp:posOffset>-179070</wp:posOffset>
            </wp:positionV>
            <wp:extent cx="76835" cy="17970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6835" cy="179705"/>
                    </a:xfrm>
                    <a:prstGeom prst="rect">
                      <a:avLst/>
                    </a:prstGeom>
                    <a:noFill/>
                  </pic:spPr>
                </pic:pic>
              </a:graphicData>
            </a:graphic>
          </wp:anchor>
        </w:drawing>
        <w:drawing>
          <wp:anchor simplePos="0" relativeHeight="251657728" behindDoc="1" locked="0" layoutInCell="0" allowOverlap="1">
            <wp:simplePos x="0" y="0"/>
            <wp:positionH relativeFrom="column">
              <wp:posOffset>4893945</wp:posOffset>
            </wp:positionH>
            <wp:positionV relativeFrom="paragraph">
              <wp:posOffset>-179070</wp:posOffset>
            </wp:positionV>
            <wp:extent cx="68580" cy="17970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5972810</wp:posOffset>
            </wp:positionH>
            <wp:positionV relativeFrom="paragraph">
              <wp:posOffset>-179070</wp:posOffset>
            </wp:positionV>
            <wp:extent cx="68580" cy="17970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1797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-179070</wp:posOffset>
            </wp:positionV>
            <wp:extent cx="68580" cy="17970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17970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5" w:name="page16"/>
    <w:bookmarkEnd w:id="15"/>
    <w:p>
      <w:pPr>
        <w:jc w:val="center"/>
        <w:ind w:right="40"/>
        <w:spacing w:after="0"/>
        <w:rPr>
          <w:sz w:val="20"/>
          <w:szCs w:val="20"/>
          <w:color w:val="auto"/>
        </w:rPr>
      </w:pPr>
      <w:r>
        <w:rPr>
          <w:rFonts w:ascii="Arial" w:cs="Arial" w:eastAsia="Arial" w:hAnsi="Arial"/>
          <w:sz w:val="18"/>
          <w:szCs w:val="18"/>
          <w:b w:val="1"/>
          <w:bCs w:val="1"/>
          <w:color w:val="auto"/>
        </w:rPr>
        <w:t>Xometry, Inc. and Subsidiaries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Supplemental Information</w:t>
      </w:r>
    </w:p>
    <w:p>
      <w:pPr>
        <w:jc w:val="center"/>
        <w:spacing w:after="0"/>
        <w:rPr>
          <w:sz w:val="20"/>
          <w:szCs w:val="20"/>
          <w:color w:val="auto"/>
        </w:rPr>
      </w:pPr>
      <w:r>
        <w:rPr>
          <w:rFonts w:ascii="Arial" w:cs="Arial" w:eastAsia="Arial" w:hAnsi="Arial"/>
          <w:sz w:val="18"/>
          <w:szCs w:val="18"/>
          <w:color w:val="auto"/>
        </w:rPr>
        <w:t>(In thousands)</w:t>
      </w:r>
    </w:p>
    <w:p>
      <w:pPr>
        <w:spacing w:after="0" w:line="2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2480" w:type="dxa"/>
            <w:vAlign w:val="bottom"/>
            <w:gridSpan w:val="4"/>
          </w:tcPr>
          <w:p>
            <w:pPr>
              <w:jc w:val="center"/>
              <w:ind w:left="350"/>
              <w:spacing w:after="0"/>
              <w:rPr>
                <w:sz w:val="20"/>
                <w:szCs w:val="20"/>
                <w:color w:val="auto"/>
              </w:rPr>
            </w:pPr>
            <w:r>
              <w:rPr>
                <w:rFonts w:ascii="Arial" w:cs="Arial" w:eastAsia="Arial" w:hAnsi="Arial"/>
                <w:sz w:val="18"/>
                <w:szCs w:val="18"/>
                <w:b w:val="1"/>
                <w:bCs w:val="1"/>
                <w:color w:val="auto"/>
                <w:w w:val="99"/>
              </w:rPr>
              <w:t>For the Three Months</w:t>
            </w:r>
          </w:p>
        </w:tc>
        <w:tc>
          <w:tcPr>
            <w:tcW w:w="4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gridSpan w:val="3"/>
          </w:tcPr>
          <w:p>
            <w:pPr>
              <w:jc w:val="right"/>
              <w:spacing w:after="0"/>
              <w:rPr>
                <w:sz w:val="20"/>
                <w:szCs w:val="20"/>
                <w:color w:val="auto"/>
              </w:rPr>
            </w:pPr>
            <w:r>
              <w:rPr>
                <w:rFonts w:ascii="Arial" w:cs="Arial" w:eastAsia="Arial" w:hAnsi="Arial"/>
                <w:sz w:val="18"/>
                <w:szCs w:val="18"/>
                <w:b w:val="1"/>
                <w:bCs w:val="1"/>
                <w:color w:val="auto"/>
              </w:rPr>
              <w:t>For the Year</w:t>
            </w: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5"/>
        </w:trPr>
        <w:tc>
          <w:tcPr>
            <w:tcW w:w="5100" w:type="dxa"/>
            <w:vAlign w:val="bottom"/>
          </w:tcPr>
          <w:p>
            <w:pPr>
              <w:spacing w:after="0"/>
              <w:rPr>
                <w:sz w:val="20"/>
                <w:szCs w:val="20"/>
                <w:color w:val="auto"/>
              </w:rPr>
            </w:pPr>
          </w:p>
        </w:tc>
        <w:tc>
          <w:tcPr>
            <w:tcW w:w="2480" w:type="dxa"/>
            <w:vAlign w:val="bottom"/>
            <w:tcBorders>
              <w:bottom w:val="single" w:sz="8" w:color="auto"/>
            </w:tcBorders>
            <w:gridSpan w:val="4"/>
          </w:tcPr>
          <w:p>
            <w:pPr>
              <w:jc w:val="center"/>
              <w:ind w:left="370"/>
              <w:spacing w:after="0"/>
              <w:rPr>
                <w:sz w:val="20"/>
                <w:szCs w:val="20"/>
                <w:color w:val="auto"/>
              </w:rPr>
            </w:pPr>
            <w:r>
              <w:rPr>
                <w:rFonts w:ascii="Arial" w:cs="Arial" w:eastAsia="Arial" w:hAnsi="Arial"/>
                <w:sz w:val="18"/>
                <w:szCs w:val="18"/>
                <w:b w:val="1"/>
                <w:bCs w:val="1"/>
                <w:color w:val="auto"/>
              </w:rPr>
              <w:t>Ended December 31,</w:t>
            </w:r>
          </w:p>
        </w:tc>
        <w:tc>
          <w:tcPr>
            <w:tcW w:w="460" w:type="dxa"/>
            <w:vAlign w:val="bottom"/>
            <w:tcBorders>
              <w:bottom w:val="single" w:sz="8" w:color="auto"/>
            </w:tcBorders>
          </w:tcPr>
          <w:p>
            <w:pPr>
              <w:spacing w:after="0"/>
              <w:rPr>
                <w:sz w:val="20"/>
                <w:szCs w:val="20"/>
                <w:color w:val="auto"/>
              </w:rPr>
            </w:pPr>
          </w:p>
        </w:tc>
        <w:tc>
          <w:tcPr>
            <w:tcW w:w="24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4"/>
          </w:tcPr>
          <w:p>
            <w:pPr>
              <w:jc w:val="right"/>
              <w:ind w:right="470"/>
              <w:spacing w:after="0"/>
              <w:rPr>
                <w:sz w:val="20"/>
                <w:szCs w:val="20"/>
                <w:color w:val="auto"/>
              </w:rPr>
            </w:pPr>
            <w:r>
              <w:rPr>
                <w:rFonts w:ascii="Arial" w:cs="Arial" w:eastAsia="Arial" w:hAnsi="Arial"/>
                <w:sz w:val="18"/>
                <w:szCs w:val="18"/>
                <w:b w:val="1"/>
                <w:bCs w:val="1"/>
                <w:color w:val="auto"/>
              </w:rPr>
              <w:t>Ended December 31,</w:t>
            </w:r>
          </w:p>
        </w:tc>
        <w:tc>
          <w:tcPr>
            <w:tcW w:w="100" w:type="dxa"/>
            <w:vAlign w:val="bottom"/>
          </w:tcPr>
          <w:p>
            <w:pPr>
              <w:spacing w:after="0"/>
              <w:rPr>
                <w:sz w:val="20"/>
                <w:szCs w:val="20"/>
                <w:color w:val="auto"/>
              </w:rPr>
            </w:pPr>
          </w:p>
        </w:tc>
      </w:tr>
      <w:tr>
        <w:trPr>
          <w:trHeight w:val="223"/>
        </w:trPr>
        <w:tc>
          <w:tcPr>
            <w:tcW w:w="5100" w:type="dxa"/>
            <w:vAlign w:val="bottom"/>
          </w:tcPr>
          <w:p>
            <w:pPr>
              <w:spacing w:after="0"/>
              <w:rPr>
                <w:sz w:val="19"/>
                <w:szCs w:val="19"/>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2022</w:t>
            </w:r>
          </w:p>
        </w:tc>
        <w:tc>
          <w:tcPr>
            <w:tcW w:w="460" w:type="dxa"/>
            <w:vAlign w:val="bottom"/>
            <w:tcBorders>
              <w:bottom w:val="single" w:sz="8" w:color="auto"/>
            </w:tcBorders>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2021</w:t>
            </w:r>
          </w:p>
        </w:tc>
        <w:tc>
          <w:tcPr>
            <w:tcW w:w="460" w:type="dxa"/>
            <w:vAlign w:val="bottom"/>
            <w:tcBorders>
              <w:bottom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2022</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w w:val="99"/>
              </w:rPr>
              <w:t>2021</w:t>
            </w:r>
          </w:p>
        </w:tc>
        <w:tc>
          <w:tcPr>
            <w:tcW w:w="100" w:type="dxa"/>
            <w:vAlign w:val="bottom"/>
          </w:tcPr>
          <w:p>
            <w:pPr>
              <w:spacing w:after="0"/>
              <w:rPr>
                <w:sz w:val="19"/>
                <w:szCs w:val="19"/>
                <w:color w:val="auto"/>
              </w:rPr>
            </w:pPr>
          </w:p>
        </w:tc>
      </w:tr>
      <w:tr>
        <w:trPr>
          <w:trHeight w:val="22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Stock-based Compensation Expense</w:t>
            </w:r>
          </w:p>
        </w:tc>
        <w:tc>
          <w:tcPr>
            <w:tcW w:w="860" w:type="dxa"/>
            <w:vAlign w:val="bottom"/>
            <w:shd w:val="clear" w:color="auto" w:fill="CFF0FC"/>
          </w:tcPr>
          <w:p>
            <w:pPr>
              <w:spacing w:after="0"/>
              <w:rPr>
                <w:sz w:val="19"/>
                <w:szCs w:val="19"/>
                <w:color w:val="auto"/>
              </w:rPr>
            </w:pPr>
          </w:p>
        </w:tc>
        <w:tc>
          <w:tcPr>
            <w:tcW w:w="1620" w:type="dxa"/>
            <w:vAlign w:val="bottom"/>
            <w:gridSpan w:val="3"/>
            <w:shd w:val="clear" w:color="auto" w:fill="CFF0FC"/>
          </w:tcPr>
          <w:p>
            <w:pPr>
              <w:jc w:val="center"/>
              <w:ind w:right="310"/>
              <w:spacing w:after="0"/>
              <w:rPr>
                <w:sz w:val="20"/>
                <w:szCs w:val="20"/>
                <w:color w:val="auto"/>
              </w:rPr>
            </w:pPr>
            <w:r>
              <w:rPr>
                <w:rFonts w:ascii="Arial" w:cs="Arial" w:eastAsia="Arial" w:hAnsi="Arial"/>
                <w:sz w:val="18"/>
                <w:szCs w:val="18"/>
                <w:b w:val="1"/>
                <w:bCs w:val="1"/>
                <w:color w:val="auto"/>
                <w:w w:val="99"/>
              </w:rPr>
              <w:t>(unaudited)</w:t>
            </w: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ind w:right="50"/>
              <w:spacing w:after="0"/>
              <w:rPr>
                <w:sz w:val="20"/>
                <w:szCs w:val="20"/>
                <w:color w:val="auto"/>
              </w:rPr>
            </w:pPr>
            <w:r>
              <w:rPr>
                <w:rFonts w:ascii="Arial" w:cs="Arial" w:eastAsia="Arial" w:hAnsi="Arial"/>
                <w:sz w:val="18"/>
                <w:szCs w:val="18"/>
                <w:b w:val="1"/>
                <w:bCs w:val="1"/>
                <w:color w:val="auto"/>
              </w:rPr>
              <w:t>(unaudited)</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804</w:t>
            </w:r>
          </w:p>
        </w:tc>
        <w:tc>
          <w:tcPr>
            <w:tcW w:w="26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533</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3,875</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1,223</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2,007</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1,295</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6,886</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2,659</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Product development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w w:val="97"/>
              </w:rPr>
              <w:t>1,181</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765</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4,300</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1,744</w:t>
            </w:r>
          </w:p>
        </w:tc>
        <w:tc>
          <w:tcPr>
            <w:tcW w:w="100" w:type="dxa"/>
            <w:vAlign w:val="bottom"/>
          </w:tcPr>
          <w:p>
            <w:pPr>
              <w:spacing w:after="0"/>
              <w:rPr>
                <w:sz w:val="19"/>
                <w:szCs w:val="19"/>
                <w:color w:val="auto"/>
              </w:rPr>
            </w:pPr>
          </w:p>
        </w:tc>
      </w:tr>
      <w:tr>
        <w:trPr>
          <w:trHeight w:val="229"/>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1,132</w:t>
            </w:r>
          </w:p>
        </w:tc>
        <w:tc>
          <w:tcPr>
            <w:tcW w:w="260" w:type="dxa"/>
            <w:vAlign w:val="bottom"/>
            <w:tcBorders>
              <w:bottom w:val="single" w:sz="8" w:color="CFF0FC"/>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spacing w:after="0"/>
              <w:rPr>
                <w:sz w:val="19"/>
                <w:szCs w:val="19"/>
                <w:color w:val="auto"/>
              </w:rPr>
            </w:pP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55</w:t>
            </w:r>
          </w:p>
        </w:tc>
        <w:tc>
          <w:tcPr>
            <w:tcW w:w="240" w:type="dxa"/>
            <w:vAlign w:val="bottom"/>
            <w:tcBorders>
              <w:bottom w:val="single" w:sz="8" w:color="CFF0FC"/>
            </w:tcBorders>
            <w:shd w:val="clear" w:color="auto" w:fill="CFF0FC"/>
          </w:tcPr>
          <w:p>
            <w:pPr>
              <w:spacing w:after="0"/>
              <w:rPr>
                <w:sz w:val="19"/>
                <w:szCs w:val="19"/>
                <w:color w:val="auto"/>
              </w:rPr>
            </w:pPr>
          </w:p>
        </w:tc>
        <w:tc>
          <w:tcPr>
            <w:tcW w:w="120" w:type="dxa"/>
            <w:vAlign w:val="bottom"/>
            <w:tcBorders>
              <w:bottom w:val="single" w:sz="8" w:color="auto"/>
            </w:tcBorders>
            <w:shd w:val="clear" w:color="auto" w:fill="CFF0FC"/>
          </w:tcPr>
          <w:p>
            <w:pPr>
              <w:spacing w:after="0"/>
              <w:rPr>
                <w:sz w:val="19"/>
                <w:szCs w:val="19"/>
                <w:color w:val="auto"/>
              </w:rPr>
            </w:pP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4,111</w:t>
            </w:r>
          </w:p>
        </w:tc>
        <w:tc>
          <w:tcPr>
            <w:tcW w:w="240" w:type="dxa"/>
            <w:vAlign w:val="bottom"/>
            <w:tcBorders>
              <w:bottom w:val="single" w:sz="8" w:color="CFF0FC"/>
            </w:tcBorders>
            <w:shd w:val="clear" w:color="auto" w:fill="CFF0FC"/>
          </w:tcPr>
          <w:p>
            <w:pPr>
              <w:spacing w:after="0"/>
              <w:rPr>
                <w:sz w:val="19"/>
                <w:szCs w:val="19"/>
                <w:color w:val="auto"/>
              </w:rPr>
            </w:pPr>
          </w:p>
        </w:tc>
        <w:tc>
          <w:tcPr>
            <w:tcW w:w="440" w:type="dxa"/>
            <w:vAlign w:val="bottom"/>
            <w:tcBorders>
              <w:bottom w:val="single" w:sz="8" w:color="auto"/>
            </w:tcBorders>
            <w:shd w:val="clear" w:color="auto" w:fill="CFF0FC"/>
          </w:tcPr>
          <w:p>
            <w:pPr>
              <w:spacing w:after="0"/>
              <w:rPr>
                <w:sz w:val="19"/>
                <w:szCs w:val="19"/>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1,769</w:t>
            </w:r>
          </w:p>
        </w:tc>
        <w:tc>
          <w:tcPr>
            <w:tcW w:w="100" w:type="dxa"/>
            <w:vAlign w:val="bottom"/>
            <w:tcBorders>
              <w:bottom w:val="single" w:sz="8" w:color="CFF0FC"/>
            </w:tcBorders>
            <w:shd w:val="clear" w:color="auto" w:fill="CFF0FC"/>
          </w:tcPr>
          <w:p>
            <w:pPr>
              <w:spacing w:after="0"/>
              <w:rPr>
                <w:sz w:val="19"/>
                <w:szCs w:val="19"/>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5,124</w:t>
            </w:r>
          </w:p>
        </w:tc>
        <w:tc>
          <w:tcPr>
            <w:tcW w:w="260" w:type="dxa"/>
            <w:vAlign w:val="bottom"/>
          </w:tcPr>
          <w:p>
            <w:pPr>
              <w:spacing w:after="0"/>
              <w:rPr>
                <w:sz w:val="19"/>
                <w:szCs w:val="19"/>
                <w:color w:val="auto"/>
              </w:rPr>
            </w:pP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7"/>
              </w:rPr>
              <w:t>2,648</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19,172</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7,395</w:t>
            </w:r>
          </w:p>
        </w:tc>
        <w:tc>
          <w:tcPr>
            <w:tcW w:w="100" w:type="dxa"/>
            <w:vAlign w:val="bottom"/>
          </w:tcPr>
          <w:p>
            <w:pPr>
              <w:spacing w:after="0"/>
              <w:rPr>
                <w:sz w:val="19"/>
                <w:szCs w:val="19"/>
                <w:color w:val="auto"/>
              </w:rPr>
            </w:pPr>
          </w:p>
        </w:tc>
      </w:tr>
      <w:tr>
        <w:trPr>
          <w:trHeight w:val="20"/>
        </w:trPr>
        <w:tc>
          <w:tcPr>
            <w:tcW w:w="510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5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b w:val="1"/>
                <w:bCs w:val="1"/>
                <w:color w:val="auto"/>
              </w:rPr>
              <w:t>Summary of Depreciation and Amortization Expense</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spacing w:after="0"/>
              <w:rPr>
                <w:sz w:val="19"/>
                <w:szCs w:val="19"/>
                <w:color w:val="auto"/>
              </w:rPr>
            </w:pP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Cost of revenue</w:t>
            </w:r>
          </w:p>
        </w:tc>
        <w:tc>
          <w:tcPr>
            <w:tcW w:w="860" w:type="dxa"/>
            <w:vAlign w:val="bottom"/>
          </w:tcPr>
          <w:p>
            <w:pPr>
              <w:jc w:val="right"/>
              <w:ind w:right="670"/>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180"/>
              <w:spacing w:after="0"/>
              <w:rPr>
                <w:sz w:val="20"/>
                <w:szCs w:val="20"/>
                <w:color w:val="auto"/>
              </w:rPr>
            </w:pPr>
            <w:r>
              <w:rPr>
                <w:rFonts w:ascii="Arial" w:cs="Arial" w:eastAsia="Arial" w:hAnsi="Arial"/>
                <w:sz w:val="18"/>
                <w:szCs w:val="18"/>
                <w:color w:val="auto"/>
              </w:rPr>
              <w:t>(17 )</w:t>
            </w:r>
          </w:p>
        </w:tc>
        <w:tc>
          <w:tcPr>
            <w:tcW w:w="900" w:type="dxa"/>
            <w:vAlign w:val="bottom"/>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spacing w:after="0"/>
              <w:rPr>
                <w:sz w:val="20"/>
                <w:szCs w:val="20"/>
                <w:color w:val="auto"/>
              </w:rPr>
            </w:pPr>
            <w:r>
              <w:rPr>
                <w:rFonts w:ascii="Arial" w:cs="Arial" w:eastAsia="Arial" w:hAnsi="Arial"/>
                <w:sz w:val="18"/>
                <w:szCs w:val="18"/>
                <w:color w:val="auto"/>
              </w:rPr>
              <w:t>34</w:t>
            </w:r>
          </w:p>
        </w:tc>
        <w:tc>
          <w:tcPr>
            <w:tcW w:w="3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82</w:t>
            </w:r>
          </w:p>
        </w:tc>
        <w:tc>
          <w:tcPr>
            <w:tcW w:w="680" w:type="dxa"/>
            <w:vAlign w:val="bottom"/>
            <w:gridSpan w:val="2"/>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776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211</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3,102</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300</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15</w:t>
            </w: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36</w:t>
            </w: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57</w:t>
            </w:r>
          </w:p>
        </w:tc>
        <w:tc>
          <w:tcPr>
            <w:tcW w:w="2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155</w:t>
            </w:r>
          </w:p>
        </w:tc>
        <w:tc>
          <w:tcPr>
            <w:tcW w:w="100" w:type="dxa"/>
            <w:vAlign w:val="bottom"/>
          </w:tcPr>
          <w:p>
            <w:pPr>
              <w:spacing w:after="0"/>
              <w:rPr>
                <w:sz w:val="19"/>
                <w:szCs w:val="19"/>
                <w:color w:val="auto"/>
              </w:rPr>
            </w:pPr>
          </w:p>
        </w:tc>
      </w:tr>
      <w:tr>
        <w:trPr>
          <w:trHeight w:val="229"/>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7"/>
              </w:rPr>
              <w:t>1,046</w:t>
            </w:r>
          </w:p>
        </w:tc>
        <w:tc>
          <w:tcPr>
            <w:tcW w:w="260" w:type="dxa"/>
            <w:vAlign w:val="bottom"/>
            <w:shd w:val="clear" w:color="auto" w:fill="CFF0FC"/>
          </w:tcPr>
          <w:p>
            <w:pPr>
              <w:spacing w:after="0"/>
              <w:rPr>
                <w:sz w:val="19"/>
                <w:szCs w:val="19"/>
                <w:color w:val="auto"/>
              </w:rPr>
            </w:pPr>
          </w:p>
        </w:tc>
        <w:tc>
          <w:tcPr>
            <w:tcW w:w="900" w:type="dxa"/>
            <w:vAlign w:val="bottom"/>
            <w:shd w:val="clear" w:color="auto" w:fill="CFF0FC"/>
          </w:tcPr>
          <w:p>
            <w:pPr>
              <w:spacing w:after="0"/>
              <w:rPr>
                <w:sz w:val="19"/>
                <w:szCs w:val="19"/>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909</w:t>
            </w:r>
          </w:p>
        </w:tc>
        <w:tc>
          <w:tcPr>
            <w:tcW w:w="24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3,483</w:t>
            </w:r>
          </w:p>
        </w:tc>
        <w:tc>
          <w:tcPr>
            <w:tcW w:w="240" w:type="dxa"/>
            <w:vAlign w:val="bottom"/>
            <w:shd w:val="clear" w:color="auto" w:fill="CFF0FC"/>
          </w:tcPr>
          <w:p>
            <w:pPr>
              <w:spacing w:after="0"/>
              <w:rPr>
                <w:sz w:val="19"/>
                <w:szCs w:val="19"/>
                <w:color w:val="auto"/>
              </w:rPr>
            </w:pPr>
          </w:p>
        </w:tc>
        <w:tc>
          <w:tcPr>
            <w:tcW w:w="440" w:type="dxa"/>
            <w:vAlign w:val="bottom"/>
            <w:shd w:val="clear" w:color="auto" w:fill="CFF0FC"/>
          </w:tcPr>
          <w:p>
            <w:pPr>
              <w:spacing w:after="0"/>
              <w:rPr>
                <w:sz w:val="19"/>
                <w:szCs w:val="19"/>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2,821</w:t>
            </w:r>
          </w:p>
        </w:tc>
        <w:tc>
          <w:tcPr>
            <w:tcW w:w="100" w:type="dxa"/>
            <w:vAlign w:val="bottom"/>
            <w:shd w:val="clear" w:color="auto" w:fill="CFF0FC"/>
          </w:tcPr>
          <w:p>
            <w:pPr>
              <w:spacing w:after="0"/>
              <w:rPr>
                <w:sz w:val="19"/>
                <w:szCs w:val="19"/>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w:t>
            </w: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1,095</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216</w:t>
            </w:r>
          </w:p>
        </w:tc>
        <w:tc>
          <w:tcPr>
            <w:tcW w:w="100" w:type="dxa"/>
            <w:vAlign w:val="bottom"/>
          </w:tcPr>
          <w:p>
            <w:pPr>
              <w:spacing w:after="0"/>
              <w:rPr>
                <w:sz w:val="19"/>
                <w:szCs w:val="19"/>
                <w:color w:val="auto"/>
              </w:rPr>
            </w:pPr>
          </w:p>
        </w:tc>
      </w:tr>
      <w:tr>
        <w:trPr>
          <w:trHeight w:val="26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depreciation and amortization expense</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2,103</w:t>
            </w:r>
          </w:p>
        </w:tc>
        <w:tc>
          <w:tcPr>
            <w:tcW w:w="2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1,292</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7,819</w:t>
            </w: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466"/>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Restructuring charge</w:t>
            </w:r>
          </w:p>
        </w:tc>
        <w:tc>
          <w:tcPr>
            <w:tcW w:w="8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Sales and marketing</w:t>
            </w:r>
          </w:p>
        </w:tc>
        <w:tc>
          <w:tcPr>
            <w:tcW w:w="860" w:type="dxa"/>
            <w:vAlign w:val="bottom"/>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36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506</w:t>
            </w:r>
          </w:p>
        </w:tc>
        <w:tc>
          <w:tcPr>
            <w:tcW w:w="680" w:type="dxa"/>
            <w:vAlign w:val="bottom"/>
            <w:gridSpan w:val="2"/>
            <w:shd w:val="clear" w:color="auto" w:fill="CFF0FC"/>
          </w:tcPr>
          <w:p>
            <w:pPr>
              <w:jc w:val="right"/>
              <w:ind w:right="230"/>
              <w:spacing w:after="0"/>
              <w:rPr>
                <w:sz w:val="20"/>
                <w:szCs w:val="20"/>
                <w:color w:val="auto"/>
              </w:rPr>
            </w:pPr>
            <w:r>
              <w:rPr>
                <w:rFonts w:ascii="Arial" w:cs="Arial" w:eastAsia="Arial" w:hAnsi="Arial"/>
                <w:sz w:val="18"/>
                <w:szCs w:val="18"/>
                <w:color w:val="auto"/>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43"/>
        </w:trPr>
        <w:tc>
          <w:tcPr>
            <w:tcW w:w="5100" w:type="dxa"/>
            <w:vAlign w:val="bottom"/>
          </w:tcPr>
          <w:p>
            <w:pPr>
              <w:ind w:left="20"/>
              <w:spacing w:after="0"/>
              <w:rPr>
                <w:sz w:val="20"/>
                <w:szCs w:val="20"/>
                <w:color w:val="auto"/>
              </w:rPr>
            </w:pPr>
            <w:r>
              <w:rPr>
                <w:rFonts w:ascii="Arial" w:cs="Arial" w:eastAsia="Arial" w:hAnsi="Arial"/>
                <w:sz w:val="18"/>
                <w:szCs w:val="18"/>
                <w:color w:val="auto"/>
              </w:rPr>
              <w:t>Operations and support</w:t>
            </w:r>
          </w:p>
        </w:tc>
        <w:tc>
          <w:tcPr>
            <w:tcW w:w="8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432</w:t>
            </w:r>
          </w:p>
        </w:tc>
        <w:tc>
          <w:tcPr>
            <w:tcW w:w="26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432</w:t>
            </w:r>
          </w:p>
        </w:tc>
        <w:tc>
          <w:tcPr>
            <w:tcW w:w="2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43"/>
        </w:trPr>
        <w:tc>
          <w:tcPr>
            <w:tcW w:w="510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 development</w:t>
            </w:r>
          </w:p>
        </w:tc>
        <w:tc>
          <w:tcPr>
            <w:tcW w:w="8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60" w:type="dxa"/>
            <w:vAlign w:val="bottom"/>
            <w:shd w:val="clear" w:color="auto" w:fill="CFF0FC"/>
          </w:tcPr>
          <w:p>
            <w:pPr>
              <w:spacing w:after="0"/>
              <w:rPr>
                <w:sz w:val="21"/>
                <w:szCs w:val="21"/>
                <w:color w:val="auto"/>
              </w:rPr>
            </w:pPr>
          </w:p>
        </w:tc>
        <w:tc>
          <w:tcPr>
            <w:tcW w:w="90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458</w:t>
            </w:r>
          </w:p>
        </w:tc>
        <w:tc>
          <w:tcPr>
            <w:tcW w:w="240" w:type="dxa"/>
            <w:vAlign w:val="bottom"/>
            <w:shd w:val="clear" w:color="auto" w:fill="CFF0FC"/>
          </w:tcPr>
          <w:p>
            <w:pPr>
              <w:spacing w:after="0"/>
              <w:rPr>
                <w:sz w:val="21"/>
                <w:szCs w:val="21"/>
                <w:color w:val="auto"/>
              </w:rPr>
            </w:pPr>
          </w:p>
        </w:tc>
        <w:tc>
          <w:tcPr>
            <w:tcW w:w="440" w:type="dxa"/>
            <w:vAlign w:val="bottom"/>
            <w:shd w:val="clear" w:color="auto" w:fill="CFF0FC"/>
          </w:tcPr>
          <w:p>
            <w:pPr>
              <w:spacing w:after="0"/>
              <w:rPr>
                <w:sz w:val="21"/>
                <w:szCs w:val="21"/>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r>
      <w:tr>
        <w:trPr>
          <w:trHeight w:val="229"/>
        </w:trPr>
        <w:tc>
          <w:tcPr>
            <w:tcW w:w="5100" w:type="dxa"/>
            <w:vAlign w:val="bottom"/>
          </w:tcPr>
          <w:p>
            <w:pPr>
              <w:ind w:left="20"/>
              <w:spacing w:after="0"/>
              <w:rPr>
                <w:sz w:val="20"/>
                <w:szCs w:val="20"/>
                <w:color w:val="auto"/>
              </w:rPr>
            </w:pPr>
            <w:r>
              <w:rPr>
                <w:rFonts w:ascii="Arial" w:cs="Arial" w:eastAsia="Arial" w:hAnsi="Arial"/>
                <w:sz w:val="18"/>
                <w:szCs w:val="18"/>
                <w:color w:val="auto"/>
              </w:rPr>
              <w:t>General and administrative</w:t>
            </w:r>
          </w:p>
        </w:tc>
        <w:tc>
          <w:tcPr>
            <w:tcW w:w="86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6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240" w:type="dxa"/>
            <w:vAlign w:val="bottom"/>
          </w:tcPr>
          <w:p>
            <w:pPr>
              <w:spacing w:after="0"/>
              <w:rPr>
                <w:sz w:val="19"/>
                <w:szCs w:val="19"/>
                <w:color w:val="auto"/>
              </w:rPr>
            </w:pPr>
          </w:p>
        </w:tc>
        <w:tc>
          <w:tcPr>
            <w:tcW w:w="4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r>
      <w:tr>
        <w:trPr>
          <w:trHeight w:val="263"/>
        </w:trPr>
        <w:tc>
          <w:tcPr>
            <w:tcW w:w="510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restructuring charge</w:t>
            </w:r>
          </w:p>
        </w:tc>
        <w:tc>
          <w:tcPr>
            <w:tcW w:w="860" w:type="dxa"/>
            <w:vAlign w:val="bottom"/>
            <w:tcBorders>
              <w:bottom w:val="single" w:sz="8" w:color="auto"/>
            </w:tcBorders>
            <w:shd w:val="clear" w:color="auto" w:fill="CFF0FC"/>
          </w:tcPr>
          <w:p>
            <w:pPr>
              <w:jc w:val="right"/>
              <w:ind w:right="670"/>
              <w:spacing w:after="0"/>
              <w:rPr>
                <w:sz w:val="20"/>
                <w:szCs w:val="20"/>
                <w:color w:val="auto"/>
              </w:rPr>
            </w:pPr>
            <w:r>
              <w:rPr>
                <w:rFonts w:ascii="Arial" w:cs="Arial" w:eastAsia="Arial" w:hAnsi="Arial"/>
                <w:sz w:val="18"/>
                <w:szCs w:val="18"/>
                <w:color w:val="auto"/>
                <w:w w:val="7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7"/>
              </w:rPr>
              <w:t>1,549</w:t>
            </w:r>
          </w:p>
        </w:tc>
        <w:tc>
          <w:tcPr>
            <w:tcW w:w="260" w:type="dxa"/>
            <w:vAlign w:val="bottom"/>
            <w:tcBorders>
              <w:bottom w:val="single" w:sz="8" w:color="CFF0FC"/>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ind w:right="6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1,549</w:t>
            </w:r>
          </w:p>
        </w:tc>
        <w:tc>
          <w:tcPr>
            <w:tcW w:w="240" w:type="dxa"/>
            <w:vAlign w:val="bottom"/>
            <w:tcBorders>
              <w:bottom w:val="single" w:sz="8" w:color="CFF0FC"/>
            </w:tcBorders>
            <w:shd w:val="clear" w:color="auto" w:fill="CFF0FC"/>
          </w:tcPr>
          <w:p>
            <w:pPr>
              <w:spacing w:after="0"/>
              <w:rPr>
                <w:sz w:val="22"/>
                <w:szCs w:val="22"/>
                <w:color w:val="auto"/>
              </w:rPr>
            </w:pPr>
          </w:p>
        </w:tc>
        <w:tc>
          <w:tcPr>
            <w:tcW w:w="440" w:type="dxa"/>
            <w:vAlign w:val="bottom"/>
            <w:tcBorders>
              <w:bottom w:val="single" w:sz="8" w:color="auto"/>
            </w:tcBorders>
            <w:shd w:val="clear" w:color="auto" w:fill="CFF0FC"/>
          </w:tcPr>
          <w:p>
            <w:pPr>
              <w:jc w:val="right"/>
              <w:ind w:right="2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628"/>
        </w:trPr>
        <w:tc>
          <w:tcPr>
            <w:tcW w:w="5100" w:type="dxa"/>
            <w:vAlign w:val="bottom"/>
          </w:tcPr>
          <w:p>
            <w:pPr>
              <w:spacing w:after="0"/>
              <w:rPr>
                <w:sz w:val="24"/>
                <w:szCs w:val="24"/>
                <w:color w:val="auto"/>
              </w:rPr>
            </w:pPr>
          </w:p>
        </w:tc>
        <w:tc>
          <w:tcPr>
            <w:tcW w:w="8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13</w:t>
            </w:r>
          </w:p>
        </w:tc>
        <w:tc>
          <w:tcPr>
            <w:tcW w:w="4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5100" w:type="dxa"/>
            <w:vAlign w:val="bottom"/>
            <w:tcBorders>
              <w:bottom w:val="single" w:sz="8" w:color="9A9A9A"/>
            </w:tcBorders>
          </w:tcPr>
          <w:p>
            <w:pPr>
              <w:spacing w:after="0"/>
              <w:rPr>
                <w:sz w:val="9"/>
                <w:szCs w:val="9"/>
                <w:color w:val="auto"/>
              </w:rPr>
            </w:pPr>
          </w:p>
        </w:tc>
        <w:tc>
          <w:tcPr>
            <w:tcW w:w="86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6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4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120" w:type="dxa"/>
            <w:vAlign w:val="bottom"/>
            <w:tcBorders>
              <w:bottom w:val="single" w:sz="8" w:color="9A9A9A"/>
            </w:tcBorders>
          </w:tcPr>
          <w:p>
            <w:pPr>
              <w:spacing w:after="0"/>
              <w:rPr>
                <w:sz w:val="9"/>
                <w:szCs w:val="9"/>
                <w:color w:val="auto"/>
              </w:rPr>
            </w:pPr>
          </w:p>
        </w:tc>
        <w:tc>
          <w:tcPr>
            <w:tcW w:w="1160" w:type="dxa"/>
            <w:vAlign w:val="bottom"/>
            <w:tcBorders>
              <w:bottom w:val="single" w:sz="8" w:color="9A9A9A"/>
            </w:tcBorders>
          </w:tcPr>
          <w:p>
            <w:pPr>
              <w:spacing w:after="0"/>
              <w:rPr>
                <w:sz w:val="9"/>
                <w:szCs w:val="9"/>
                <w:color w:val="auto"/>
              </w:rPr>
            </w:pPr>
          </w:p>
        </w:tc>
        <w:tc>
          <w:tcPr>
            <w:tcW w:w="240" w:type="dxa"/>
            <w:vAlign w:val="bottom"/>
            <w:tcBorders>
              <w:bottom w:val="single" w:sz="8" w:color="9A9A9A"/>
            </w:tcBorders>
          </w:tcPr>
          <w:p>
            <w:pPr>
              <w:spacing w:after="0"/>
              <w:rPr>
                <w:sz w:val="9"/>
                <w:szCs w:val="9"/>
                <w:color w:val="auto"/>
              </w:rPr>
            </w:pPr>
          </w:p>
        </w:tc>
        <w:tc>
          <w:tcPr>
            <w:tcW w:w="440" w:type="dxa"/>
            <w:vAlign w:val="bottom"/>
            <w:tcBorders>
              <w:bottom w:val="single" w:sz="8" w:color="9A9A9A"/>
            </w:tcBorders>
          </w:tcPr>
          <w:p>
            <w:pPr>
              <w:spacing w:after="0"/>
              <w:rPr>
                <w:sz w:val="9"/>
                <w:szCs w:val="9"/>
                <w:color w:val="auto"/>
              </w:rPr>
            </w:pPr>
          </w:p>
        </w:tc>
        <w:tc>
          <w:tcPr>
            <w:tcW w:w="900" w:type="dxa"/>
            <w:vAlign w:val="bottom"/>
            <w:tcBorders>
              <w:bottom w:val="single" w:sz="8" w:color="9A9A9A"/>
            </w:tcBorders>
          </w:tcPr>
          <w:p>
            <w:pPr>
              <w:spacing w:after="0"/>
              <w:rPr>
                <w:sz w:val="9"/>
                <w:szCs w:val="9"/>
                <w:color w:val="auto"/>
              </w:rPr>
            </w:pPr>
          </w:p>
        </w:tc>
        <w:tc>
          <w:tcPr>
            <w:tcW w:w="100" w:type="dxa"/>
            <w:vAlign w:val="bottom"/>
            <w:tcBorders>
              <w:bottom w:val="single" w:sz="8" w:color="9A9A9A"/>
            </w:tcBorders>
          </w:tcPr>
          <w:p>
            <w:pPr>
              <w:spacing w:after="0"/>
              <w:rPr>
                <w:sz w:val="9"/>
                <w:szCs w:val="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4080510</wp:posOffset>
            </wp:positionH>
            <wp:positionV relativeFrom="paragraph">
              <wp:posOffset>-2970530</wp:posOffset>
            </wp:positionV>
            <wp:extent cx="76835" cy="32512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6835" cy="325120"/>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-2970530</wp:posOffset>
            </wp:positionV>
            <wp:extent cx="68580" cy="32512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-2970530</wp:posOffset>
            </wp:positionV>
            <wp:extent cx="68580" cy="32512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-2970530</wp:posOffset>
            </wp:positionV>
            <wp:extent cx="68580" cy="32512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68580" cy="32512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-1617345</wp:posOffset>
            </wp:positionV>
            <wp:extent cx="3056890" cy="33401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056890" cy="334010"/>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-521970</wp:posOffset>
            </wp:positionV>
            <wp:extent cx="7683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4080510</wp:posOffset>
            </wp:positionH>
            <wp:positionV relativeFrom="paragraph">
              <wp:posOffset>-504825</wp:posOffset>
            </wp:positionV>
            <wp:extent cx="7683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-521970</wp:posOffset>
            </wp:positionV>
            <wp:extent cx="6858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5107940</wp:posOffset>
            </wp:positionH>
            <wp:positionV relativeFrom="paragraph">
              <wp:posOffset>-504825</wp:posOffset>
            </wp:positionV>
            <wp:extent cx="6858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-521970</wp:posOffset>
            </wp:positionV>
            <wp:extent cx="6858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6075680</wp:posOffset>
            </wp:positionH>
            <wp:positionV relativeFrom="paragraph">
              <wp:posOffset>-504825</wp:posOffset>
            </wp:positionV>
            <wp:extent cx="6858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-521970</wp:posOffset>
            </wp:positionV>
            <wp:extent cx="6858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-504825</wp:posOffset>
            </wp:positionV>
            <wp:extent cx="685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7116445</wp:posOffset>
            </wp:positionH>
            <wp:positionV relativeFrom="paragraph">
              <wp:posOffset>-29210</wp:posOffset>
            </wp:positionV>
            <wp:extent cx="33655"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3655" cy="4254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33655" cy="42545"/>
                    </a:xfrm>
                    <a:prstGeom prst="rect">
                      <a:avLst/>
                    </a:prstGeom>
                    <a:noFill/>
                  </pic:spPr>
                </pic:pic>
              </a:graphicData>
            </a:graphic>
          </wp:anchor>
        </w:drawing>
      </w:r>
    </w:p>
    <w:p>
      <w:pPr>
        <w:sectPr>
          <w:pgSz w:w="11900" w:h="16838" w:orient="portrait"/>
          <w:cols w:equalWidth="0" w:num="1">
            <w:col w:w="11240"/>
          </w:cols>
          <w:pgMar w:left="320" w:top="336" w:right="339" w:bottom="1440" w:gutter="0" w:footer="0" w:header="0"/>
        </w:sectPr>
      </w:pPr>
    </w:p>
    <w:bookmarkStart w:id="16" w:name="page17"/>
    <w:bookmarkEnd w:id="16"/>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
      <w:numFmt w:val="bullet"/>
      <w:start w:val="1"/>
    </w:lvl>
  </w:abstractNum>
  <w:abstractNum w:abstractNumId="1">
    <w:nsid w:val="2EB141F2"/>
    <w:multiLevelType w:val="hybridMultilevel"/>
    <w:lvl w:ilvl="0">
      <w:lvlJc w:val="left"/>
      <w:lvlText w:val="•"/>
      <w:numFmt w:val="bullet"/>
      <w:start w:val="1"/>
    </w:lvl>
  </w:abstractNum>
  <w:abstractNum w:abstractNumId="2">
    <w:nsid w:val="41B71EFB"/>
    <w:multiLevelType w:val="hybridMultilevel"/>
    <w:lvl w:ilvl="0">
      <w:lvlJc w:val="left"/>
      <w:lvlText w:val="•"/>
      <w:numFmt w:val="bullet"/>
      <w:start w:val="1"/>
    </w:lvl>
  </w:abstractNum>
  <w:abstractNum w:abstractNumId="3">
    <w:nsid w:val="79E2A9E3"/>
    <w:multiLevelType w:val="hybridMultilevel"/>
    <w:lvl w:ilvl="0">
      <w:lvlJc w:val="left"/>
      <w:lvlText w:val="•"/>
      <w:numFmt w:val="bullet"/>
      <w:start w:val="1"/>
    </w:lvl>
  </w:abstractNum>
  <w:abstractNum w:abstractNumId="4">
    <w:nsid w:val="7545E146"/>
    <w:multiLevelType w:val="hybridMultilevel"/>
    <w:lvl w:ilvl="0">
      <w:lvlJc w:val="left"/>
      <w:lvlText w:val="•"/>
      <w:numFmt w:val="bullet"/>
      <w:start w:val="1"/>
    </w:lvl>
  </w:abstractNum>
  <w:abstractNum w:abstractNumId="5">
    <w:nsid w:val="515F007C"/>
    <w:multiLevelType w:val="hybridMultilevel"/>
    <w:lvl w:ilvl="0">
      <w:lvlJc w:val="left"/>
      <w:lvlText w:val="•"/>
      <w:numFmt w:val="bullet"/>
      <w:start w:val="1"/>
    </w:lvl>
  </w:abstractNum>
  <w:abstractNum w:abstractNumId="6">
    <w:nsid w:val="5BD062C2"/>
    <w:multiLevelType w:val="hybridMultilevel"/>
    <w:lvl w:ilvl="0">
      <w:lvlJc w:val="left"/>
      <w:lvlText w:val="•"/>
      <w:numFmt w:val="bullet"/>
      <w:start w:val="1"/>
    </w:lvl>
  </w:abstractNum>
  <w:abstractNum w:abstractNumId="7">
    <w:nsid w:val="12200854"/>
    <w:multiLevelType w:val="hybridMultilevel"/>
    <w:lvl w:ilvl="0">
      <w:lvlJc w:val="left"/>
      <w:lvlText w:val="(%1)"/>
      <w:numFmt w:val="decimal"/>
      <w:start w:val="1"/>
    </w:lvl>
  </w:abstractNum>
  <w:abstractNum w:abstractNumId="8">
    <w:nsid w:val="4DB127F8"/>
    <w:multiLevelType w:val="hybridMultilevel"/>
    <w:lvl w:ilvl="0">
      <w:lvlJc w:val="left"/>
      <w:lvlText w:val="(%1)"/>
      <w:numFmt w:val="decimal"/>
      <w:start w:val="2"/>
    </w:lvl>
  </w:abstractNum>
  <w:abstractNum w:abstractNumId="9">
    <w:nsid w:val="216231B"/>
    <w:multiLevelType w:val="hybridMultilevel"/>
    <w:lvl w:ilvl="0">
      <w:lvlJc w:val="left"/>
      <w:lvlText w:val="•"/>
      <w:numFmt w:val="bullet"/>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2023-03-01T07:12:02Z</dcterms:created>
  <dcterms:modified xsi:type="dcterms:W3CDTF">2023-03-01T07:12:02Z</dcterms:modified>
</cp:coreProperties>
</file>