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left="8840"/>
        <w:spacing w:after="0"/>
        <w:rPr>
          <w:sz w:val="20"/>
          <w:szCs w:val="20"/>
          <w:color w:val="auto"/>
        </w:rPr>
      </w:pPr>
      <w:r>
        <w:rPr>
          <w:rFonts w:ascii="Arial" w:cs="Arial" w:eastAsia="Arial" w:hAnsi="Arial"/>
          <w:sz w:val="17"/>
          <w:szCs w:val="17"/>
          <w:color w:val="auto"/>
        </w:rPr>
        <w:t>SEC FILE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5597525</wp:posOffset>
            </wp:positionH>
            <wp:positionV relativeFrom="paragraph">
              <wp:posOffset>-123190</wp:posOffset>
            </wp:positionV>
            <wp:extent cx="1329055" cy="5746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9055" cy="574675"/>
                    </a:xfrm>
                    <a:prstGeom prst="rect">
                      <a:avLst/>
                    </a:prstGeom>
                    <a:noFill/>
                  </pic:spPr>
                </pic:pic>
              </a:graphicData>
            </a:graphic>
          </wp:anchor>
        </w:drawing>
      </w:r>
    </w:p>
    <w:p>
      <w:pPr>
        <w:spacing w:after="0" w:line="15" w:lineRule="exact"/>
        <w:rPr>
          <w:sz w:val="24"/>
          <w:szCs w:val="24"/>
          <w:color w:val="auto"/>
        </w:rPr>
      </w:pPr>
    </w:p>
    <w:p>
      <w:pPr>
        <w:jc w:val="center"/>
        <w:ind w:left="8840"/>
        <w:spacing w:after="0"/>
        <w:rPr>
          <w:sz w:val="20"/>
          <w:szCs w:val="20"/>
          <w:color w:val="auto"/>
        </w:rPr>
      </w:pPr>
      <w:r>
        <w:rPr>
          <w:rFonts w:ascii="Arial" w:cs="Arial" w:eastAsia="Arial" w:hAnsi="Arial"/>
          <w:sz w:val="18"/>
          <w:szCs w:val="18"/>
          <w:color w:val="auto"/>
        </w:rPr>
        <w:t>001-40546</w:t>
      </w:r>
    </w:p>
    <w:p>
      <w:pPr>
        <w:spacing w:after="0" w:line="9" w:lineRule="exact"/>
        <w:rPr>
          <w:sz w:val="24"/>
          <w:szCs w:val="24"/>
          <w:color w:val="auto"/>
        </w:rPr>
      </w:pPr>
    </w:p>
    <w:p>
      <w:pPr>
        <w:jc w:val="center"/>
        <w:ind w:left="8840"/>
        <w:spacing w:after="0"/>
        <w:rPr>
          <w:sz w:val="20"/>
          <w:szCs w:val="20"/>
          <w:color w:val="auto"/>
        </w:rPr>
      </w:pPr>
      <w:r>
        <w:rPr>
          <w:rFonts w:ascii="Arial" w:cs="Arial" w:eastAsia="Arial" w:hAnsi="Arial"/>
          <w:sz w:val="18"/>
          <w:szCs w:val="18"/>
          <w:color w:val="auto"/>
        </w:rPr>
        <w:t>CUSIP NUMBER</w:t>
      </w:r>
    </w:p>
    <w:p>
      <w:pPr>
        <w:spacing w:after="0" w:line="23" w:lineRule="exact"/>
        <w:rPr>
          <w:sz w:val="24"/>
          <w:szCs w:val="24"/>
          <w:color w:val="auto"/>
        </w:rPr>
      </w:pPr>
    </w:p>
    <w:p>
      <w:pPr>
        <w:jc w:val="center"/>
        <w:ind w:left="8840"/>
        <w:spacing w:after="0"/>
        <w:rPr>
          <w:sz w:val="20"/>
          <w:szCs w:val="20"/>
          <w:color w:val="auto"/>
        </w:rPr>
      </w:pPr>
      <w:r>
        <w:rPr>
          <w:rFonts w:ascii="Arial" w:cs="Arial" w:eastAsia="Arial" w:hAnsi="Arial"/>
          <w:sz w:val="18"/>
          <w:szCs w:val="18"/>
          <w:color w:val="auto"/>
        </w:rPr>
        <w:t>98423F109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117475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160020</wp:posOffset>
            </wp:positionV>
            <wp:extent cx="69951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85" w:lineRule="exact"/>
        <w:rPr>
          <w:sz w:val="24"/>
          <w:szCs w:val="24"/>
          <w:color w:val="auto"/>
        </w:rPr>
      </w:pPr>
    </w:p>
    <w:p>
      <w:pPr>
        <w:jc w:val="center"/>
        <w:ind w:right="-23"/>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2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23"/>
        <w:spacing w:after="0"/>
        <w:rPr>
          <w:sz w:val="20"/>
          <w:szCs w:val="20"/>
          <w:color w:val="auto"/>
        </w:rPr>
      </w:pPr>
      <w:r>
        <w:rPr>
          <w:rFonts w:ascii="Arial" w:cs="Arial" w:eastAsia="Arial" w:hAnsi="Arial"/>
          <w:sz w:val="32"/>
          <w:szCs w:val="32"/>
          <w:b w:val="1"/>
          <w:bCs w:val="1"/>
          <w:color w:val="auto"/>
        </w:rPr>
        <w:t>FORM 12b-25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23"/>
        <w:spacing w:after="0"/>
        <w:rPr>
          <w:sz w:val="20"/>
          <w:szCs w:val="20"/>
          <w:color w:val="auto"/>
        </w:rPr>
      </w:pPr>
      <w:r>
        <w:rPr>
          <w:rFonts w:ascii="Arial" w:cs="Arial" w:eastAsia="Arial" w:hAnsi="Arial"/>
          <w:sz w:val="22"/>
          <w:szCs w:val="22"/>
          <w:b w:val="1"/>
          <w:bCs w:val="1"/>
          <w:color w:val="auto"/>
        </w:rPr>
        <w:t>NOTIFICATION OF LATE FILING</w:t>
      </w:r>
    </w:p>
    <w:p>
      <w:pPr>
        <w:sectPr>
          <w:pgSz w:w="11900" w:h="16838" w:orient="portrait"/>
          <w:cols w:equalWidth="0" w:num="1">
            <w:col w:w="11004"/>
          </w:cols>
          <w:pgMar w:left="436" w:top="247" w:right="459" w:bottom="0" w:gutter="0" w:footer="0" w:header="0"/>
        </w:sectPr>
      </w:pPr>
    </w:p>
    <w:p>
      <w:pPr>
        <w:spacing w:after="0" w:line="246" w:lineRule="exact"/>
        <w:rPr>
          <w:sz w:val="24"/>
          <w:szCs w:val="24"/>
          <w:color w:val="auto"/>
        </w:rPr>
      </w:pPr>
    </w:p>
    <w:p>
      <w:pPr>
        <w:ind w:left="2044"/>
        <w:spacing w:after="0"/>
        <w:rPr>
          <w:sz w:val="20"/>
          <w:szCs w:val="20"/>
          <w:color w:val="auto"/>
        </w:rPr>
      </w:pPr>
      <w:r>
        <w:rPr>
          <w:rFonts w:ascii="Arial" w:cs="Arial" w:eastAsia="Arial" w:hAnsi="Arial"/>
          <w:sz w:val="16"/>
          <w:szCs w:val="16"/>
          <w:color w:val="auto"/>
        </w:rPr>
        <w:t>(Check One):</w:t>
      </w:r>
    </w:p>
    <w:p>
      <w:pPr>
        <w:spacing w:after="0" w:line="20" w:lineRule="exact"/>
        <w:rPr>
          <w:sz w:val="24"/>
          <w:szCs w:val="24"/>
          <w:color w:val="auto"/>
        </w:rPr>
      </w:pPr>
      <w:r>
        <w:rPr>
          <w:sz w:val="24"/>
          <w:szCs w:val="24"/>
          <w:color w:val="auto"/>
        </w:rPr>
        <w:br w:type="column"/>
      </w:r>
    </w:p>
    <w:p>
      <w:pPr>
        <w:spacing w:after="0" w:line="193" w:lineRule="exact"/>
        <w:rPr>
          <w:sz w:val="24"/>
          <w:szCs w:val="24"/>
          <w:color w:val="auto"/>
        </w:rPr>
      </w:pPr>
    </w:p>
    <w:p>
      <w:pPr>
        <w:spacing w:after="0" w:line="250"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Form 10-K </w:t>
      </w:r>
      <w:r>
        <w:rPr>
          <w:rFonts w:ascii="MS PGothic" w:cs="MS PGothic" w:eastAsia="MS PGothic" w:hAnsi="MS PGothic"/>
          <w:sz w:val="18"/>
          <w:szCs w:val="18"/>
          <w:color w:val="auto"/>
        </w:rPr>
        <w:t>☐</w:t>
      </w:r>
      <w:r>
        <w:rPr>
          <w:rFonts w:ascii="Arial" w:cs="Arial" w:eastAsia="Arial" w:hAnsi="Arial"/>
          <w:sz w:val="18"/>
          <w:szCs w:val="18"/>
          <w:color w:val="auto"/>
        </w:rPr>
        <w:t xml:space="preserve"> 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10-D </w:t>
      </w:r>
      <w:r>
        <w:rPr>
          <w:rFonts w:ascii="MS PGothic" w:cs="MS PGothic" w:eastAsia="MS PGothic" w:hAnsi="MS PGothic"/>
          <w:sz w:val="18"/>
          <w:szCs w:val="18"/>
          <w:color w:val="auto"/>
        </w:rPr>
        <w:t>☐</w:t>
      </w:r>
      <w:r>
        <w:rPr>
          <w:rFonts w:ascii="Arial" w:cs="Arial" w:eastAsia="Arial" w:hAnsi="Arial"/>
          <w:sz w:val="18"/>
          <w:szCs w:val="18"/>
          <w:color w:val="auto"/>
        </w:rPr>
        <w:t xml:space="preserve"> Form N-CEN</w:t>
      </w:r>
    </w:p>
    <w:p>
      <w:pPr>
        <w:spacing w:after="0" w:line="20" w:lineRule="exact"/>
        <w:rPr>
          <w:sz w:val="24"/>
          <w:szCs w:val="24"/>
          <w:color w:val="auto"/>
        </w:rPr>
      </w:pPr>
      <w:r>
        <w:rPr>
          <w:sz w:val="24"/>
          <w:szCs w:val="24"/>
          <w:color w:val="auto"/>
        </w:rPr>
        <w:br w:type="column"/>
      </w:r>
    </w:p>
    <w:p>
      <w:pPr>
        <w:spacing w:after="0" w:line="193" w:lineRule="exact"/>
        <w:rPr>
          <w:sz w:val="24"/>
          <w:szCs w:val="24"/>
          <w:color w:val="auto"/>
        </w:rPr>
      </w:pPr>
    </w:p>
    <w:p>
      <w:pPr>
        <w:jc w:val="right"/>
        <w:spacing w:after="0" w:line="250"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Form 11-K   </w:t>
      </w:r>
      <w:r>
        <w:rPr>
          <w:rFonts w:ascii="MS PGothic" w:cs="MS PGothic" w:eastAsia="MS PGothic" w:hAnsi="MS PGothic"/>
          <w:sz w:val="18"/>
          <w:szCs w:val="18"/>
          <w:color w:val="auto"/>
        </w:rPr>
        <w:t>☐</w:t>
      </w:r>
      <w:r>
        <w:rPr>
          <w:rFonts w:ascii="Arial" w:cs="Arial" w:eastAsia="Arial" w:hAnsi="Arial"/>
          <w:sz w:val="18"/>
          <w:szCs w:val="18"/>
          <w:color w:val="auto"/>
        </w:rPr>
        <w:t xml:space="preserve"> </w:t>
      </w:r>
      <w:r>
        <w:rPr>
          <w:rFonts w:ascii="MS PGothic" w:cs="MS PGothic" w:eastAsia="MS PGothic" w:hAnsi="MS PGothic"/>
          <w:sz w:val="18"/>
          <w:szCs w:val="18"/>
          <w:color w:val="auto"/>
        </w:rPr>
        <w:t>☐</w:t>
      </w:r>
      <w:r>
        <w:rPr>
          <w:rFonts w:ascii="Arial" w:cs="Arial" w:eastAsia="Arial" w:hAnsi="Arial"/>
          <w:sz w:val="18"/>
          <w:szCs w:val="18"/>
          <w:color w:val="auto"/>
        </w:rPr>
        <w:t xml:space="preserve"> Form N-CSR</w:t>
      </w:r>
    </w:p>
    <w:p>
      <w:pPr>
        <w:spacing w:after="0" w:line="20" w:lineRule="exact"/>
        <w:rPr>
          <w:sz w:val="24"/>
          <w:szCs w:val="24"/>
          <w:color w:val="auto"/>
        </w:rPr>
      </w:pPr>
      <w:r>
        <w:rPr>
          <w:sz w:val="24"/>
          <w:szCs w:val="24"/>
          <w:color w:val="auto"/>
        </w:rPr>
        <w:br w:type="column"/>
      </w:r>
    </w:p>
    <w:p>
      <w:pPr>
        <w:spacing w:after="0" w:line="226" w:lineRule="exact"/>
        <w:rPr>
          <w:sz w:val="24"/>
          <w:szCs w:val="24"/>
          <w:color w:val="auto"/>
        </w:rPr>
      </w:pPr>
    </w:p>
    <w:p>
      <w:pPr>
        <w:spacing w:after="0"/>
        <w:rPr>
          <w:sz w:val="20"/>
          <w:szCs w:val="20"/>
          <w:color w:val="auto"/>
        </w:rPr>
      </w:pPr>
      <w:r>
        <w:rPr>
          <w:rFonts w:ascii="Arial" w:cs="Arial" w:eastAsia="Arial" w:hAnsi="Arial"/>
          <w:sz w:val="16"/>
          <w:szCs w:val="16"/>
          <w:color w:val="auto"/>
        </w:rPr>
        <w:t>Form 10-Q</w:t>
      </w:r>
    </w:p>
    <w:p>
      <w:pPr>
        <w:spacing w:after="0" w:line="369" w:lineRule="exact"/>
        <w:rPr>
          <w:sz w:val="24"/>
          <w:szCs w:val="24"/>
          <w:color w:val="auto"/>
        </w:rPr>
      </w:pPr>
    </w:p>
    <w:p>
      <w:pPr>
        <w:sectPr>
          <w:pgSz w:w="11900" w:h="16838" w:orient="portrait"/>
          <w:cols w:equalWidth="0" w:num="4">
            <w:col w:w="3024" w:space="280"/>
            <w:col w:w="2520" w:space="20"/>
            <w:col w:w="1440" w:space="80"/>
            <w:col w:w="3640"/>
          </w:cols>
          <w:pgMar w:left="436" w:top="247" w:right="459" w:bottom="0" w:gutter="0" w:footer="0" w:header="0"/>
          <w:type w:val="continuous"/>
        </w:sectPr>
      </w:pPr>
    </w:p>
    <w:p>
      <w:pPr>
        <w:ind w:left="3304"/>
        <w:spacing w:after="0"/>
        <w:rPr>
          <w:sz w:val="20"/>
          <w:szCs w:val="20"/>
          <w:color w:val="auto"/>
        </w:rPr>
      </w:pPr>
      <w:r>
        <w:rPr>
          <w:rFonts w:ascii="Arial" w:cs="Arial" w:eastAsia="Arial" w:hAnsi="Arial"/>
          <w:sz w:val="18"/>
          <w:szCs w:val="18"/>
          <w:color w:val="auto"/>
        </w:rPr>
        <w:t>For Period Ended: December 31, 2022</w:t>
      </w:r>
    </w:p>
    <w:p>
      <w:pPr>
        <w:spacing w:after="0" w:line="117" w:lineRule="exact"/>
        <w:rPr>
          <w:sz w:val="24"/>
          <w:szCs w:val="24"/>
          <w:color w:val="auto"/>
        </w:rPr>
      </w:pPr>
    </w:p>
    <w:p>
      <w:pPr>
        <w:ind w:left="3564" w:hanging="257"/>
        <w:spacing w:after="0"/>
        <w:tabs>
          <w:tab w:leader="none" w:pos="356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on Form 10-K</w:t>
      </w:r>
    </w:p>
    <w:p>
      <w:pPr>
        <w:spacing w:after="0" w:line="43" w:lineRule="exact"/>
        <w:rPr>
          <w:rFonts w:ascii="MS PGothic" w:cs="MS PGothic" w:eastAsia="MS PGothic" w:hAnsi="MS PGothic"/>
          <w:sz w:val="18"/>
          <w:szCs w:val="18"/>
          <w:color w:val="auto"/>
        </w:rPr>
      </w:pPr>
    </w:p>
    <w:p>
      <w:pPr>
        <w:ind w:left="3564" w:hanging="257"/>
        <w:spacing w:after="0"/>
        <w:tabs>
          <w:tab w:leader="none" w:pos="356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on Form 20-F</w:t>
      </w:r>
    </w:p>
    <w:p>
      <w:pPr>
        <w:spacing w:after="0" w:line="36" w:lineRule="exact"/>
        <w:rPr>
          <w:rFonts w:ascii="MS PGothic" w:cs="MS PGothic" w:eastAsia="MS PGothic" w:hAnsi="MS PGothic"/>
          <w:sz w:val="18"/>
          <w:szCs w:val="18"/>
          <w:color w:val="auto"/>
        </w:rPr>
      </w:pPr>
    </w:p>
    <w:p>
      <w:pPr>
        <w:ind w:left="3564" w:hanging="257"/>
        <w:spacing w:after="0"/>
        <w:tabs>
          <w:tab w:leader="none" w:pos="356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on Form 11-K</w:t>
      </w:r>
    </w:p>
    <w:p>
      <w:pPr>
        <w:spacing w:after="0" w:line="36" w:lineRule="exact"/>
        <w:rPr>
          <w:rFonts w:ascii="MS PGothic" w:cs="MS PGothic" w:eastAsia="MS PGothic" w:hAnsi="MS PGothic"/>
          <w:sz w:val="18"/>
          <w:szCs w:val="18"/>
          <w:color w:val="auto"/>
        </w:rPr>
      </w:pPr>
    </w:p>
    <w:p>
      <w:pPr>
        <w:ind w:left="3564" w:hanging="257"/>
        <w:spacing w:after="0"/>
        <w:tabs>
          <w:tab w:leader="none" w:pos="356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on Form 10-Q</w:t>
      </w:r>
    </w:p>
    <w:p>
      <w:pPr>
        <w:spacing w:after="0" w:line="110" w:lineRule="exact"/>
        <w:rPr>
          <w:sz w:val="24"/>
          <w:szCs w:val="24"/>
          <w:color w:val="auto"/>
        </w:rPr>
      </w:pPr>
    </w:p>
    <w:p>
      <w:pPr>
        <w:ind w:left="3304"/>
        <w:spacing w:after="0"/>
        <w:rPr>
          <w:sz w:val="20"/>
          <w:szCs w:val="20"/>
          <w:color w:val="auto"/>
        </w:rPr>
      </w:pPr>
      <w:r>
        <w:rPr>
          <w:rFonts w:ascii="Arial" w:cs="Arial" w:eastAsia="Arial" w:hAnsi="Arial"/>
          <w:sz w:val="18"/>
          <w:szCs w:val="18"/>
          <w:color w:val="auto"/>
        </w:rPr>
        <w:t>For the transition period ended: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168910</wp:posOffset>
            </wp:positionV>
            <wp:extent cx="6926580" cy="3429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26580" cy="342900"/>
                    </a:xfrm>
                    <a:prstGeom prst="rect">
                      <a:avLst/>
                    </a:prstGeom>
                    <a:noFill/>
                  </pic:spPr>
                </pic:pic>
              </a:graphicData>
            </a:graphic>
          </wp:anchor>
        </w:drawing>
      </w:r>
    </w:p>
    <w:p>
      <w:pPr>
        <w:spacing w:after="0" w:line="286" w:lineRule="exact"/>
        <w:rPr>
          <w:sz w:val="24"/>
          <w:szCs w:val="24"/>
          <w:color w:val="auto"/>
        </w:rPr>
      </w:pPr>
    </w:p>
    <w:p>
      <w:pPr>
        <w:jc w:val="center"/>
        <w:ind w:right="96"/>
        <w:spacing w:after="0"/>
        <w:rPr>
          <w:sz w:val="20"/>
          <w:szCs w:val="20"/>
          <w:color w:val="auto"/>
        </w:rPr>
      </w:pPr>
      <w:r>
        <w:rPr>
          <w:rFonts w:ascii="Arial" w:cs="Arial" w:eastAsia="Arial" w:hAnsi="Arial"/>
          <w:sz w:val="18"/>
          <w:szCs w:val="18"/>
          <w:i w:val="1"/>
          <w:iCs w:val="1"/>
          <w:color w:val="auto"/>
        </w:rPr>
        <w:t>Read Instruction (on back page) Before Preparing Form. Please Print or Type.</w:t>
      </w:r>
    </w:p>
    <w:p>
      <w:pPr>
        <w:spacing w:after="0" w:line="23" w:lineRule="exact"/>
        <w:rPr>
          <w:sz w:val="24"/>
          <w:szCs w:val="24"/>
          <w:color w:val="auto"/>
        </w:rPr>
      </w:pPr>
    </w:p>
    <w:p>
      <w:pPr>
        <w:jc w:val="center"/>
        <w:ind w:right="96"/>
        <w:spacing w:after="0"/>
        <w:rPr>
          <w:sz w:val="20"/>
          <w:szCs w:val="20"/>
          <w:color w:val="auto"/>
        </w:rPr>
      </w:pPr>
      <w:r>
        <w:rPr>
          <w:rFonts w:ascii="Arial" w:cs="Arial" w:eastAsia="Arial" w:hAnsi="Arial"/>
          <w:sz w:val="18"/>
          <w:szCs w:val="18"/>
          <w:b w:val="1"/>
          <w:bCs w:val="1"/>
          <w:color w:val="auto"/>
        </w:rPr>
        <w:t>Nothing in this form shall be construed to imply that the Commission has verified any information contained herein.</w:t>
      </w:r>
    </w:p>
    <w:p>
      <w:pPr>
        <w:spacing w:after="0" w:line="265" w:lineRule="exact"/>
        <w:rPr>
          <w:sz w:val="24"/>
          <w:szCs w:val="24"/>
          <w:color w:val="auto"/>
        </w:rPr>
      </w:pPr>
    </w:p>
    <w:p>
      <w:pPr>
        <w:ind w:left="4"/>
        <w:spacing w:after="0"/>
        <w:rPr>
          <w:sz w:val="20"/>
          <w:szCs w:val="20"/>
          <w:color w:val="auto"/>
        </w:rPr>
      </w:pPr>
      <w:r>
        <w:rPr>
          <w:rFonts w:ascii="Arial" w:cs="Arial" w:eastAsia="Arial" w:hAnsi="Arial"/>
          <w:sz w:val="18"/>
          <w:szCs w:val="18"/>
          <w:color w:val="auto"/>
        </w:rPr>
        <w:t>If the notification relates to a portion of the filing checked above, identify the Item(s) to which the notification relates: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314960</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95"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PART I — REGISTRANT INFORMATION</w:t>
      </w:r>
    </w:p>
    <w:p>
      <w:pPr>
        <w:spacing w:after="0" w:line="196" w:lineRule="exact"/>
        <w:rPr>
          <w:sz w:val="24"/>
          <w:szCs w:val="24"/>
          <w:color w:val="auto"/>
        </w:rPr>
      </w:pPr>
    </w:p>
    <w:p>
      <w:pPr>
        <w:jc w:val="center"/>
        <w:ind w:right="-3"/>
        <w:spacing w:after="0"/>
        <w:rPr>
          <w:sz w:val="20"/>
          <w:szCs w:val="20"/>
          <w:color w:val="auto"/>
        </w:rPr>
      </w:pPr>
      <w:r>
        <w:rPr>
          <w:rFonts w:ascii="Arial" w:cs="Arial" w:eastAsia="Arial" w:hAnsi="Arial"/>
          <w:sz w:val="40"/>
          <w:szCs w:val="40"/>
          <w:b w:val="1"/>
          <w:bCs w:val="1"/>
          <w:color w:val="auto"/>
        </w:rPr>
        <w:t>Xometry, Inc.</w:t>
      </w:r>
    </w:p>
    <w:p>
      <w:pPr>
        <w:spacing w:after="0" w:line="27" w:lineRule="exact"/>
        <w:rPr>
          <w:sz w:val="24"/>
          <w:szCs w:val="24"/>
          <w:color w:val="auto"/>
        </w:rPr>
      </w:pPr>
    </w:p>
    <w:p>
      <w:pPr>
        <w:jc w:val="center"/>
        <w:ind w:right="-3"/>
        <w:spacing w:after="0"/>
        <w:rPr>
          <w:sz w:val="20"/>
          <w:szCs w:val="20"/>
          <w:color w:val="auto"/>
        </w:rPr>
      </w:pPr>
      <w:r>
        <w:rPr>
          <w:rFonts w:ascii="Arial" w:cs="Arial" w:eastAsia="Arial" w:hAnsi="Arial"/>
          <w:sz w:val="14"/>
          <w:szCs w:val="14"/>
          <w:color w:val="auto"/>
        </w:rPr>
        <w:t>Full Name of Registrant</w:t>
      </w:r>
    </w:p>
    <w:p>
      <w:pPr>
        <w:spacing w:after="0" w:line="192"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if Applicable</w:t>
      </w:r>
    </w:p>
    <w:p>
      <w:pPr>
        <w:spacing w:after="0" w:line="192"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6116 Executive Blvd, Suite 800</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 xml:space="preserve">Address of Principal Executive Office </w:t>
      </w:r>
      <w:r>
        <w:rPr>
          <w:rFonts w:ascii="Arial" w:cs="Arial" w:eastAsia="Arial" w:hAnsi="Arial"/>
          <w:sz w:val="14"/>
          <w:szCs w:val="14"/>
          <w:b w:val="1"/>
          <w:bCs w:val="1"/>
          <w:i w:val="1"/>
          <w:iCs w:val="1"/>
          <w:color w:val="auto"/>
        </w:rPr>
        <w:t>(Street and Number)</w:t>
      </w:r>
    </w:p>
    <w:p>
      <w:pPr>
        <w:spacing w:after="0" w:line="192"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North Bethesda, MD 20852</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City, State and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159385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PART II — RULES 12b-25(b) AND (c)</w:t>
      </w:r>
    </w:p>
    <w:p>
      <w:pPr>
        <w:spacing w:after="0" w:line="229" w:lineRule="exact"/>
        <w:rPr>
          <w:sz w:val="24"/>
          <w:szCs w:val="24"/>
          <w:color w:val="auto"/>
        </w:rPr>
      </w:pPr>
    </w:p>
    <w:p>
      <w:pPr>
        <w:ind w:left="4" w:right="220"/>
        <w:spacing w:after="0" w:line="277" w:lineRule="auto"/>
        <w:rPr>
          <w:sz w:val="20"/>
          <w:szCs w:val="20"/>
          <w:color w:val="auto"/>
        </w:rPr>
      </w:pPr>
      <w:r>
        <w:rPr>
          <w:rFonts w:ascii="Arial" w:cs="Arial" w:eastAsia="Arial" w:hAnsi="Arial"/>
          <w:sz w:val="18"/>
          <w:szCs w:val="18"/>
          <w:color w:val="auto"/>
        </w:rPr>
        <w:t>If the subject report could not be filed without unreasonable effort or expense and the registrant seeks relief pursuant to Rule 12b-25(b), the following should be completed. (Check box if appropriate)</w:t>
      </w:r>
    </w:p>
    <w:p>
      <w:pPr>
        <w:spacing w:after="0" w:line="197" w:lineRule="exact"/>
        <w:rPr>
          <w:sz w:val="24"/>
          <w:szCs w:val="24"/>
          <w:color w:val="auto"/>
        </w:rPr>
      </w:pPr>
    </w:p>
    <w:p>
      <w:pPr>
        <w:ind w:left="784" w:hanging="325"/>
        <w:spacing w:after="0"/>
        <w:tabs>
          <w:tab w:leader="none" w:pos="784" w:val="left"/>
        </w:tabs>
        <w:numPr>
          <w:ilvl w:val="1"/>
          <w:numId w:val="2"/>
        </w:numPr>
        <w:rPr>
          <w:rFonts w:ascii="Arial" w:cs="Arial" w:eastAsia="Arial" w:hAnsi="Arial"/>
          <w:sz w:val="17"/>
          <w:szCs w:val="17"/>
          <w:color w:val="auto"/>
        </w:rPr>
      </w:pPr>
      <w:r>
        <w:rPr>
          <w:rFonts w:ascii="Arial" w:cs="Arial" w:eastAsia="Arial" w:hAnsi="Arial"/>
          <w:sz w:val="17"/>
          <w:szCs w:val="17"/>
          <w:color w:val="auto"/>
        </w:rPr>
        <w:t>The reasons described in reasonable detail in Part III of this form could not be eliminated without unreasonable effort or expense;</w:t>
      </w:r>
    </w:p>
    <w:p>
      <w:pPr>
        <w:spacing w:after="0" w:line="34" w:lineRule="exact"/>
        <w:rPr>
          <w:rFonts w:ascii="Arial" w:cs="Arial" w:eastAsia="Arial" w:hAnsi="Arial"/>
          <w:sz w:val="17"/>
          <w:szCs w:val="17"/>
          <w:color w:val="auto"/>
        </w:rPr>
      </w:pPr>
    </w:p>
    <w:p>
      <w:pPr>
        <w:ind w:left="784" w:hanging="325"/>
        <w:spacing w:after="0"/>
        <w:tabs>
          <w:tab w:leader="none" w:pos="784" w:val="left"/>
        </w:tabs>
        <w:numPr>
          <w:ilvl w:val="1"/>
          <w:numId w:val="2"/>
        </w:numPr>
        <w:rPr>
          <w:rFonts w:ascii="Arial" w:cs="Arial" w:eastAsia="Arial" w:hAnsi="Arial"/>
          <w:sz w:val="17"/>
          <w:szCs w:val="17"/>
          <w:color w:val="auto"/>
        </w:rPr>
      </w:pPr>
      <w:r>
        <w:rPr>
          <w:rFonts w:ascii="Arial" w:cs="Arial" w:eastAsia="Arial" w:hAnsi="Arial"/>
          <w:sz w:val="17"/>
          <w:szCs w:val="17"/>
          <w:color w:val="auto"/>
        </w:rPr>
        <w:t>The subject annual report, semi-annual report, transition report on Form 10-K, Form 20-F, Form 11-K, Form N-CEN or Form N-CSR, or</w:t>
      </w:r>
    </w:p>
    <w:p>
      <w:pPr>
        <w:spacing w:after="0" w:line="20" w:lineRule="exact"/>
        <w:rPr>
          <w:rFonts w:ascii="Arial" w:cs="Arial" w:eastAsia="Arial" w:hAnsi="Arial"/>
          <w:sz w:val="17"/>
          <w:szCs w:val="17"/>
          <w:color w:val="auto"/>
        </w:rPr>
      </w:pPr>
    </w:p>
    <w:p>
      <w:pPr>
        <w:ind w:left="784" w:hanging="784"/>
        <w:spacing w:after="0" w:line="200" w:lineRule="auto"/>
        <w:tabs>
          <w:tab w:leader="none" w:pos="784" w:val="left"/>
        </w:tabs>
        <w:numPr>
          <w:ilvl w:val="0"/>
          <w:numId w:val="2"/>
        </w:numPr>
        <w:rPr>
          <w:rFonts w:ascii="MS PGothic" w:cs="MS PGothic" w:eastAsia="MS PGothic" w:hAnsi="MS PGothic"/>
          <w:sz w:val="36"/>
          <w:szCs w:val="36"/>
          <w:color w:val="auto"/>
          <w:vertAlign w:val="subscript"/>
        </w:rPr>
      </w:pPr>
      <w:r>
        <w:rPr>
          <w:rFonts w:ascii="Arial" w:cs="Arial" w:eastAsia="Arial" w:hAnsi="Arial"/>
          <w:sz w:val="18"/>
          <w:szCs w:val="18"/>
          <w:color w:val="auto"/>
        </w:rPr>
        <w:t>portion thereof, will be filed on or before the fifteenth calendar day following the prescribed due date; or the subject quarterly report or transition report on Form 10-Q or subject distribution report on Form 10-D, or portion thereof, will be filed on or before the fifth calendar day following the prescribed due date; and</w:t>
      </w:r>
    </w:p>
    <w:p>
      <w:pPr>
        <w:spacing w:after="0" w:line="3" w:lineRule="exact"/>
        <w:rPr>
          <w:rFonts w:ascii="MS PGothic" w:cs="MS PGothic" w:eastAsia="MS PGothic" w:hAnsi="MS PGothic"/>
          <w:sz w:val="36"/>
          <w:szCs w:val="36"/>
          <w:color w:val="auto"/>
          <w:vertAlign w:val="subscript"/>
        </w:rPr>
      </w:pPr>
    </w:p>
    <w:p>
      <w:pPr>
        <w:ind w:left="784" w:hanging="325"/>
        <w:spacing w:after="0"/>
        <w:tabs>
          <w:tab w:leader="none" w:pos="784"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accountant’s statement or other exhibit required by Rule 12b-25(c) has been attached if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213995</wp:posOffset>
            </wp:positionH>
            <wp:positionV relativeFrom="paragraph">
              <wp:posOffset>-816610</wp:posOffset>
            </wp:positionV>
            <wp:extent cx="8255" cy="8229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255" cy="82296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245745</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378"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PART III - NARRATIVE</w:t>
      </w:r>
    </w:p>
    <w:p>
      <w:pPr>
        <w:spacing w:after="0" w:line="229" w:lineRule="exact"/>
        <w:rPr>
          <w:sz w:val="24"/>
          <w:szCs w:val="24"/>
          <w:color w:val="auto"/>
        </w:rPr>
      </w:pPr>
    </w:p>
    <w:p>
      <w:pPr>
        <w:ind w:left="4" w:right="40"/>
        <w:spacing w:after="0" w:line="277" w:lineRule="auto"/>
        <w:rPr>
          <w:sz w:val="20"/>
          <w:szCs w:val="20"/>
          <w:color w:val="auto"/>
        </w:rPr>
      </w:pPr>
      <w:r>
        <w:rPr>
          <w:rFonts w:ascii="Arial" w:cs="Arial" w:eastAsia="Arial" w:hAnsi="Arial"/>
          <w:sz w:val="18"/>
          <w:szCs w:val="18"/>
          <w:color w:val="auto"/>
        </w:rPr>
        <w:t>State below in reasonable detail the reasons why Forms 10-K, 20-F, 11-K, 10-Q, 10-D, N-CEN, N-CSR, or the transition report or portion thereof, could not be filed within the prescribed time period.</w:t>
      </w:r>
    </w:p>
    <w:p>
      <w:pPr>
        <w:spacing w:after="0" w:line="170" w:lineRule="exact"/>
        <w:rPr>
          <w:sz w:val="24"/>
          <w:szCs w:val="24"/>
          <w:color w:val="auto"/>
        </w:rPr>
      </w:pPr>
    </w:p>
    <w:p>
      <w:pPr>
        <w:ind w:left="4" w:right="100" w:firstLine="440"/>
        <w:spacing w:after="0" w:line="342" w:lineRule="auto"/>
        <w:rPr>
          <w:sz w:val="20"/>
          <w:szCs w:val="20"/>
          <w:color w:val="auto"/>
        </w:rPr>
      </w:pPr>
      <w:r>
        <w:rPr>
          <w:rFonts w:ascii="Arial" w:cs="Arial" w:eastAsia="Arial" w:hAnsi="Arial"/>
          <w:sz w:val="16"/>
          <w:szCs w:val="16"/>
          <w:color w:val="auto"/>
        </w:rPr>
        <w:t>Xometry, Inc. (“Xometry”) could not file its Annual Report on Form 10-K for the fiscal year ended December 31, 2022 (the “2022 Form 10-K”) within the prescribed period without unreasonable effort or expense because it requires additional time to complete its assessment of its internal control</w:t>
      </w:r>
    </w:p>
    <w:p>
      <w:pPr>
        <w:sectPr>
          <w:pgSz w:w="11900" w:h="16838" w:orient="portrait"/>
          <w:cols w:equalWidth="0" w:num="1">
            <w:col w:w="11004"/>
          </w:cols>
          <w:pgMar w:left="436" w:top="247" w:right="459" w:bottom="0" w:gutter="0" w:footer="0" w:header="0"/>
          <w:type w:val="continuous"/>
        </w:sectPr>
      </w:pPr>
    </w:p>
    <w:bookmarkStart w:id="1" w:name="page2"/>
    <w:bookmarkEnd w:id="1"/>
    <w:p>
      <w:pPr>
        <w:jc w:val="both"/>
        <w:ind w:left="4" w:right="100"/>
        <w:spacing w:after="0" w:line="311" w:lineRule="auto"/>
        <w:rPr>
          <w:sz w:val="20"/>
          <w:szCs w:val="20"/>
          <w:color w:val="auto"/>
        </w:rPr>
      </w:pPr>
      <w:r>
        <w:rPr>
          <w:rFonts w:ascii="Arial" w:cs="Arial" w:eastAsia="Arial" w:hAnsi="Arial"/>
          <w:sz w:val="16"/>
          <w:szCs w:val="16"/>
          <w:color w:val="auto"/>
        </w:rPr>
        <w:t>over financial reporting. As a result, Xometry’s independent registered public accounting firm, KPMG LLP, has not yet completed its audit of Xometry. Xometry currently anticipates the 2022 Form 10-K will contain no material changes to the full year of 2022 results announced in its press release dated March 1, 2023, and that the 2022 Form 10-K will be filed as soon as practicable on or before the 15th calendar day following the prescribed due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129540</wp:posOffset>
            </wp:positionV>
            <wp:extent cx="6995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9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PART IV - OTHER INFORMATION</w:t>
      </w:r>
    </w:p>
    <w:p>
      <w:pPr>
        <w:spacing w:after="0" w:line="256" w:lineRule="exact"/>
        <w:rPr>
          <w:sz w:val="20"/>
          <w:szCs w:val="20"/>
          <w:color w:val="auto"/>
        </w:rPr>
      </w:pPr>
    </w:p>
    <w:p>
      <w:pPr>
        <w:ind w:left="684" w:hanging="684"/>
        <w:spacing w:after="0"/>
        <w:tabs>
          <w:tab w:leader="none" w:pos="684"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 and telephone number of person to contact in regard to this notification.</w:t>
      </w:r>
    </w:p>
    <w:p>
      <w:pPr>
        <w:spacing w:after="0" w:line="225" w:lineRule="exact"/>
        <w:rPr>
          <w:sz w:val="20"/>
          <w:szCs w:val="20"/>
          <w:color w:val="auto"/>
        </w:rPr>
      </w:pPr>
    </w:p>
    <w:tbl>
      <w:tblPr>
        <w:tblLayout w:type="fixed"/>
        <w:tblInd w:w="584" w:type="dxa"/>
        <w:tblCellMar>
          <w:top w:w="0" w:type="dxa"/>
          <w:left w:w="0" w:type="dxa"/>
          <w:bottom w:w="0" w:type="dxa"/>
          <w:right w:w="0" w:type="dxa"/>
        </w:tblCellMar>
      </w:tblPr>
      <w:tr>
        <w:trPr>
          <w:trHeight w:val="230"/>
        </w:trPr>
        <w:tc>
          <w:tcPr>
            <w:tcW w:w="4720" w:type="dxa"/>
            <w:vAlign w:val="bottom"/>
            <w:gridSpan w:val="2"/>
          </w:tcPr>
          <w:p>
            <w:pPr>
              <w:ind w:left="1880"/>
              <w:spacing w:after="0"/>
              <w:rPr>
                <w:sz w:val="20"/>
                <w:szCs w:val="20"/>
                <w:color w:val="auto"/>
              </w:rPr>
            </w:pPr>
            <w:r>
              <w:rPr>
                <w:rFonts w:ascii="Arial" w:cs="Arial" w:eastAsia="Arial" w:hAnsi="Arial"/>
                <w:sz w:val="18"/>
                <w:szCs w:val="18"/>
                <w:color w:val="auto"/>
              </w:rPr>
              <w:t>Kristie Scott</w:t>
            </w:r>
          </w:p>
        </w:tc>
        <w:tc>
          <w:tcPr>
            <w:tcW w:w="980" w:type="dxa"/>
            <w:vAlign w:val="bottom"/>
          </w:tcPr>
          <w:p>
            <w:pPr>
              <w:jc w:val="right"/>
              <w:ind w:right="219"/>
              <w:spacing w:after="0"/>
              <w:rPr>
                <w:sz w:val="20"/>
                <w:szCs w:val="20"/>
                <w:color w:val="auto"/>
              </w:rPr>
            </w:pPr>
            <w:r>
              <w:rPr>
                <w:rFonts w:ascii="Arial" w:cs="Arial" w:eastAsia="Arial" w:hAnsi="Arial"/>
                <w:sz w:val="18"/>
                <w:szCs w:val="18"/>
                <w:color w:val="auto"/>
              </w:rPr>
              <w:t>240</w:t>
            </w:r>
          </w:p>
        </w:tc>
        <w:tc>
          <w:tcPr>
            <w:tcW w:w="340" w:type="dxa"/>
            <w:vAlign w:val="bottom"/>
          </w:tcPr>
          <w:p>
            <w:pPr>
              <w:spacing w:after="0"/>
              <w:rPr>
                <w:sz w:val="20"/>
                <w:szCs w:val="20"/>
                <w:color w:val="auto"/>
              </w:rPr>
            </w:pPr>
          </w:p>
        </w:tc>
        <w:tc>
          <w:tcPr>
            <w:tcW w:w="4400" w:type="dxa"/>
            <w:vAlign w:val="bottom"/>
          </w:tcPr>
          <w:p>
            <w:pPr>
              <w:jc w:val="right"/>
              <w:ind w:right="1719"/>
              <w:spacing w:after="0"/>
              <w:rPr>
                <w:sz w:val="20"/>
                <w:szCs w:val="20"/>
                <w:color w:val="auto"/>
              </w:rPr>
            </w:pPr>
            <w:r>
              <w:rPr>
                <w:rFonts w:ascii="Arial" w:cs="Arial" w:eastAsia="Arial" w:hAnsi="Arial"/>
                <w:sz w:val="18"/>
                <w:szCs w:val="18"/>
                <w:color w:val="auto"/>
              </w:rPr>
              <w:t>335-7914</w:t>
            </w:r>
          </w:p>
        </w:tc>
      </w:tr>
      <w:tr>
        <w:trPr>
          <w:trHeight w:val="180"/>
        </w:trPr>
        <w:tc>
          <w:tcPr>
            <w:tcW w:w="4400" w:type="dxa"/>
            <w:vAlign w:val="bottom"/>
            <w:tcBorders>
              <w:top w:val="single" w:sz="8" w:color="auto"/>
            </w:tcBorders>
          </w:tcPr>
          <w:p>
            <w:pPr>
              <w:ind w:left="2020"/>
              <w:spacing w:after="0"/>
              <w:rPr>
                <w:sz w:val="20"/>
                <w:szCs w:val="20"/>
                <w:color w:val="auto"/>
              </w:rPr>
            </w:pPr>
            <w:r>
              <w:rPr>
                <w:rFonts w:ascii="Arial" w:cs="Arial" w:eastAsia="Arial" w:hAnsi="Arial"/>
                <w:sz w:val="14"/>
                <w:szCs w:val="14"/>
                <w:b w:val="1"/>
                <w:bCs w:val="1"/>
                <w:color w:val="auto"/>
              </w:rPr>
              <w:t>(Name)</w:t>
            </w:r>
          </w:p>
        </w:tc>
        <w:tc>
          <w:tcPr>
            <w:tcW w:w="320" w:type="dxa"/>
            <w:vAlign w:val="bottom"/>
          </w:tcPr>
          <w:p>
            <w:pPr>
              <w:spacing w:after="0"/>
              <w:rPr>
                <w:sz w:val="15"/>
                <w:szCs w:val="15"/>
                <w:color w:val="auto"/>
              </w:rPr>
            </w:pPr>
          </w:p>
        </w:tc>
        <w:tc>
          <w:tcPr>
            <w:tcW w:w="980" w:type="dxa"/>
            <w:vAlign w:val="bottom"/>
            <w:tcBorders>
              <w:top w:val="single" w:sz="8" w:color="auto"/>
            </w:tcBorders>
          </w:tcPr>
          <w:p>
            <w:pPr>
              <w:jc w:val="center"/>
              <w:ind w:left="39"/>
              <w:spacing w:after="0"/>
              <w:rPr>
                <w:sz w:val="20"/>
                <w:szCs w:val="20"/>
                <w:color w:val="auto"/>
              </w:rPr>
            </w:pPr>
            <w:r>
              <w:rPr>
                <w:rFonts w:ascii="Arial" w:cs="Arial" w:eastAsia="Arial" w:hAnsi="Arial"/>
                <w:sz w:val="14"/>
                <w:szCs w:val="14"/>
                <w:b w:val="1"/>
                <w:bCs w:val="1"/>
                <w:color w:val="auto"/>
                <w:w w:val="93"/>
              </w:rPr>
              <w:t>(Area Code)</w:t>
            </w:r>
          </w:p>
        </w:tc>
        <w:tc>
          <w:tcPr>
            <w:tcW w:w="340" w:type="dxa"/>
            <w:vAlign w:val="bottom"/>
          </w:tcPr>
          <w:p>
            <w:pPr>
              <w:spacing w:after="0"/>
              <w:rPr>
                <w:sz w:val="15"/>
                <w:szCs w:val="15"/>
                <w:color w:val="auto"/>
              </w:rPr>
            </w:pPr>
          </w:p>
        </w:tc>
        <w:tc>
          <w:tcPr>
            <w:tcW w:w="4400" w:type="dxa"/>
            <w:vAlign w:val="bottom"/>
            <w:tcBorders>
              <w:top w:val="single" w:sz="8" w:color="auto"/>
            </w:tcBorders>
          </w:tcPr>
          <w:p>
            <w:pPr>
              <w:jc w:val="center"/>
              <w:ind w:left="19"/>
              <w:spacing w:after="0"/>
              <w:rPr>
                <w:sz w:val="20"/>
                <w:szCs w:val="20"/>
                <w:color w:val="auto"/>
              </w:rPr>
            </w:pPr>
            <w:r>
              <w:rPr>
                <w:rFonts w:ascii="Arial" w:cs="Arial" w:eastAsia="Arial" w:hAnsi="Arial"/>
                <w:sz w:val="14"/>
                <w:szCs w:val="14"/>
                <w:b w:val="1"/>
                <w:bCs w:val="1"/>
                <w:color w:val="auto"/>
                <w:w w:val="92"/>
              </w:rPr>
              <w:t>(Telephone Number)</w:t>
            </w:r>
          </w:p>
        </w:tc>
      </w:tr>
    </w:tbl>
    <w:p>
      <w:pPr>
        <w:spacing w:after="0" w:line="56" w:lineRule="exact"/>
        <w:rPr>
          <w:sz w:val="20"/>
          <w:szCs w:val="20"/>
          <w:color w:val="auto"/>
        </w:rPr>
      </w:pPr>
    </w:p>
    <w:p>
      <w:pPr>
        <w:jc w:val="both"/>
        <w:ind w:left="684" w:right="360" w:hanging="684"/>
        <w:spacing w:after="0" w:line="287" w:lineRule="auto"/>
        <w:tabs>
          <w:tab w:leader="none" w:pos="684" w:val="left"/>
        </w:tabs>
        <w:numPr>
          <w:ilvl w:val="0"/>
          <w:numId w:val="5"/>
        </w:numPr>
        <w:rPr>
          <w:rFonts w:ascii="Arial" w:cs="Arial" w:eastAsia="Arial" w:hAnsi="Arial"/>
          <w:sz w:val="16"/>
          <w:szCs w:val="16"/>
          <w:color w:val="auto"/>
        </w:rPr>
      </w:pPr>
      <w:r>
        <w:rPr>
          <w:rFonts w:ascii="Arial" w:cs="Arial" w:eastAsia="Arial" w:hAnsi="Arial"/>
          <w:sz w:val="16"/>
          <w:szCs w:val="16"/>
          <w:color w:val="auto"/>
        </w:rPr>
        <w:t>Have all other periodic reports required under Section 13 or 15(d) of the Securities Exchange Act of 1934 or Section 30 of the Investment Company Act of 1940 during the preceding 12 months or for such shorter period that the registrant was required to file such report(s) been</w:t>
      </w:r>
    </w:p>
    <w:p>
      <w:pPr>
        <w:spacing w:after="0" w:line="1" w:lineRule="exact"/>
        <w:rPr>
          <w:sz w:val="20"/>
          <w:szCs w:val="20"/>
          <w:color w:val="auto"/>
        </w:rPr>
      </w:pPr>
    </w:p>
    <w:p>
      <w:pPr>
        <w:ind w:left="684"/>
        <w:spacing w:after="0" w:line="207" w:lineRule="exact"/>
        <w:tabs>
          <w:tab w:leader="none" w:pos="3724" w:val="left"/>
        </w:tabs>
        <w:rPr>
          <w:sz w:val="20"/>
          <w:szCs w:val="20"/>
          <w:color w:val="auto"/>
        </w:rPr>
      </w:pPr>
      <w:r>
        <w:rPr>
          <w:rFonts w:ascii="Arial" w:cs="Arial" w:eastAsia="Arial" w:hAnsi="Arial"/>
          <w:sz w:val="18"/>
          <w:szCs w:val="18"/>
          <w:color w:val="auto"/>
        </w:rPr>
        <w:t>filed? If answer is no, identify report(s).</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Yes</w:t>
      </w:r>
      <w:r>
        <w:rPr>
          <w:rFonts w:ascii="MS PGothic" w:cs="MS PGothic" w:eastAsia="MS PGothic" w:hAnsi="MS PGothic"/>
          <w:sz w:val="18"/>
          <w:szCs w:val="18"/>
          <w:color w:val="auto"/>
        </w:rPr>
        <w:t xml:space="preserve">  ☐ </w:t>
      </w:r>
      <w:r>
        <w:rPr>
          <w:rFonts w:ascii="Arial" w:cs="Arial" w:eastAsia="Arial" w:hAnsi="Arial"/>
          <w:sz w:val="18"/>
          <w:szCs w:val="18"/>
          <w:color w:val="auto"/>
        </w:rPr>
        <w:t>No</w:t>
      </w:r>
    </w:p>
    <w:p>
      <w:pPr>
        <w:spacing w:after="0" w:line="108" w:lineRule="exact"/>
        <w:rPr>
          <w:sz w:val="20"/>
          <w:szCs w:val="20"/>
          <w:color w:val="auto"/>
        </w:rPr>
      </w:pPr>
    </w:p>
    <w:p>
      <w:pPr>
        <w:ind w:left="684" w:hanging="684"/>
        <w:spacing w:after="0"/>
        <w:tabs>
          <w:tab w:leader="none" w:pos="684" w:val="left"/>
        </w:tabs>
        <w:numPr>
          <w:ilvl w:val="0"/>
          <w:numId w:val="6"/>
        </w:numPr>
        <w:rPr>
          <w:rFonts w:ascii="Arial" w:cs="Arial" w:eastAsia="Arial" w:hAnsi="Arial"/>
          <w:sz w:val="16"/>
          <w:szCs w:val="16"/>
          <w:color w:val="auto"/>
        </w:rPr>
      </w:pPr>
      <w:r>
        <w:rPr>
          <w:rFonts w:ascii="Arial" w:cs="Arial" w:eastAsia="Arial" w:hAnsi="Arial"/>
          <w:sz w:val="16"/>
          <w:szCs w:val="16"/>
          <w:color w:val="auto"/>
        </w:rPr>
        <w:t>Is it anticipated that any significant change in results of operations from the corresponding period for the last fiscal year will be reflected by the</w:t>
      </w:r>
    </w:p>
    <w:p>
      <w:pPr>
        <w:spacing w:after="0" w:line="41" w:lineRule="exact"/>
        <w:rPr>
          <w:sz w:val="20"/>
          <w:szCs w:val="20"/>
          <w:color w:val="auto"/>
        </w:rPr>
      </w:pPr>
    </w:p>
    <w:p>
      <w:pPr>
        <w:ind w:left="684"/>
        <w:spacing w:after="0" w:line="207" w:lineRule="exact"/>
        <w:tabs>
          <w:tab w:leader="none" w:pos="6204" w:val="left"/>
        </w:tabs>
        <w:rPr>
          <w:sz w:val="20"/>
          <w:szCs w:val="20"/>
          <w:color w:val="auto"/>
        </w:rPr>
      </w:pPr>
      <w:r>
        <w:rPr>
          <w:rFonts w:ascii="Arial" w:cs="Arial" w:eastAsia="Arial" w:hAnsi="Arial"/>
          <w:sz w:val="18"/>
          <w:szCs w:val="18"/>
          <w:color w:val="auto"/>
        </w:rPr>
        <w:t>earnings statements to be included in the subject report or portion thereof?</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Yes</w:t>
      </w:r>
      <w:r>
        <w:rPr>
          <w:rFonts w:ascii="MS PGothic" w:cs="MS PGothic" w:eastAsia="MS PGothic" w:hAnsi="MS PGothic"/>
          <w:sz w:val="18"/>
          <w:szCs w:val="18"/>
          <w:color w:val="auto"/>
        </w:rPr>
        <w:t xml:space="preserve">  ☒ </w:t>
      </w:r>
      <w:r>
        <w:rPr>
          <w:rFonts w:ascii="Arial" w:cs="Arial" w:eastAsia="Arial" w:hAnsi="Arial"/>
          <w:sz w:val="18"/>
          <w:szCs w:val="18"/>
          <w:color w:val="auto"/>
        </w:rPr>
        <w:t>No</w:t>
      </w:r>
    </w:p>
    <w:p>
      <w:pPr>
        <w:spacing w:after="0" w:line="108" w:lineRule="exact"/>
        <w:rPr>
          <w:sz w:val="20"/>
          <w:szCs w:val="20"/>
          <w:color w:val="auto"/>
        </w:rPr>
      </w:pPr>
    </w:p>
    <w:p>
      <w:pPr>
        <w:ind w:left="684" w:right="820"/>
        <w:spacing w:after="0" w:line="277" w:lineRule="auto"/>
        <w:rPr>
          <w:sz w:val="20"/>
          <w:szCs w:val="20"/>
          <w:color w:val="auto"/>
        </w:rPr>
      </w:pPr>
      <w:r>
        <w:rPr>
          <w:rFonts w:ascii="Arial" w:cs="Arial" w:eastAsia="Arial" w:hAnsi="Arial"/>
          <w:sz w:val="18"/>
          <w:szCs w:val="18"/>
          <w:color w:val="auto"/>
        </w:rPr>
        <w:t>If so: attach an explanation of the anticipated change, both narratively and quantitatively, and, if appropriate, state the reasons why a reasonable estimate of the results cannot be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151765</wp:posOffset>
            </wp:positionV>
            <wp:extent cx="69951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194310</wp:posOffset>
            </wp:positionV>
            <wp:extent cx="69951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left="4" w:right="120" w:firstLine="440"/>
        <w:spacing w:after="0" w:line="272" w:lineRule="auto"/>
        <w:rPr>
          <w:sz w:val="20"/>
          <w:szCs w:val="20"/>
          <w:color w:val="auto"/>
        </w:rPr>
      </w:pPr>
      <w:r>
        <w:rPr>
          <w:rFonts w:ascii="Arial" w:cs="Arial" w:eastAsia="Arial" w:hAnsi="Arial"/>
          <w:sz w:val="17"/>
          <w:szCs w:val="17"/>
          <w:color w:val="auto"/>
        </w:rPr>
        <w:t>This Form 12b-25 contains forward-looking statements within the meaning of Section 27A of the Securities Act of 1933, as amended, and Section 21E of the Securities Exchange Act of 1934, as amended. The words “anticipate,” “will” and similar terms and phrases are used in this Form 12b-25 to identify forward-looking statements, including statements regarding Xometry’s estimated timing for filing the 2022 Form 10-K. Risks, uncertainties and assumptions that could affect these forward-looking statements include, among other things, the completion of procedures related to Xometry’s internal control over financial reporting, the discovery of additional information relevant to the audit and the time needed to finalize and file the 2022 Form 10-K. Xometry disclaims any obligation to update information contained in these forward-looking statements whether as a result of new information, future events or otherwise, except as required by law.</w:t>
      </w:r>
    </w:p>
    <w:p>
      <w:pPr>
        <w:spacing w:after="0" w:line="38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Xometry, Inc.</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(Name of Registrant as Specified in Charter)</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has caused this notification to be signed on its behalf by the undersigned hereunto duly authorized.</w:t>
      </w:r>
    </w:p>
    <w:p>
      <w:pPr>
        <w:spacing w:after="0" w:line="252" w:lineRule="exact"/>
        <w:rPr>
          <w:sz w:val="20"/>
          <w:szCs w:val="20"/>
          <w:color w:val="auto"/>
        </w:rPr>
      </w:pPr>
    </w:p>
    <w:p>
      <w:pPr>
        <w:ind w:left="4"/>
        <w:spacing w:after="0"/>
        <w:tabs>
          <w:tab w:leader="none" w:pos="5504" w:val="left"/>
          <w:tab w:leader="none" w:pos="6144" w:val="left"/>
        </w:tabs>
        <w:rPr>
          <w:sz w:val="20"/>
          <w:szCs w:val="20"/>
          <w:color w:val="auto"/>
        </w:rPr>
      </w:pPr>
      <w:r>
        <w:rPr>
          <w:rFonts w:ascii="Arial" w:cs="Arial" w:eastAsia="Arial" w:hAnsi="Arial"/>
          <w:sz w:val="18"/>
          <w:szCs w:val="18"/>
          <w:color w:val="auto"/>
        </w:rPr>
        <w:t>Date: March 2,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Randolph Altschuler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3917315</wp:posOffset>
            </wp:positionH>
            <wp:positionV relativeFrom="paragraph">
              <wp:posOffset>14605</wp:posOffset>
            </wp:positionV>
            <wp:extent cx="307721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16" w:lineRule="exact"/>
        <w:rPr>
          <w:sz w:val="20"/>
          <w:szCs w:val="20"/>
          <w:color w:val="auto"/>
        </w:rPr>
      </w:pPr>
    </w:p>
    <w:p>
      <w:pPr>
        <w:ind w:left="5524"/>
        <w:spacing w:after="0"/>
        <w:tabs>
          <w:tab w:leader="none" w:pos="6144"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Randolph Altschuler</w:t>
      </w:r>
    </w:p>
    <w:p>
      <w:pPr>
        <w:spacing w:after="0" w:line="23" w:lineRule="exact"/>
        <w:rPr>
          <w:sz w:val="20"/>
          <w:szCs w:val="20"/>
          <w:color w:val="auto"/>
        </w:rPr>
      </w:pPr>
    </w:p>
    <w:p>
      <w:pPr>
        <w:ind w:left="5524"/>
        <w:spacing w:after="0"/>
        <w:tabs>
          <w:tab w:leader="none" w:pos="6144" w:val="left"/>
        </w:tabs>
        <w:rPr>
          <w:sz w:val="20"/>
          <w:szCs w:val="20"/>
          <w:color w:val="auto"/>
        </w:rPr>
      </w:pPr>
      <w:r>
        <w:rPr>
          <w:rFonts w:ascii="Arial" w:cs="Arial" w:eastAsia="Arial" w:hAnsi="Arial"/>
          <w:sz w:val="18"/>
          <w:szCs w:val="18"/>
          <w:color w:val="auto"/>
        </w:rPr>
        <w:t>Title:</w:t>
        <w:tab/>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160020</wp:posOffset>
            </wp:positionV>
            <wp:extent cx="7003415" cy="4203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03415" cy="420370"/>
                    </a:xfrm>
                    <a:prstGeom prst="rect">
                      <a:avLst/>
                    </a:prstGeom>
                    <a:noFill/>
                  </pic:spPr>
                </pic:pic>
              </a:graphicData>
            </a:graphic>
          </wp:anchor>
        </w:drawing>
      </w:r>
    </w:p>
    <w:p>
      <w:pPr>
        <w:spacing w:after="0" w:line="268" w:lineRule="exact"/>
        <w:rPr>
          <w:sz w:val="20"/>
          <w:szCs w:val="20"/>
          <w:color w:val="auto"/>
        </w:rPr>
      </w:pPr>
    </w:p>
    <w:p>
      <w:pPr>
        <w:jc w:val="center"/>
        <w:ind w:right="-103"/>
        <w:spacing w:after="0"/>
        <w:rPr>
          <w:sz w:val="20"/>
          <w:szCs w:val="20"/>
          <w:color w:val="auto"/>
        </w:rPr>
      </w:pPr>
      <w:r>
        <w:rPr>
          <w:rFonts w:ascii="Arial" w:cs="Arial" w:eastAsia="Arial" w:hAnsi="Arial"/>
          <w:sz w:val="18"/>
          <w:szCs w:val="18"/>
          <w:b w:val="1"/>
          <w:bCs w:val="1"/>
          <w:color w:val="auto"/>
        </w:rPr>
        <w:t>ATTENTION</w:t>
      </w:r>
    </w:p>
    <w:p>
      <w:pPr>
        <w:spacing w:after="0" w:line="90" w:lineRule="exact"/>
        <w:rPr>
          <w:sz w:val="20"/>
          <w:szCs w:val="20"/>
          <w:color w:val="auto"/>
        </w:rPr>
      </w:pPr>
    </w:p>
    <w:p>
      <w:pPr>
        <w:jc w:val="center"/>
        <w:ind w:right="-103"/>
        <w:spacing w:after="0"/>
        <w:rPr>
          <w:sz w:val="20"/>
          <w:szCs w:val="20"/>
          <w:color w:val="auto"/>
        </w:rPr>
      </w:pPr>
      <w:r>
        <w:rPr>
          <w:rFonts w:ascii="Arial" w:cs="Arial" w:eastAsia="Arial" w:hAnsi="Arial"/>
          <w:sz w:val="18"/>
          <w:szCs w:val="18"/>
          <w:b w:val="1"/>
          <w:bCs w:val="1"/>
          <w:color w:val="auto"/>
        </w:rPr>
        <w:t>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231775</wp:posOffset>
            </wp:positionV>
            <wp:extent cx="69951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274320</wp:posOffset>
            </wp:positionV>
            <wp:extent cx="69951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sectPr>
      <w:pgSz w:w="11900" w:h="16838" w:orient="portrait"/>
      <w:cols w:equalWidth="0" w:num="1">
        <w:col w:w="11024"/>
      </w:cols>
      <w:pgMar w:left="436" w:top="125"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lvl w:ilvl="1">
      <w:lvlJc w:val="left"/>
      <w:lvlText w:val="(%2)"/>
      <w:numFmt w:val="lowerLetter"/>
      <w:start w:val="1"/>
    </w:lvl>
  </w:abstractNum>
  <w:abstractNum w:abstractNumId="2">
    <w:nsid w:val="238E1F29"/>
    <w:multiLevelType w:val="hybridMultilevel"/>
    <w:lvl w:ilvl="0">
      <w:lvlJc w:val="left"/>
      <w:lvlText w:val="☒"/>
      <w:numFmt w:val="bullet"/>
      <w:start w:val="1"/>
    </w:lvl>
    <w:lvl w:ilvl="1">
      <w:lvlJc w:val="left"/>
      <w:lvlText w:val="(%2)"/>
      <w:numFmt w:val="lowerLetter"/>
      <w:start w:val="3"/>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1)"/>
      <w:numFmt w:val="decimal"/>
      <w:start w:val="2"/>
    </w:lvl>
  </w:abstractNum>
  <w:abstractNum w:abstractNumId="5">
    <w:nsid w:val="507ED7AB"/>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2023-03-02T15:15:42Z</dcterms:created>
  <dcterms:modified xsi:type="dcterms:W3CDTF">2023-03-02T15:15:42Z</dcterms:modified>
</cp:coreProperties>
</file>