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 w:lineRule="exact"/>
        <w:rPr>
          <w:sz w:val="24"/>
          <w:szCs w:val="24"/>
          <w:color w:val="auto"/>
        </w:rPr>
      </w:pPr>
    </w:p>
    <w:p>
      <w:pPr>
        <w:ind w:left="4100" w:right="2860" w:hanging="4079"/>
        <w:spacing w:after="0" w:line="335" w:lineRule="auto"/>
        <w:tabs>
          <w:tab w:leader="none" w:pos="4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68580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Xometry, Inc.</w:t>
      </w:r>
    </w:p>
    <w:p>
      <w:pPr>
        <w:sectPr>
          <w:pgSz w:w="11900" w:h="16838" w:orient="portrait"/>
          <w:cols w:equalWidth="0" w:num="1">
            <w:col w:w="11240"/>
          </w:cols>
          <w:pgMar w:left="320" w:top="498" w:right="339" w:bottom="1440" w:gutter="0" w:footer="0" w:header="0"/>
        </w:sectPr>
      </w:pPr>
    </w:p>
    <w:p>
      <w:pPr>
        <w:spacing w:after="0" w:line="5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70485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6116 Executive Blvd</w:t>
      </w:r>
    </w:p>
    <w:p>
      <w:pPr>
        <w:spacing w:after="0" w:line="26"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Suite 800</w:t>
      </w: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North Bethesda, MD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32-0415449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pacing w:after="0" w:line="224"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20852</w:t>
      </w:r>
    </w:p>
    <w:p>
      <w:pPr>
        <w:spacing w:after="0" w:line="35" w:lineRule="exact"/>
        <w:rPr>
          <w:sz w:val="24"/>
          <w:szCs w:val="24"/>
          <w:color w:val="auto"/>
        </w:rPr>
      </w:pPr>
    </w:p>
    <w:p>
      <w:pPr>
        <w:sectPr>
          <w:pgSz w:w="11900" w:h="16838" w:orient="portrait"/>
          <w:cols w:equalWidth="0" w:num="2">
            <w:col w:w="7460" w:space="480"/>
            <w:col w:w="3300"/>
          </w:cols>
          <w:pgMar w:left="320" w:top="498"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3" w:lineRule="exact"/>
        <w:rPr>
          <w:sz w:val="24"/>
          <w:szCs w:val="24"/>
          <w:color w:val="auto"/>
        </w:rPr>
      </w:pPr>
    </w:p>
    <w:p>
      <w:pPr>
        <w:ind w:left="324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7"/>
          <w:szCs w:val="17"/>
          <w:b w:val="1"/>
          <w:bCs w:val="1"/>
          <w:color w:val="auto"/>
        </w:rPr>
        <w:t>(240) 252-1138</w:t>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5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7"/>
              </w:rPr>
              <w:t>Trading</w:t>
            </w:r>
          </w:p>
        </w:tc>
        <w:tc>
          <w:tcPr>
            <w:tcW w:w="4320" w:type="dxa"/>
            <w:vAlign w:val="bottom"/>
            <w:vMerge w:val="restart"/>
          </w:tcPr>
          <w:p>
            <w:pPr>
              <w:jc w:val="center"/>
              <w:ind w:right="64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1"/>
              </w:rPr>
              <w:t>Symbol(s)</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XMTR</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644"/>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5"/>
          </w:tcPr>
          <w:p>
            <w:pPr>
              <w:spacing w:after="0" w:line="150" w:lineRule="exact"/>
              <w:rPr>
                <w:sz w:val="20"/>
                <w:szCs w:val="20"/>
                <w:color w:val="auto"/>
              </w:rPr>
            </w:pPr>
            <w:r>
              <w:rPr>
                <w:rFonts w:ascii="Arial" w:cs="Arial" w:eastAsia="Arial" w:hAnsi="Arial"/>
                <w:sz w:val="13"/>
                <w:szCs w:val="13"/>
                <w:color w:val="auto"/>
                <w:w w:val="95"/>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5"/>
              </w:rPr>
              <w:t>☑</w:t>
            </w:r>
          </w:p>
        </w:tc>
        <w:tc>
          <w:tcPr>
            <w:tcW w:w="432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70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9" w:lineRule="exact"/>
        <w:rPr>
          <w:sz w:val="24"/>
          <w:szCs w:val="24"/>
          <w:color w:val="auto"/>
        </w:rPr>
      </w:pPr>
    </w:p>
    <w:p>
      <w:pPr>
        <w:ind w:right="14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10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4"/>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4"/>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53"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right="20"/>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4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40"/>
        <w:spacing w:after="0" w:line="161"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9" w:lineRule="exact"/>
        <w:rPr>
          <w:sz w:val="24"/>
          <w:szCs w:val="24"/>
          <w:color w:val="auto"/>
        </w:rPr>
      </w:pPr>
    </w:p>
    <w:p>
      <w:pPr>
        <w:ind w:right="120"/>
        <w:spacing w:after="0" w:line="27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common stock as reported by The Nasdaq Global Select Market on June 30, 2022 was $1.2 billion.</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A common stock outstanding as of March 9, 2023 was 45,070,484.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ind w:right="420"/>
        <w:spacing w:after="0" w:line="237" w:lineRule="auto"/>
        <w:rPr>
          <w:sz w:val="20"/>
          <w:szCs w:val="20"/>
          <w:color w:val="auto"/>
        </w:rPr>
      </w:pPr>
      <w:r>
        <w:rPr>
          <w:rFonts w:ascii="Arial" w:cs="Arial" w:eastAsia="Arial" w:hAnsi="Arial"/>
          <w:sz w:val="14"/>
          <w:szCs w:val="14"/>
          <w:color w:val="auto"/>
        </w:rPr>
        <w:t>Portions of the Registrant’s definitive proxy statement for the Registrant’s 2023 annual meeting of stockholders, to be filed within 120 days after the close of the Registrant’s fiscal year, are incorporated by reference into Part III of this Annual Report.</w:t>
      </w:r>
    </w:p>
    <w:p>
      <w:pPr>
        <w:spacing w:after="0" w:line="115" w:lineRule="exact"/>
        <w:rPr>
          <w:sz w:val="24"/>
          <w:szCs w:val="24"/>
          <w:color w:val="auto"/>
        </w:rPr>
      </w:pPr>
    </w:p>
    <w:p>
      <w:pPr>
        <w:ind w:left="20"/>
        <w:spacing w:after="0"/>
        <w:tabs>
          <w:tab w:leader="none" w:pos="1400" w:val="left"/>
          <w:tab w:leader="none" w:pos="3260" w:val="left"/>
          <w:tab w:leader="none" w:pos="4640" w:val="left"/>
          <w:tab w:leader="none" w:pos="6880" w:val="left"/>
          <w:tab w:leader="none" w:pos="838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McLean, 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jc w:val="center"/>
              <w:ind w:right="382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w:t>
            </w:r>
          </w:p>
        </w:tc>
        <w:tc>
          <w:tcPr>
            <w:tcW w:w="9180" w:type="dxa"/>
            <w:vAlign w:val="bottom"/>
            <w:gridSpan w:val="20"/>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1A.</w:t>
            </w:r>
          </w:p>
        </w:tc>
        <w:tc>
          <w:tcPr>
            <w:tcW w:w="91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1B.</w:t>
            </w:r>
          </w:p>
        </w:tc>
        <w:tc>
          <w:tcPr>
            <w:tcW w:w="9180" w:type="dxa"/>
            <w:vAlign w:val="bottom"/>
            <w:gridSpan w:val="20"/>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3.</w:t>
            </w:r>
          </w:p>
        </w:tc>
        <w:tc>
          <w:tcPr>
            <w:tcW w:w="918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4.</w:t>
            </w:r>
          </w:p>
        </w:tc>
        <w:tc>
          <w:tcPr>
            <w:tcW w:w="918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6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5.</w:t>
            </w:r>
          </w:p>
        </w:tc>
        <w:tc>
          <w:tcPr>
            <w:tcW w:w="9180" w:type="dxa"/>
            <w:vAlign w:val="bottom"/>
            <w:gridSpan w:val="20"/>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6.</w:t>
            </w:r>
          </w:p>
        </w:tc>
        <w:tc>
          <w:tcPr>
            <w:tcW w:w="918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7.</w:t>
            </w:r>
          </w:p>
        </w:tc>
        <w:tc>
          <w:tcPr>
            <w:tcW w:w="918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7A.</w:t>
            </w:r>
          </w:p>
        </w:tc>
        <w:tc>
          <w:tcPr>
            <w:tcW w:w="918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8.</w:t>
            </w:r>
          </w:p>
        </w:tc>
        <w:tc>
          <w:tcPr>
            <w:tcW w:w="918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9.</w:t>
            </w:r>
          </w:p>
        </w:tc>
        <w:tc>
          <w:tcPr>
            <w:tcW w:w="918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9A.</w:t>
            </w:r>
          </w:p>
        </w:tc>
        <w:tc>
          <w:tcPr>
            <w:tcW w:w="918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9B.</w:t>
            </w:r>
          </w:p>
        </w:tc>
        <w:tc>
          <w:tcPr>
            <w:tcW w:w="91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9C.</w:t>
            </w:r>
          </w:p>
        </w:tc>
        <w:tc>
          <w:tcPr>
            <w:tcW w:w="918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10.</w:t>
            </w:r>
          </w:p>
        </w:tc>
        <w:tc>
          <w:tcPr>
            <w:tcW w:w="9180" w:type="dxa"/>
            <w:vAlign w:val="bottom"/>
            <w:gridSpan w:val="20"/>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11.</w:t>
            </w:r>
          </w:p>
        </w:tc>
        <w:tc>
          <w:tcPr>
            <w:tcW w:w="918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12.</w:t>
            </w:r>
          </w:p>
        </w:tc>
        <w:tc>
          <w:tcPr>
            <w:tcW w:w="918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13.</w:t>
            </w:r>
          </w:p>
        </w:tc>
        <w:tc>
          <w:tcPr>
            <w:tcW w:w="918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14.</w:t>
            </w:r>
          </w:p>
        </w:tc>
        <w:tc>
          <w:tcPr>
            <w:tcW w:w="9180" w:type="dxa"/>
            <w:vAlign w:val="bottom"/>
            <w:gridSpan w:val="20"/>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15.</w:t>
            </w:r>
          </w:p>
        </w:tc>
        <w:tc>
          <w:tcPr>
            <w:tcW w:w="9180" w:type="dxa"/>
            <w:vAlign w:val="bottom"/>
            <w:gridSpan w:val="20"/>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6"/>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Arial" w:cs="Arial" w:eastAsia="Arial" w:hAnsi="Arial"/>
                <w:sz w:val="18"/>
                <w:szCs w:val="18"/>
                <w:color w:val="auto"/>
              </w:rPr>
              <w:t>Item 16.</w:t>
            </w:r>
          </w:p>
        </w:tc>
        <w:tc>
          <w:tcPr>
            <w:tcW w:w="9180" w:type="dxa"/>
            <w:vAlign w:val="bottom"/>
            <w:gridSpan w:val="20"/>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68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00" w:type="dxa"/>
            <w:vAlign w:val="bottom"/>
            <w:gridSpan w:val="8"/>
          </w:tcPr>
          <w:p>
            <w:pPr>
              <w:jc w:val="center"/>
              <w:ind w:right="458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right="200" w:firstLine="644"/>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73"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Arial" w:cs="Arial" w:eastAsia="Arial" w:hAnsi="Arial"/>
          <w:sz w:val="18"/>
          <w:szCs w:val="18"/>
          <w:color w:val="auto"/>
        </w:rPr>
      </w:pPr>
    </w:p>
    <w:p>
      <w:pPr>
        <w:ind w:left="1020" w:right="90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our ability to effectively manage or sustain our growth and to achieve or sustain profitability;</w:t>
      </w:r>
    </w:p>
    <w:p>
      <w:pPr>
        <w:spacing w:after="0" w:line="61"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public health crises or other macroeconomic factors and geopolitical tension, such as those associated with Russia's invasion of Ukraine, which may lead to periods of global economic uncertainty;</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buyers and suppliers and successfully engage new and existing buyers and suppliers;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or other proprietary rights and any costs associated therewith;</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costs and expenses, which may be impacted by inflationary pressures;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17" w:lineRule="exact"/>
        <w:rPr>
          <w:sz w:val="20"/>
          <w:szCs w:val="20"/>
          <w:color w:val="auto"/>
        </w:rPr>
      </w:pPr>
    </w:p>
    <w:p>
      <w:pPr>
        <w:ind w:firstLine="644"/>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57" w:lineRule="exact"/>
        <w:rPr>
          <w:sz w:val="20"/>
          <w:szCs w:val="20"/>
          <w:color w:val="auto"/>
        </w:rPr>
      </w:pPr>
    </w:p>
    <w:p>
      <w:pPr>
        <w:ind w:firstLine="64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48"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60" w:firstLine="644"/>
        <w:spacing w:after="0" w:line="286" w:lineRule="auto"/>
        <w:rPr>
          <w:sz w:val="20"/>
          <w:szCs w:val="20"/>
          <w:color w:val="auto"/>
        </w:rPr>
      </w:pPr>
      <w:r>
        <w:rPr>
          <w:rFonts w:ascii="Arial" w:cs="Arial" w:eastAsia="Arial" w:hAnsi="Arial"/>
          <w:sz w:val="17"/>
          <w:szCs w:val="17"/>
          <w:color w:val="auto"/>
        </w:rPr>
        <w:t>Xometry, Inc. (Xometry, the “Company”, “our”, “we”)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w:t>
      </w:r>
    </w:p>
    <w:p>
      <w:pPr>
        <w:spacing w:after="0" w:line="124"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158"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We define “buyers” as individuals who have placed an order to purchase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that have been approved by us to either manufacture a product on our platform for a buyer or have utilized our supplier services, including our digital marketing services, data services, financial services or supplies.</w:t>
      </w:r>
    </w:p>
    <w:p>
      <w:pPr>
        <w:spacing w:after="0" w:line="150" w:lineRule="exact"/>
        <w:rPr>
          <w:sz w:val="20"/>
          <w:szCs w:val="20"/>
          <w:color w:val="auto"/>
        </w:rPr>
      </w:pPr>
    </w:p>
    <w:p>
      <w:pPr>
        <w:ind w:right="100" w:firstLine="644"/>
        <w:spacing w:after="0" w:line="273" w:lineRule="auto"/>
        <w:rPr>
          <w:sz w:val="20"/>
          <w:szCs w:val="20"/>
          <w:color w:val="auto"/>
        </w:rPr>
      </w:pPr>
      <w:r>
        <w:rPr>
          <w:rFonts w:ascii="Arial" w:cs="Arial" w:eastAsia="Arial" w:hAnsi="Arial"/>
          <w:sz w:val="17"/>
          <w:szCs w:val="17"/>
          <w:color w:val="auto"/>
        </w:rPr>
        <w:t>Manufacturing is one of the largest industries globally and is in the early stages of digitization. Buyers looking to source manufacturing processes are faced with a highly fragmented and regionalized base of suppliers that are prone to supply chain disruptions and are difficult to efficiently manage. Opaque pricing structures, long lead times and a lack of quality controls contribute to a procurement process that is inefficient, unpredictable and unreliable. Conversely, suppliers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suppliers need a more efficient, agile way to transact.</w:t>
      </w:r>
    </w:p>
    <w:p>
      <w:pPr>
        <w:spacing w:after="0" w:line="136" w:lineRule="exact"/>
        <w:rPr>
          <w:sz w:val="20"/>
          <w:szCs w:val="20"/>
          <w:color w:val="auto"/>
        </w:rPr>
      </w:pPr>
    </w:p>
    <w:p>
      <w:pPr>
        <w:ind w:firstLine="644"/>
        <w:spacing w:after="0" w:line="267" w:lineRule="auto"/>
        <w:rPr>
          <w:sz w:val="20"/>
          <w:szCs w:val="20"/>
          <w:color w:val="auto"/>
        </w:rPr>
      </w:pPr>
      <w:r>
        <w:rPr>
          <w:rFonts w:ascii="Arial" w:cs="Arial" w:eastAsia="Arial" w:hAnsi="Arial"/>
          <w:sz w:val="17"/>
          <w:szCs w:val="17"/>
          <w:color w:val="auto"/>
        </w:rPr>
        <w:t>We enable buyers across industries to source a broad array of manufacturing processes to meet their needs. In 2022, we generated a majority of our revenue from the prices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elements of environmental, social and governance (“ESG”) practices into our marketplace by offering buyers the ability to purchase carbon credits to offset the carbon used to make their parts.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 w:name="page5"/>
    <w:bookmarkEnd w:id="4"/>
    <w:p>
      <w:pPr>
        <w:ind w:right="20" w:firstLine="644"/>
        <w:spacing w:after="0" w:line="290" w:lineRule="auto"/>
        <w:rPr>
          <w:sz w:val="20"/>
          <w:szCs w:val="20"/>
          <w:color w:val="auto"/>
        </w:rPr>
      </w:pPr>
      <w:r>
        <w:rPr>
          <w:rFonts w:ascii="Arial" w:cs="Arial" w:eastAsia="Arial" w:hAnsi="Arial"/>
          <w:sz w:val="16"/>
          <w:szCs w:val="16"/>
          <w:color w:val="auto"/>
        </w:rPr>
        <w:t>We empower suppliers to grow their manufacturing businesses and expand machine uptime by providing access to an international base of buyers. We also offer supporting products and services designed to meet our suppliers’ unique needs. In 2019, we introduced Xometry Supplies in the United States (“U.S.”), which enables our suppliers to access other experienced suppliers who sell competitively priced tools, materials and supplies from leading brands. In 2020, we introduced financial services that enable suppliers to stabilize and enhance their cash flows, provide discounts on tools and materials that allow suppliers to lower their operating costs, and give access to resource management tools to optimize suppliers’ businesses. In 2021, we acquired Thomas Publishing Company (“Thomas”) and Fusiform, Inc. (d/b/a FactoryFour) (“FactoryFour”), expanding our basket of supplier services to include digital marketing and data solutions and SaaS based solutions to help suppliers optimize their productivity. Revenue from our supplier services was approximately 20% of our total revenue for the year ended December 31, 2022. We expect revenue from supplier services to continue to grow over time.</w:t>
      </w:r>
    </w:p>
    <w:p>
      <w:pPr>
        <w:spacing w:after="0" w:line="136" w:lineRule="exact"/>
        <w:rPr>
          <w:sz w:val="20"/>
          <w:szCs w:val="20"/>
          <w:color w:val="auto"/>
        </w:rPr>
      </w:pPr>
    </w:p>
    <w:p>
      <w:pPr>
        <w:ind w:right="20" w:firstLine="644"/>
        <w:spacing w:after="0" w:line="277"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supplier more than anticipated to manufacture the order.</w:t>
      </w:r>
    </w:p>
    <w:p>
      <w:pPr>
        <w:spacing w:after="0" w:line="129" w:lineRule="exact"/>
        <w:rPr>
          <w:sz w:val="20"/>
          <w:szCs w:val="20"/>
          <w:color w:val="auto"/>
        </w:rPr>
      </w:pPr>
    </w:p>
    <w:p>
      <w:pPr>
        <w:ind w:right="280" w:firstLine="644"/>
        <w:spacing w:after="0" w:line="273" w:lineRule="auto"/>
        <w:rPr>
          <w:sz w:val="20"/>
          <w:szCs w:val="20"/>
          <w:color w:val="auto"/>
        </w:rPr>
      </w:pPr>
      <w:r>
        <w:rPr>
          <w:rFonts w:ascii="Arial" w:cs="Arial" w:eastAsia="Arial" w:hAnsi="Arial"/>
          <w:sz w:val="17"/>
          <w:szCs w:val="17"/>
          <w:color w:val="auto"/>
        </w:rPr>
        <w:t>During 2022, we launched the Industrial Buying Engine™ (“IBE”), which helps customers source and purchase from the more than 500,000 suppliers on Thomasnet.com. The IBE digitizes the old and time-consuming request-for-quote process and allows buyer and suppliers to transact on Thomasnet. In addition, through IBE buyers can receive instant quotes from Xometry. We also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900" w:hanging="263"/>
        <w:spacing w:after="0" w:line="27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Manufacturing is a massive, highly fragmented, and regionalized industry in need of solutions to drive efficiency. </w:t>
      </w:r>
      <w:r>
        <w:rPr>
          <w:rFonts w:ascii="Arial" w:cs="Arial" w:eastAsia="Arial" w:hAnsi="Arial"/>
          <w:sz w:val="17"/>
          <w:szCs w:val="17"/>
          <w:color w:val="auto"/>
        </w:rPr>
        <w:t>The global manufacturing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 Xometry has an opportunity to help these highly fragmented, small- to medium-sized manufacturers with their materials, financing and advertising and marketing through our supplier services.</w:t>
      </w:r>
    </w:p>
    <w:p>
      <w:pPr>
        <w:spacing w:after="0" w:line="73" w:lineRule="exact"/>
        <w:rPr>
          <w:rFonts w:ascii="Arial" w:cs="Arial" w:eastAsia="Arial" w:hAnsi="Arial"/>
          <w:sz w:val="17"/>
          <w:szCs w:val="17"/>
          <w:color w:val="auto"/>
        </w:rPr>
      </w:pPr>
    </w:p>
    <w:p>
      <w:pPr>
        <w:ind w:left="900" w:right="240" w:hanging="263"/>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 sophisticated buyers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suppliers, the manufacturing sourcing and procurement process is complex, uncertain, costly and time-consuming. We believe that the labor-intensive sourcing process presents a significant opportunity as buyers and suppliers look for more efficient ways to source demand and consummate production.</w:t>
      </w:r>
    </w:p>
    <w:p>
      <w:pPr>
        <w:spacing w:after="0" w:line="77" w:lineRule="exact"/>
        <w:rPr>
          <w:rFonts w:ascii="Arial" w:cs="Arial" w:eastAsia="Arial" w:hAnsi="Arial"/>
          <w:sz w:val="18"/>
          <w:szCs w:val="18"/>
          <w:color w:val="auto"/>
        </w:rPr>
      </w:pPr>
    </w:p>
    <w:p>
      <w:pPr>
        <w:ind w:left="900" w:right="200" w:hanging="263"/>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Resilient, localized and compliant supply chains are imperative. </w:t>
      </w:r>
      <w:r>
        <w:rPr>
          <w:rFonts w:ascii="Arial" w:cs="Arial" w:eastAsia="Arial" w:hAnsi="Arial"/>
          <w:sz w:val="17"/>
          <w:szCs w:val="17"/>
          <w:color w:val="auto"/>
        </w:rPr>
        <w:t>We believe there is a significant opportunity to help companies around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improve their supply chain diversification, access just-in-time production, and build supply chain resilience. The COVID-19 pandemic and geopolitical instability have highlighted the urgent need for resilient and localized supply chains.</w:t>
      </w:r>
    </w:p>
    <w:p>
      <w:pPr>
        <w:spacing w:after="0" w:line="56" w:lineRule="exact"/>
        <w:rPr>
          <w:rFonts w:ascii="Arial" w:cs="Arial" w:eastAsia="Arial" w:hAnsi="Arial"/>
          <w:sz w:val="17"/>
          <w:szCs w:val="17"/>
          <w:color w:val="auto"/>
        </w:rPr>
      </w:pPr>
    </w:p>
    <w:p>
      <w:pPr>
        <w:ind w:left="900" w:right="100" w:hanging="263"/>
        <w:spacing w:after="0" w:line="27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There is increasing focus on the manufacturing industry to address ESG issues. </w:t>
      </w:r>
      <w:r>
        <w:rPr>
          <w:rFonts w:ascii="Arial" w:cs="Arial" w:eastAsia="Arial" w:hAnsi="Arial"/>
          <w:sz w:val="17"/>
          <w:szCs w:val="17"/>
          <w:color w:val="auto"/>
        </w:rPr>
        <w:t>Companies and investors are increasingly focused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importance of ESG issues. Supply chain management is a major source of carbon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suppliers. As ESG continues to garner management and stakeholder focus, we believe companies will increasingly look to productive business solutions that limit environmental harm and address social issues throughout the manufacturing ecosystem.</w:t>
      </w:r>
    </w:p>
    <w:p>
      <w:pPr>
        <w:spacing w:after="0" w:line="68" w:lineRule="exact"/>
        <w:rPr>
          <w:rFonts w:ascii="Arial" w:cs="Arial" w:eastAsia="Arial" w:hAnsi="Arial"/>
          <w:sz w:val="17"/>
          <w:szCs w:val="17"/>
          <w:color w:val="auto"/>
        </w:rPr>
      </w:pPr>
    </w:p>
    <w:p>
      <w:pPr>
        <w:ind w:left="900" w:right="20" w:hanging="263"/>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 in combination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proliferation of new technologies, necessitates digital solutions that increase productivity, improve financial performance and allow them to compete sustainably.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Opportunity</w:t>
      </w:r>
    </w:p>
    <w:p>
      <w:pPr>
        <w:spacing w:after="0" w:line="229" w:lineRule="exact"/>
        <w:rPr>
          <w:sz w:val="20"/>
          <w:szCs w:val="20"/>
          <w:color w:val="auto"/>
        </w:rPr>
      </w:pPr>
    </w:p>
    <w:p>
      <w:pPr>
        <w:ind w:right="260" w:firstLine="644"/>
        <w:spacing w:after="0" w:line="255"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 w:name="page6"/>
    <w:bookmarkEnd w:id="5"/>
    <w:p>
      <w:pPr>
        <w:ind w:right="60" w:firstLine="644"/>
        <w:spacing w:after="0" w:line="275" w:lineRule="auto"/>
        <w:rPr>
          <w:sz w:val="20"/>
          <w:szCs w:val="20"/>
          <w:color w:val="auto"/>
        </w:rPr>
      </w:pPr>
      <w:r>
        <w:rPr>
          <w:rFonts w:ascii="Arial" w:cs="Arial" w:eastAsia="Arial" w:hAnsi="Arial"/>
          <w:sz w:val="17"/>
          <w:szCs w:val="17"/>
          <w:color w:val="auto"/>
        </w:rPr>
        <w:t>At the time of the IPO, we estimated our addressable market at $260 billion based on the estimated size of the market for the six key manufacturing processes offered on our platform at that time. This included CNC machining, injection molding, 3D printing (including fused deposition modeling, direct metal laser sintering, PolyJet, stereolithography, selective laser sintering, binder jetting, carbon digital light synthesis and multi jet fusion), sheet forming and cutting, die casting and urethane casting. Subsequently, we acquired Thomas which has data about suppliers which offer over 70,000 industrial processes, which we believe expands our addressable market to over $2 trillion globally.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jc w:val="both"/>
        <w:ind w:right="240" w:firstLine="637"/>
        <w:spacing w:after="0" w:line="286" w:lineRule="auto"/>
        <w:rPr>
          <w:sz w:val="20"/>
          <w:szCs w:val="20"/>
          <w:color w:val="auto"/>
        </w:rPr>
      </w:pPr>
      <w:r>
        <w:rPr>
          <w:rFonts w:ascii="Arial" w:cs="Arial" w:eastAsia="Arial" w:hAnsi="Arial"/>
          <w:sz w:val="17"/>
          <w:szCs w:val="17"/>
          <w:color w:val="auto"/>
        </w:rPr>
        <w:t>We are accelerating innovation by providing real-time, equitable access to global manufacturing demand and capacity. We provide sourcing and pricing across a network of buyers and suppliers, offer a suite of configurable manufacturing processes through our diverse supplier network, and enable business success through additional products and services that serve the unique needs of each side of our marketplace.</w:t>
      </w:r>
    </w:p>
    <w:p>
      <w:pPr>
        <w:spacing w:after="0" w:line="124" w:lineRule="exact"/>
        <w:rPr>
          <w:sz w:val="20"/>
          <w:szCs w:val="20"/>
          <w:color w:val="auto"/>
        </w:rPr>
      </w:pPr>
    </w:p>
    <w:p>
      <w:pPr>
        <w:ind w:right="120" w:firstLine="637"/>
        <w:spacing w:after="0" w:line="263"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suppliers.</w:t>
      </w:r>
    </w:p>
    <w:p>
      <w:pPr>
        <w:spacing w:after="0" w:line="156" w:lineRule="exact"/>
        <w:rPr>
          <w:sz w:val="20"/>
          <w:szCs w:val="20"/>
          <w:color w:val="auto"/>
        </w:rPr>
      </w:pPr>
    </w:p>
    <w:p>
      <w:pPr>
        <w:ind w:right="100" w:firstLine="637"/>
        <w:spacing w:after="0" w:line="311" w:lineRule="auto"/>
        <w:rPr>
          <w:sz w:val="20"/>
          <w:szCs w:val="20"/>
          <w:color w:val="auto"/>
        </w:rPr>
      </w:pPr>
      <w:r>
        <w:rPr>
          <w:rFonts w:ascii="Arial" w:cs="Arial" w:eastAsia="Arial" w:hAnsi="Arial"/>
          <w:sz w:val="16"/>
          <w:szCs w:val="16"/>
          <w:color w:val="auto"/>
        </w:rPr>
        <w:t>Our platform is also highly extensible, with an expansive and growing set of traditional and emerging manufacturing processes offered by our supplier network. Because of our platform’s extensibility, we are well positioned to scale and rapidly capture new processes brought to the platform by our suppliers, further enabling buyers to access customized, relevant manufacturing solutions that are suited to their industry needs and buyer preferences.</w:t>
      </w:r>
    </w:p>
    <w:p>
      <w:pPr>
        <w:spacing w:after="0" w:line="107" w:lineRule="exact"/>
        <w:rPr>
          <w:sz w:val="20"/>
          <w:szCs w:val="20"/>
          <w:color w:val="auto"/>
        </w:rPr>
      </w:pPr>
    </w:p>
    <w:p>
      <w:pPr>
        <w:ind w:right="600" w:firstLine="637"/>
        <w:spacing w:after="0" w:line="277"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73" w:lineRule="exact"/>
        <w:rPr>
          <w:sz w:val="20"/>
          <w:szCs w:val="20"/>
          <w:color w:val="auto"/>
        </w:rPr>
      </w:pPr>
    </w:p>
    <w:p>
      <w:pPr>
        <w:ind w:left="640" w:right="3900" w:firstLine="3217"/>
        <w:spacing w:after="0" w:line="521" w:lineRule="auto"/>
        <w:rPr>
          <w:sz w:val="20"/>
          <w:szCs w:val="20"/>
          <w:color w:val="auto"/>
        </w:rPr>
      </w:pPr>
      <w:r>
        <w:rPr>
          <w:rFonts w:ascii="Arial" w:cs="Arial" w:eastAsia="Arial" w:hAnsi="Arial"/>
          <w:sz w:val="16"/>
          <w:szCs w:val="16"/>
          <w:b w:val="1"/>
          <w:bCs w:val="1"/>
          <w:color w:val="auto"/>
        </w:rPr>
        <w:t xml:space="preserve">Reducing Manufacturing's Carbon Footprint </w:t>
      </w:r>
      <w:r>
        <w:rPr>
          <w:rFonts w:ascii="Arial" w:cs="Arial" w:eastAsia="Arial" w:hAnsi="Arial"/>
          <w:sz w:val="16"/>
          <w:szCs w:val="16"/>
          <w:color w:val="auto"/>
        </w:rPr>
        <w:t>We are committed to helping reduce the manufacturing industry’s overall carbon footprint.</w:t>
      </w:r>
    </w:p>
    <w:p>
      <w:pPr>
        <w:spacing w:after="0" w:line="1" w:lineRule="exact"/>
        <w:rPr>
          <w:sz w:val="20"/>
          <w:szCs w:val="20"/>
          <w:color w:val="auto"/>
        </w:rPr>
      </w:pPr>
    </w:p>
    <w:p>
      <w:pPr>
        <w:ind w:firstLine="637"/>
        <w:spacing w:after="0" w:line="311" w:lineRule="auto"/>
        <w:rPr>
          <w:sz w:val="20"/>
          <w:szCs w:val="20"/>
          <w:color w:val="auto"/>
        </w:rPr>
      </w:pPr>
      <w:r>
        <w:rPr>
          <w:rFonts w:ascii="Arial" w:cs="Arial" w:eastAsia="Arial" w:hAnsi="Arial"/>
          <w:sz w:val="16"/>
          <w:szCs w:val="16"/>
          <w:color w:val="auto"/>
        </w:rPr>
        <w:t>Marketplace customers can calculate the carbon footprint of their manufacturing projects to help them make informed decisions that will help them reduce their carbon emissions. Earlier this year, we integrated the Gravity Climate API into our Marketplace. The Gravity Climate API calculates carbon emissions estimates for Xometry order requests, using climate science and data related to product material, manufacturing processes, mass, and geography.</w:t>
      </w:r>
    </w:p>
    <w:p>
      <w:pPr>
        <w:spacing w:after="0" w:line="107" w:lineRule="exact"/>
        <w:rPr>
          <w:sz w:val="20"/>
          <w:szCs w:val="20"/>
          <w:color w:val="auto"/>
        </w:rPr>
      </w:pPr>
    </w:p>
    <w:p>
      <w:pPr>
        <w:ind w:right="40" w:firstLine="637"/>
        <w:spacing w:after="0" w:line="256" w:lineRule="auto"/>
        <w:rPr>
          <w:sz w:val="20"/>
          <w:szCs w:val="20"/>
          <w:color w:val="auto"/>
        </w:rPr>
      </w:pPr>
      <w:r>
        <w:rPr>
          <w:rFonts w:ascii="Arial" w:cs="Arial" w:eastAsia="Arial" w:hAnsi="Arial"/>
          <w:sz w:val="18"/>
          <w:szCs w:val="18"/>
          <w:color w:val="auto"/>
        </w:rPr>
        <w:t>We also offer a Carbon Offset Program, which gives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industry globally.</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Why Buyers Win</w:t>
      </w:r>
    </w:p>
    <w:p>
      <w:pPr>
        <w:spacing w:after="0" w:line="229" w:lineRule="exact"/>
        <w:rPr>
          <w:sz w:val="20"/>
          <w:szCs w:val="20"/>
          <w:color w:val="auto"/>
        </w:rPr>
      </w:pPr>
    </w:p>
    <w:p>
      <w:pPr>
        <w:ind w:left="900" w:right="260" w:hanging="263"/>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1" w:lineRule="exact"/>
        <w:rPr>
          <w:rFonts w:ascii="Arial" w:cs="Arial" w:eastAsia="Arial" w:hAnsi="Arial"/>
          <w:sz w:val="17"/>
          <w:szCs w:val="17"/>
          <w:color w:val="auto"/>
        </w:rPr>
      </w:pPr>
    </w:p>
    <w:p>
      <w:pPr>
        <w:ind w:left="900" w:right="260" w:hanging="263"/>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 procurement process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buyers and offer an exceptional e-commerce experience to simplify transactions. After a buyer uploads a CAD file, our platform provides instant access to a wide range of materials, finishes and certifications, with transparent pricing and lead-time information. Buyers can also access our e-commerce capabilities through our plug-ins created for various popular 3D CAD programs and punch-out integrations with widely-used ERP and procurement systems.</w:t>
      </w:r>
    </w:p>
    <w:p>
      <w:pPr>
        <w:spacing w:after="0" w:line="82" w:lineRule="exact"/>
        <w:rPr>
          <w:rFonts w:ascii="Arial" w:cs="Arial" w:eastAsia="Arial" w:hAnsi="Arial"/>
          <w:sz w:val="18"/>
          <w:szCs w:val="18"/>
          <w:color w:val="auto"/>
        </w:rPr>
      </w:pPr>
    </w:p>
    <w:p>
      <w:pPr>
        <w:ind w:left="900" w:hanging="263"/>
        <w:spacing w:after="0" w:line="287"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Access to a Massive Network of Suppliers. </w:t>
      </w:r>
      <w:r>
        <w:rPr>
          <w:rFonts w:ascii="Arial" w:cs="Arial" w:eastAsia="Arial" w:hAnsi="Arial"/>
          <w:sz w:val="16"/>
          <w:szCs w:val="16"/>
          <w:color w:val="auto"/>
        </w:rPr>
        <w:t>We provide buyers access to the massive, global network of suppliers on our platform.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extensive network alongside a personalized user experience allows buyers to submit projects with unique components and specifications, which we source through our platform to suppliers that are able to deliver. In particular, we implement select credentialing and compliance</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specifications to ensure that we can meet the standards for buyers across a number of industries.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263" w:right="380" w:hanging="263"/>
        <w:spacing w:after="0" w:line="259" w:lineRule="auto"/>
        <w:tabs>
          <w:tab w:leader="none" w:pos="263"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 materials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customized solutions across massive industries including Defense, Aerospace, Healthcare, Consumer Goods, Robotics, Government and Education, Automotive and Industrial. The extensibility of our platform allows us to build industry playbooks and add new processes over time.</w:t>
      </w:r>
    </w:p>
    <w:p>
      <w:pPr>
        <w:spacing w:after="0" w:line="77" w:lineRule="exact"/>
        <w:rPr>
          <w:rFonts w:ascii="Arial" w:cs="Arial" w:eastAsia="Arial" w:hAnsi="Arial"/>
          <w:sz w:val="18"/>
          <w:szCs w:val="18"/>
          <w:color w:val="auto"/>
        </w:rPr>
      </w:pPr>
    </w:p>
    <w:p>
      <w:pPr>
        <w:ind w:left="263" w:right="20" w:hanging="263"/>
        <w:spacing w:after="0" w:line="259" w:lineRule="auto"/>
        <w:tabs>
          <w:tab w:leader="none" w:pos="263"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 embedding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into various buyer workflows by productizing our internal AI and workflow engine. Our enterprise integration supports procurement workflows and part and sourcing requirements. By embedding Xometry intelligence into workflows, we are able to deliver more reliable and relevant manufacturing solutions for buyers.</w:t>
      </w:r>
    </w:p>
    <w:p>
      <w:pPr>
        <w:spacing w:after="0" w:line="77" w:lineRule="exact"/>
        <w:rPr>
          <w:rFonts w:ascii="Arial" w:cs="Arial" w:eastAsia="Arial" w:hAnsi="Arial"/>
          <w:sz w:val="18"/>
          <w:szCs w:val="18"/>
          <w:color w:val="auto"/>
        </w:rPr>
      </w:pPr>
    </w:p>
    <w:p>
      <w:pPr>
        <w:ind w:left="263" w:hanging="263"/>
        <w:spacing w:after="0" w:line="275" w:lineRule="auto"/>
        <w:tabs>
          <w:tab w:leader="none" w:pos="263"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Production Flexibility. </w:t>
      </w:r>
      <w:r>
        <w:rPr>
          <w:rFonts w:ascii="Arial" w:cs="Arial" w:eastAsia="Arial" w:hAnsi="Arial"/>
          <w:sz w:val="17"/>
          <w:szCs w:val="17"/>
          <w:color w:val="auto"/>
        </w:rPr>
        <w:t>We allow buyers to purchase any number of parts and services. From one part to millions, buyers have access to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processes for rapid prototyping, product development, or high-volume production. These processes can also be combined with over 75 finishes available across CNC machining, sheet forming and cutting and additive manufacturing along with thousands of raw material and color combinations. Given this ability to provide tailored and scaled solutions, we find that buyers typically expand their use of our marketplace, sourcing a greater number of parts and processes over time.</w:t>
      </w:r>
    </w:p>
    <w:p>
      <w:pPr>
        <w:spacing w:after="0" w:line="130" w:lineRule="exact"/>
        <w:rPr>
          <w:sz w:val="20"/>
          <w:szCs w:val="20"/>
          <w:color w:val="auto"/>
        </w:rPr>
      </w:pPr>
    </w:p>
    <w:p>
      <w:pPr>
        <w:ind w:left="4203"/>
        <w:spacing w:after="0"/>
        <w:rPr>
          <w:sz w:val="20"/>
          <w:szCs w:val="20"/>
          <w:color w:val="auto"/>
        </w:rPr>
      </w:pPr>
      <w:r>
        <w:rPr>
          <w:rFonts w:ascii="Arial" w:cs="Arial" w:eastAsia="Arial" w:hAnsi="Arial"/>
          <w:sz w:val="18"/>
          <w:szCs w:val="18"/>
          <w:b w:val="1"/>
          <w:bCs w:val="1"/>
          <w:color w:val="auto"/>
        </w:rPr>
        <w:t>Why Suppliers Win</w:t>
      </w:r>
    </w:p>
    <w:p>
      <w:pPr>
        <w:spacing w:after="0" w:line="229" w:lineRule="exact"/>
        <w:rPr>
          <w:sz w:val="20"/>
          <w:szCs w:val="20"/>
          <w:color w:val="auto"/>
        </w:rPr>
      </w:pPr>
    </w:p>
    <w:p>
      <w:pPr>
        <w:ind w:left="263" w:right="40" w:hanging="263"/>
        <w:spacing w:after="0" w:line="259"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suppliers access to manufacturing opportunities from our large, geographically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industry-diverse buyer base, allowing suppliers to gain new customers without increasing their sales and marketing spend. As our AI technology improves, our ability to generate new business for suppliers increases. This model is designed to lower customer acquisition costs and improve suppliers margins over time.</w:t>
      </w:r>
    </w:p>
    <w:p>
      <w:pPr>
        <w:spacing w:after="0" w:line="77" w:lineRule="exact"/>
        <w:rPr>
          <w:rFonts w:ascii="Arial" w:cs="Arial" w:eastAsia="Arial" w:hAnsi="Arial"/>
          <w:sz w:val="18"/>
          <w:szCs w:val="18"/>
          <w:color w:val="auto"/>
        </w:rPr>
      </w:pPr>
    </w:p>
    <w:p>
      <w:pPr>
        <w:jc w:val="both"/>
        <w:ind w:left="263" w:right="180" w:hanging="263"/>
        <w:spacing w:after="0" w:line="263"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supplier the exclusive opportunity to accept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next repeat order in order to increase efficiency and reliability. Our ability to attract repeat buyers helps stabilize demand for suppliers so they can operate their businesses more efficiently.</w:t>
      </w:r>
    </w:p>
    <w:p>
      <w:pPr>
        <w:spacing w:after="0" w:line="74" w:lineRule="exact"/>
        <w:rPr>
          <w:rFonts w:ascii="Arial" w:cs="Arial" w:eastAsia="Arial" w:hAnsi="Arial"/>
          <w:sz w:val="18"/>
          <w:szCs w:val="18"/>
          <w:color w:val="auto"/>
        </w:rPr>
      </w:pPr>
    </w:p>
    <w:p>
      <w:pPr>
        <w:ind w:left="263" w:right="140" w:hanging="263"/>
        <w:spacing w:after="0" w:line="254"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suppliers. Our intuitive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helps our suppliers digitize their operations so they can work smarter and faster. We provide order management, shipping and collaboration tools, reducing friction for suppliers and improving overall manufacturing order process efficiency. During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84" w:lineRule="exact"/>
        <w:rPr>
          <w:rFonts w:ascii="Arial" w:cs="Arial" w:eastAsia="Arial" w:hAnsi="Arial"/>
          <w:sz w:val="18"/>
          <w:szCs w:val="18"/>
          <w:color w:val="auto"/>
        </w:rPr>
      </w:pPr>
    </w:p>
    <w:p>
      <w:pPr>
        <w:ind w:left="263" w:right="140" w:hanging="263"/>
        <w:spacing w:after="0" w:line="259"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suite of financial services and Xometry maintenance, repair, and operating partnerships help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their cash flows and lower operating costs at all stages of production. Suppliers can receive cash advances for their work, accelerated payouts and a seamless digital invoicing process in an industry that frequently still relies on analog payments that are prone to delays. These services help suppliers manage their business more efficiently.</w:t>
      </w:r>
    </w:p>
    <w:p>
      <w:pPr>
        <w:spacing w:after="0" w:line="77" w:lineRule="exact"/>
        <w:rPr>
          <w:rFonts w:ascii="Arial" w:cs="Arial" w:eastAsia="Arial" w:hAnsi="Arial"/>
          <w:sz w:val="18"/>
          <w:szCs w:val="18"/>
          <w:color w:val="auto"/>
        </w:rPr>
      </w:pPr>
    </w:p>
    <w:p>
      <w:pPr>
        <w:ind w:left="263" w:right="180" w:hanging="263"/>
        <w:spacing w:after="0" w:line="263"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and Data Solutions. </w:t>
      </w:r>
      <w:r>
        <w:rPr>
          <w:rFonts w:ascii="Arial" w:cs="Arial" w:eastAsia="Arial" w:hAnsi="Arial"/>
          <w:sz w:val="18"/>
          <w:szCs w:val="18"/>
          <w:color w:val="auto"/>
        </w:rPr>
        <w:t>Our suite of marketing and data services provided by Thomas helps suppliers grow and efficiently run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We offer suppliers a full slate of marketing services, including website building, search-engine optimization (“SEO”) and targeted advertising to buyers, resources that will help them further growth their business.</w:t>
      </w:r>
    </w:p>
    <w:p>
      <w:pPr>
        <w:spacing w:after="0" w:line="74" w:lineRule="exact"/>
        <w:rPr>
          <w:rFonts w:ascii="Arial" w:cs="Arial" w:eastAsia="Arial" w:hAnsi="Arial"/>
          <w:sz w:val="18"/>
          <w:szCs w:val="18"/>
          <w:color w:val="auto"/>
        </w:rPr>
      </w:pPr>
    </w:p>
    <w:p>
      <w:pPr>
        <w:ind w:left="263" w:right="220" w:hanging="263"/>
        <w:spacing w:after="0" w:line="301"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Utilization. </w:t>
      </w:r>
      <w:r>
        <w:rPr>
          <w:rFonts w:ascii="Arial" w:cs="Arial" w:eastAsia="Arial" w:hAnsi="Arial"/>
          <w:sz w:val="16"/>
          <w:szCs w:val="16"/>
          <w:color w:val="auto"/>
        </w:rPr>
        <w:t>We are focused on helping suppliers realize their potential by providing manufacturing opportunities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procured in a single click. Knowing that there is a reliable way to find extra work gives suppliers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supplier network.</w:t>
      </w:r>
    </w:p>
    <w:p>
      <w:pPr>
        <w:spacing w:after="0" w:line="47" w:lineRule="exact"/>
        <w:rPr>
          <w:rFonts w:ascii="Arial" w:cs="Arial" w:eastAsia="Arial" w:hAnsi="Arial"/>
          <w:sz w:val="16"/>
          <w:szCs w:val="16"/>
          <w:color w:val="auto"/>
        </w:rPr>
      </w:pPr>
    </w:p>
    <w:p>
      <w:pPr>
        <w:ind w:left="263" w:right="240" w:hanging="263"/>
        <w:spacing w:after="0" w:line="279" w:lineRule="auto"/>
        <w:tabs>
          <w:tab w:leader="none" w:pos="263"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Supplier Community. </w:t>
      </w:r>
      <w:r>
        <w:rPr>
          <w:rFonts w:ascii="Arial" w:cs="Arial" w:eastAsia="Arial" w:hAnsi="Arial"/>
          <w:sz w:val="17"/>
          <w:szCs w:val="17"/>
          <w:color w:val="auto"/>
        </w:rPr>
        <w:t>Through our supplier-focused community initiatives, we empower suppliers of a variety of sizes to grow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Our Community Portal is an active and dedicated place where we can interact with our suppliers to better understand their needs and interests, and also give suppliers a platform to support one another. Our suppliers take pride in their crafts and are often sharing tips on machining best practices as well as how they leverage Xometry to work best for their shop.</w:t>
      </w:r>
    </w:p>
    <w:p>
      <w:pPr>
        <w:spacing w:after="0" w:line="274" w:lineRule="exact"/>
        <w:rPr>
          <w:sz w:val="20"/>
          <w:szCs w:val="20"/>
          <w:color w:val="auto"/>
        </w:rPr>
      </w:pPr>
    </w:p>
    <w:p>
      <w:pPr>
        <w:ind w:left="4443"/>
        <w:spacing w:after="0"/>
        <w:rPr>
          <w:sz w:val="20"/>
          <w:szCs w:val="20"/>
          <w:color w:val="auto"/>
        </w:rPr>
      </w:pPr>
      <w:r>
        <w:rPr>
          <w:rFonts w:ascii="Arial" w:cs="Arial" w:eastAsia="Arial" w:hAnsi="Arial"/>
          <w:sz w:val="18"/>
          <w:szCs w:val="18"/>
          <w:b w:val="1"/>
          <w:bCs w:val="1"/>
          <w:color w:val="auto"/>
        </w:rPr>
        <w:t>Why We Win</w:t>
      </w:r>
    </w:p>
    <w:p>
      <w:pPr>
        <w:spacing w:after="0" w:line="229" w:lineRule="exact"/>
        <w:rPr>
          <w:sz w:val="20"/>
          <w:szCs w:val="20"/>
          <w:color w:val="auto"/>
        </w:rPr>
      </w:pPr>
    </w:p>
    <w:p>
      <w:pPr>
        <w:ind w:left="263" w:right="140" w:hanging="263"/>
        <w:spacing w:after="0" w:line="254"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 purchasing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w:t>
      </w:r>
    </w:p>
    <w:p>
      <w:pPr>
        <w:spacing w:after="0" w:line="1"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57" w:top="233" w:right="359" w:bottom="1440" w:gutter="0" w:footer="0" w:header="0"/>
        </w:sectPr>
      </w:pPr>
    </w:p>
    <w:bookmarkStart w:id="7" w:name="page8"/>
    <w:bookmarkEnd w:id="7"/>
    <w:p>
      <w:pPr>
        <w:ind w:left="263" w:right="220"/>
        <w:spacing w:after="0" w:line="263" w:lineRule="auto"/>
        <w:rPr>
          <w:sz w:val="20"/>
          <w:szCs w:val="20"/>
          <w:color w:val="auto"/>
        </w:rPr>
      </w:pPr>
      <w:r>
        <w:rPr>
          <w:rFonts w:ascii="Arial" w:cs="Arial" w:eastAsia="Arial" w:hAnsi="Arial"/>
          <w:sz w:val="18"/>
          <w:szCs w:val="18"/>
          <w:color w:val="auto"/>
        </w:rPr>
        <w:t>sourcing, pricing and lead time quotes for buyers and suppliers. This data in combination with our machine learning algorithms fuels the continuous learning of our models. As our models improve, our platform becomes more efficient and our offerings become more tailored for individual buyers and suppliers.</w:t>
      </w:r>
    </w:p>
    <w:p>
      <w:pPr>
        <w:spacing w:after="0" w:line="75" w:lineRule="exact"/>
        <w:rPr>
          <w:sz w:val="20"/>
          <w:szCs w:val="20"/>
          <w:color w:val="auto"/>
        </w:rPr>
      </w:pPr>
    </w:p>
    <w:p>
      <w:pPr>
        <w:ind w:left="263" w:hanging="263"/>
        <w:spacing w:after="0" w:line="296"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Custom-Built, Extensible Platform. </w:t>
      </w:r>
      <w:r>
        <w:rPr>
          <w:rFonts w:ascii="Arial" w:cs="Arial" w:eastAsia="Arial" w:hAnsi="Arial"/>
          <w:sz w:val="16"/>
          <w:szCs w:val="16"/>
          <w:color w:val="auto"/>
        </w:rPr>
        <w:t>Our manufacturing processes and supply offerings are tailored to the complex and industry-specific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order needs of manufacturing. These custom offerings are powered by our diverse and growing supplier network which contributes differentiated processes and our AI-enabled technology that facilitates intelligent matches between buyers and suppliers. Additionally, our use of services-oriented architecture and cloud infrastructure ensures scalability and helps reduce the time to market for new offerings. With the acquisition of Thomasnet, we expect to continue to add new manufacturing processes to help both our buyers and suppliers thrive.</w:t>
      </w:r>
    </w:p>
    <w:p>
      <w:pPr>
        <w:spacing w:after="0" w:line="52" w:lineRule="exact"/>
        <w:rPr>
          <w:rFonts w:ascii="Arial" w:cs="Arial" w:eastAsia="Arial" w:hAnsi="Arial"/>
          <w:sz w:val="16"/>
          <w:szCs w:val="16"/>
          <w:color w:val="auto"/>
        </w:rPr>
      </w:pPr>
    </w:p>
    <w:p>
      <w:pPr>
        <w:ind w:left="263" w:right="120" w:hanging="263"/>
        <w:spacing w:after="0" w:line="263" w:lineRule="auto"/>
        <w:tabs>
          <w:tab w:leader="none" w:pos="26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AI-enabled digital manufacturing marketplace by revenue. As we continue to scale,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a self-reinforcing, virtuous cycle, in which marketplace interactions contribute valuable data points and insights that improve our AI-enabled platform, increasing lifetime customer value and fueling strong unit economics.</w:t>
      </w:r>
    </w:p>
    <w:p>
      <w:pPr>
        <w:spacing w:after="0" w:line="74" w:lineRule="exact"/>
        <w:rPr>
          <w:rFonts w:ascii="Arial" w:cs="Arial" w:eastAsia="Arial" w:hAnsi="Arial"/>
          <w:sz w:val="18"/>
          <w:szCs w:val="18"/>
          <w:color w:val="auto"/>
        </w:rPr>
      </w:pPr>
    </w:p>
    <w:p>
      <w:pPr>
        <w:ind w:left="263" w:right="60" w:hanging="263"/>
        <w:spacing w:after="0" w:line="296"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Buyer Engagement and Expansion. </w:t>
      </w:r>
      <w:r>
        <w:rPr>
          <w:rFonts w:ascii="Arial" w:cs="Arial" w:eastAsia="Arial" w:hAnsi="Arial"/>
          <w:sz w:val="16"/>
          <w:szCs w:val="16"/>
          <w:color w:val="auto"/>
        </w:rPr>
        <w:t>Our flexible ordering process allows us to land new customers and increases buyer stickiness, fueling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go-to-market model. Over time, our accounts typically increase their spend with us through the addition of buyers and incremental processes, increasing order frequency and spend. For the quarter ended December 31, 2022, 96% of our revenue was generated from existing accounts. We define an existing account as an account where at least one buyer has made a purchase on our marketplace. For the quarter ended December 31, 2022, we saw a 47% year-over-year increase in accounts with at least $50,000 annual spend.</w:t>
      </w:r>
    </w:p>
    <w:p>
      <w:pPr>
        <w:spacing w:after="0" w:line="52" w:lineRule="exact"/>
        <w:rPr>
          <w:rFonts w:ascii="Arial" w:cs="Arial" w:eastAsia="Arial" w:hAnsi="Arial"/>
          <w:sz w:val="16"/>
          <w:szCs w:val="16"/>
          <w:color w:val="auto"/>
        </w:rPr>
      </w:pPr>
    </w:p>
    <w:p>
      <w:pPr>
        <w:ind w:left="263" w:right="240" w:hanging="263"/>
        <w:spacing w:after="0" w:line="279" w:lineRule="auto"/>
        <w:tabs>
          <w:tab w:leader="none" w:pos="26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Globally Distributed Supplier Network. </w:t>
      </w:r>
      <w:r>
        <w:rPr>
          <w:rFonts w:ascii="Arial" w:cs="Arial" w:eastAsia="Arial" w:hAnsi="Arial"/>
          <w:sz w:val="17"/>
          <w:szCs w:val="17"/>
          <w:color w:val="auto"/>
        </w:rPr>
        <w:t>Our global network of over 10,000 supplier brings together a range of manufacturing processes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industry-specific knowledge. With the acquisition of Thomas, we have access to an additional 500,000 suppliers. This enables us to serve a large, diverse and growing set of buyers. We offer our suppliers products and services to help them manage their businesses more efficiently and connect our entire supplier community for access to shared resources and support.</w:t>
      </w:r>
    </w:p>
    <w:p>
      <w:pPr>
        <w:spacing w:after="0" w:line="61" w:lineRule="exact"/>
        <w:rPr>
          <w:rFonts w:ascii="Arial" w:cs="Arial" w:eastAsia="Arial" w:hAnsi="Arial"/>
          <w:sz w:val="17"/>
          <w:szCs w:val="17"/>
          <w:color w:val="auto"/>
        </w:rPr>
      </w:pPr>
    </w:p>
    <w:p>
      <w:pPr>
        <w:jc w:val="both"/>
        <w:ind w:left="263" w:right="40" w:hanging="263"/>
        <w:spacing w:after="0" w:line="311"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Mission-Driven Culture. </w:t>
      </w:r>
      <w:r>
        <w:rPr>
          <w:rFonts w:ascii="Arial" w:cs="Arial" w:eastAsia="Arial" w:hAnsi="Arial"/>
          <w:sz w:val="16"/>
          <w:szCs w:val="16"/>
          <w:color w:val="auto"/>
        </w:rPr>
        <w:t>As we accelerate innovation in manufacturing, we remain focused on empowering local businesses and enabling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52" w:lineRule="exact"/>
        <w:rPr>
          <w:sz w:val="20"/>
          <w:szCs w:val="20"/>
          <w:color w:val="auto"/>
        </w:rPr>
      </w:pPr>
    </w:p>
    <w:p>
      <w:pPr>
        <w:ind w:left="4143"/>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jc w:val="both"/>
        <w:ind w:left="263" w:right="200" w:hanging="263"/>
        <w:spacing w:after="0" w:line="311"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new buyers and grow wallet share with existing buyers. </w:t>
      </w:r>
      <w:r>
        <w:rPr>
          <w:rFonts w:ascii="Arial" w:cs="Arial" w:eastAsia="Arial" w:hAnsi="Arial"/>
          <w:sz w:val="16"/>
          <w:szCs w:val="16"/>
          <w:color w:val="auto"/>
        </w:rPr>
        <w:t>We intend to continue investing in acquiring new buyers through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39" w:lineRule="exact"/>
        <w:rPr>
          <w:rFonts w:ascii="Arial" w:cs="Arial" w:eastAsia="Arial" w:hAnsi="Arial"/>
          <w:sz w:val="16"/>
          <w:szCs w:val="16"/>
          <w:color w:val="auto"/>
        </w:rPr>
      </w:pPr>
    </w:p>
    <w:p>
      <w:pPr>
        <w:jc w:val="both"/>
        <w:ind w:left="263" w:right="20" w:hanging="263"/>
        <w:spacing w:after="0" w:line="263"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supplier partnerships. </w:t>
      </w:r>
      <w:r>
        <w:rPr>
          <w:rFonts w:ascii="Arial" w:cs="Arial" w:eastAsia="Arial" w:hAnsi="Arial"/>
          <w:sz w:val="18"/>
          <w:szCs w:val="18"/>
          <w:color w:val="auto"/>
        </w:rPr>
        <w:t>Creating the largest, most connected, and efficient supplier network in the world benefits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We are focused on attracting new suppliers, recognizing the massive opportunity still in front of us and the intrinsic benefit an active, diverse supplier population brings to the overall platform.</w:t>
      </w:r>
    </w:p>
    <w:p>
      <w:pPr>
        <w:spacing w:after="0" w:line="74" w:lineRule="exact"/>
        <w:rPr>
          <w:rFonts w:ascii="Arial" w:cs="Arial" w:eastAsia="Arial" w:hAnsi="Arial"/>
          <w:sz w:val="18"/>
          <w:szCs w:val="18"/>
          <w:color w:val="auto"/>
        </w:rPr>
      </w:pPr>
    </w:p>
    <w:p>
      <w:pPr>
        <w:ind w:left="263" w:right="60" w:hanging="263"/>
        <w:spacing w:after="0" w:line="311"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an enterprise solution for our suppliers. </w:t>
      </w:r>
      <w:r>
        <w:rPr>
          <w:rFonts w:ascii="Arial" w:cs="Arial" w:eastAsia="Arial" w:hAnsi="Arial"/>
          <w:sz w:val="16"/>
          <w:szCs w:val="16"/>
          <w:color w:val="auto"/>
        </w:rPr>
        <w:t>As we continue to grow the amount of data processed by our algorithms, we can provide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with progressively sophisticated data insights and analytics. Combined with our workflow management software and other supplier services, we will increasingly become the enterprise solution for suppliers to manage their businesses on and off platform.</w:t>
      </w:r>
    </w:p>
    <w:p>
      <w:pPr>
        <w:spacing w:after="0" w:line="39" w:lineRule="exact"/>
        <w:rPr>
          <w:rFonts w:ascii="Arial" w:cs="Arial" w:eastAsia="Arial" w:hAnsi="Arial"/>
          <w:sz w:val="16"/>
          <w:szCs w:val="16"/>
          <w:color w:val="auto"/>
        </w:rPr>
      </w:pPr>
    </w:p>
    <w:p>
      <w:pPr>
        <w:ind w:left="263" w:hanging="263"/>
        <w:spacing w:after="0" w:line="301"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and offer additional supplier products and services. </w:t>
      </w:r>
      <w:r>
        <w:rPr>
          <w:rFonts w:ascii="Arial" w:cs="Arial" w:eastAsia="Arial" w:hAnsi="Arial"/>
          <w:sz w:val="16"/>
          <w:szCs w:val="16"/>
          <w:color w:val="auto"/>
        </w:rPr>
        <w:t>Our supplier products and services allow us to deepen supplier relationships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engagement. Revenue from our supplier services was approximately 20% of our total revenue for the year ended December 31, 2022. We plan to continue to market our financial service products to U.S. suppliers, enhance features that allow quicker conversion of purchase orders to cash, and build toward a full-service digital wallet for suppliers to use for payouts and purchases.</w:t>
      </w:r>
    </w:p>
    <w:p>
      <w:pPr>
        <w:spacing w:after="0" w:line="47" w:lineRule="exact"/>
        <w:rPr>
          <w:rFonts w:ascii="Arial" w:cs="Arial" w:eastAsia="Arial" w:hAnsi="Arial"/>
          <w:sz w:val="16"/>
          <w:szCs w:val="16"/>
          <w:color w:val="auto"/>
        </w:rPr>
      </w:pPr>
    </w:p>
    <w:p>
      <w:pPr>
        <w:ind w:left="263" w:right="60" w:hanging="263"/>
        <w:spacing w:after="0" w:line="259"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 marketplace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 Xometry. With operations throughout the majority of the contiguous United States and customers in Europe and Asia we have established footholds in major markets around the world. We will continue to dedicate sales and marketing resources to develop our supplier networks and attract buyers to our marketplace in other regions.</w:t>
      </w:r>
    </w:p>
    <w:p>
      <w:pPr>
        <w:spacing w:after="0" w:line="77" w:lineRule="exact"/>
        <w:rPr>
          <w:rFonts w:ascii="Arial" w:cs="Arial" w:eastAsia="Arial" w:hAnsi="Arial"/>
          <w:sz w:val="18"/>
          <w:szCs w:val="18"/>
          <w:color w:val="auto"/>
        </w:rPr>
      </w:pPr>
    </w:p>
    <w:p>
      <w:pPr>
        <w:ind w:left="263" w:right="480" w:hanging="263"/>
        <w:spacing w:after="0" w:line="277"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 opportunity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investments and acquisitions to strengthen our competitive position and processes.</w:t>
      </w:r>
    </w:p>
    <w:p>
      <w:pPr>
        <w:spacing w:after="0" w:line="169"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57"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Government Regulation</w:t>
      </w:r>
    </w:p>
    <w:p>
      <w:pPr>
        <w:spacing w:after="0" w:line="161" w:lineRule="exact"/>
        <w:rPr>
          <w:sz w:val="20"/>
          <w:szCs w:val="20"/>
          <w:color w:val="auto"/>
        </w:rPr>
      </w:pPr>
    </w:p>
    <w:p>
      <w:pPr>
        <w:ind w:right="160" w:firstLine="637"/>
        <w:spacing w:after="0" w:line="255"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intellectual property, advertising, environmental, labor and employment, consumer protection and unsolicited email and taxes,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 Laws</w:t>
      </w:r>
    </w:p>
    <w:p>
      <w:pPr>
        <w:spacing w:after="0" w:line="200" w:lineRule="exact"/>
        <w:rPr>
          <w:sz w:val="20"/>
          <w:szCs w:val="20"/>
          <w:color w:val="auto"/>
        </w:rPr>
      </w:pPr>
    </w:p>
    <w:p>
      <w:pPr>
        <w:spacing w:after="0" w:line="240" w:lineRule="exact"/>
        <w:rPr>
          <w:sz w:val="20"/>
          <w:szCs w:val="20"/>
          <w:color w:val="auto"/>
        </w:rPr>
      </w:pPr>
    </w:p>
    <w:p>
      <w:pPr>
        <w:ind w:right="60" w:firstLine="494"/>
        <w:spacing w:after="0" w:line="256"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Most states have enacted laws and regulations requiring notification to users when there is a security breach of personal data, or requiring the adoption of minimum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200" w:lineRule="exact"/>
        <w:rPr>
          <w:sz w:val="20"/>
          <w:szCs w:val="20"/>
          <w:color w:val="auto"/>
        </w:rPr>
      </w:pPr>
    </w:p>
    <w:p>
      <w:pPr>
        <w:spacing w:after="0" w:line="206" w:lineRule="exact"/>
        <w:rPr>
          <w:sz w:val="20"/>
          <w:szCs w:val="20"/>
          <w:color w:val="auto"/>
        </w:rPr>
      </w:pPr>
    </w:p>
    <w:p>
      <w:pPr>
        <w:ind w:firstLine="494"/>
        <w:spacing w:after="0" w:line="268" w:lineRule="auto"/>
        <w:rPr>
          <w:sz w:val="20"/>
          <w:szCs w:val="20"/>
          <w:color w:val="auto"/>
        </w:rPr>
      </w:pPr>
      <w:r>
        <w:rPr>
          <w:rFonts w:ascii="Arial" w:cs="Arial" w:eastAsia="Arial" w:hAnsi="Arial"/>
          <w:sz w:val="17"/>
          <w:szCs w:val="17"/>
          <w:color w:val="auto"/>
        </w:rPr>
        <w:t>We are also subject to federal, state, and foreign laws and regulations regarding privacy and protection of data. Our privacy policies describe our practices concerning the use, storage, transmission and disclosure of personal information, including visitor and user data. Any failure by us to comply with these terms or privacy related laws and regulations could result in proceedings against us by governmental authorities or others, which could harm our business. In addition, the interpretation of privacy and data protection laws and regulations and their application to online services are unclear, evolving and in a state of flux. There is a risk that these laws and regulations may be interpreted and applied in conflicting ways from state to state, country to country, or region to region, and in a manner that is not consistent with our current data protection practices, or that new laws or regulations will be enacted. In addition, because our website platform is accessible worldwide, certain foreign governments may claim that we are required to comply with their laws and regulations, including with respect to the storage, use and disclosure of user information, even in jurisdictions where we have no local entity, employees, or infrastructure. Foreign data protection, privacy, consumer protection, content regulation and other laws and regulations are often more restrictive than those in the United States. Complying with these varying domestic and international requirements could cause us to incur additional costs and change our business practices. Further, any failure by us to adequately protect our users’ privacy and data could result in a loss of user confidence in our services and ultimately in a loss of users, which could adversely affect our business.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8" w:lineRule="exact"/>
        <w:rPr>
          <w:sz w:val="20"/>
          <w:szCs w:val="20"/>
          <w:color w:val="auto"/>
        </w:rPr>
      </w:pPr>
    </w:p>
    <w:p>
      <w:pPr>
        <w:ind w:right="100" w:firstLine="637"/>
        <w:spacing w:after="0" w:line="341" w:lineRule="auto"/>
        <w:rPr>
          <w:sz w:val="20"/>
          <w:szCs w:val="20"/>
          <w:color w:val="auto"/>
        </w:rPr>
      </w:pPr>
      <w:r>
        <w:rPr>
          <w:rFonts w:ascii="Arial" w:cs="Arial" w:eastAsia="Arial" w:hAnsi="Arial"/>
          <w:sz w:val="16"/>
          <w:szCs w:val="16"/>
          <w:color w:val="auto"/>
        </w:rPr>
        <w:t>To be a Xometry employee means taking an active role in building and serving our communities. We believe that our strong corporate culture and our investment in our employees’ development and engagement are key to our success. As of December 31, 2022, we had 914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Xometry Culture</w:t>
      </w:r>
    </w:p>
    <w:p>
      <w:pPr>
        <w:spacing w:after="0" w:line="184" w:lineRule="exact"/>
        <w:rPr>
          <w:sz w:val="20"/>
          <w:szCs w:val="20"/>
          <w:color w:val="auto"/>
        </w:rPr>
      </w:pPr>
    </w:p>
    <w:p>
      <w:pPr>
        <w:ind w:right="260" w:firstLine="637"/>
        <w:spacing w:after="0" w:line="259" w:lineRule="auto"/>
        <w:rPr>
          <w:sz w:val="20"/>
          <w:szCs w:val="20"/>
          <w:color w:val="auto"/>
        </w:rPr>
      </w:pPr>
      <w:r>
        <w:rPr>
          <w:rFonts w:ascii="Arial" w:cs="Arial" w:eastAsia="Arial" w:hAnsi="Arial"/>
          <w:sz w:val="18"/>
          <w:szCs w:val="18"/>
          <w:color w:val="auto"/>
        </w:rPr>
        <w:t>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98" w:lineRule="exact"/>
        <w:rPr>
          <w:sz w:val="20"/>
          <w:szCs w:val="20"/>
          <w:color w:val="auto"/>
        </w:rPr>
      </w:pPr>
    </w:p>
    <w:p>
      <w:pPr>
        <w:ind w:right="280" w:firstLine="637"/>
        <w:spacing w:after="0" w:line="259" w:lineRule="auto"/>
        <w:rPr>
          <w:sz w:val="20"/>
          <w:szCs w:val="20"/>
          <w:color w:val="auto"/>
        </w:rPr>
      </w:pPr>
      <w:r>
        <w:rPr>
          <w:rFonts w:ascii="Arial" w:cs="Arial" w:eastAsia="Arial" w:hAnsi="Arial"/>
          <w:sz w:val="18"/>
          <w:szCs w:val="18"/>
          <w:color w:val="auto"/>
        </w:rPr>
        <w:t>Our primary compensation strategy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 We offer competitive compensation that we believe is aligned with the market and fair relative to our peers.</w:t>
      </w:r>
    </w:p>
    <w:p>
      <w:pPr>
        <w:spacing w:after="0" w:line="145" w:lineRule="exact"/>
        <w:rPr>
          <w:sz w:val="20"/>
          <w:szCs w:val="20"/>
          <w:color w:val="auto"/>
        </w:rPr>
      </w:pPr>
    </w:p>
    <w:p>
      <w:pPr>
        <w:ind w:firstLine="637"/>
        <w:spacing w:after="0" w:line="255" w:lineRule="auto"/>
        <w:rPr>
          <w:sz w:val="20"/>
          <w:szCs w:val="20"/>
          <w:color w:val="auto"/>
        </w:rPr>
      </w:pPr>
      <w:r>
        <w:rPr>
          <w:rFonts w:ascii="Arial" w:cs="Arial" w:eastAsia="Arial" w:hAnsi="Arial"/>
          <w:sz w:val="18"/>
          <w:szCs w:val="18"/>
          <w:color w:val="auto"/>
        </w:rPr>
        <w:t>We offer industry competitive wages and benefits and are committed to maintaining a workplace environment that promotes employee productivity and satisfaction. While the philosophy around our benefits is the same worldwide, specific benefits vary regionally due to local regulations and preferences.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Employee Development and Engagement</w:t>
      </w:r>
    </w:p>
    <w:p>
      <w:pPr>
        <w:spacing w:after="0" w:line="184" w:lineRule="exact"/>
        <w:rPr>
          <w:sz w:val="20"/>
          <w:szCs w:val="20"/>
          <w:color w:val="auto"/>
        </w:rPr>
      </w:pPr>
    </w:p>
    <w:p>
      <w:pPr>
        <w:ind w:right="320" w:firstLine="637"/>
        <w:spacing w:after="0" w:line="311" w:lineRule="auto"/>
        <w:rPr>
          <w:sz w:val="20"/>
          <w:szCs w:val="20"/>
          <w:color w:val="auto"/>
        </w:rPr>
      </w:pPr>
      <w:r>
        <w:rPr>
          <w:rFonts w:ascii="Arial" w:cs="Arial" w:eastAsia="Arial" w:hAnsi="Arial"/>
          <w:sz w:val="16"/>
          <w:szCs w:val="16"/>
          <w:color w:val="auto"/>
        </w:rPr>
        <w:t>We strive to recruit, develop and engage diverse, highly talented and driven employees who connect to our mission and model our core values. Xometry is committed to cultivating ongoing learning and development and creating a sense of community throughout our global teams. We offer our teams comprehensive compensation and benefits programs that include a range of offerings to reward, incentivize and support our 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98" w:lineRule="exact"/>
        <w:rPr>
          <w:sz w:val="20"/>
          <w:szCs w:val="20"/>
          <w:color w:val="auto"/>
        </w:rPr>
      </w:pPr>
    </w:p>
    <w:p>
      <w:pPr>
        <w:jc w:val="both"/>
        <w:ind w:right="120" w:firstLine="637"/>
        <w:spacing w:after="0" w:line="286" w:lineRule="auto"/>
        <w:rPr>
          <w:sz w:val="20"/>
          <w:szCs w:val="20"/>
          <w:color w:val="auto"/>
        </w:rPr>
      </w:pPr>
      <w:r>
        <w:rPr>
          <w:rFonts w:ascii="Arial" w:cs="Arial" w:eastAsia="Arial" w:hAnsi="Arial"/>
          <w:sz w:val="17"/>
          <w:szCs w:val="17"/>
          <w:color w:val="auto"/>
        </w:rPr>
        <w:t>We are committed to growing and empowering inclusive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117" w:lineRule="exact"/>
        <w:rPr>
          <w:sz w:val="20"/>
          <w:szCs w:val="20"/>
          <w:color w:val="auto"/>
        </w:rPr>
      </w:pPr>
    </w:p>
    <w:p>
      <w:pPr>
        <w:ind w:left="1020" w:right="64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Diverse Manufacturers</w:t>
      </w:r>
      <w:r>
        <w:rPr>
          <w:rFonts w:ascii="Arial" w:cs="Arial" w:eastAsia="Arial" w:hAnsi="Arial"/>
          <w:sz w:val="18"/>
          <w:szCs w:val="18"/>
          <w:color w:val="auto"/>
        </w:rPr>
        <w:t>. We provide work to thousands of small machine shops that typically do not have exposure to jobs from large corporations. Our suppliers include many minority, veteran, and women-owned companies.</w:t>
      </w:r>
    </w:p>
    <w:p>
      <w:pPr>
        <w:spacing w:after="0" w:line="61"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Talent</w:t>
      </w:r>
      <w:r>
        <w:rPr>
          <w:rFonts w:ascii="Arial" w:cs="Arial" w:eastAsia="Arial" w:hAnsi="Arial"/>
          <w:sz w:val="18"/>
          <w:szCs w:val="18"/>
          <w:color w:val="auto"/>
        </w:rPr>
        <w:t>. We are increasing and broadening the pools of candidates from which we hire, both externally and internally, and are further refining the requirements, assessment criteria and selection process for each of our roles.</w:t>
      </w:r>
    </w:p>
    <w:p>
      <w:pPr>
        <w:spacing w:after="0" w:line="61"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Education</w:t>
      </w:r>
      <w:r>
        <w:rPr>
          <w:rFonts w:ascii="Arial" w:cs="Arial" w:eastAsia="Arial" w:hAnsi="Arial"/>
          <w:sz w:val="18"/>
          <w:szCs w:val="18"/>
          <w:color w:val="auto"/>
        </w:rPr>
        <w:t>. We devote considerable time and resources to the continuing education of our employees. This effort begins on an employee’s first day and remains part of our employee’s experience through regular panel discussions and focus groups to ignite conversations and ideas around DEI priorities.</w:t>
      </w:r>
    </w:p>
    <w:p>
      <w:pPr>
        <w:spacing w:after="0" w:line="74"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Culture</w:t>
      </w:r>
      <w:r>
        <w:rPr>
          <w:rFonts w:ascii="Arial" w:cs="Arial" w:eastAsia="Arial" w:hAnsi="Arial"/>
          <w:sz w:val="18"/>
          <w:szCs w:val="18"/>
          <w:color w:val="auto"/>
        </w:rPr>
        <w:t>. We established a DEI Advisory Committee that takes an active role not only in our programs but also as thought leaders and change agents. Through the guidance of this committee, we launched a number of Employee Resource Groups (“ERGs”) that bring employees together to foster a diverse and inclusive workplace and further strengthen our community.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184" w:lineRule="exact"/>
        <w:rPr>
          <w:sz w:val="20"/>
          <w:szCs w:val="20"/>
          <w:color w:val="auto"/>
        </w:rPr>
      </w:pPr>
    </w:p>
    <w:p>
      <w:pPr>
        <w:jc w:val="both"/>
        <w:ind w:right="300" w:firstLine="637"/>
        <w:spacing w:after="0" w:line="263"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Non-Profit Organizations</w:t>
      </w:r>
    </w:p>
    <w:p>
      <w:pPr>
        <w:spacing w:after="0" w:line="198" w:lineRule="exact"/>
        <w:rPr>
          <w:sz w:val="20"/>
          <w:szCs w:val="20"/>
          <w:color w:val="auto"/>
        </w:rPr>
      </w:pPr>
    </w:p>
    <w:p>
      <w:pPr>
        <w:ind w:firstLine="637"/>
        <w:spacing w:after="0" w:line="273" w:lineRule="auto"/>
        <w:rPr>
          <w:sz w:val="20"/>
          <w:szCs w:val="20"/>
          <w:color w:val="auto"/>
        </w:rPr>
      </w:pPr>
      <w:r>
        <w:rPr>
          <w:rFonts w:ascii="Arial" w:cs="Arial" w:eastAsia="Arial" w:hAnsi="Arial"/>
          <w:sz w:val="17"/>
          <w:szCs w:val="17"/>
          <w:color w:val="auto"/>
        </w:rPr>
        <w:t>We want to help non-profits that are making a difference addressing other crucial problems facing our world.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w:t>
      </w:r>
    </w:p>
    <w:p>
      <w:pPr>
        <w:spacing w:after="0" w:line="136" w:lineRule="exact"/>
        <w:rPr>
          <w:sz w:val="20"/>
          <w:szCs w:val="20"/>
          <w:color w:val="auto"/>
        </w:rPr>
      </w:pPr>
    </w:p>
    <w:p>
      <w:pPr>
        <w:ind w:firstLine="637"/>
        <w:spacing w:after="0" w:line="271" w:lineRule="auto"/>
        <w:rPr>
          <w:sz w:val="20"/>
          <w:szCs w:val="20"/>
          <w:color w:val="auto"/>
        </w:rPr>
      </w:pPr>
      <w:r>
        <w:rPr>
          <w:rFonts w:ascii="Arial" w:cs="Arial" w:eastAsia="Arial" w:hAnsi="Arial"/>
          <w:sz w:val="17"/>
          <w:szCs w:val="17"/>
          <w:color w:val="auto"/>
        </w:rPr>
        <w:t>We have embraced the Pledge 1% movement, and are committed to donating 1% of our equity over time, to fund and support the operations of the donor advised fund.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During 2022, as part of the commitment, Xometry is providing scholarships for 250 students over the next two years at community colleges in six key manufacturing states: Maryland, Kentucky, Wisconsin, South Carolina, Connecticut and New York. Additionally, during 2021, Xometry pledged more than $900,000 to provide eight scholarships over the next four school years to students enrolled in the Department of Mechanical Engineering at the Howard University College of Engineering and Architecture.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domestic and global on-demand manufacturing industry is localized and highly fragmented and we compete for both buyers and suppliers.</w:t>
      </w:r>
    </w:p>
    <w:p>
      <w:pPr>
        <w:spacing w:after="0" w:line="221" w:lineRule="exact"/>
        <w:rPr>
          <w:sz w:val="20"/>
          <w:szCs w:val="20"/>
          <w:color w:val="auto"/>
        </w:rPr>
      </w:pPr>
    </w:p>
    <w:p>
      <w:pPr>
        <w:ind w:right="620" w:firstLine="637"/>
        <w:spacing w:after="0" w:line="273" w:lineRule="auto"/>
        <w:rPr>
          <w:sz w:val="20"/>
          <w:szCs w:val="20"/>
          <w:color w:val="auto"/>
        </w:rPr>
      </w:pPr>
      <w:r>
        <w:rPr>
          <w:rFonts w:ascii="Arial" w:cs="Arial" w:eastAsia="Arial" w:hAnsi="Arial"/>
          <w:sz w:val="17"/>
          <w:szCs w:val="17"/>
          <w:color w:val="auto"/>
        </w:rPr>
        <w:t>We compete for buyers with service bureaus and brokers. Our competitors include vertically integrated service bureaus, the service bureau divisions of the additive original equipment manufacturing (“OEM”) companies such as Stratasys and 3D Systems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independent machine shops and 3D printing service bureaus. For buyers, we compete on the basis of competitive pricing, user experience, and superior customer service.</w:t>
      </w:r>
    </w:p>
    <w:p>
      <w:pPr>
        <w:spacing w:after="0" w:line="142" w:lineRule="exact"/>
        <w:rPr>
          <w:sz w:val="20"/>
          <w:szCs w:val="20"/>
          <w:color w:val="auto"/>
        </w:rPr>
      </w:pPr>
    </w:p>
    <w:p>
      <w:pPr>
        <w:ind w:right="100" w:firstLine="637"/>
        <w:spacing w:after="0" w:line="301" w:lineRule="auto"/>
        <w:rPr>
          <w:sz w:val="20"/>
          <w:szCs w:val="20"/>
          <w:color w:val="auto"/>
        </w:rPr>
      </w:pPr>
      <w:r>
        <w:rPr>
          <w:rFonts w:ascii="Arial" w:cs="Arial" w:eastAsia="Arial" w:hAnsi="Arial"/>
          <w:sz w:val="16"/>
          <w:szCs w:val="16"/>
          <w:color w:val="auto"/>
        </w:rPr>
        <w:t>For suppliers, we compete with brokers and listing services. Suppliers will pay the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are able to compete for suppliers on the basis of providing real-time access to orders, cash flow stability, global access to customers and supplier services and financial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8" w:lineRule="exact"/>
        <w:rPr>
          <w:sz w:val="20"/>
          <w:szCs w:val="20"/>
          <w:color w:val="auto"/>
        </w:rPr>
      </w:pPr>
    </w:p>
    <w:p>
      <w:pPr>
        <w:ind w:right="100" w:firstLine="637"/>
        <w:spacing w:after="0" w:line="256" w:lineRule="auto"/>
        <w:rPr>
          <w:sz w:val="20"/>
          <w:szCs w:val="20"/>
          <w:color w:val="auto"/>
        </w:rPr>
      </w:pPr>
      <w:r>
        <w:rPr>
          <w:rFonts w:ascii="Arial" w:cs="Arial" w:eastAsia="Arial" w:hAnsi="Arial"/>
          <w:sz w:val="18"/>
          <w:szCs w:val="18"/>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50" w:lineRule="exact"/>
        <w:rPr>
          <w:sz w:val="20"/>
          <w:szCs w:val="20"/>
          <w:color w:val="auto"/>
        </w:rPr>
      </w:pPr>
    </w:p>
    <w:p>
      <w:pPr>
        <w:ind w:right="20" w:firstLine="637"/>
        <w:spacing w:after="0" w:line="279" w:lineRule="auto"/>
        <w:rPr>
          <w:sz w:val="20"/>
          <w:szCs w:val="20"/>
          <w:color w:val="auto"/>
        </w:rPr>
      </w:pPr>
      <w:r>
        <w:rPr>
          <w:rFonts w:ascii="Arial" w:cs="Arial" w:eastAsia="Arial" w:hAnsi="Arial"/>
          <w:sz w:val="17"/>
          <w:szCs w:val="17"/>
          <w:color w:val="auto"/>
        </w:rPr>
        <w:t>As of December 31, 2022, we own eight issued United States patents directed to the use of machine learning for generating fabrication and manufacturing predictions, such as price, manufacturability and suitable materials and three pending patents applications (two in the United States and one in Europe) directed to similar technologies. Our issued patents in the U.S. will expire between 2036 and 2037 and the pending patent applications, if issued, are expected to expire between 2039 and 2040, excluding any extension of patent terms that may be available.</w:t>
      </w:r>
    </w:p>
    <w:p>
      <w:pPr>
        <w:spacing w:after="0" w:line="143" w:lineRule="exact"/>
        <w:rPr>
          <w:sz w:val="20"/>
          <w:szCs w:val="20"/>
          <w:color w:val="auto"/>
        </w:rPr>
      </w:pPr>
    </w:p>
    <w:p>
      <w:pPr>
        <w:jc w:val="both"/>
        <w:ind w:right="120" w:firstLine="637"/>
        <w:spacing w:after="0" w:line="263" w:lineRule="auto"/>
        <w:rPr>
          <w:sz w:val="20"/>
          <w:szCs w:val="20"/>
          <w:color w:val="auto"/>
        </w:rPr>
      </w:pPr>
      <w:r>
        <w:rPr>
          <w:rFonts w:ascii="Arial" w:cs="Arial" w:eastAsia="Arial" w:hAnsi="Arial"/>
          <w:sz w:val="18"/>
          <w:szCs w:val="18"/>
          <w:color w:val="auto"/>
        </w:rPr>
        <w:t>As of December 31, 2022, we have approximately 45 registered U.S. trademarks and more than 100 registered foreign trademarks internationally for our name and certain words and phrases that we use in our business, and we rely on copyright laws and licenses to use and protect software and certain other elements of our proprietary technologies.</w:t>
      </w:r>
    </w:p>
    <w:p>
      <w:pPr>
        <w:spacing w:after="0" w:line="142" w:lineRule="exact"/>
        <w:rPr>
          <w:sz w:val="20"/>
          <w:szCs w:val="20"/>
          <w:color w:val="auto"/>
        </w:rPr>
      </w:pPr>
    </w:p>
    <w:p>
      <w:pPr>
        <w:ind w:right="140" w:firstLine="637"/>
        <w:spacing w:after="0" w:line="259"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45" w:lineRule="exact"/>
        <w:rPr>
          <w:sz w:val="20"/>
          <w:szCs w:val="20"/>
          <w:color w:val="auto"/>
        </w:rPr>
      </w:pPr>
    </w:p>
    <w:p>
      <w:pPr>
        <w:ind w:right="160" w:firstLine="637"/>
        <w:spacing w:after="0" w:line="269"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55" w:lineRule="exact"/>
        <w:rPr>
          <w:sz w:val="20"/>
          <w:szCs w:val="20"/>
          <w:color w:val="auto"/>
        </w:rPr>
      </w:pPr>
    </w:p>
    <w:p>
      <w:pPr>
        <w:jc w:val="both"/>
        <w:ind w:right="60" w:firstLine="637"/>
        <w:spacing w:after="0" w:line="263"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42" w:lineRule="exact"/>
        <w:rPr>
          <w:sz w:val="20"/>
          <w:szCs w:val="20"/>
          <w:color w:val="auto"/>
        </w:rPr>
      </w:pPr>
    </w:p>
    <w:p>
      <w:pPr>
        <w:ind w:right="440" w:firstLine="637"/>
        <w:spacing w:after="0" w:line="277"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8" w:lineRule="exact"/>
        <w:rPr>
          <w:sz w:val="20"/>
          <w:szCs w:val="20"/>
          <w:color w:val="auto"/>
        </w:rPr>
      </w:pPr>
    </w:p>
    <w:p>
      <w:pPr>
        <w:ind w:firstLine="637"/>
        <w:spacing w:after="0" w:line="284" w:lineRule="auto"/>
        <w:rPr>
          <w:sz w:val="20"/>
          <w:szCs w:val="20"/>
          <w:color w:val="auto"/>
        </w:rPr>
      </w:pPr>
      <w:r>
        <w:rPr>
          <w:rFonts w:ascii="Arial" w:cs="Arial" w:eastAsia="Arial" w:hAnsi="Arial"/>
          <w:sz w:val="16"/>
          <w:szCs w:val="16"/>
          <w:color w:val="auto"/>
        </w:rPr>
        <w:t>We were founded in 2013 and incorporated in Delaware in on May 29, 2013 under the name NextLine Manufacturing Corp. We changed our name to Xometry, Inc. on June 29, 2015. Our principal executive offices are located at 6116 Executive Boulevard, Suite 800, North Bethesda, MD 20852, and our telephone number is (240) 252-1138. We also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t>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 w:lineRule="exact"/>
        <w:rPr>
          <w:sz w:val="20"/>
          <w:szCs w:val="20"/>
          <w:color w:val="auto"/>
        </w:rPr>
      </w:pPr>
    </w:p>
    <w:p>
      <w:pPr>
        <w:ind w:right="60" w:firstLine="644"/>
        <w:spacing w:after="0" w:line="250"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is subject to numerous risks and uncertainties, including those outside our control, that could cause our actual results to be harmed.</w:t>
      </w:r>
    </w:p>
    <w:p>
      <w:pPr>
        <w:spacing w:after="0" w:line="140"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net losses in the past, expect to incur net losses in the future and may never achieve or maintain profitability.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continue to grow on pace with historical rates.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are unable to manage the anticipated growth of our business, our future revenue and operating results may be adversely affected.</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large community of buyers and suppliers.</w:t>
      </w:r>
    </w:p>
    <w:p>
      <w:pPr>
        <w:spacing w:after="0" w:line="116" w:lineRule="exact"/>
        <w:rPr>
          <w:rFonts w:ascii="Arial" w:cs="Arial" w:eastAsia="Arial" w:hAnsi="Arial"/>
          <w:sz w:val="18"/>
          <w:szCs w:val="18"/>
          <w:color w:val="auto"/>
        </w:rPr>
      </w:pPr>
    </w:p>
    <w:p>
      <w:pPr>
        <w:ind w:left="1020" w:right="48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on our ability to deliver products and manufacturing processes that meet the demand of buyers transacting on our marketplace and our ability to adapt to technological changes and improvements.</w:t>
      </w:r>
    </w:p>
    <w:p>
      <w:pPr>
        <w:spacing w:after="0" w:line="61" w:lineRule="exact"/>
        <w:rPr>
          <w:rFonts w:ascii="Arial" w:cs="Arial" w:eastAsia="Arial" w:hAnsi="Arial"/>
          <w:sz w:val="18"/>
          <w:szCs w:val="18"/>
          <w:color w:val="auto"/>
        </w:rPr>
      </w:pPr>
    </w:p>
    <w:p>
      <w:pPr>
        <w:ind w:left="1020" w:right="26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maintain and improve the quality of our platform, customer support and ancillary services available through our platform, we may not be able to attract and retain buyers and suppliers.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quality assurance to buyers.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model involves our agreeing to pricing with a buyer in advance of sourcing the opportunity to a supplier.</w:t>
      </w:r>
    </w:p>
    <w:p>
      <w:pPr>
        <w:spacing w:after="0" w:line="116" w:lineRule="exact"/>
        <w:rPr>
          <w:rFonts w:ascii="Arial" w:cs="Arial" w:eastAsia="Arial" w:hAnsi="Arial"/>
          <w:sz w:val="18"/>
          <w:szCs w:val="18"/>
          <w:color w:val="auto"/>
        </w:rPr>
      </w:pPr>
    </w:p>
    <w:p>
      <w:pPr>
        <w:ind w:left="1020" w:right="40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third-party partners or service providers may experience a security breach, including unauthorized parties obtaining access to buyers’ confidential information.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deal effectively with bad actors engaging on our marketplace or platform could harm our business.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disputes between buyers and suppliers on our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a third-party payment processor to process payments made by buyers and payments made to suppliers.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parties to fulfill buyer orders.</w:t>
      </w:r>
    </w:p>
    <w:p>
      <w:pPr>
        <w:spacing w:after="0" w:line="116" w:lineRule="exact"/>
        <w:rPr>
          <w:rFonts w:ascii="Arial" w:cs="Arial" w:eastAsia="Arial" w:hAnsi="Arial"/>
          <w:sz w:val="18"/>
          <w:szCs w:val="18"/>
          <w:color w:val="auto"/>
        </w:rPr>
      </w:pPr>
    </w:p>
    <w:p>
      <w:pPr>
        <w:ind w:left="1020" w:right="8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competition and expect to face increasing competition in many aspects of our business, which could cause our operating results to suffer.</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rapidly grow our business outside the United States.</w:t>
      </w:r>
    </w:p>
    <w:p>
      <w:pPr>
        <w:spacing w:after="0" w:line="116" w:lineRule="exact"/>
        <w:rPr>
          <w:rFonts w:ascii="Arial" w:cs="Arial" w:eastAsia="Arial" w:hAnsi="Arial"/>
          <w:sz w:val="18"/>
          <w:szCs w:val="18"/>
          <w:color w:val="auto"/>
        </w:rPr>
      </w:pPr>
    </w:p>
    <w:p>
      <w:pPr>
        <w:ind w:left="1020" w:right="84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realize all of the anticipated benefits from the acquisition of Thomas because of difficulties related to integration, the achievement of synergies, and other challenges.</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Unstable market and economic conditions, including a global or domestic recession or the fear of a recession, and inflation may have serious adverse consequences on our business, financial condition and share price.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stringent and evolving laws and regulations relating to consumer data privacy and data protection.</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intellectual property and proprietary rights are valuable, and any inability to obtain, maintain, protect or enforce them could substantially harm our business, products, services, and brand.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could incur substantial costs and other harms as a result of any claim of infringement, misappropriation or other violation of another</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party’s intellectual property or proprietary rights.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0" w:right="399" w:bottom="1440" w:gutter="0" w:footer="0" w:header="0"/>
        </w:sectPr>
      </w:pPr>
    </w:p>
    <w:bookmarkStart w:id="12" w:name="page13"/>
    <w:bookmarkEnd w:id="12"/>
    <w:p>
      <w:pPr>
        <w:ind w:left="1020" w:right="240" w:hanging="50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Amazon Web Services to operate our platform, and any disruption of service from Amazon Web Services or material change to our arrangement with Amazon Web Services could adversely affect our business.</w:t>
      </w:r>
    </w:p>
    <w:p>
      <w:pPr>
        <w:spacing w:after="0" w:line="61" w:lineRule="exact"/>
        <w:rPr>
          <w:rFonts w:ascii="Arial" w:cs="Arial" w:eastAsia="Arial" w:hAnsi="Arial"/>
          <w:sz w:val="18"/>
          <w:szCs w:val="18"/>
          <w:color w:val="auto"/>
        </w:rPr>
      </w:pPr>
    </w:p>
    <w:p>
      <w:pPr>
        <w:ind w:left="1020" w:right="80" w:hanging="504"/>
        <w:spacing w:after="0" w:line="25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our first assessment of internal control over financial reporting, as required under the Sarbanes-Oxley Act of 2002, we identified a material weakness in our internal control over financial reporting that existed as of December 31, 2022</w:t>
      </w:r>
      <w:r>
        <w:rPr>
          <w:rFonts w:ascii="Arial" w:cs="Arial" w:eastAsia="Arial" w:hAnsi="Arial"/>
          <w:sz w:val="19"/>
          <w:szCs w:val="19"/>
          <w:color w:val="auto"/>
        </w:rPr>
        <w:t>.</w:t>
      </w:r>
      <w:r>
        <w:rPr>
          <w:rFonts w:ascii="Arial" w:cs="Arial" w:eastAsia="Arial" w:hAnsi="Arial"/>
          <w:sz w:val="18"/>
          <w:szCs w:val="18"/>
          <w:color w:val="auto"/>
        </w:rPr>
        <w:t xml:space="preserve"> Notwithstanding this material weakness, we confirm that our consolidated financial statements as included in this Annual Report fairly present, in all material respects, our consolidated financial condition as of December 31, 2022 and 2021, and our consolidated results of operations and cash flows for the years ended December 31, 2022, 2021 and 2020, in conformity with US GAAP. Management has implemented remediation steps to address the material weakness and to improve our internal control over financial reporting. If we are unable to remediate this material weakness, or if other control deficiencies are identified, we may not be able to accurately or timely report our financial condition or results of operations in the future.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17" w:lineRule="exact"/>
        <w:rPr>
          <w:sz w:val="20"/>
          <w:szCs w:val="20"/>
          <w:color w:val="auto"/>
        </w:rPr>
      </w:pPr>
    </w:p>
    <w:p>
      <w:pPr>
        <w:ind w:firstLine="644"/>
        <w:spacing w:after="0" w:line="273" w:lineRule="auto"/>
        <w:rPr>
          <w:sz w:val="20"/>
          <w:szCs w:val="20"/>
          <w:color w:val="auto"/>
        </w:rPr>
      </w:pPr>
      <w:r>
        <w:rPr>
          <w:rFonts w:ascii="Arial" w:cs="Arial" w:eastAsia="Arial" w:hAnsi="Arial"/>
          <w:sz w:val="17"/>
          <w:szCs w:val="17"/>
          <w:color w:val="auto"/>
        </w:rPr>
        <w:t>We have incurred net losses since our inception in 2013. We incurred a net loss available to common stock holders of $76.0 million in 2022 and, as a result of these losses, we had an accumulated deficit of $249.4 million as of December 31, 2022.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indicative of our future performance. During the years ended December 31, 2022, 2021, and 2020, our revenue was $381.1 million, $218.3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$141.4 million, respectively. We may also experience declines in our revenue growth rate as a result of a number of factors, including slowing demand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platform, insufficient growth in the number of buyers and suppliers who transact on our marketplace, increasing competition, a decrease in the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overall market, our failure to continue to capitalize on growth opportunities, failure to realize anticipated revenue growth from our supplier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maturation of our business, among others. You should not rely on our revenue or key operational and business metrics for any previous quarterly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period as any indication of our revenue, revenue growth, key business metrics, or key operational and business metrics growth in future periods.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particular, our revenue growth rate has fluctuated in prior periods. We expect our revenue growth rate to continue to fluctuate over the short term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decline in the long term. We also expect to continue to make investments in the development and expansion of our business, which may not result in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increased revenue or growth. If our revenue growth rate declines, investors’ perceptions of our business and the trading price of our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the anticipated growth of our business, our future revenue and operating results may be adversely affected.</w:t>
      </w:r>
    </w:p>
    <w:p>
      <w:pPr>
        <w:spacing w:after="0" w:line="128" w:lineRule="exact"/>
        <w:rPr>
          <w:sz w:val="20"/>
          <w:szCs w:val="20"/>
          <w:color w:val="auto"/>
        </w:rPr>
      </w:pPr>
    </w:p>
    <w:p>
      <w:pPr>
        <w:ind w:right="100" w:firstLine="644"/>
        <w:spacing w:after="0" w:line="269" w:lineRule="auto"/>
        <w:rPr>
          <w:sz w:val="20"/>
          <w:szCs w:val="20"/>
          <w:color w:val="auto"/>
        </w:rPr>
      </w:pPr>
      <w:r>
        <w:rPr>
          <w:rFonts w:ascii="Arial" w:cs="Arial" w:eastAsia="Arial" w:hAnsi="Arial"/>
          <w:sz w:val="17"/>
          <w:szCs w:val="17"/>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17" w:lineRule="exact"/>
        <w:rPr>
          <w:sz w:val="20"/>
          <w:szCs w:val="20"/>
          <w:color w:val="auto"/>
        </w:rPr>
      </w:pPr>
    </w:p>
    <w:p>
      <w:pPr>
        <w:ind w:right="140" w:firstLine="644"/>
        <w:spacing w:after="0" w:line="254" w:lineRule="auto"/>
        <w:rPr>
          <w:sz w:val="20"/>
          <w:szCs w:val="20"/>
          <w:color w:val="auto"/>
        </w:rPr>
      </w:pPr>
      <w:r>
        <w:rPr>
          <w:rFonts w:ascii="Arial" w:cs="Arial" w:eastAsia="Arial" w:hAnsi="Arial"/>
          <w:sz w:val="18"/>
          <w:szCs w:val="18"/>
          <w:color w:val="auto"/>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markets. Our operating results in any given quarter can be influenced by numerous factors, many of which are unpredictable or are outside of our control, including:</w:t>
      </w:r>
    </w:p>
    <w:p>
      <w:pPr>
        <w:spacing w:after="0" w:line="62"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suppliers;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suppliers;</w:t>
      </w:r>
    </w:p>
    <w:p>
      <w:pPr>
        <w:spacing w:after="0" w:line="128" w:lineRule="exact"/>
        <w:rPr>
          <w:rFonts w:ascii="Arial" w:cs="Arial" w:eastAsia="Arial" w:hAnsi="Arial"/>
          <w:sz w:val="17"/>
          <w:szCs w:val="17"/>
          <w:color w:val="auto"/>
        </w:rPr>
      </w:pPr>
    </w:p>
    <w:p>
      <w:pPr>
        <w:ind w:left="1020" w:right="14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6" w:lineRule="exact"/>
        <w:rPr>
          <w:rFonts w:ascii="Arial" w:cs="Arial" w:eastAsia="Arial" w:hAnsi="Arial"/>
          <w:sz w:val="18"/>
          <w:szCs w:val="18"/>
          <w:color w:val="auto"/>
        </w:rPr>
      </w:pPr>
    </w:p>
    <w:p>
      <w:pPr>
        <w:ind w:left="1020" w:right="44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6"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61" w:lineRule="exact"/>
        <w:rPr>
          <w:rFonts w:ascii="Arial" w:cs="Arial" w:eastAsia="Arial" w:hAnsi="Arial"/>
          <w:sz w:val="18"/>
          <w:szCs w:val="18"/>
          <w:color w:val="auto"/>
        </w:rPr>
      </w:pPr>
    </w:p>
    <w:p>
      <w:pPr>
        <w:ind w:left="1020" w:right="40" w:hanging="504"/>
        <w:spacing w:after="0" w:line="31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39" w:lineRule="exact"/>
        <w:rPr>
          <w:rFonts w:ascii="Arial" w:cs="Arial" w:eastAsia="Arial" w:hAnsi="Arial"/>
          <w:sz w:val="16"/>
          <w:szCs w:val="16"/>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6"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regarding the effect of general economic, business and market conditions, including inflationary pressures, general economic downturn or recession, market volatility, increasing interest rates and changes in monetary policy;</w:t>
      </w:r>
    </w:p>
    <w:p>
      <w:pPr>
        <w:spacing w:after="0" w:line="61" w:lineRule="exact"/>
        <w:rPr>
          <w:rFonts w:ascii="Arial" w:cs="Arial" w:eastAsia="Arial" w:hAnsi="Arial"/>
          <w:sz w:val="18"/>
          <w:szCs w:val="18"/>
          <w:color w:val="auto"/>
        </w:rPr>
      </w:pPr>
    </w:p>
    <w:p>
      <w:pPr>
        <w:ind w:left="1020" w:right="26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and war, including the ongoing conflict between Russia and Ukraine, and sanctions imposed against Russia by the international community;</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ongoing COVID-19 pandemic and other public health crises.</w:t>
      </w:r>
    </w:p>
    <w:p>
      <w:pPr>
        <w:spacing w:after="0" w:line="169"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4" w:name="page15"/>
    <w:bookmarkEnd w:id="14"/>
    <w:p>
      <w:pPr>
        <w:ind w:right="120"/>
        <w:spacing w:after="0" w:line="341" w:lineRule="auto"/>
        <w:rPr>
          <w:sz w:val="20"/>
          <w:szCs w:val="20"/>
          <w:color w:val="auto"/>
        </w:rPr>
      </w:pPr>
      <w:r>
        <w:rPr>
          <w:rFonts w:ascii="Arial" w:cs="Arial" w:eastAsia="Arial" w:hAnsi="Arial"/>
          <w:sz w:val="16"/>
          <w:szCs w:val="16"/>
          <w:b w:val="1"/>
          <w:bCs w:val="1"/>
          <w:i w:val="1"/>
          <w:iCs w:val="1"/>
          <w:color w:val="auto"/>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spacing w:after="0" w:line="17" w:lineRule="exact"/>
        <w:rPr>
          <w:sz w:val="20"/>
          <w:szCs w:val="20"/>
          <w:color w:val="auto"/>
        </w:rPr>
      </w:pPr>
    </w:p>
    <w:p>
      <w:pPr>
        <w:ind w:firstLine="644"/>
        <w:spacing w:after="0" w:line="286" w:lineRule="auto"/>
        <w:rPr>
          <w:sz w:val="20"/>
          <w:szCs w:val="20"/>
          <w:color w:val="auto"/>
        </w:rPr>
      </w:pPr>
      <w:r>
        <w:rPr>
          <w:rFonts w:ascii="Arial" w:cs="Arial" w:eastAsia="Arial" w:hAnsi="Arial"/>
          <w:sz w:val="16"/>
          <w:szCs w:val="16"/>
          <w:color w:val="auto"/>
        </w:rPr>
        <w:t>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spacing w:after="0" w:line="143" w:lineRule="exact"/>
        <w:rPr>
          <w:sz w:val="20"/>
          <w:szCs w:val="20"/>
          <w:color w:val="auto"/>
        </w:rPr>
      </w:pPr>
    </w:p>
    <w:p>
      <w:pPr>
        <w:ind w:right="80" w:firstLine="644"/>
        <w:spacing w:after="0" w:line="270"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spacing w:after="0" w:line="142" w:lineRule="exact"/>
        <w:rPr>
          <w:sz w:val="20"/>
          <w:szCs w:val="20"/>
          <w:color w:val="auto"/>
        </w:rPr>
      </w:pPr>
    </w:p>
    <w:p>
      <w:pPr>
        <w:ind w:right="20" w:firstLine="644"/>
        <w:spacing w:after="0" w:line="271" w:lineRule="auto"/>
        <w:rPr>
          <w:sz w:val="20"/>
          <w:szCs w:val="20"/>
          <w:color w:val="auto"/>
        </w:rPr>
      </w:pPr>
      <w:r>
        <w:rPr>
          <w:rFonts w:ascii="Arial" w:cs="Arial" w:eastAsia="Arial" w:hAnsi="Arial"/>
          <w:sz w:val="17"/>
          <w:szCs w:val="17"/>
          <w:color w:val="auto"/>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62" w:lineRule="exact"/>
        <w:rPr>
          <w:sz w:val="20"/>
          <w:szCs w:val="20"/>
          <w:color w:val="auto"/>
        </w:rPr>
      </w:pPr>
    </w:p>
    <w:p>
      <w:pPr>
        <w:ind w:right="20" w:firstLine="644"/>
        <w:spacing w:after="0" w:line="271" w:lineRule="auto"/>
        <w:rPr>
          <w:sz w:val="20"/>
          <w:szCs w:val="20"/>
          <w:color w:val="auto"/>
        </w:rPr>
      </w:pPr>
      <w:r>
        <w:rPr>
          <w:rFonts w:ascii="Arial" w:cs="Arial" w:eastAsia="Arial" w:hAnsi="Arial"/>
          <w:sz w:val="17"/>
          <w:szCs w:val="17"/>
          <w:color w:val="auto"/>
        </w:rPr>
        <w:t>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40" w:lineRule="exact"/>
        <w:rPr>
          <w:sz w:val="20"/>
          <w:szCs w:val="20"/>
          <w:color w:val="auto"/>
        </w:rPr>
      </w:pPr>
    </w:p>
    <w:p>
      <w:pPr>
        <w:ind w:right="40" w:firstLine="644"/>
        <w:spacing w:after="0" w:line="283" w:lineRule="auto"/>
        <w:rPr>
          <w:sz w:val="20"/>
          <w:szCs w:val="20"/>
          <w:color w:val="auto"/>
        </w:rPr>
      </w:pPr>
      <w:r>
        <w:rPr>
          <w:rFonts w:ascii="Arial" w:cs="Arial" w:eastAsia="Arial" w:hAnsi="Arial"/>
          <w:sz w:val="16"/>
          <w:szCs w:val="16"/>
          <w:color w:val="auto"/>
        </w:rPr>
        <w:t>In particular, 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5" w:name="page16"/>
    <w:bookmarkEnd w:id="15"/>
    <w:p>
      <w:pPr>
        <w:ind w:right="120" w:firstLine="644"/>
        <w:spacing w:after="0" w:line="307" w:lineRule="auto"/>
        <w:rPr>
          <w:sz w:val="20"/>
          <w:szCs w:val="20"/>
          <w:color w:val="auto"/>
        </w:rPr>
      </w:pPr>
      <w:r>
        <w:rPr>
          <w:rFonts w:ascii="Arial" w:cs="Arial" w:eastAsia="Arial" w:hAnsi="Arial"/>
          <w:sz w:val="17"/>
          <w:szCs w:val="17"/>
          <w:color w:val="auto"/>
        </w:rPr>
        <w:t>Any failure to properly meet the needs of buyers and suppliers or respond to changes in our industry on a cost-effective and timely basis, or at all, would likely have a material adverse effect on our business, financial condition, and results of operations and harm our competitive position.</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suppliers.</w:t>
      </w:r>
    </w:p>
    <w:p>
      <w:pPr>
        <w:spacing w:after="0" w:line="75" w:lineRule="exact"/>
        <w:rPr>
          <w:sz w:val="20"/>
          <w:szCs w:val="20"/>
          <w:color w:val="auto"/>
        </w:rPr>
      </w:pPr>
    </w:p>
    <w:p>
      <w:pPr>
        <w:ind w:firstLine="644"/>
        <w:spacing w:after="0" w:line="288" w:lineRule="auto"/>
        <w:rPr>
          <w:sz w:val="20"/>
          <w:szCs w:val="20"/>
          <w:color w:val="auto"/>
        </w:rPr>
      </w:pPr>
      <w:r>
        <w:rPr>
          <w:rFonts w:ascii="Arial" w:cs="Arial" w:eastAsia="Arial" w:hAnsi="Arial"/>
          <w:sz w:val="16"/>
          <w:szCs w:val="16"/>
          <w:color w:val="auto"/>
        </w:rPr>
        <w:t>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like our Thomasnet platform, Xometry Pay and the Xometry Advance Card, improving upon and introducing new design guides and industry playbooks,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65" w:lineRule="exact"/>
        <w:rPr>
          <w:sz w:val="20"/>
          <w:szCs w:val="20"/>
          <w:color w:val="auto"/>
        </w:rPr>
      </w:pPr>
    </w:p>
    <w:p>
      <w:pPr>
        <w:ind w:right="60" w:firstLine="644"/>
        <w:spacing w:after="0" w:line="290" w:lineRule="auto"/>
        <w:rPr>
          <w:sz w:val="20"/>
          <w:szCs w:val="20"/>
          <w:color w:val="auto"/>
        </w:rPr>
      </w:pPr>
      <w:r>
        <w:rPr>
          <w:rFonts w:ascii="Arial" w:cs="Arial" w:eastAsia="Arial" w:hAnsi="Arial"/>
          <w:sz w:val="16"/>
          <w:szCs w:val="16"/>
          <w:color w:val="auto"/>
        </w:rPr>
        <w:t>In addition, we need to continue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63" w:lineRule="exact"/>
        <w:rPr>
          <w:sz w:val="20"/>
          <w:szCs w:val="20"/>
          <w:color w:val="auto"/>
        </w:rPr>
      </w:pPr>
    </w:p>
    <w:p>
      <w:pPr>
        <w:ind w:right="60" w:firstLine="644"/>
        <w:spacing w:after="0" w:line="256" w:lineRule="auto"/>
        <w:rPr>
          <w:sz w:val="20"/>
          <w:szCs w:val="20"/>
          <w:color w:val="auto"/>
        </w:rPr>
      </w:pPr>
      <w:r>
        <w:rPr>
          <w:rFonts w:ascii="Arial" w:cs="Arial" w:eastAsia="Arial" w:hAnsi="Arial"/>
          <w:sz w:val="18"/>
          <w:szCs w:val="18"/>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1" w:lineRule="exact"/>
        <w:rPr>
          <w:sz w:val="20"/>
          <w:szCs w:val="20"/>
          <w:color w:val="auto"/>
        </w:rPr>
      </w:pPr>
    </w:p>
    <w:p>
      <w:pPr>
        <w:ind w:right="180" w:firstLine="644"/>
        <w:spacing w:after="0" w:line="341" w:lineRule="auto"/>
        <w:rPr>
          <w:sz w:val="20"/>
          <w:szCs w:val="20"/>
          <w:color w:val="auto"/>
        </w:rPr>
      </w:pPr>
      <w:r>
        <w:rPr>
          <w:rFonts w:ascii="Arial" w:cs="Arial" w:eastAsia="Arial" w:hAnsi="Arial"/>
          <w:sz w:val="16"/>
          <w:szCs w:val="16"/>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30" w:lineRule="exact"/>
        <w:rPr>
          <w:sz w:val="20"/>
          <w:szCs w:val="20"/>
          <w:color w:val="auto"/>
        </w:rPr>
      </w:pPr>
    </w:p>
    <w:p>
      <w:pPr>
        <w:ind w:right="80" w:firstLine="644"/>
        <w:spacing w:after="0" w:line="255"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w:t>
      </w:r>
    </w:p>
    <w:p>
      <w:pPr>
        <w:spacing w:after="0" w:line="19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5" w:lineRule="exact"/>
        <w:rPr>
          <w:sz w:val="20"/>
          <w:szCs w:val="20"/>
          <w:color w:val="auto"/>
        </w:rPr>
      </w:pPr>
    </w:p>
    <w:p>
      <w:pPr>
        <w:ind w:right="80" w:firstLine="644"/>
        <w:spacing w:after="0" w:line="296" w:lineRule="auto"/>
        <w:rPr>
          <w:sz w:val="20"/>
          <w:szCs w:val="20"/>
          <w:color w:val="auto"/>
        </w:rPr>
      </w:pPr>
      <w:r>
        <w:rPr>
          <w:rFonts w:ascii="Arial" w:cs="Arial" w:eastAsia="Arial" w:hAnsi="Arial"/>
          <w:sz w:val="16"/>
          <w:szCs w:val="16"/>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It may be difficult for us to comply with non-standard contract terms with our customers.</w:t>
      </w:r>
    </w:p>
    <w:p>
      <w:pPr>
        <w:spacing w:after="0" w:line="130" w:lineRule="exact"/>
        <w:rPr>
          <w:sz w:val="20"/>
          <w:szCs w:val="20"/>
          <w:color w:val="auto"/>
        </w:rPr>
      </w:pPr>
    </w:p>
    <w:p>
      <w:pPr>
        <w:ind w:right="60" w:firstLine="644"/>
        <w:spacing w:after="0" w:line="256" w:lineRule="auto"/>
        <w:rPr>
          <w:sz w:val="20"/>
          <w:szCs w:val="20"/>
          <w:color w:val="auto"/>
        </w:rPr>
      </w:pPr>
      <w:r>
        <w:rPr>
          <w:rFonts w:ascii="Arial" w:cs="Arial" w:eastAsia="Arial" w:hAnsi="Arial"/>
          <w:sz w:val="18"/>
          <w:szCs w:val="18"/>
          <w:color w:val="auto"/>
        </w:rPr>
        <w:t>Customers, including large customers with substantial negotiating and purchasing power, may request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requests in order to do business with such customers, it may increase our cost of complying with such terms or we may not be able comply with such terms at all, in which case our relationship with the affected customer may be negatively impacted.</w:t>
      </w:r>
    </w:p>
    <w:p>
      <w:pPr>
        <w:spacing w:after="0" w:line="19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8" w:lineRule="exact"/>
        <w:rPr>
          <w:sz w:val="20"/>
          <w:szCs w:val="20"/>
          <w:color w:val="auto"/>
        </w:rPr>
      </w:pPr>
    </w:p>
    <w:p>
      <w:pPr>
        <w:ind w:right="40" w:firstLine="644"/>
        <w:spacing w:after="0" w:line="291" w:lineRule="auto"/>
        <w:rPr>
          <w:sz w:val="20"/>
          <w:szCs w:val="20"/>
          <w:color w:val="auto"/>
        </w:rPr>
      </w:pPr>
      <w:r>
        <w:rPr>
          <w:rFonts w:ascii="Arial" w:cs="Arial" w:eastAsia="Arial" w:hAnsi="Arial"/>
          <w:sz w:val="16"/>
          <w:szCs w:val="16"/>
          <w:color w:val="auto"/>
        </w:rPr>
        <w:t>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suppliers.</w:t>
      </w:r>
    </w:p>
    <w:p>
      <w:pPr>
        <w:spacing w:after="0" w:line="164" w:lineRule="exact"/>
        <w:rPr>
          <w:sz w:val="20"/>
          <w:szCs w:val="20"/>
          <w:color w:val="auto"/>
        </w:rPr>
      </w:pPr>
    </w:p>
    <w:p>
      <w:pPr>
        <w:ind w:right="60" w:firstLine="644"/>
        <w:spacing w:after="0" w:line="254" w:lineRule="auto"/>
        <w:rPr>
          <w:sz w:val="20"/>
          <w:szCs w:val="20"/>
          <w:color w:val="auto"/>
        </w:rPr>
      </w:pPr>
      <w:r>
        <w:rPr>
          <w:rFonts w:ascii="Arial" w:cs="Arial" w:eastAsia="Arial" w:hAnsi="Arial"/>
          <w:sz w:val="18"/>
          <w:szCs w:val="18"/>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93"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183" w:lineRule="exact"/>
        <w:rPr>
          <w:sz w:val="20"/>
          <w:szCs w:val="20"/>
          <w:color w:val="auto"/>
        </w:rPr>
      </w:pPr>
    </w:p>
    <w:p>
      <w:pPr>
        <w:ind w:right="100" w:firstLine="644"/>
        <w:spacing w:after="0" w:line="269" w:lineRule="auto"/>
        <w:rPr>
          <w:sz w:val="20"/>
          <w:szCs w:val="20"/>
          <w:color w:val="auto"/>
        </w:rPr>
      </w:pPr>
      <w:r>
        <w:rPr>
          <w:rFonts w:ascii="Arial" w:cs="Arial" w:eastAsia="Arial" w:hAnsi="Arial"/>
          <w:sz w:val="17"/>
          <w:szCs w:val="17"/>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We cannot provide assurances that the various antivirus and computer protection software that we currently employ in our operations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30"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spacing w:after="0" w:line="191" w:lineRule="exact"/>
        <w:rPr>
          <w:sz w:val="20"/>
          <w:szCs w:val="20"/>
          <w:color w:val="auto"/>
        </w:rPr>
      </w:pPr>
    </w:p>
    <w:p>
      <w:pPr>
        <w:ind w:right="60" w:firstLine="644"/>
        <w:spacing w:after="0" w:line="259"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spacing w:after="0" w:line="185" w:lineRule="exact"/>
        <w:rPr>
          <w:sz w:val="20"/>
          <w:szCs w:val="20"/>
          <w:color w:val="auto"/>
        </w:rPr>
      </w:pPr>
    </w:p>
    <w:p>
      <w:pPr>
        <w:ind w:right="180" w:firstLine="644"/>
        <w:spacing w:after="0" w:line="341" w:lineRule="auto"/>
        <w:rPr>
          <w:sz w:val="20"/>
          <w:szCs w:val="20"/>
          <w:color w:val="auto"/>
        </w:rPr>
      </w:pPr>
      <w:r>
        <w:rPr>
          <w:rFonts w:ascii="Arial" w:cs="Arial" w:eastAsia="Arial" w:hAnsi="Arial"/>
          <w:sz w:val="16"/>
          <w:szCs w:val="16"/>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disputes between buyers and suppliers on our platform.</w:t>
      </w:r>
    </w:p>
    <w:p>
      <w:pPr>
        <w:spacing w:after="0" w:line="130"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9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spacing w:after="0" w:line="88" w:lineRule="exact"/>
        <w:rPr>
          <w:sz w:val="20"/>
          <w:szCs w:val="20"/>
          <w:color w:val="auto"/>
        </w:rPr>
      </w:pPr>
    </w:p>
    <w:p>
      <w:pPr>
        <w:ind w:right="20" w:firstLine="644"/>
        <w:spacing w:after="0" w:line="288" w:lineRule="auto"/>
        <w:rPr>
          <w:sz w:val="20"/>
          <w:szCs w:val="20"/>
          <w:color w:val="auto"/>
        </w:rPr>
      </w:pPr>
      <w:r>
        <w:rPr>
          <w:rFonts w:ascii="Arial" w:cs="Arial" w:eastAsia="Arial" w:hAnsi="Arial"/>
          <w:sz w:val="16"/>
          <w:szCs w:val="16"/>
          <w:color w:val="auto"/>
        </w:rPr>
        <w:t>We rely on a third-party payment processor, Stripe, to process payments made by buyers and payments made to suppliers. We also rely on Stripe for certain financial service offerings, an integrated payment processing tool for suppliers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and suppliers.</w:t>
      </w:r>
    </w:p>
    <w:p>
      <w:pPr>
        <w:spacing w:after="0" w:line="170" w:lineRule="exact"/>
        <w:rPr>
          <w:sz w:val="20"/>
          <w:szCs w:val="20"/>
          <w:color w:val="auto"/>
        </w:rPr>
      </w:pPr>
    </w:p>
    <w:p>
      <w:pPr>
        <w:ind w:right="20" w:firstLine="644"/>
        <w:spacing w:after="0" w:line="270" w:lineRule="auto"/>
        <w:rPr>
          <w:sz w:val="20"/>
          <w:szCs w:val="20"/>
          <w:color w:val="auto"/>
        </w:rPr>
      </w:pPr>
      <w:r>
        <w:rPr>
          <w:rFonts w:ascii="Arial" w:cs="Arial" w:eastAsia="Arial" w:hAnsi="Arial"/>
          <w:sz w:val="17"/>
          <w:szCs w:val="17"/>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78"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ind w:right="100"/>
        <w:spacing w:after="0" w:line="296" w:lineRule="auto"/>
        <w:rPr>
          <w:sz w:val="20"/>
          <w:szCs w:val="20"/>
          <w:color w:val="auto"/>
        </w:rPr>
      </w:pPr>
      <w:r>
        <w:rPr>
          <w:rFonts w:ascii="Arial" w:cs="Arial" w:eastAsia="Arial" w:hAnsi="Arial"/>
          <w:sz w:val="16"/>
          <w:szCs w:val="16"/>
          <w:color w:val="auto"/>
        </w:rPr>
        <w:t>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60"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30" w:lineRule="exact"/>
        <w:rPr>
          <w:sz w:val="20"/>
          <w:szCs w:val="20"/>
          <w:color w:val="auto"/>
        </w:rPr>
      </w:pPr>
    </w:p>
    <w:p>
      <w:pPr>
        <w:ind w:right="60" w:firstLine="644"/>
        <w:spacing w:after="0" w:line="268" w:lineRule="auto"/>
        <w:rPr>
          <w:sz w:val="20"/>
          <w:szCs w:val="20"/>
          <w:color w:val="auto"/>
        </w:rPr>
      </w:pPr>
      <w:r>
        <w:rPr>
          <w:rFonts w:ascii="Arial" w:cs="Arial" w:eastAsia="Arial" w:hAnsi="Arial"/>
          <w:sz w:val="17"/>
          <w:szCs w:val="17"/>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80"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deliver buyer orders.</w:t>
      </w:r>
    </w:p>
    <w:p>
      <w:pPr>
        <w:spacing w:after="0" w:line="130" w:lineRule="exact"/>
        <w:rPr>
          <w:sz w:val="20"/>
          <w:szCs w:val="20"/>
          <w:color w:val="auto"/>
        </w:rPr>
      </w:pPr>
    </w:p>
    <w:p>
      <w:pPr>
        <w:ind w:right="160" w:firstLine="644"/>
        <w:spacing w:after="0" w:line="256" w:lineRule="auto"/>
        <w:rPr>
          <w:sz w:val="20"/>
          <w:szCs w:val="20"/>
          <w:color w:val="auto"/>
        </w:rPr>
      </w:pPr>
      <w:r>
        <w:rPr>
          <w:rFonts w:ascii="Arial" w:cs="Arial" w:eastAsia="Arial" w:hAnsi="Arial"/>
          <w:sz w:val="18"/>
          <w:szCs w:val="18"/>
          <w:color w:val="auto"/>
        </w:rPr>
        <w:t>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increase significantly, our suppliers may have increased costs, and/or our buyers may have a poor purchasing experience and may lose trust in our marketplace, which could negatively impact our business, financial condition, and results of operations.</w:t>
      </w:r>
    </w:p>
    <w:p>
      <w:pPr>
        <w:spacing w:after="0" w:line="1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5" w:lineRule="exact"/>
        <w:rPr>
          <w:sz w:val="20"/>
          <w:szCs w:val="20"/>
          <w:color w:val="auto"/>
        </w:rPr>
      </w:pPr>
    </w:p>
    <w:p>
      <w:pPr>
        <w:ind w:right="240" w:firstLine="644"/>
        <w:spacing w:after="0" w:line="253" w:lineRule="auto"/>
        <w:rPr>
          <w:sz w:val="20"/>
          <w:szCs w:val="20"/>
          <w:color w:val="auto"/>
        </w:rPr>
      </w:pPr>
      <w:r>
        <w:rPr>
          <w:rFonts w:ascii="Arial" w:cs="Arial" w:eastAsia="Arial" w:hAnsi="Arial"/>
          <w:sz w:val="18"/>
          <w:szCs w:val="18"/>
          <w:color w:val="auto"/>
        </w:rPr>
        <w:t>The manufacturing market is fragmented and highly competitive. We compete for buyers with a wide variety of manufacturers. Some of our current and potential competitors include captive in-house product lines,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t>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spacing w:after="0" w:line="193" w:lineRule="exact"/>
        <w:rPr>
          <w:sz w:val="20"/>
          <w:szCs w:val="20"/>
          <w:color w:val="auto"/>
        </w:rPr>
      </w:pPr>
    </w:p>
    <w:p>
      <w:pPr>
        <w:ind w:right="180" w:firstLine="644"/>
        <w:spacing w:after="0" w:line="286" w:lineRule="auto"/>
        <w:rPr>
          <w:sz w:val="20"/>
          <w:szCs w:val="20"/>
          <w:color w:val="auto"/>
        </w:rPr>
      </w:pPr>
      <w:r>
        <w:rPr>
          <w:rFonts w:ascii="Arial" w:cs="Arial" w:eastAsia="Arial" w:hAnsi="Arial"/>
          <w:sz w:val="17"/>
          <w:szCs w:val="17"/>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64" w:lineRule="exact"/>
        <w:rPr>
          <w:sz w:val="20"/>
          <w:szCs w:val="20"/>
          <w:color w:val="auto"/>
        </w:rPr>
      </w:pPr>
    </w:p>
    <w:p>
      <w:pPr>
        <w:ind w:right="120" w:firstLine="644"/>
        <w:spacing w:after="0" w:line="256" w:lineRule="auto"/>
        <w:rPr>
          <w:sz w:val="20"/>
          <w:szCs w:val="20"/>
          <w:color w:val="auto"/>
        </w:rPr>
      </w:pPr>
      <w:r>
        <w:rPr>
          <w:rFonts w:ascii="Arial" w:cs="Arial" w:eastAsia="Arial" w:hAnsi="Arial"/>
          <w:sz w:val="18"/>
          <w:szCs w:val="18"/>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91"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53" w:lineRule="exact"/>
        <w:rPr>
          <w:sz w:val="20"/>
          <w:szCs w:val="20"/>
          <w:color w:val="auto"/>
        </w:rPr>
      </w:pPr>
    </w:p>
    <w:p>
      <w:pPr>
        <w:ind w:right="20" w:firstLine="644"/>
        <w:spacing w:after="0" w:line="271" w:lineRule="auto"/>
        <w:rPr>
          <w:sz w:val="20"/>
          <w:szCs w:val="20"/>
          <w:color w:val="auto"/>
        </w:rPr>
      </w:pPr>
      <w:r>
        <w:rPr>
          <w:rFonts w:ascii="Arial" w:cs="Arial" w:eastAsia="Arial" w:hAnsi="Arial"/>
          <w:sz w:val="17"/>
          <w:szCs w:val="17"/>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87" w:lineRule="exact"/>
        <w:rPr>
          <w:sz w:val="20"/>
          <w:szCs w:val="20"/>
          <w:color w:val="auto"/>
        </w:rPr>
      </w:pPr>
    </w:p>
    <w:p>
      <w:pPr>
        <w:ind w:left="1020" w:right="70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Europe and Asia, and maintaining our company culture across all of our offices;</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61" w:lineRule="exact"/>
        <w:rPr>
          <w:rFonts w:ascii="Arial" w:cs="Arial" w:eastAsia="Arial" w:hAnsi="Arial"/>
          <w:sz w:val="18"/>
          <w:szCs w:val="18"/>
          <w:color w:val="auto"/>
        </w:rPr>
      </w:pPr>
    </w:p>
    <w:p>
      <w:pPr>
        <w:ind w:left="1020" w:right="40" w:hanging="504"/>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74" w:lineRule="exact"/>
        <w:rPr>
          <w:rFonts w:ascii="Arial" w:cs="Arial" w:eastAsia="Arial" w:hAnsi="Arial"/>
          <w:sz w:val="18"/>
          <w:szCs w:val="18"/>
          <w:color w:val="auto"/>
        </w:rPr>
      </w:pPr>
    </w:p>
    <w:p>
      <w:pPr>
        <w:ind w:left="1020" w:right="48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61" w:lineRule="exact"/>
        <w:rPr>
          <w:rFonts w:ascii="Arial" w:cs="Arial" w:eastAsia="Arial" w:hAnsi="Arial"/>
          <w:sz w:val="18"/>
          <w:szCs w:val="18"/>
          <w:color w:val="auto"/>
        </w:rPr>
      </w:pPr>
    </w:p>
    <w:p>
      <w:pPr>
        <w:ind w:left="1020" w:right="60" w:hanging="504"/>
        <w:spacing w:after="0" w:line="34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6" w:lineRule="exact"/>
        <w:rPr>
          <w:rFonts w:ascii="Arial" w:cs="Arial" w:eastAsia="Arial" w:hAnsi="Arial"/>
          <w:sz w:val="16"/>
          <w:szCs w:val="16"/>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including that related to the conflict between Russia and Ukraine;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6"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61" w:lineRule="exact"/>
        <w:rPr>
          <w:rFonts w:ascii="Arial" w:cs="Arial" w:eastAsia="Arial" w:hAnsi="Arial"/>
          <w:sz w:val="18"/>
          <w:szCs w:val="18"/>
          <w:color w:val="auto"/>
        </w:rPr>
      </w:pPr>
    </w:p>
    <w:p>
      <w:pPr>
        <w:ind w:left="1020" w:right="34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169"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right="60"/>
        <w:spacing w:after="0" w:line="263" w:lineRule="auto"/>
        <w:rPr>
          <w:sz w:val="20"/>
          <w:szCs w:val="20"/>
          <w:color w:val="auto"/>
        </w:rPr>
      </w:pPr>
      <w:r>
        <w:rPr>
          <w:rFonts w:ascii="Arial" w:cs="Arial" w:eastAsia="Arial" w:hAnsi="Arial"/>
          <w:sz w:val="18"/>
          <w:szCs w:val="18"/>
          <w:color w:val="auto"/>
        </w:rPr>
        <w:t>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Geopolitical instability outside of the U.S. may adversely impact the U.S. and global economies.</w:t>
      </w:r>
    </w:p>
    <w:p>
      <w:pPr>
        <w:spacing w:after="0" w:line="225" w:lineRule="exact"/>
        <w:rPr>
          <w:sz w:val="20"/>
          <w:szCs w:val="20"/>
          <w:color w:val="auto"/>
        </w:rPr>
      </w:pPr>
    </w:p>
    <w:p>
      <w:pPr>
        <w:ind w:firstLine="644"/>
        <w:spacing w:after="0" w:line="256" w:lineRule="auto"/>
        <w:rPr>
          <w:sz w:val="20"/>
          <w:szCs w:val="20"/>
          <w:color w:val="auto"/>
        </w:rPr>
      </w:pPr>
      <w:r>
        <w:rPr>
          <w:rFonts w:ascii="Arial" w:cs="Arial" w:eastAsia="Arial" w:hAnsi="Arial"/>
          <w:sz w:val="18"/>
          <w:szCs w:val="18"/>
          <w:color w:val="auto"/>
        </w:rPr>
        <w:t>In February 2022, Russia invaded Ukraine and the ensuing conflict has continued into 2023.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w:t>
      </w:r>
    </w:p>
    <w:p>
      <w:pPr>
        <w:spacing w:after="0" w:line="191" w:lineRule="exact"/>
        <w:rPr>
          <w:sz w:val="20"/>
          <w:szCs w:val="20"/>
          <w:color w:val="auto"/>
        </w:rPr>
      </w:pPr>
    </w:p>
    <w:p>
      <w:pPr>
        <w:ind w:right="200" w:firstLine="644"/>
        <w:spacing w:after="0" w:line="277" w:lineRule="auto"/>
        <w:rPr>
          <w:sz w:val="20"/>
          <w:szCs w:val="20"/>
          <w:color w:val="auto"/>
        </w:rPr>
      </w:pPr>
      <w:r>
        <w:rPr>
          <w:rFonts w:ascii="Arial" w:cs="Arial" w:eastAsia="Arial" w:hAnsi="Arial"/>
          <w:sz w:val="18"/>
          <w:szCs w:val="18"/>
          <w:color w:val="auto"/>
        </w:rPr>
        <w:t>We have contractors in Ukraine, Belarus and Russia. To the extent there are losses of life, disruptions to internet connectivity, or interruptions to banking payment systems, we and our employees could be adversely impacted.</w:t>
      </w:r>
    </w:p>
    <w:p>
      <w:pPr>
        <w:spacing w:after="0" w:line="169"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Unstable market and economic conditions, including a global or domestic recession or the fear of a recession, may have serious adverse consequences on our business, financial condition and share price.</w:t>
      </w:r>
    </w:p>
    <w:p>
      <w:pPr>
        <w:spacing w:after="0" w:line="237" w:lineRule="exact"/>
        <w:rPr>
          <w:sz w:val="20"/>
          <w:szCs w:val="20"/>
          <w:color w:val="auto"/>
        </w:rPr>
      </w:pPr>
    </w:p>
    <w:p>
      <w:pPr>
        <w:ind w:right="80" w:firstLine="644"/>
        <w:spacing w:after="0" w:line="268"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into Ukraine has created extreme volatility in the global capital markets and is expected to have further global economic consequences, including disruptions of the global supply chain and energy markets. In addition, rising inflation and other macroeconomic pressures in the United States and the global economy could exacerbate extreme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30"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5"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ind w:right="20" w:firstLine="644"/>
        <w:spacing w:after="0" w:line="269" w:lineRule="auto"/>
        <w:rPr>
          <w:sz w:val="20"/>
          <w:szCs w:val="20"/>
          <w:color w:val="auto"/>
        </w:rPr>
      </w:pPr>
      <w:r>
        <w:rPr>
          <w:rFonts w:ascii="Arial" w:cs="Arial" w:eastAsia="Arial" w:hAnsi="Arial"/>
          <w:sz w:val="17"/>
          <w:szCs w:val="17"/>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79" w:lineRule="exact"/>
        <w:rPr>
          <w:sz w:val="20"/>
          <w:szCs w:val="20"/>
          <w:color w:val="auto"/>
        </w:rPr>
      </w:pPr>
    </w:p>
    <w:p>
      <w:pPr>
        <w:jc w:val="both"/>
        <w:ind w:firstLine="644"/>
        <w:spacing w:after="0" w:line="311" w:lineRule="auto"/>
        <w:rPr>
          <w:sz w:val="20"/>
          <w:szCs w:val="20"/>
          <w:color w:val="auto"/>
        </w:rPr>
      </w:pPr>
      <w:r>
        <w:rPr>
          <w:rFonts w:ascii="Arial" w:cs="Arial" w:eastAsia="Arial" w:hAnsi="Arial"/>
          <w:sz w:val="16"/>
          <w:szCs w:val="16"/>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4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30" w:lineRule="exact"/>
        <w:rPr>
          <w:sz w:val="20"/>
          <w:szCs w:val="20"/>
          <w:color w:val="auto"/>
        </w:rPr>
      </w:pPr>
    </w:p>
    <w:p>
      <w:pPr>
        <w:ind w:right="20" w:firstLine="644"/>
        <w:spacing w:after="0" w:line="275" w:lineRule="auto"/>
        <w:rPr>
          <w:sz w:val="20"/>
          <w:szCs w:val="20"/>
          <w:color w:val="auto"/>
        </w:rPr>
      </w:pPr>
      <w:r>
        <w:rPr>
          <w:rFonts w:ascii="Arial" w:cs="Arial" w:eastAsia="Arial" w:hAnsi="Arial"/>
          <w:sz w:val="17"/>
          <w:szCs w:val="17"/>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 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175" w:lineRule="exact"/>
        <w:rPr>
          <w:sz w:val="20"/>
          <w:szCs w:val="20"/>
          <w:color w:val="auto"/>
        </w:rPr>
      </w:pPr>
    </w:p>
    <w:p>
      <w:pPr>
        <w:ind w:right="20" w:firstLine="644"/>
        <w:spacing w:after="0" w:line="268"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85" w:lineRule="exact"/>
        <w:rPr>
          <w:sz w:val="20"/>
          <w:szCs w:val="20"/>
          <w:color w:val="auto"/>
        </w:rPr>
      </w:pPr>
    </w:p>
    <w:p>
      <w:pPr>
        <w:ind w:right="40" w:firstLine="644"/>
        <w:spacing w:after="0" w:line="25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suppliers.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191" w:lineRule="exact"/>
        <w:rPr>
          <w:sz w:val="20"/>
          <w:szCs w:val="20"/>
          <w:color w:val="auto"/>
        </w:rPr>
      </w:pPr>
    </w:p>
    <w:p>
      <w:pPr>
        <w:ind w:right="20" w:firstLine="644"/>
        <w:spacing w:after="0" w:line="266" w:lineRule="auto"/>
        <w:rPr>
          <w:sz w:val="20"/>
          <w:szCs w:val="20"/>
          <w:color w:val="auto"/>
        </w:rPr>
      </w:pPr>
      <w:r>
        <w:rPr>
          <w:rFonts w:ascii="Arial" w:cs="Arial" w:eastAsia="Arial" w:hAnsi="Arial"/>
          <w:sz w:val="17"/>
          <w:szCs w:val="17"/>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00"/>
        <w:spacing w:after="0" w:line="301" w:lineRule="auto"/>
        <w:rPr>
          <w:sz w:val="20"/>
          <w:szCs w:val="20"/>
          <w:color w:val="auto"/>
        </w:rPr>
      </w:pPr>
      <w:r>
        <w:rPr>
          <w:rFonts w:ascii="Arial" w:cs="Arial" w:eastAsia="Arial" w:hAnsi="Arial"/>
          <w:sz w:val="16"/>
          <w:szCs w:val="16"/>
          <w:color w:val="auto"/>
        </w:rPr>
        <w:t>(including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have taken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56" w:lineRule="exact"/>
        <w:rPr>
          <w:sz w:val="20"/>
          <w:szCs w:val="20"/>
          <w:color w:val="auto"/>
        </w:rPr>
      </w:pPr>
    </w:p>
    <w:p>
      <w:pPr>
        <w:ind w:firstLine="644"/>
        <w:spacing w:after="0" w:line="284" w:lineRule="auto"/>
        <w:rPr>
          <w:sz w:val="20"/>
          <w:szCs w:val="20"/>
          <w:color w:val="auto"/>
        </w:rPr>
      </w:pPr>
      <w:r>
        <w:rPr>
          <w:rFonts w:ascii="Arial" w:cs="Arial" w:eastAsia="Arial" w:hAnsi="Arial"/>
          <w:sz w:val="16"/>
          <w:szCs w:val="16"/>
          <w:color w:val="auto"/>
        </w:rPr>
        <w:t>Additionally, California passed the California Consumer Privacy Act, or CCPA, which became effective on January 1, 2020. The CCPA provides data privacy rights for consumers and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became effective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CPRA on our business or operations, but it may require us to modify our data practices and policies and to incur substantial costs and expenses in an effort to comply. Additionally, the CCPA, CPRA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78" w:lineRule="exact"/>
        <w:rPr>
          <w:sz w:val="20"/>
          <w:szCs w:val="20"/>
          <w:color w:val="auto"/>
        </w:rPr>
      </w:pPr>
    </w:p>
    <w:p>
      <w:pPr>
        <w:ind w:right="20" w:firstLine="644"/>
        <w:spacing w:after="0" w:line="286" w:lineRule="auto"/>
        <w:rPr>
          <w:sz w:val="20"/>
          <w:szCs w:val="20"/>
          <w:color w:val="auto"/>
        </w:rPr>
      </w:pPr>
      <w:r>
        <w:rPr>
          <w:rFonts w:ascii="Arial" w:cs="Arial" w:eastAsia="Arial" w:hAnsi="Arial"/>
          <w:sz w:val="16"/>
          <w:szCs w:val="16"/>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buyers, suppliers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suppliers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74" w:lineRule="exact"/>
        <w:rPr>
          <w:sz w:val="20"/>
          <w:szCs w:val="20"/>
          <w:color w:val="auto"/>
        </w:rPr>
      </w:pPr>
    </w:p>
    <w:p>
      <w:pPr>
        <w:ind w:right="60" w:firstLine="644"/>
        <w:spacing w:after="0" w:line="255"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191" w:lineRule="exact"/>
        <w:rPr>
          <w:sz w:val="20"/>
          <w:szCs w:val="20"/>
          <w:color w:val="auto"/>
        </w:rPr>
      </w:pPr>
    </w:p>
    <w:p>
      <w:pPr>
        <w:ind w:right="100" w:firstLine="644"/>
        <w:spacing w:after="0" w:line="259"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5" w:lineRule="exact"/>
        <w:rPr>
          <w:sz w:val="20"/>
          <w:szCs w:val="20"/>
          <w:color w:val="auto"/>
        </w:rPr>
      </w:pPr>
    </w:p>
    <w:p>
      <w:pPr>
        <w:ind w:right="100" w:firstLine="644"/>
        <w:spacing w:after="0" w:line="258"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7"/>
          <w:szCs w:val="17"/>
          <w:color w:val="auto"/>
        </w:rPr>
        <w:t>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2"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b w:val="1"/>
          <w:bCs w:val="1"/>
          <w:i w:val="1"/>
          <w:iCs w:val="1"/>
          <w:color w:val="auto"/>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spacing w:after="0" w:line="53" w:lineRule="exact"/>
        <w:rPr>
          <w:sz w:val="20"/>
          <w:szCs w:val="20"/>
          <w:color w:val="auto"/>
        </w:rPr>
      </w:pPr>
    </w:p>
    <w:p>
      <w:pPr>
        <w:ind w:right="40" w:firstLine="644"/>
        <w:spacing w:after="0" w:line="269" w:lineRule="auto"/>
        <w:rPr>
          <w:sz w:val="20"/>
          <w:szCs w:val="20"/>
          <w:color w:val="auto"/>
        </w:rPr>
      </w:pPr>
      <w:r>
        <w:rPr>
          <w:rFonts w:ascii="Arial" w:cs="Arial" w:eastAsia="Arial" w:hAnsi="Arial"/>
          <w:sz w:val="17"/>
          <w:szCs w:val="17"/>
          <w:color w:val="auto"/>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82" w:lineRule="exact"/>
        <w:rPr>
          <w:sz w:val="20"/>
          <w:szCs w:val="20"/>
          <w:color w:val="auto"/>
        </w:rPr>
      </w:pPr>
    </w:p>
    <w:p>
      <w:pPr>
        <w:jc w:val="both"/>
        <w:ind w:right="140" w:firstLine="644"/>
        <w:spacing w:after="0" w:line="263" w:lineRule="auto"/>
        <w:rPr>
          <w:sz w:val="20"/>
          <w:szCs w:val="20"/>
          <w:color w:val="auto"/>
        </w:rPr>
      </w:pPr>
      <w:r>
        <w:rPr>
          <w:rFonts w:ascii="Arial" w:cs="Arial" w:eastAsia="Arial" w:hAnsi="Arial"/>
          <w:sz w:val="18"/>
          <w:szCs w:val="18"/>
          <w:color w:val="auto"/>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spacing w:after="0" w:line="75" w:lineRule="exact"/>
        <w:rPr>
          <w:sz w:val="20"/>
          <w:szCs w:val="20"/>
          <w:color w:val="auto"/>
        </w:rPr>
      </w:pPr>
    </w:p>
    <w:p>
      <w:pPr>
        <w:ind w:left="1020" w:right="140" w:hanging="50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suppliers, or our policies and guidelines, including our pricing model;</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fraud;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suppliers or third parties;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provide suppliers with a sufficient level of orders or repeat business;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offer buyers or suppliers competitive pricing and lead times;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6" w:lineRule="exact"/>
        <w:rPr>
          <w:rFonts w:ascii="Arial" w:cs="Arial" w:eastAsia="Arial" w:hAnsi="Arial"/>
          <w:sz w:val="18"/>
          <w:szCs w:val="18"/>
          <w:color w:val="auto"/>
        </w:rPr>
      </w:pPr>
    </w:p>
    <w:p>
      <w:pPr>
        <w:ind w:left="1020" w:right="100" w:hanging="504"/>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buyers’ or suppliers’ lack of awareness of, or compliance with, our policies;</w:t>
      </w:r>
    </w:p>
    <w:p>
      <w:pPr>
        <w:spacing w:after="0" w:line="116" w:lineRule="exact"/>
        <w:rPr>
          <w:rFonts w:ascii="Arial" w:cs="Arial" w:eastAsia="Arial" w:hAnsi="Arial"/>
          <w:sz w:val="18"/>
          <w:szCs w:val="18"/>
          <w:color w:val="auto"/>
        </w:rPr>
      </w:pPr>
    </w:p>
    <w:p>
      <w:pPr>
        <w:ind w:left="1020" w:right="480" w:hanging="50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responses by buyers or suppliers to new services or manufacturing processes available on our marketplace;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6" w:lineRule="exact"/>
        <w:rPr>
          <w:rFonts w:ascii="Arial" w:cs="Arial" w:eastAsia="Arial" w:hAnsi="Arial"/>
          <w:sz w:val="18"/>
          <w:szCs w:val="18"/>
          <w:color w:val="auto"/>
        </w:rPr>
      </w:pPr>
    </w:p>
    <w:p>
      <w:pPr>
        <w:ind w:left="1020" w:right="520" w:hanging="504"/>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of our treatment of buyers and suppliers and our response to buyer or seller sentiment related to political or social causes or actions of management; or</w:t>
      </w:r>
    </w:p>
    <w:p>
      <w:pPr>
        <w:spacing w:after="0" w:line="61"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1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62" w:lineRule="exact"/>
        <w:rPr>
          <w:sz w:val="20"/>
          <w:szCs w:val="20"/>
          <w:color w:val="auto"/>
        </w:rPr>
      </w:pPr>
    </w:p>
    <w:p>
      <w:pPr>
        <w:ind w:right="360" w:firstLine="644"/>
        <w:spacing w:after="0" w:line="277"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62" w:lineRule="exact"/>
        <w:rPr>
          <w:sz w:val="20"/>
          <w:szCs w:val="20"/>
          <w:color w:val="auto"/>
        </w:rPr>
      </w:pPr>
    </w:p>
    <w:p>
      <w:pPr>
        <w:ind w:left="1020" w:right="8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are not able to maintain and evolve our culture, our business, financial condition, and results of operations could be adversely affected.</w:t>
      </w: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suppliers and could adversely affect our business, financial condition, and results of operations.</w:t>
      </w:r>
    </w:p>
    <w:p>
      <w:pPr>
        <w:spacing w:after="0" w:line="75" w:lineRule="exact"/>
        <w:rPr>
          <w:sz w:val="20"/>
          <w:szCs w:val="20"/>
          <w:color w:val="auto"/>
        </w:rPr>
      </w:pPr>
    </w:p>
    <w:p>
      <w:pPr>
        <w:ind w:right="20" w:firstLine="644"/>
        <w:spacing w:after="0" w:line="288" w:lineRule="auto"/>
        <w:rPr>
          <w:sz w:val="20"/>
          <w:szCs w:val="20"/>
          <w:color w:val="auto"/>
        </w:rPr>
      </w:pPr>
      <w:r>
        <w:rPr>
          <w:rFonts w:ascii="Arial" w:cs="Arial" w:eastAsia="Arial" w:hAnsi="Arial"/>
          <w:sz w:val="16"/>
          <w:szCs w:val="16"/>
          <w:color w:val="auto"/>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 variety of laws and regulations, both in the United States and internationally, many of which are evolving.</w:t>
      </w:r>
    </w:p>
    <w:p>
      <w:pPr>
        <w:spacing w:after="0" w:line="142"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spacing w:after="0" w:line="179" w:lineRule="exact"/>
        <w:rPr>
          <w:sz w:val="20"/>
          <w:szCs w:val="20"/>
          <w:color w:val="auto"/>
        </w:rPr>
      </w:pPr>
    </w:p>
    <w:p>
      <w:pPr>
        <w:ind w:right="160" w:firstLine="644"/>
        <w:spacing w:after="0" w:line="255"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jc w:val="both"/>
        <w:ind w:right="60"/>
        <w:spacing w:after="0" w:line="311" w:lineRule="auto"/>
        <w:rPr>
          <w:sz w:val="20"/>
          <w:szCs w:val="20"/>
          <w:color w:val="auto"/>
        </w:rPr>
      </w:pPr>
      <w:r>
        <w:rPr>
          <w:rFonts w:ascii="Arial" w:cs="Arial" w:eastAsia="Arial" w:hAnsi="Arial"/>
          <w:sz w:val="16"/>
          <w:szCs w:val="16"/>
          <w:color w:val="auto"/>
        </w:rPr>
        <w:t>laws and regulations differently than they have in the past or in a manner adverse to our business. Such regulatory scrutiny or action may create different or conflicting obligations on us from one jurisdiction to another. In the past, we have received letters from certain jurisdictions indicating that we are required to pay taxes based on having certain minimum contacts in such jurisdictions. We may become subject to taxation in additional jurisdictions in the future.</w:t>
      </w:r>
    </w:p>
    <w:p>
      <w:pPr>
        <w:spacing w:after="0" w:line="148"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business worldwide, which requires us to comply with the laws and regulations of the U.S. government and various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210" w:lineRule="exact"/>
        <w:rPr>
          <w:sz w:val="20"/>
          <w:szCs w:val="20"/>
          <w:color w:val="auto"/>
        </w:rPr>
      </w:pPr>
    </w:p>
    <w:p>
      <w:pPr>
        <w:ind w:right="60" w:firstLine="644"/>
        <w:spacing w:after="0" w:line="256" w:lineRule="auto"/>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 Foreign Corrupt Practices Act, or FCPA, export controls and economic sanctions programs, including those administered by the 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191" w:lineRule="exact"/>
        <w:rPr>
          <w:sz w:val="20"/>
          <w:szCs w:val="20"/>
          <w:color w:val="auto"/>
        </w:rPr>
      </w:pPr>
    </w:p>
    <w:p>
      <w:pPr>
        <w:ind w:right="60" w:firstLine="644"/>
        <w:spacing w:after="0" w:line="255"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91" w:lineRule="exact"/>
        <w:rPr>
          <w:sz w:val="20"/>
          <w:szCs w:val="20"/>
          <w:color w:val="auto"/>
        </w:rPr>
      </w:pPr>
    </w:p>
    <w:p>
      <w:pPr>
        <w:ind w:right="220" w:firstLine="644"/>
        <w:spacing w:after="0" w:line="291"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30"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5"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94" w:lineRule="exact"/>
        <w:rPr>
          <w:sz w:val="20"/>
          <w:szCs w:val="20"/>
          <w:color w:val="auto"/>
        </w:rPr>
      </w:pPr>
    </w:p>
    <w:p>
      <w:pPr>
        <w:ind w:right="240" w:firstLine="644"/>
        <w:spacing w:after="0" w:line="258"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color w:val="auto"/>
        </w:rPr>
        <w:t>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69" w:lineRule="exact"/>
        <w:rPr>
          <w:sz w:val="20"/>
          <w:szCs w:val="20"/>
          <w:color w:val="auto"/>
        </w:rPr>
      </w:pPr>
    </w:p>
    <w:p>
      <w:pPr>
        <w:ind w:right="60" w:firstLine="644"/>
        <w:spacing w:after="0" w:line="287" w:lineRule="auto"/>
        <w:rPr>
          <w:sz w:val="20"/>
          <w:szCs w:val="20"/>
          <w:color w:val="auto"/>
        </w:rPr>
      </w:pPr>
      <w:r>
        <w:rPr>
          <w:rFonts w:ascii="Arial" w:cs="Arial" w:eastAsia="Arial" w:hAnsi="Arial"/>
          <w:sz w:val="16"/>
          <w:szCs w:val="16"/>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69"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93"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81" w:lineRule="exact"/>
        <w:rPr>
          <w:sz w:val="20"/>
          <w:szCs w:val="20"/>
          <w:color w:val="auto"/>
        </w:rPr>
      </w:pPr>
    </w:p>
    <w:p>
      <w:pPr>
        <w:ind w:right="20" w:firstLine="644"/>
        <w:spacing w:after="0" w:line="267" w:lineRule="auto"/>
        <w:rPr>
          <w:sz w:val="20"/>
          <w:szCs w:val="20"/>
          <w:color w:val="auto"/>
        </w:rPr>
      </w:pPr>
      <w:r>
        <w:rPr>
          <w:rFonts w:ascii="Arial" w:cs="Arial" w:eastAsia="Arial" w:hAnsi="Arial"/>
          <w:sz w:val="17"/>
          <w:szCs w:val="17"/>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87"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20"/>
        <w:spacing w:after="0" w:line="270" w:lineRule="auto"/>
        <w:rPr>
          <w:sz w:val="20"/>
          <w:szCs w:val="20"/>
          <w:color w:val="auto"/>
        </w:rPr>
      </w:pPr>
      <w:r>
        <w:rPr>
          <w:rFonts w:ascii="Arial" w:cs="Arial" w:eastAsia="Arial" w:hAnsi="Arial"/>
          <w:sz w:val="17"/>
          <w:szCs w:val="17"/>
          <w:color w:val="auto"/>
        </w:rPr>
        <w:t>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78" w:lineRule="exact"/>
        <w:rPr>
          <w:sz w:val="20"/>
          <w:szCs w:val="20"/>
          <w:color w:val="auto"/>
        </w:rPr>
      </w:pPr>
    </w:p>
    <w:p>
      <w:pPr>
        <w:ind w:firstLine="644"/>
        <w:spacing w:after="0" w:line="270" w:lineRule="auto"/>
        <w:rPr>
          <w:sz w:val="20"/>
          <w:szCs w:val="20"/>
          <w:color w:val="auto"/>
        </w:rPr>
      </w:pPr>
      <w:r>
        <w:rPr>
          <w:rFonts w:ascii="Arial" w:cs="Arial" w:eastAsia="Arial" w:hAnsi="Arial"/>
          <w:sz w:val="17"/>
          <w:szCs w:val="17"/>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78" w:lineRule="exact"/>
        <w:rPr>
          <w:sz w:val="20"/>
          <w:szCs w:val="20"/>
          <w:color w:val="auto"/>
        </w:rPr>
      </w:pPr>
    </w:p>
    <w:p>
      <w:pPr>
        <w:ind w:firstLine="644"/>
        <w:spacing w:after="0" w:line="259"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85" w:lineRule="exact"/>
        <w:rPr>
          <w:sz w:val="20"/>
          <w:szCs w:val="20"/>
          <w:color w:val="auto"/>
        </w:rPr>
      </w:pPr>
    </w:p>
    <w:p>
      <w:pPr>
        <w:ind w:right="20" w:firstLine="644"/>
        <w:spacing w:after="0" w:line="290" w:lineRule="auto"/>
        <w:rPr>
          <w:sz w:val="20"/>
          <w:szCs w:val="20"/>
          <w:color w:val="auto"/>
        </w:rPr>
      </w:pPr>
      <w:r>
        <w:rPr>
          <w:rFonts w:ascii="Arial" w:cs="Arial" w:eastAsia="Arial" w:hAnsi="Arial"/>
          <w:sz w:val="16"/>
          <w:szCs w:val="16"/>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5" w:lineRule="exact"/>
        <w:rPr>
          <w:sz w:val="20"/>
          <w:szCs w:val="20"/>
          <w:color w:val="auto"/>
        </w:rPr>
      </w:pPr>
    </w:p>
    <w:p>
      <w:pPr>
        <w:ind w:right="20" w:firstLine="644"/>
        <w:spacing w:after="0" w:line="291" w:lineRule="auto"/>
        <w:rPr>
          <w:sz w:val="20"/>
          <w:szCs w:val="20"/>
          <w:color w:val="auto"/>
        </w:rPr>
      </w:pPr>
      <w:r>
        <w:rPr>
          <w:rFonts w:ascii="Arial" w:cs="Arial" w:eastAsia="Arial" w:hAnsi="Arial"/>
          <w:sz w:val="16"/>
          <w:szCs w:val="16"/>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64" w:lineRule="exact"/>
        <w:rPr>
          <w:sz w:val="20"/>
          <w:szCs w:val="20"/>
          <w:color w:val="auto"/>
        </w:rPr>
      </w:pPr>
    </w:p>
    <w:p>
      <w:pPr>
        <w:ind w:right="160" w:firstLine="644"/>
        <w:spacing w:after="0" w:line="283" w:lineRule="auto"/>
        <w:rPr>
          <w:sz w:val="20"/>
          <w:szCs w:val="20"/>
          <w:color w:val="auto"/>
        </w:rPr>
      </w:pPr>
      <w:r>
        <w:rPr>
          <w:rFonts w:ascii="Arial" w:cs="Arial" w:eastAsia="Arial" w:hAnsi="Arial"/>
          <w:sz w:val="16"/>
          <w:szCs w:val="16"/>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ind w:right="40"/>
        <w:spacing w:after="0" w:line="291" w:lineRule="auto"/>
        <w:rPr>
          <w:sz w:val="20"/>
          <w:szCs w:val="20"/>
          <w:color w:val="auto"/>
        </w:rPr>
      </w:pPr>
      <w:r>
        <w:rPr>
          <w:rFonts w:ascii="Arial" w:cs="Arial" w:eastAsia="Arial" w:hAnsi="Arial"/>
          <w:sz w:val="16"/>
          <w:szCs w:val="16"/>
          <w:color w:val="auto"/>
        </w:rPr>
        <w:t>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64" w:lineRule="exact"/>
        <w:rPr>
          <w:sz w:val="20"/>
          <w:szCs w:val="20"/>
          <w:color w:val="auto"/>
        </w:rPr>
      </w:pPr>
    </w:p>
    <w:p>
      <w:pPr>
        <w:ind w:firstLine="644"/>
        <w:spacing w:after="0" w:line="270"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2" w:lineRule="exact"/>
        <w:rPr>
          <w:sz w:val="20"/>
          <w:szCs w:val="20"/>
          <w:color w:val="auto"/>
        </w:rPr>
      </w:pPr>
    </w:p>
    <w:p>
      <w:pPr>
        <w:ind w:right="120" w:firstLine="644"/>
        <w:spacing w:after="0" w:line="277"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62" w:lineRule="exact"/>
        <w:rPr>
          <w:sz w:val="20"/>
          <w:szCs w:val="20"/>
          <w:color w:val="auto"/>
        </w:rPr>
      </w:pPr>
    </w:p>
    <w:p>
      <w:pPr>
        <w:ind w:left="1020" w:right="62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61" w:lineRule="exact"/>
        <w:rPr>
          <w:rFonts w:ascii="Arial" w:cs="Arial" w:eastAsia="Arial" w:hAnsi="Arial"/>
          <w:sz w:val="18"/>
          <w:szCs w:val="18"/>
          <w:color w:val="auto"/>
        </w:rPr>
      </w:pPr>
    </w:p>
    <w:p>
      <w:pPr>
        <w:ind w:left="1020" w:right="8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61" w:lineRule="exact"/>
        <w:rPr>
          <w:rFonts w:ascii="Arial" w:cs="Arial" w:eastAsia="Arial" w:hAnsi="Arial"/>
          <w:sz w:val="18"/>
          <w:szCs w:val="18"/>
          <w:color w:val="auto"/>
        </w:rPr>
      </w:pPr>
    </w:p>
    <w:p>
      <w:pPr>
        <w:ind w:left="1020" w:right="120" w:hanging="504"/>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74" w:lineRule="exact"/>
        <w:rPr>
          <w:rFonts w:ascii="Arial" w:cs="Arial" w:eastAsia="Arial" w:hAnsi="Arial"/>
          <w:sz w:val="18"/>
          <w:szCs w:val="18"/>
          <w:color w:val="auto"/>
        </w:rPr>
      </w:pPr>
    </w:p>
    <w:p>
      <w:pPr>
        <w:ind w:left="1020" w:right="72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30" w:lineRule="exact"/>
        <w:rPr>
          <w:sz w:val="20"/>
          <w:szCs w:val="20"/>
          <w:color w:val="auto"/>
        </w:rPr>
      </w:pPr>
    </w:p>
    <w:p>
      <w:pPr>
        <w:ind w:right="200" w:firstLine="644"/>
        <w:spacing w:after="0" w:line="301" w:lineRule="auto"/>
        <w:rPr>
          <w:sz w:val="20"/>
          <w:szCs w:val="20"/>
          <w:color w:val="auto"/>
        </w:rPr>
      </w:pPr>
      <w:r>
        <w:rPr>
          <w:rFonts w:ascii="Arial" w:cs="Arial" w:eastAsia="Arial" w:hAnsi="Arial"/>
          <w:sz w:val="16"/>
          <w:szCs w:val="16"/>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56" w:lineRule="exact"/>
        <w:rPr>
          <w:sz w:val="20"/>
          <w:szCs w:val="20"/>
          <w:color w:val="auto"/>
        </w:rPr>
      </w:pPr>
    </w:p>
    <w:p>
      <w:pPr>
        <w:ind w:right="80" w:firstLine="644"/>
        <w:spacing w:after="0" w:line="268" w:lineRule="auto"/>
        <w:rPr>
          <w:sz w:val="20"/>
          <w:szCs w:val="20"/>
          <w:color w:val="auto"/>
        </w:rPr>
      </w:pPr>
      <w:r>
        <w:rPr>
          <w:rFonts w:ascii="Arial" w:cs="Arial" w:eastAsia="Arial" w:hAnsi="Arial"/>
          <w:sz w:val="17"/>
          <w:szCs w:val="17"/>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85" w:lineRule="exact"/>
        <w:rPr>
          <w:sz w:val="20"/>
          <w:szCs w:val="20"/>
          <w:color w:val="auto"/>
        </w:rPr>
      </w:pPr>
    </w:p>
    <w:p>
      <w:pPr>
        <w:jc w:val="both"/>
        <w:ind w:right="60" w:firstLine="644"/>
        <w:spacing w:after="0" w:line="255"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right="260"/>
        <w:spacing w:after="0" w:line="263" w:lineRule="auto"/>
        <w:rPr>
          <w:sz w:val="20"/>
          <w:szCs w:val="20"/>
          <w:color w:val="auto"/>
        </w:rPr>
      </w:pPr>
      <w:r>
        <w:rPr>
          <w:rFonts w:ascii="Arial" w:cs="Arial" w:eastAsia="Arial" w:hAnsi="Arial"/>
          <w:sz w:val="18"/>
          <w:szCs w:val="18"/>
          <w:color w:val="auto"/>
        </w:rPr>
        <w:t>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3" w:lineRule="exact"/>
        <w:rPr>
          <w:sz w:val="20"/>
          <w:szCs w:val="20"/>
          <w:color w:val="auto"/>
        </w:rPr>
      </w:pPr>
    </w:p>
    <w:p>
      <w:pPr>
        <w:ind w:right="100" w:firstLine="644"/>
        <w:spacing w:after="0" w:line="263"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suppliers or of our facilities could materially and adversely affect our business, financial condition, and results of operations.</w:t>
      </w:r>
    </w:p>
    <w:p>
      <w:pPr>
        <w:spacing w:after="0" w:line="75" w:lineRule="exact"/>
        <w:rPr>
          <w:sz w:val="20"/>
          <w:szCs w:val="20"/>
          <w:color w:val="auto"/>
        </w:rPr>
      </w:pPr>
    </w:p>
    <w:p>
      <w:pPr>
        <w:jc w:val="both"/>
        <w:ind w:right="380" w:firstLine="644"/>
        <w:spacing w:after="0" w:line="311" w:lineRule="auto"/>
        <w:rPr>
          <w:sz w:val="20"/>
          <w:szCs w:val="20"/>
          <w:color w:val="auto"/>
        </w:rPr>
      </w:pPr>
      <w:r>
        <w:rPr>
          <w:rFonts w:ascii="Arial" w:cs="Arial" w:eastAsia="Arial" w:hAnsi="Arial"/>
          <w:sz w:val="16"/>
          <w:szCs w:val="16"/>
          <w:color w:val="auto"/>
        </w:rPr>
        <w:t>Suppliers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any of our suppliers’ facilities or manufacturing equipment are affected by a disaster, suppliers may:</w:t>
      </w:r>
    </w:p>
    <w:p>
      <w:pPr>
        <w:spacing w:after="0" w:line="117"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7" w:lineRule="exact"/>
        <w:rPr>
          <w:sz w:val="20"/>
          <w:szCs w:val="20"/>
          <w:color w:val="auto"/>
        </w:rPr>
      </w:pPr>
    </w:p>
    <w:p>
      <w:pPr>
        <w:ind w:left="1020" w:right="120" w:hanging="50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25" w:lineRule="exact"/>
        <w:rPr>
          <w:sz w:val="20"/>
          <w:szCs w:val="20"/>
          <w:color w:val="auto"/>
        </w:rPr>
      </w:pPr>
    </w:p>
    <w:p>
      <w:pPr>
        <w:ind w:right="160" w:firstLine="644"/>
        <w:spacing w:after="0" w:line="277"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spacing w:after="0" w:line="169" w:lineRule="exact"/>
        <w:rPr>
          <w:sz w:val="20"/>
          <w:szCs w:val="20"/>
          <w:color w:val="auto"/>
        </w:rPr>
      </w:pPr>
    </w:p>
    <w:p>
      <w:pPr>
        <w:ind w:firstLine="644"/>
        <w:spacing w:after="0" w:line="259"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5" w:lineRule="exact"/>
        <w:rPr>
          <w:sz w:val="20"/>
          <w:szCs w:val="20"/>
          <w:color w:val="auto"/>
        </w:rPr>
      </w:pPr>
    </w:p>
    <w:p>
      <w:pPr>
        <w:ind w:right="480" w:firstLine="644"/>
        <w:spacing w:after="0" w:line="263"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83" w:lineRule="exact"/>
        <w:rPr>
          <w:sz w:val="20"/>
          <w:szCs w:val="20"/>
          <w:color w:val="auto"/>
        </w:rPr>
      </w:pPr>
    </w:p>
    <w:p>
      <w:pPr>
        <w:ind w:right="80" w:firstLine="644"/>
        <w:spacing w:after="0" w:line="288" w:lineRule="auto"/>
        <w:rPr>
          <w:sz w:val="20"/>
          <w:szCs w:val="20"/>
          <w:color w:val="auto"/>
        </w:rPr>
      </w:pPr>
      <w:r>
        <w:rPr>
          <w:rFonts w:ascii="Arial" w:cs="Arial" w:eastAsia="Arial" w:hAnsi="Arial"/>
          <w:sz w:val="16"/>
          <w:szCs w:val="16"/>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ind w:right="20" w:firstLine="64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experience challenges managing the significant regulatory oversight and reporting obligations under the U.S. federal securities laws and the continuous scrutiny of securities analysts and investors applicable to public companies. These obligations require significant attention from our senior management and could divert their attention away from the day-to-day management of our business, which could adversely affect our business, prospects,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30"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91" w:lineRule="exact"/>
        <w:rPr>
          <w:sz w:val="20"/>
          <w:szCs w:val="20"/>
          <w:color w:val="auto"/>
        </w:rPr>
      </w:pPr>
    </w:p>
    <w:p>
      <w:pPr>
        <w:ind w:right="140" w:firstLine="644"/>
        <w:spacing w:after="0" w:line="263" w:lineRule="auto"/>
        <w:rPr>
          <w:sz w:val="20"/>
          <w:szCs w:val="20"/>
          <w:color w:val="auto"/>
        </w:rPr>
      </w:pPr>
      <w:r>
        <w:rPr>
          <w:rFonts w:ascii="Arial" w:cs="Arial" w:eastAsia="Arial" w:hAnsi="Arial"/>
          <w:sz w:val="18"/>
          <w:szCs w:val="18"/>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98" w:lineRule="exact"/>
        <w:rPr>
          <w:sz w:val="20"/>
          <w:szCs w:val="20"/>
          <w:color w:val="auto"/>
        </w:rPr>
      </w:pPr>
    </w:p>
    <w:p>
      <w:pPr>
        <w:ind w:right="60" w:firstLine="644"/>
        <w:spacing w:after="0" w:line="288" w:lineRule="auto"/>
        <w:rPr>
          <w:sz w:val="20"/>
          <w:szCs w:val="20"/>
          <w:color w:val="auto"/>
        </w:rPr>
      </w:pPr>
      <w:r>
        <w:rPr>
          <w:rFonts w:ascii="Arial" w:cs="Arial" w:eastAsia="Arial" w:hAnsi="Arial"/>
          <w:sz w:val="16"/>
          <w:szCs w:val="16"/>
          <w:color w:val="auto"/>
        </w:rPr>
        <w:t>As of December 31, 2022, we have net operating loss (“NOL”) carryforwards for U.S. federal income tax purposes, and similar state amounts, of approximately $224.6 million available to reduce future income subject to income taxes before limitations. Of the total loss carryforward available, approximately $58.4 million of net operating losses were attributable to the acquisition of the Company’s wholly owned subsidiary Thomas Publishing.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During 2022, management completed its evaluation of any limitations on the ability of the Company to utilize the Thomas subsidiary net operating loss carryforward of $58.4 million.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25"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an almost full valuation allowance against our U.S. NOLs, these changes will not have a significant impact our balance sheet as of December 31, 2022.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38"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184" w:lineRule="exact"/>
        <w:rPr>
          <w:sz w:val="20"/>
          <w:szCs w:val="20"/>
          <w:color w:val="auto"/>
        </w:rPr>
      </w:pPr>
    </w:p>
    <w:p>
      <w:pPr>
        <w:ind w:right="180" w:firstLine="644"/>
        <w:spacing w:after="0" w:line="254"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2022. If we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right="60"/>
        <w:spacing w:after="0" w:line="341" w:lineRule="auto"/>
        <w:rPr>
          <w:sz w:val="20"/>
          <w:szCs w:val="20"/>
          <w:color w:val="auto"/>
        </w:rPr>
      </w:pPr>
      <w:r>
        <w:rPr>
          <w:rFonts w:ascii="Arial" w:cs="Arial" w:eastAsia="Arial" w:hAnsi="Arial"/>
          <w:sz w:val="16"/>
          <w:szCs w:val="16"/>
          <w:color w:val="auto"/>
        </w:rPr>
        <w:t>determine that a significant impairment has occurred in the value of our intangible assets, right of use assets or fixed assets in 2023 or beyond, we could be required to write off a portion of our assets, which could adversely affect our consolidated financial condition or our reported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17" w:lineRule="exact"/>
        <w:rPr>
          <w:sz w:val="20"/>
          <w:szCs w:val="20"/>
          <w:color w:val="auto"/>
        </w:rPr>
      </w:pPr>
    </w:p>
    <w:p>
      <w:pPr>
        <w:ind w:right="20" w:firstLine="644"/>
        <w:spacing w:after="0" w:line="286" w:lineRule="auto"/>
        <w:rPr>
          <w:sz w:val="20"/>
          <w:szCs w:val="20"/>
          <w:color w:val="auto"/>
        </w:rPr>
      </w:pPr>
      <w:r>
        <w:rPr>
          <w:rFonts w:ascii="Arial" w:cs="Arial" w:eastAsia="Arial" w:hAnsi="Arial"/>
          <w:sz w:val="16"/>
          <w:szCs w:val="16"/>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33" w:lineRule="exact"/>
        <w:rPr>
          <w:sz w:val="20"/>
          <w:szCs w:val="20"/>
          <w:color w:val="auto"/>
        </w:rPr>
      </w:pPr>
    </w:p>
    <w:p>
      <w:pPr>
        <w:ind w:right="20" w:firstLine="644"/>
        <w:spacing w:after="0" w:line="285" w:lineRule="auto"/>
        <w:rPr>
          <w:sz w:val="20"/>
          <w:szCs w:val="20"/>
          <w:color w:val="auto"/>
        </w:rPr>
      </w:pPr>
      <w:r>
        <w:rPr>
          <w:rFonts w:ascii="Arial" w:cs="Arial" w:eastAsia="Arial" w:hAnsi="Arial"/>
          <w:sz w:val="16"/>
          <w:szCs w:val="16"/>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3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62" w:lineRule="exact"/>
        <w:rPr>
          <w:sz w:val="20"/>
          <w:szCs w:val="20"/>
          <w:color w:val="auto"/>
        </w:rPr>
      </w:pPr>
    </w:p>
    <w:p>
      <w:pPr>
        <w:ind w:firstLine="644"/>
        <w:spacing w:after="0" w:line="282" w:lineRule="auto"/>
        <w:rPr>
          <w:sz w:val="20"/>
          <w:szCs w:val="20"/>
          <w:color w:val="auto"/>
        </w:rPr>
      </w:pPr>
      <w:r>
        <w:rPr>
          <w:rFonts w:ascii="Arial" w:cs="Arial" w:eastAsia="Arial" w:hAnsi="Arial"/>
          <w:sz w:val="16"/>
          <w:szCs w:val="16"/>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17" w:lineRule="exact"/>
        <w:rPr>
          <w:sz w:val="20"/>
          <w:szCs w:val="20"/>
          <w:color w:val="auto"/>
        </w:rPr>
      </w:pPr>
    </w:p>
    <w:p>
      <w:pPr>
        <w:ind w:firstLine="644"/>
        <w:spacing w:after="0" w:line="259"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62" w:lineRule="exact"/>
        <w:rPr>
          <w:sz w:val="20"/>
          <w:szCs w:val="20"/>
          <w:color w:val="auto"/>
        </w:rPr>
      </w:pPr>
    </w:p>
    <w:p>
      <w:pPr>
        <w:ind w:right="100" w:firstLine="644"/>
        <w:spacing w:after="0" w:line="271" w:lineRule="auto"/>
        <w:rPr>
          <w:sz w:val="20"/>
          <w:szCs w:val="20"/>
          <w:color w:val="auto"/>
        </w:rPr>
      </w:pPr>
      <w:r>
        <w:rPr>
          <w:rFonts w:ascii="Arial" w:cs="Arial" w:eastAsia="Arial" w:hAnsi="Arial"/>
          <w:sz w:val="17"/>
          <w:szCs w:val="17"/>
          <w:color w:val="auto"/>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 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spacing w:after="0" w:line="14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our present single or limited source suppliers become unavailable or inadequate, our buyer relationships, results of operations and financial condition may be adversely affected.</w:t>
      </w:r>
    </w:p>
    <w:p>
      <w:pPr>
        <w:spacing w:after="0" w:line="62" w:lineRule="exact"/>
        <w:rPr>
          <w:sz w:val="20"/>
          <w:szCs w:val="20"/>
          <w:color w:val="auto"/>
        </w:rPr>
      </w:pPr>
    </w:p>
    <w:p>
      <w:pPr>
        <w:ind w:right="180" w:firstLine="644"/>
        <w:spacing w:after="0" w:line="275"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17" w:lineRule="exact"/>
        <w:rPr>
          <w:sz w:val="20"/>
          <w:szCs w:val="20"/>
          <w:color w:val="auto"/>
        </w:rPr>
      </w:pPr>
    </w:p>
    <w:p>
      <w:pPr>
        <w:ind w:right="80" w:firstLine="644"/>
        <w:spacing w:after="0" w:line="301" w:lineRule="auto"/>
        <w:rPr>
          <w:sz w:val="20"/>
          <w:szCs w:val="20"/>
          <w:color w:val="auto"/>
        </w:rPr>
      </w:pPr>
      <w:r>
        <w:rPr>
          <w:rFonts w:ascii="Arial" w:cs="Arial" w:eastAsia="Arial" w:hAnsi="Arial"/>
          <w:sz w:val="16"/>
          <w:szCs w:val="16"/>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62" w:lineRule="exact"/>
        <w:rPr>
          <w:sz w:val="20"/>
          <w:szCs w:val="20"/>
          <w:color w:val="auto"/>
        </w:rPr>
      </w:pPr>
    </w:p>
    <w:p>
      <w:pPr>
        <w:ind w:firstLine="644"/>
        <w:spacing w:after="0" w:line="288" w:lineRule="auto"/>
        <w:rPr>
          <w:sz w:val="20"/>
          <w:szCs w:val="20"/>
          <w:color w:val="auto"/>
        </w:rPr>
      </w:pPr>
      <w:r>
        <w:rPr>
          <w:rFonts w:ascii="Arial" w:cs="Arial" w:eastAsia="Arial" w:hAnsi="Arial"/>
          <w:sz w:val="16"/>
          <w:szCs w:val="16"/>
          <w:color w:val="auto"/>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and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17" w:lineRule="exact"/>
        <w:rPr>
          <w:sz w:val="20"/>
          <w:szCs w:val="20"/>
          <w:color w:val="auto"/>
        </w:rPr>
      </w:pPr>
    </w:p>
    <w:p>
      <w:pPr>
        <w:ind w:right="80" w:firstLine="644"/>
        <w:spacing w:after="0" w:line="266" w:lineRule="auto"/>
        <w:rPr>
          <w:sz w:val="20"/>
          <w:szCs w:val="20"/>
          <w:color w:val="auto"/>
        </w:rPr>
      </w:pPr>
      <w:r>
        <w:rPr>
          <w:rFonts w:ascii="Arial" w:cs="Arial" w:eastAsia="Arial" w:hAnsi="Arial"/>
          <w:sz w:val="17"/>
          <w:szCs w:val="17"/>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0" w:right="3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Risks Related to the Acquisition of Thomas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the acquisition of Thomas because of difficulties related to integration, the achievement of synergies, and other challenges.</w:t>
      </w:r>
    </w:p>
    <w:p>
      <w:pPr>
        <w:spacing w:after="0" w:line="62" w:lineRule="exact"/>
        <w:rPr>
          <w:sz w:val="20"/>
          <w:szCs w:val="20"/>
          <w:color w:val="auto"/>
        </w:rPr>
      </w:pPr>
    </w:p>
    <w:p>
      <w:pPr>
        <w:ind w:firstLine="644"/>
        <w:spacing w:after="0" w:line="290" w:lineRule="auto"/>
        <w:rPr>
          <w:sz w:val="20"/>
          <w:szCs w:val="20"/>
          <w:color w:val="auto"/>
        </w:rPr>
      </w:pPr>
      <w:r>
        <w:rPr>
          <w:rFonts w:ascii="Arial" w:cs="Arial" w:eastAsia="Arial" w:hAnsi="Arial"/>
          <w:sz w:val="16"/>
          <w:szCs w:val="16"/>
          <w:color w:val="auto"/>
        </w:rPr>
        <w:t>We acquired Thomas on December 9, 2021 (the “Thomas Acquisition”), our largest acquisition to date. We believe that there are substantial benefits and synergies that may be realized through combining the businesses. However, the integration process requires significant time and resources, and our ability to acquire and integrate larger or more complex companies, products, or technologies in a successful manner is unproven. If we are not able to successfully integrate Thomas’ business with ours or pursue our customer and product strategy successfully, the anticipated benefits of the Thomas Acquisition may not be realized fully, including the anticipated growth opportunities, or may take longer than expected to be realized. Further, it is possible that there could be a loss of our and/or Thomas’ key employees and customers, disruption of either company’s or both companies’ ongoing businesses or unexpected issues, and higher than expected costs. Specifically, the following issues, among others, must be addressed in combining Thomas’s operations with ours in order to fully realize the anticipated benefits of the Thomas Acquisition so the combined company performs as the parties anticipate:</w:t>
      </w:r>
    </w:p>
    <w:p>
      <w:pPr>
        <w:spacing w:after="0" w:line="55"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combining the companies’ corporate functions;</w:t>
      </w:r>
    </w:p>
    <w:p>
      <w:pPr>
        <w:spacing w:after="0" w:line="116" w:lineRule="exact"/>
        <w:rPr>
          <w:rFonts w:ascii="Arial" w:cs="Arial" w:eastAsia="Arial" w:hAnsi="Arial"/>
          <w:sz w:val="18"/>
          <w:szCs w:val="18"/>
          <w:color w:val="auto"/>
        </w:rPr>
      </w:pPr>
    </w:p>
    <w:p>
      <w:pPr>
        <w:ind w:left="1020" w:right="220" w:hanging="504"/>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combining Thomas’s business with our business in a manner that permits us to achieve the synergies anticipated to result from the Thomas Acquisition, the failure of which would result in the anticipated benefits of the Thomas Acquisition not being realized in the time frame currently anticipated or at all;</w:t>
      </w:r>
    </w:p>
    <w:p>
      <w:pPr>
        <w:spacing w:after="0" w:line="74"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existing agreements with customers, partners and talent and avoiding delays in entering into new agreements with prospective customers, distributors, providers, talent and vendors;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the companies’ administrative and information technology infrastructure;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ensuring the effectiveness of Thomas’ internal control over financial reporting;</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and forecasting the financial impact of the Thomas Acquisition transaction, including accounting charges;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332" w:lineRule="exact"/>
        <w:rPr>
          <w:sz w:val="20"/>
          <w:szCs w:val="20"/>
          <w:color w:val="auto"/>
        </w:rPr>
      </w:pPr>
    </w:p>
    <w:p>
      <w:pPr>
        <w:ind w:right="100" w:firstLine="644"/>
        <w:spacing w:after="0" w:line="341" w:lineRule="auto"/>
        <w:rPr>
          <w:sz w:val="20"/>
          <w:szCs w:val="20"/>
          <w:color w:val="auto"/>
        </w:rPr>
      </w:pPr>
      <w:r>
        <w:rPr>
          <w:rFonts w:ascii="Arial" w:cs="Arial" w:eastAsia="Arial" w:hAnsi="Arial"/>
          <w:sz w:val="16"/>
          <w:szCs w:val="16"/>
          <w:color w:val="auto"/>
        </w:rPr>
        <w:t>Failure to achieve the anticipated benefits of the Thomas Acquisition could adversely affect our results of operations or cash flows, cause dilution to our earnings per share, decrease or delay any accretive effect of the acquisition and negatively impact the price of our Class A common stock.</w:t>
      </w:r>
    </w:p>
    <w:p>
      <w:pPr>
        <w:spacing w:after="0" w:line="17" w:lineRule="exact"/>
        <w:rPr>
          <w:sz w:val="20"/>
          <w:szCs w:val="20"/>
          <w:color w:val="auto"/>
        </w:rPr>
      </w:pPr>
    </w:p>
    <w:p>
      <w:pPr>
        <w:ind w:right="420" w:firstLine="644"/>
        <w:spacing w:after="0" w:line="263" w:lineRule="auto"/>
        <w:rPr>
          <w:sz w:val="20"/>
          <w:szCs w:val="20"/>
          <w:color w:val="auto"/>
        </w:rPr>
      </w:pPr>
      <w:r>
        <w:rPr>
          <w:rFonts w:ascii="Arial" w:cs="Arial" w:eastAsia="Arial" w:hAnsi="Arial"/>
          <w:sz w:val="18"/>
          <w:szCs w:val="18"/>
          <w:color w:val="auto"/>
        </w:rPr>
        <w:t>We have incurred, and may continue to incur costs in connection with the Thomas Acquisition and integrating the operations of Xometry and Thomas. Management cannot ensure that the elimination of duplicative costs or the realization of other efficiencies will offset the transaction and integration costs in the near term or at all.</w:t>
      </w:r>
    </w:p>
    <w:p>
      <w:pPr>
        <w:spacing w:after="0" w:line="28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17" w:lineRule="exact"/>
        <w:rPr>
          <w:sz w:val="20"/>
          <w:szCs w:val="20"/>
          <w:color w:val="auto"/>
        </w:rPr>
      </w:pPr>
    </w:p>
    <w:p>
      <w:pPr>
        <w:ind w:right="60" w:firstLine="644"/>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62"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our results of operations meet previously announced guidance or the expectations of securities analysts or investors;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6"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6" w:lineRule="exact"/>
        <w:rPr>
          <w:rFonts w:ascii="Arial" w:cs="Arial" w:eastAsia="Arial" w:hAnsi="Arial"/>
          <w:sz w:val="18"/>
          <w:szCs w:val="18"/>
          <w:color w:val="auto"/>
        </w:rPr>
      </w:pPr>
    </w:p>
    <w:p>
      <w:pPr>
        <w:ind w:left="1020" w:right="420" w:hanging="504"/>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financial markets in the United States and abroad, including as a result of the ongoing COVID-19 pandemic and Russia’s ongoing war with Ukraine.</w:t>
      </w:r>
    </w:p>
    <w:p>
      <w:pPr>
        <w:spacing w:after="0" w:line="129" w:lineRule="exact"/>
        <w:rPr>
          <w:sz w:val="20"/>
          <w:szCs w:val="20"/>
          <w:color w:val="auto"/>
        </w:rPr>
      </w:pPr>
    </w:p>
    <w:p>
      <w:pPr>
        <w:ind w:right="40" w:firstLine="644"/>
        <w:spacing w:after="0" w:line="290" w:lineRule="auto"/>
        <w:rPr>
          <w:sz w:val="20"/>
          <w:szCs w:val="20"/>
          <w:color w:val="auto"/>
        </w:rPr>
      </w:pPr>
      <w:r>
        <w:rPr>
          <w:rFonts w:ascii="Arial" w:cs="Arial" w:eastAsia="Arial" w:hAnsi="Arial"/>
          <w:sz w:val="16"/>
          <w:szCs w:val="16"/>
          <w:color w:val="auto"/>
        </w:rPr>
        <w:t>The market for technology stocks or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2" w:lineRule="exact"/>
        <w:rPr>
          <w:sz w:val="20"/>
          <w:szCs w:val="20"/>
          <w:color w:val="auto"/>
        </w:rPr>
      </w:pPr>
    </w:p>
    <w:p>
      <w:pPr>
        <w:ind w:right="80" w:firstLine="644"/>
        <w:spacing w:after="0" w:line="256"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5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62" w:lineRule="exact"/>
        <w:rPr>
          <w:sz w:val="20"/>
          <w:szCs w:val="20"/>
          <w:color w:val="auto"/>
        </w:rPr>
      </w:pPr>
    </w:p>
    <w:p>
      <w:pPr>
        <w:ind w:firstLine="644"/>
        <w:spacing w:after="0" w:line="254"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Our actual results may not always be in line with or exceed any guidance we have provided, especially in times of economic uncertainty, such as the current global economic uncertainty being experienced as a result of the COVID-19 pandemic and Russia's invasion of Ukraine.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62" w:lineRule="exact"/>
        <w:rPr>
          <w:sz w:val="20"/>
          <w:szCs w:val="20"/>
          <w:color w:val="auto"/>
        </w:rPr>
      </w:pPr>
    </w:p>
    <w:p>
      <w:pPr>
        <w:ind w:right="100" w:firstLine="644"/>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right="20" w:firstLine="644"/>
        <w:spacing w:after="0" w:line="253"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56" w:lineRule="exact"/>
        <w:rPr>
          <w:sz w:val="20"/>
          <w:szCs w:val="20"/>
          <w:color w:val="auto"/>
        </w:rPr>
      </w:pPr>
    </w:p>
    <w:p>
      <w:pPr>
        <w:ind w:right="160" w:firstLine="644"/>
        <w:spacing w:after="0" w:line="301" w:lineRule="auto"/>
        <w:rPr>
          <w:sz w:val="20"/>
          <w:szCs w:val="20"/>
          <w:color w:val="auto"/>
        </w:rPr>
      </w:pPr>
      <w:r>
        <w:rPr>
          <w:rFonts w:ascii="Arial" w:cs="Arial" w:eastAsia="Arial" w:hAnsi="Arial"/>
          <w:sz w:val="16"/>
          <w:szCs w:val="16"/>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29" w:lineRule="exact"/>
        <w:rPr>
          <w:sz w:val="20"/>
          <w:szCs w:val="20"/>
          <w:color w:val="auto"/>
        </w:rPr>
      </w:pPr>
    </w:p>
    <w:p>
      <w:pPr>
        <w:ind w:right="160" w:firstLine="644"/>
        <w:spacing w:after="0" w:line="273" w:lineRule="auto"/>
        <w:rPr>
          <w:sz w:val="20"/>
          <w:szCs w:val="20"/>
          <w:color w:val="auto"/>
        </w:rPr>
      </w:pPr>
      <w:r>
        <w:rPr>
          <w:rFonts w:ascii="Arial" w:cs="Arial" w:eastAsia="Arial" w:hAnsi="Arial"/>
          <w:sz w:val="17"/>
          <w:szCs w:val="17"/>
          <w:color w:val="auto"/>
        </w:rPr>
        <w:t>As of December 31, 2022, we had $319.4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3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40" w:lineRule="exact"/>
        <w:rPr>
          <w:sz w:val="20"/>
          <w:szCs w:val="20"/>
          <w:color w:val="auto"/>
        </w:rPr>
      </w:pPr>
    </w:p>
    <w:p>
      <w:pPr>
        <w:ind w:right="200" w:firstLine="644"/>
        <w:spacing w:after="0" w:line="263" w:lineRule="auto"/>
        <w:rPr>
          <w:sz w:val="20"/>
          <w:szCs w:val="20"/>
          <w:color w:val="auto"/>
        </w:rPr>
      </w:pPr>
      <w:r>
        <w:rPr>
          <w:rFonts w:ascii="Arial" w:cs="Arial" w:eastAsia="Arial" w:hAnsi="Arial"/>
          <w:sz w:val="18"/>
          <w:szCs w:val="18"/>
          <w:color w:val="auto"/>
        </w:rPr>
        <w:t>Our Class B common stock has twenty votes per share, whereas our Class A common stock has one vote per share. Our co-founders collectively own Class B common stock representing approximately 54.4% of the voting power of our outstanding capital stock, based on the number of shares outstanding as of December 31, 2022.</w:t>
      </w:r>
    </w:p>
    <w:p>
      <w:pPr>
        <w:spacing w:after="0" w:line="142" w:lineRule="exact"/>
        <w:rPr>
          <w:sz w:val="20"/>
          <w:szCs w:val="20"/>
          <w:color w:val="auto"/>
        </w:rPr>
      </w:pPr>
    </w:p>
    <w:p>
      <w:pPr>
        <w:ind w:right="40" w:firstLine="644"/>
        <w:spacing w:after="0" w:line="293" w:lineRule="auto"/>
        <w:rPr>
          <w:sz w:val="20"/>
          <w:szCs w:val="20"/>
          <w:color w:val="auto"/>
        </w:rPr>
      </w:pPr>
      <w:r>
        <w:rPr>
          <w:rFonts w:ascii="Arial" w:cs="Arial" w:eastAsia="Arial" w:hAnsi="Arial"/>
          <w:sz w:val="16"/>
          <w:szCs w:val="16"/>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36" w:lineRule="exact"/>
        <w:rPr>
          <w:sz w:val="20"/>
          <w:szCs w:val="20"/>
          <w:color w:val="auto"/>
        </w:rPr>
      </w:pPr>
    </w:p>
    <w:p>
      <w:pPr>
        <w:ind w:right="140" w:firstLine="644"/>
        <w:spacing w:after="0" w:line="287" w:lineRule="auto"/>
        <w:rPr>
          <w:sz w:val="20"/>
          <w:szCs w:val="20"/>
          <w:color w:val="auto"/>
        </w:rPr>
      </w:pPr>
      <w:r>
        <w:rPr>
          <w:rFonts w:ascii="Arial" w:cs="Arial" w:eastAsia="Arial" w:hAnsi="Arial"/>
          <w:sz w:val="16"/>
          <w:szCs w:val="16"/>
          <w:color w:val="auto"/>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2" w:lineRule="exact"/>
        <w:rPr>
          <w:sz w:val="20"/>
          <w:szCs w:val="20"/>
          <w:color w:val="auto"/>
        </w:rPr>
      </w:pPr>
    </w:p>
    <w:p>
      <w:pPr>
        <w:ind w:firstLine="8"/>
        <w:spacing w:after="0" w:line="255"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pacing w:after="0" w:line="148" w:lineRule="exact"/>
        <w:rPr>
          <w:sz w:val="20"/>
          <w:szCs w:val="20"/>
          <w:color w:val="auto"/>
        </w:rPr>
      </w:pPr>
    </w:p>
    <w:p>
      <w:pPr>
        <w:ind w:right="40" w:firstLine="644"/>
        <w:spacing w:after="0" w:line="259"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17" w:lineRule="exact"/>
        <w:rPr>
          <w:sz w:val="20"/>
          <w:szCs w:val="20"/>
          <w:color w:val="auto"/>
        </w:rPr>
      </w:pPr>
    </w:p>
    <w:p>
      <w:pPr>
        <w:ind w:right="20" w:firstLine="644"/>
        <w:spacing w:after="0" w:line="252" w:lineRule="auto"/>
        <w:rPr>
          <w:sz w:val="20"/>
          <w:szCs w:val="20"/>
          <w:color w:val="auto"/>
        </w:rPr>
      </w:pPr>
      <w:r>
        <w:rPr>
          <w:rFonts w:ascii="Arial" w:cs="Arial" w:eastAsia="Arial" w:hAnsi="Arial"/>
          <w:sz w:val="18"/>
          <w:szCs w:val="18"/>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380"/>
        <w:spacing w:after="0" w:line="341" w:lineRule="auto"/>
        <w:rPr>
          <w:sz w:val="20"/>
          <w:szCs w:val="20"/>
          <w:color w:val="auto"/>
        </w:rPr>
      </w:pPr>
      <w:r>
        <w:rPr>
          <w:rFonts w:ascii="Arial" w:cs="Arial" w:eastAsia="Arial" w:hAnsi="Arial"/>
          <w:sz w:val="16"/>
          <w:szCs w:val="16"/>
          <w:color w:val="auto"/>
        </w:rPr>
        <w:t>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is required to devote substantial time to compliance with our public company responsibilities and corporate governance practices.</w:t>
      </w:r>
    </w:p>
    <w:p>
      <w:pPr>
        <w:spacing w:after="0" w:line="142" w:lineRule="exact"/>
        <w:rPr>
          <w:sz w:val="20"/>
          <w:szCs w:val="20"/>
          <w:color w:val="auto"/>
        </w:rPr>
      </w:pPr>
    </w:p>
    <w:p>
      <w:pPr>
        <w:ind w:right="140" w:firstLine="644"/>
        <w:spacing w:after="0" w:line="273" w:lineRule="auto"/>
        <w:rPr>
          <w:sz w:val="20"/>
          <w:szCs w:val="20"/>
          <w:color w:val="auto"/>
        </w:rPr>
      </w:pPr>
      <w:r>
        <w:rPr>
          <w:rFonts w:ascii="Arial" w:cs="Arial" w:eastAsia="Arial" w:hAnsi="Arial"/>
          <w:sz w:val="17"/>
          <w:szCs w:val="17"/>
          <w:color w:val="auto"/>
        </w:rPr>
        <w:t>As a public company, and particularly now that we are no longer an emerging growth company, we incurred and expect to continue to incur significant legal, accounting, and other expenses that we did not incur as a private company. For example, we are subject to the reporting requirements of the Exchange Act, the Sarbanes-Oxley Act of 2022 (the “Sarbanes-Oxley Act”), the Dodd-Frank Wall Street Reform and Consumer Protection Act, the listing requirements of The Nasdaq Global Select Market, and any the rules and regulations of the SEC. Our management and other personnel devote a substantial amount of time to compliance with these requirements. Moreover, these rules and regulations increase our legal and financial compliance costs and will make some activities more time-consuming and costly.</w:t>
      </w:r>
    </w:p>
    <w:p>
      <w:pPr>
        <w:spacing w:after="0" w:line="136" w:lineRule="exact"/>
        <w:rPr>
          <w:sz w:val="20"/>
          <w:szCs w:val="20"/>
          <w:color w:val="auto"/>
        </w:rPr>
      </w:pPr>
    </w:p>
    <w:p>
      <w:pPr>
        <w:ind w:right="120" w:firstLine="644"/>
        <w:spacing w:after="0" w:line="268"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filing,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42" w:lineRule="exact"/>
        <w:rPr>
          <w:sz w:val="20"/>
          <w:szCs w:val="20"/>
          <w:color w:val="auto"/>
        </w:rPr>
      </w:pPr>
    </w:p>
    <w:p>
      <w:pPr>
        <w:ind w:right="60" w:firstLine="644"/>
        <w:spacing w:after="0" w:line="311" w:lineRule="auto"/>
        <w:rPr>
          <w:sz w:val="20"/>
          <w:szCs w:val="20"/>
          <w:color w:val="auto"/>
        </w:rPr>
      </w:pPr>
      <w:r>
        <w:rPr>
          <w:rFonts w:ascii="Arial" w:cs="Arial" w:eastAsia="Arial" w:hAnsi="Arial"/>
          <w:sz w:val="16"/>
          <w:szCs w:val="16"/>
          <w:color w:val="auto"/>
        </w:rPr>
        <w:t>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121" w:lineRule="exact"/>
        <w:rPr>
          <w:sz w:val="20"/>
          <w:szCs w:val="20"/>
          <w:color w:val="auto"/>
        </w:rPr>
      </w:pPr>
    </w:p>
    <w:p>
      <w:pPr>
        <w:ind w:right="240" w:firstLine="644"/>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29"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9"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5" w:lineRule="exact"/>
        <w:rPr>
          <w:sz w:val="20"/>
          <w:szCs w:val="20"/>
          <w:color w:val="auto"/>
        </w:rPr>
      </w:pPr>
    </w:p>
    <w:p>
      <w:pPr>
        <w:ind w:left="1020" w:right="40" w:hanging="504"/>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39" w:lineRule="exact"/>
        <w:rPr>
          <w:rFonts w:ascii="Arial" w:cs="Arial" w:eastAsia="Arial" w:hAnsi="Arial"/>
          <w:sz w:val="16"/>
          <w:szCs w:val="16"/>
          <w:color w:val="auto"/>
        </w:rPr>
      </w:pPr>
    </w:p>
    <w:p>
      <w:pPr>
        <w:ind w:left="1020" w:right="20" w:hanging="504"/>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1"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sixty-six and two-thirds percent (66 2/3%) of our outstanding</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shares of our voting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left="1020" w:right="100" w:hanging="50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29" w:lineRule="exact"/>
        <w:rPr>
          <w:sz w:val="20"/>
          <w:szCs w:val="20"/>
          <w:color w:val="auto"/>
        </w:rPr>
      </w:pPr>
    </w:p>
    <w:p>
      <w:pPr>
        <w:ind w:right="40" w:firstLine="644"/>
        <w:spacing w:after="0" w:line="29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37" w:lineRule="exact"/>
        <w:rPr>
          <w:sz w:val="20"/>
          <w:szCs w:val="20"/>
          <w:color w:val="auto"/>
        </w:rPr>
      </w:pPr>
    </w:p>
    <w:p>
      <w:pPr>
        <w:jc w:val="both"/>
        <w:ind w:right="36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22"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153" w:lineRule="exact"/>
        <w:rPr>
          <w:sz w:val="20"/>
          <w:szCs w:val="20"/>
          <w:color w:val="auto"/>
        </w:rPr>
      </w:pPr>
    </w:p>
    <w:p>
      <w:pPr>
        <w:ind w:right="180" w:firstLine="644"/>
        <w:spacing w:after="0" w:line="275" w:lineRule="auto"/>
        <w:rPr>
          <w:sz w:val="20"/>
          <w:szCs w:val="20"/>
          <w:color w:val="auto"/>
        </w:rPr>
      </w:pPr>
      <w:r>
        <w:rPr>
          <w:rFonts w:ascii="Arial" w:cs="Arial" w:eastAsia="Arial" w:hAnsi="Arial"/>
          <w:sz w:val="17"/>
          <w:szCs w:val="17"/>
          <w:color w:val="auto"/>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34" w:lineRule="exact"/>
        <w:rPr>
          <w:sz w:val="20"/>
          <w:szCs w:val="20"/>
          <w:color w:val="auto"/>
        </w:rPr>
      </w:pPr>
    </w:p>
    <w:p>
      <w:pPr>
        <w:ind w:right="60" w:firstLine="644"/>
        <w:spacing w:after="0" w:line="283"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Convertible Notes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07" w:lineRule="exact"/>
        <w:rPr>
          <w:sz w:val="20"/>
          <w:szCs w:val="20"/>
          <w:color w:val="auto"/>
        </w:rPr>
      </w:pPr>
    </w:p>
    <w:p>
      <w:pPr>
        <w:ind w:right="20" w:firstLine="644"/>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$287.5 million aggregate principal amount of 1.00% Convertible Senior Notes due 2027 (the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ind w:right="280"/>
        <w:spacing w:after="0" w:line="277" w:lineRule="auto"/>
        <w:rPr>
          <w:sz w:val="20"/>
          <w:szCs w:val="20"/>
          <w:color w:val="auto"/>
        </w:rPr>
      </w:pPr>
      <w:r>
        <w:rPr>
          <w:rFonts w:ascii="Arial" w:cs="Arial" w:eastAsia="Arial" w:hAnsi="Arial"/>
          <w:sz w:val="18"/>
          <w:szCs w:val="18"/>
          <w:color w:val="auto"/>
        </w:rPr>
        <w:t>engage in these activities on desirable terms, we may be unable to meet our debt obligations, including the Notes, which would materially and adversely impact our business, financial condition and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the Notes may dilute the ownership interest of our stockholders or may otherwise depress the price of our common stock.</w:t>
      </w:r>
    </w:p>
    <w:p>
      <w:pPr>
        <w:spacing w:after="0" w:line="196" w:lineRule="exact"/>
        <w:rPr>
          <w:sz w:val="20"/>
          <w:szCs w:val="20"/>
          <w:color w:val="auto"/>
        </w:rPr>
      </w:pPr>
    </w:p>
    <w:p>
      <w:pPr>
        <w:ind w:right="80" w:firstLine="644"/>
        <w:spacing w:after="0" w:line="273" w:lineRule="auto"/>
        <w:rPr>
          <w:sz w:val="20"/>
          <w:szCs w:val="20"/>
          <w:color w:val="auto"/>
        </w:rPr>
      </w:pPr>
      <w:r>
        <w:rPr>
          <w:rFonts w:ascii="Arial" w:cs="Arial" w:eastAsia="Arial" w:hAnsi="Arial"/>
          <w:sz w:val="17"/>
          <w:szCs w:val="17"/>
          <w:color w:val="auto"/>
        </w:rPr>
        <w:t>The conversion of some or all of the Notes may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indenture governing the Notes may delay or prevent an otherwise beneficial takeover attempt of us.</w:t>
      </w:r>
    </w:p>
    <w:p>
      <w:pPr>
        <w:spacing w:after="0" w:line="198" w:lineRule="exact"/>
        <w:rPr>
          <w:sz w:val="20"/>
          <w:szCs w:val="20"/>
          <w:color w:val="auto"/>
        </w:rPr>
      </w:pPr>
    </w:p>
    <w:p>
      <w:pPr>
        <w:ind w:right="40" w:firstLine="644"/>
        <w:spacing w:after="0" w:line="273" w:lineRule="auto"/>
        <w:rPr>
          <w:sz w:val="20"/>
          <w:szCs w:val="20"/>
          <w:color w:val="auto"/>
        </w:rPr>
      </w:pPr>
      <w:r>
        <w:rPr>
          <w:rFonts w:ascii="Arial" w:cs="Arial" w:eastAsia="Arial" w:hAnsi="Arial"/>
          <w:sz w:val="17"/>
          <w:szCs w:val="17"/>
          <w:color w:val="auto"/>
        </w:rPr>
        <w:t>Certain provisions in the indenture governing the Notes may make it more difficult or expensive for a third party to acquire us. For example, the indenture governing the Notes will require us, except as described in the indenture, to repurchase the notes for cash upon the occurrence of a "fundamental change" (as defined in the indenture) and, in certain circumstances, to increase the conversion rate for a holder that converts its Notes in connection with a "make-whole fundamental change" (as defined in the indenture). A takeover of us may trigger the requirement that we repurchase the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center"/>
        <w:ind w:right="40"/>
        <w:spacing w:after="0" w:line="361" w:lineRule="auto"/>
        <w:rPr>
          <w:sz w:val="20"/>
          <w:szCs w:val="20"/>
          <w:color w:val="auto"/>
        </w:rPr>
      </w:pPr>
      <w:r>
        <w:rPr>
          <w:rFonts w:ascii="Arial" w:cs="Arial" w:eastAsia="Arial" w:hAnsi="Arial"/>
          <w:sz w:val="16"/>
          <w:szCs w:val="16"/>
          <w:b w:val="1"/>
          <w:bCs w:val="1"/>
          <w:i w:val="1"/>
          <w:iCs w:val="1"/>
          <w:color w:val="auto"/>
        </w:rPr>
        <w:t xml:space="preserve">If we fail to retain and motivate members of our management team or other key personnel, our business and future growth prospects would be harmed. </w:t>
      </w:r>
      <w:r>
        <w:rPr>
          <w:rFonts w:ascii="Arial" w:cs="Arial" w:eastAsia="Arial" w:hAnsi="Arial"/>
          <w:sz w:val="16"/>
          <w:szCs w:val="16"/>
          <w:color w:val="auto"/>
        </w:rPr>
        <w:t>Our success and future growth depend largely upon the continued services of our executive officers as well as other key personnel. These</w:t>
      </w:r>
    </w:p>
    <w:p>
      <w:pPr>
        <w:jc w:val="both"/>
        <w:ind w:right="80"/>
        <w:spacing w:after="0" w:line="253" w:lineRule="auto"/>
        <w:rPr>
          <w:sz w:val="20"/>
          <w:szCs w:val="20"/>
          <w:color w:val="auto"/>
        </w:rPr>
      </w:pPr>
      <w:r>
        <w:rPr>
          <w:rFonts w:ascii="Arial" w:cs="Arial" w:eastAsia="Arial" w:hAnsi="Arial"/>
          <w:sz w:val="18"/>
          <w:szCs w:val="18"/>
          <w:color w:val="auto"/>
        </w:rPr>
        <w:t>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17" w:lineRule="exact"/>
        <w:rPr>
          <w:sz w:val="20"/>
          <w:szCs w:val="20"/>
          <w:color w:val="auto"/>
        </w:rPr>
      </w:pPr>
    </w:p>
    <w:p>
      <w:pPr>
        <w:ind w:right="40" w:firstLine="644"/>
        <w:spacing w:after="0" w:line="256"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83"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55" w:lineRule="exact"/>
        <w:rPr>
          <w:sz w:val="20"/>
          <w:szCs w:val="20"/>
          <w:color w:val="auto"/>
        </w:rPr>
      </w:pPr>
    </w:p>
    <w:p>
      <w:pPr>
        <w:ind w:right="60" w:firstLine="644"/>
        <w:spacing w:after="0" w:line="253"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9" w:name="page40"/>
    <w:bookmarkEnd w:id="39"/>
    <w:p>
      <w:pPr>
        <w:ind w:right="200" w:firstLine="644"/>
        <w:spacing w:after="0" w:line="311"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17" w:lineRule="exact"/>
        <w:rPr>
          <w:sz w:val="20"/>
          <w:szCs w:val="20"/>
          <w:color w:val="auto"/>
        </w:rPr>
      </w:pPr>
    </w:p>
    <w:p>
      <w:pPr>
        <w:ind w:right="100" w:firstLine="644"/>
        <w:spacing w:after="0" w:line="293"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right="120" w:firstLine="644"/>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In addition, pursuant to Section 404 of the Sarbanes Oxley-Act, we are now required to perform system and process evaluation and testing of our internal control over financial reporting to allow our management to furnish a report on, among other things, the effectiveness of our internal control over financial reporting for the fiscal year covered by this Annual Report, and we are also required, as of the date of this Annual Report, to have our independent registered public accounting firm issue an opinion on the effectiveness of our internal control over financial reporting on an annual basis.</w:t>
      </w:r>
    </w:p>
    <w:p>
      <w:pPr>
        <w:spacing w:after="0" w:line="57" w:lineRule="exact"/>
        <w:rPr>
          <w:sz w:val="20"/>
          <w:szCs w:val="20"/>
          <w:color w:val="auto"/>
        </w:rPr>
      </w:pPr>
    </w:p>
    <w:p>
      <w:pPr>
        <w:jc w:val="both"/>
        <w:ind w:firstLine="644"/>
        <w:spacing w:after="0" w:line="286" w:lineRule="auto"/>
        <w:rPr>
          <w:sz w:val="20"/>
          <w:szCs w:val="20"/>
          <w:color w:val="auto"/>
        </w:rPr>
      </w:pPr>
      <w:r>
        <w:rPr>
          <w:rFonts w:ascii="Arial" w:cs="Arial" w:eastAsia="Arial" w:hAnsi="Arial"/>
          <w:sz w:val="17"/>
          <w:szCs w:val="17"/>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124" w:lineRule="exact"/>
        <w:rPr>
          <w:sz w:val="20"/>
          <w:szCs w:val="20"/>
          <w:color w:val="auto"/>
        </w:rPr>
      </w:pPr>
    </w:p>
    <w:p>
      <w:pPr>
        <w:ind w:right="60" w:firstLine="644"/>
        <w:spacing w:after="0" w:line="26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55" w:lineRule="exact"/>
        <w:rPr>
          <w:sz w:val="20"/>
          <w:szCs w:val="20"/>
          <w:color w:val="auto"/>
        </w:rPr>
      </w:pPr>
    </w:p>
    <w:p>
      <w:pPr>
        <w:ind w:right="240" w:firstLine="644"/>
        <w:spacing w:after="0" w:line="255"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common shares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w:t>
      </w:r>
    </w:p>
    <w:p>
      <w:pPr>
        <w:spacing w:after="0" w:line="191" w:lineRule="exact"/>
        <w:rPr>
          <w:sz w:val="20"/>
          <w:szCs w:val="20"/>
          <w:color w:val="auto"/>
        </w:rPr>
      </w:pPr>
    </w:p>
    <w:p>
      <w:pPr>
        <w:ind w:right="80"/>
        <w:spacing w:after="0" w:line="38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If we are unable to remediate this material weakness, or if other control deficiencies are identified, we may not be able to accurately or timely report our financial condition or results of operations in the future.</w:t>
      </w:r>
    </w:p>
    <w:p>
      <w:pPr>
        <w:spacing w:after="0" w:line="61"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During our first assessment of internal control over financial reporting, as required under the Sarbanes-Oxley Act of 2002, we identified a material weakness in our internal control over financial reporting that existed as of December 31, 2022</w:t>
      </w:r>
      <w:r>
        <w:rPr>
          <w:rFonts w:ascii="Arial" w:cs="Arial" w:eastAsia="Arial" w:hAnsi="Arial"/>
          <w:sz w:val="18"/>
          <w:szCs w:val="18"/>
          <w:color w:val="auto"/>
        </w:rPr>
        <w:t>.</w:t>
      </w:r>
      <w:r>
        <w:rPr>
          <w:rFonts w:ascii="Arial" w:cs="Arial" w:eastAsia="Arial" w:hAnsi="Arial"/>
          <w:sz w:val="17"/>
          <w:szCs w:val="17"/>
          <w:color w:val="auto"/>
        </w:rPr>
        <w:t xml:space="preserv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did not identify any misstatements to the consolidated financial statements as of and for the year ended December 31, 2022 because of the material weakness.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0" w:name="page41"/>
    <w:bookmarkEnd w:id="40"/>
    <w:p>
      <w:pPr>
        <w:ind w:right="20" w:firstLine="644"/>
        <w:spacing w:after="0" w:line="259" w:lineRule="auto"/>
        <w:rPr>
          <w:sz w:val="20"/>
          <w:szCs w:val="20"/>
          <w:color w:val="auto"/>
        </w:rPr>
      </w:pPr>
      <w:r>
        <w:rPr>
          <w:rFonts w:ascii="Arial" w:cs="Arial" w:eastAsia="Arial" w:hAnsi="Arial"/>
          <w:sz w:val="18"/>
          <w:szCs w:val="18"/>
          <w:color w:val="auto"/>
        </w:rPr>
        <w:t>On December 9, 2021, the Company completed its acquisition of Thomas Publishing, Inc. (“Thomas”). The additional workload on our resources to integrate Thomas contributed to the Company’s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spacing w:after="0" w:line="158"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Our management has concluded that, notwithstanding the identified material weakness in our internal control over financial reporting, the financial statements in this filing fairly present, in all material respects, our financial condition, results of operations and cash flows for the periods presented in conformity with U.S. GAAP.</w:t>
      </w:r>
    </w:p>
    <w:p>
      <w:pPr>
        <w:spacing w:after="0" w:line="142"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Management has implemented remediation steps to address the material weakness and to improve our internal control over financial reporting. Specifically, now that Thomas has been fully integrated, we have improved our review processes over risk assessment, which also includes the documentation to support the operating effectiveness of our controls. While the Company has implemented remediation steps, the material weakness cannot be considered fully remediated until the improved controls have been in place and operate for a sufficient period of time. If we are unable to remediate this material weakness, or if other control deficiencies are identified, we may not be able to accurately or timely report our financial condition or results of operations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firstLine="644"/>
        <w:spacing w:after="0" w:line="273" w:lineRule="auto"/>
        <w:rPr>
          <w:sz w:val="20"/>
          <w:szCs w:val="20"/>
          <w:color w:val="auto"/>
        </w:rPr>
      </w:pPr>
      <w:r>
        <w:rPr>
          <w:rFonts w:ascii="Arial" w:cs="Arial" w:eastAsia="Arial" w:hAnsi="Arial"/>
          <w:sz w:val="17"/>
          <w:szCs w:val="17"/>
          <w:color w:val="auto"/>
        </w:rPr>
        <w:t>We believe that our facilities are well maintained and are generally suitable to meet our needs. All of our offices are leased and we do not own any real property. Our operating leases range in expiration from 2023 to 2029. We have leased offices and/or facilities in the following locations: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U.S. Operating Leases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bottom w:val="single" w:sz="8" w:color="auto"/>
            </w:tcBorders>
          </w:tcPr>
          <w:p>
            <w:pPr>
              <w:ind w:left="3200"/>
              <w:spacing w:after="0"/>
              <w:rPr>
                <w:sz w:val="20"/>
                <w:szCs w:val="20"/>
                <w:color w:val="auto"/>
              </w:rPr>
            </w:pPr>
            <w:r>
              <w:rPr>
                <w:rFonts w:ascii="Arial" w:cs="Arial" w:eastAsia="Arial" w:hAnsi="Arial"/>
                <w:sz w:val="18"/>
                <w:szCs w:val="18"/>
                <w:color w:val="auto"/>
              </w:rPr>
              <w:t>City, State</w:t>
            </w:r>
          </w:p>
        </w:tc>
        <w:tc>
          <w:tcPr>
            <w:tcW w:w="688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rPr>
              <w:t>Square Footage</w:t>
            </w:r>
          </w:p>
        </w:tc>
        <w:tc>
          <w:tcPr>
            <w:tcW w:w="100" w:type="dxa"/>
            <w:vAlign w:val="bottom"/>
          </w:tcPr>
          <w:p>
            <w:pPr>
              <w:spacing w:after="0"/>
              <w:rPr>
                <w:sz w:val="21"/>
                <w:szCs w:val="21"/>
                <w:color w:val="auto"/>
              </w:rPr>
            </w:pPr>
          </w:p>
        </w:tc>
      </w:tr>
      <w:tr>
        <w:trPr>
          <w:trHeight w:val="242"/>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Bethesda, MD</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28,068</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New York, NY</w:t>
            </w:r>
          </w:p>
        </w:tc>
        <w:tc>
          <w:tcPr>
            <w:tcW w:w="6880" w:type="dxa"/>
            <w:vAlign w:val="bottom"/>
          </w:tcPr>
          <w:p>
            <w:pPr>
              <w:jc w:val="right"/>
              <w:spacing w:after="0"/>
              <w:rPr>
                <w:sz w:val="20"/>
                <w:szCs w:val="20"/>
                <w:color w:val="auto"/>
              </w:rPr>
            </w:pPr>
            <w:r>
              <w:rPr>
                <w:rFonts w:ascii="Arial" w:cs="Arial" w:eastAsia="Arial" w:hAnsi="Arial"/>
                <w:sz w:val="18"/>
                <w:szCs w:val="18"/>
                <w:color w:val="auto"/>
              </w:rPr>
              <w:t>35,554</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Horsham, PA</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24,377</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Gaithersburg, MD</w:t>
            </w:r>
          </w:p>
        </w:tc>
        <w:tc>
          <w:tcPr>
            <w:tcW w:w="6880" w:type="dxa"/>
            <w:vAlign w:val="bottom"/>
          </w:tcPr>
          <w:p>
            <w:pPr>
              <w:jc w:val="right"/>
              <w:spacing w:after="0"/>
              <w:rPr>
                <w:sz w:val="20"/>
                <w:szCs w:val="20"/>
                <w:color w:val="auto"/>
              </w:rPr>
            </w:pPr>
            <w:r>
              <w:rPr>
                <w:rFonts w:ascii="Arial" w:cs="Arial" w:eastAsia="Arial" w:hAnsi="Arial"/>
                <w:sz w:val="18"/>
                <w:szCs w:val="18"/>
                <w:color w:val="auto"/>
              </w:rPr>
              <w:t>21,529</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Lexington, KY</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Jackson, TN</w:t>
            </w:r>
          </w:p>
        </w:tc>
        <w:tc>
          <w:tcPr>
            <w:tcW w:w="688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Bethesda, MD</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6,781</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Doraville, GA</w:t>
            </w:r>
          </w:p>
        </w:tc>
        <w:tc>
          <w:tcPr>
            <w:tcW w:w="6880" w:type="dxa"/>
            <w:vAlign w:val="bottom"/>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Culver City, CA</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FF0FC"/>
          </w:tcPr>
          <w:p>
            <w:pPr>
              <w:spacing w:after="0"/>
              <w:rPr>
                <w:sz w:val="21"/>
                <w:szCs w:val="21"/>
                <w:color w:val="auto"/>
              </w:rPr>
            </w:pPr>
          </w:p>
        </w:tc>
      </w:tr>
      <w:tr>
        <w:trPr>
          <w:trHeight w:val="479"/>
        </w:trPr>
        <w:tc>
          <w:tcPr>
            <w:tcW w:w="42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right"/>
              <w:ind w:right="4370"/>
              <w:spacing w:after="0"/>
              <w:rPr>
                <w:sz w:val="20"/>
                <w:szCs w:val="20"/>
                <w:color w:val="auto"/>
              </w:rPr>
            </w:pPr>
            <w:r>
              <w:rPr>
                <w:rFonts w:ascii="Arial" w:cs="Arial" w:eastAsia="Arial" w:hAnsi="Arial"/>
                <w:sz w:val="18"/>
                <w:szCs w:val="18"/>
                <w:color w:val="auto"/>
                <w:w w:val="97"/>
              </w:rPr>
              <w:t>International Operating Leases</w:t>
            </w:r>
          </w:p>
        </w:tc>
        <w:tc>
          <w:tcPr>
            <w:tcW w:w="100" w:type="dxa"/>
            <w:vAlign w:val="bottom"/>
          </w:tcPr>
          <w:p>
            <w:pPr>
              <w:spacing w:after="0"/>
              <w:rPr>
                <w:sz w:val="24"/>
                <w:szCs w:val="24"/>
                <w:color w:val="auto"/>
              </w:rPr>
            </w:pPr>
          </w:p>
        </w:tc>
      </w:tr>
      <w:tr>
        <w:trPr>
          <w:trHeight w:val="236"/>
        </w:trPr>
        <w:tc>
          <w:tcPr>
            <w:tcW w:w="426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City, Country</w:t>
            </w:r>
          </w:p>
        </w:tc>
        <w:tc>
          <w:tcPr>
            <w:tcW w:w="68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Square Footage</w:t>
            </w:r>
          </w:p>
        </w:tc>
        <w:tc>
          <w:tcPr>
            <w:tcW w:w="100" w:type="dxa"/>
            <w:vAlign w:val="bottom"/>
          </w:tcPr>
          <w:p>
            <w:pPr>
              <w:spacing w:after="0"/>
              <w:rPr>
                <w:sz w:val="20"/>
                <w:szCs w:val="20"/>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Ottobrunn, Germany</w:t>
            </w:r>
          </w:p>
        </w:tc>
        <w:tc>
          <w:tcPr>
            <w:tcW w:w="6880" w:type="dxa"/>
            <w:vAlign w:val="bottom"/>
          </w:tcPr>
          <w:p>
            <w:pPr>
              <w:jc w:val="right"/>
              <w:spacing w:after="0"/>
              <w:rPr>
                <w:sz w:val="20"/>
                <w:szCs w:val="20"/>
                <w:color w:val="auto"/>
              </w:rPr>
            </w:pPr>
            <w:r>
              <w:rPr>
                <w:rFonts w:ascii="Arial" w:cs="Arial" w:eastAsia="Arial" w:hAnsi="Arial"/>
                <w:sz w:val="18"/>
                <w:szCs w:val="18"/>
                <w:color w:val="auto"/>
              </w:rPr>
              <w:t>21,129</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Chelmsford, England</w:t>
            </w:r>
          </w:p>
        </w:tc>
        <w:tc>
          <w:tcPr>
            <w:tcW w:w="6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FF0FC"/>
          </w:tcPr>
          <w:p>
            <w:pPr>
              <w:spacing w:after="0"/>
              <w:rPr>
                <w:sz w:val="21"/>
                <w:szCs w:val="2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Shanghai, China</w:t>
            </w:r>
          </w:p>
        </w:tc>
        <w:tc>
          <w:tcPr>
            <w:tcW w:w="68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r>
      <w:tr>
        <w:trPr>
          <w:trHeight w:val="444"/>
        </w:trPr>
        <w:tc>
          <w:tcPr>
            <w:tcW w:w="4260" w:type="dxa"/>
            <w:vAlign w:val="bottom"/>
          </w:tcPr>
          <w:p>
            <w:pPr>
              <w:spacing w:after="0"/>
              <w:rPr>
                <w:sz w:val="24"/>
                <w:szCs w:val="24"/>
                <w:color w:val="auto"/>
              </w:rPr>
            </w:pPr>
          </w:p>
        </w:tc>
        <w:tc>
          <w:tcPr>
            <w:tcW w:w="6880" w:type="dxa"/>
            <w:vAlign w:val="bottom"/>
          </w:tcPr>
          <w:p>
            <w:pPr>
              <w:jc w:val="right"/>
              <w:ind w:right="53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644"/>
        <w:spacing w:after="0" w:line="279" w:lineRule="auto"/>
        <w:rPr>
          <w:sz w:val="20"/>
          <w:szCs w:val="20"/>
          <w:color w:val="auto"/>
        </w:rPr>
      </w:pPr>
      <w:r>
        <w:rPr>
          <w:rFonts w:ascii="Arial" w:cs="Arial" w:eastAsia="Arial" w:hAnsi="Arial"/>
          <w:sz w:val="17"/>
          <w:szCs w:val="17"/>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9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right="180" w:firstLine="644"/>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“XMTR” since June 30, 2021. Prior to that date, there was no public trading market for our Class A common stock.</w:t>
      </w:r>
    </w:p>
    <w:p>
      <w:pPr>
        <w:spacing w:after="0" w:line="169" w:lineRule="exact"/>
        <w:rPr>
          <w:sz w:val="20"/>
          <w:szCs w:val="20"/>
          <w:color w:val="auto"/>
        </w:rPr>
      </w:pPr>
    </w:p>
    <w:p>
      <w:pPr>
        <w:ind w:right="400" w:firstLine="644"/>
        <w:spacing w:after="0" w:line="341" w:lineRule="auto"/>
        <w:rPr>
          <w:sz w:val="20"/>
          <w:szCs w:val="20"/>
          <w:color w:val="auto"/>
        </w:rPr>
      </w:pPr>
      <w:r>
        <w:rPr>
          <w:rFonts w:ascii="Arial" w:cs="Arial" w:eastAsia="Arial" w:hAnsi="Arial"/>
          <w:sz w:val="16"/>
          <w:szCs w:val="16"/>
          <w:color w:val="auto"/>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4" w:lineRule="exact"/>
        <w:rPr>
          <w:sz w:val="20"/>
          <w:szCs w:val="20"/>
          <w:color w:val="auto"/>
        </w:rPr>
      </w:pPr>
    </w:p>
    <w:p>
      <w:pPr>
        <w:jc w:val="both"/>
        <w:ind w:right="240" w:firstLine="644"/>
        <w:spacing w:after="0" w:line="341" w:lineRule="auto"/>
        <w:rPr>
          <w:sz w:val="20"/>
          <w:szCs w:val="20"/>
          <w:color w:val="auto"/>
        </w:rPr>
      </w:pPr>
      <w:r>
        <w:rPr>
          <w:rFonts w:ascii="Arial" w:cs="Arial" w:eastAsia="Arial" w:hAnsi="Arial"/>
          <w:sz w:val="16"/>
          <w:szCs w:val="16"/>
          <w:color w:val="auto"/>
        </w:rPr>
        <w:t>As of February 22, 2023, there were 116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22, 2023, there were 2 holders of record of our Class B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4" w:lineRule="exact"/>
        <w:rPr>
          <w:sz w:val="20"/>
          <w:szCs w:val="20"/>
          <w:color w:val="auto"/>
        </w:rPr>
      </w:pPr>
    </w:p>
    <w:p>
      <w:pPr>
        <w:ind w:firstLine="644"/>
        <w:spacing w:after="0" w:line="25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The following performance graph shows a comparison from June 30, 2021 (the date our Class A common stock commenced trading on the Nasdaq Global Market) through December 31, 2022, of the cumulative total return for our Class A common stock, the Nasdaq Composite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-11430</wp:posOffset>
            </wp:positionV>
            <wp:extent cx="5342890" cy="393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2890" cy="393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4"/>
        <w:spacing w:after="0" w:line="311" w:lineRule="auto"/>
        <w:rPr>
          <w:sz w:val="20"/>
          <w:szCs w:val="20"/>
          <w:color w:val="auto"/>
        </w:rPr>
      </w:pPr>
      <w:r>
        <w:rPr>
          <w:rFonts w:ascii="Arial" w:cs="Arial" w:eastAsia="Arial" w:hAnsi="Arial"/>
          <w:sz w:val="16"/>
          <w:szCs w:val="16"/>
          <w:color w:val="auto"/>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the IPO</w:t>
      </w:r>
    </w:p>
    <w:p>
      <w:pPr>
        <w:spacing w:after="0" w:line="225" w:lineRule="exact"/>
        <w:rPr>
          <w:sz w:val="20"/>
          <w:szCs w:val="20"/>
          <w:color w:val="auto"/>
        </w:rPr>
      </w:pPr>
    </w:p>
    <w:p>
      <w:pPr>
        <w:jc w:val="both"/>
        <w:ind w:firstLine="644"/>
        <w:spacing w:after="0" w:line="279" w:lineRule="auto"/>
        <w:rPr>
          <w:sz w:val="20"/>
          <w:szCs w:val="20"/>
          <w:color w:val="auto"/>
        </w:rPr>
      </w:pPr>
      <w:r>
        <w:rPr>
          <w:rFonts w:ascii="Arial" w:cs="Arial" w:eastAsia="Arial" w:hAnsi="Arial"/>
          <w:sz w:val="17"/>
          <w:szCs w:val="17"/>
          <w:color w:val="auto"/>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 There has been no material change in the planned use of proceeds from our IPO as described in the Form S-1.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644"/>
        <w:spacing w:after="0" w:line="256"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644"/>
        <w:spacing w:after="0" w:line="279" w:lineRule="auto"/>
        <w:rPr>
          <w:sz w:val="20"/>
          <w:szCs w:val="20"/>
          <w:color w:val="auto"/>
        </w:rPr>
      </w:pPr>
      <w:r>
        <w:rPr>
          <w:rFonts w:ascii="Arial" w:cs="Arial" w:eastAsia="Arial" w:hAnsi="Arial"/>
          <w:sz w:val="17"/>
          <w:szCs w:val="17"/>
          <w:color w:val="auto"/>
        </w:rPr>
        <w:t>Xometry Inc. (“Xometry”, “Company”, “our” or “we”)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p>
    <w:p>
      <w:pPr>
        <w:spacing w:after="0" w:line="170" w:lineRule="exact"/>
        <w:rPr>
          <w:sz w:val="20"/>
          <w:szCs w:val="20"/>
          <w:color w:val="auto"/>
        </w:rPr>
      </w:pPr>
    </w:p>
    <w:p>
      <w:pPr>
        <w:ind w:right="120" w:firstLine="644"/>
        <w:spacing w:after="0" w:line="259" w:lineRule="auto"/>
        <w:rPr>
          <w:sz w:val="20"/>
          <w:szCs w:val="20"/>
          <w:color w:val="auto"/>
        </w:rPr>
      </w:pPr>
      <w:r>
        <w:rPr>
          <w:rFonts w:ascii="Arial" w:cs="Arial" w:eastAsia="Arial" w:hAnsi="Arial"/>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158" w:lineRule="exact"/>
        <w:rPr>
          <w:sz w:val="20"/>
          <w:szCs w:val="20"/>
          <w:color w:val="auto"/>
        </w:rPr>
      </w:pPr>
    </w:p>
    <w:p>
      <w:pPr>
        <w:ind w:right="320" w:firstLine="644"/>
        <w:spacing w:after="0" w:line="341"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84"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50" w:lineRule="exact"/>
        <w:rPr>
          <w:sz w:val="20"/>
          <w:szCs w:val="20"/>
          <w:color w:val="auto"/>
        </w:rPr>
      </w:pPr>
    </w:p>
    <w:p>
      <w:pPr>
        <w:ind w:right="200" w:firstLine="644"/>
        <w:spacing w:after="0" w:line="25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91" w:lineRule="exact"/>
        <w:rPr>
          <w:sz w:val="20"/>
          <w:szCs w:val="20"/>
          <w:color w:val="auto"/>
        </w:rPr>
      </w:pPr>
    </w:p>
    <w:p>
      <w:pPr>
        <w:ind w:right="80" w:firstLine="644"/>
        <w:spacing w:after="0" w:line="271" w:lineRule="auto"/>
        <w:rPr>
          <w:sz w:val="20"/>
          <w:szCs w:val="20"/>
          <w:color w:val="auto"/>
        </w:rPr>
      </w:pPr>
      <w:r>
        <w:rPr>
          <w:rFonts w:ascii="Arial" w:cs="Arial" w:eastAsia="Arial" w:hAnsi="Arial"/>
          <w:sz w:val="17"/>
          <w:szCs w:val="17"/>
          <w:color w:val="auto"/>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 We enable buyers to source these processes to meet complex and specific design and order needs across several industries, including Defense, Aerospace, Healthcare, Consumer Goods, Robotics, Government and Education, Automotive, Consumer Goods, and Industrial.</w:t>
      </w:r>
    </w:p>
    <w:p>
      <w:pPr>
        <w:spacing w:after="0" w:line="154"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w:t>
      </w:r>
    </w:p>
    <w:p>
      <w:pPr>
        <w:spacing w:after="0" w:line="150" w:lineRule="exact"/>
        <w:rPr>
          <w:sz w:val="20"/>
          <w:szCs w:val="20"/>
          <w:color w:val="auto"/>
        </w:rPr>
      </w:pPr>
    </w:p>
    <w:p>
      <w:pPr>
        <w:ind w:right="40" w:firstLine="644"/>
        <w:spacing w:after="0" w:line="273" w:lineRule="auto"/>
        <w:rPr>
          <w:sz w:val="20"/>
          <w:szCs w:val="20"/>
          <w:color w:val="auto"/>
        </w:rPr>
      </w:pPr>
      <w:r>
        <w:rPr>
          <w:rFonts w:ascii="Arial" w:cs="Arial" w:eastAsia="Arial" w:hAnsi="Arial"/>
          <w:sz w:val="17"/>
          <w:szCs w:val="17"/>
          <w:color w:val="auto"/>
        </w:rPr>
        <w:t>Our supplier services revenue primarily includes the sale of advertising and marketing services and to a lesser extent, supplies and financial service products that help our customers better manage cash flow at all stages of job production. Our financial services products, such as Xometry Pay, enable suppliers to stabilize and enhance their cash flows, supply discounts that allow suppliers to lower their operating costs, and resource management tools to optimize their businesses. In 2021, we acquired Thomas Publishing Company (“Thomas”) and Fusiform, Inc. (d/b/a FactoryFour) (“FactoryFour”), expanding our basket of supplier services to include advertising and marketing services and to a lesser extent SaaS based solutions to help suppliers optimize their productivity. Our revenue from Thomas is primarily advertising revenue.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6" w:name="page47"/>
    <w:bookmarkEnd w:id="46"/>
    <w:p>
      <w:pPr>
        <w:ind w:right="280" w:firstLine="644"/>
        <w:spacing w:after="0" w:line="273" w:lineRule="auto"/>
        <w:rPr>
          <w:sz w:val="20"/>
          <w:szCs w:val="20"/>
          <w:color w:val="auto"/>
        </w:rPr>
      </w:pPr>
      <w:r>
        <w:rPr>
          <w:rFonts w:ascii="Arial" w:cs="Arial" w:eastAsia="Arial" w:hAnsi="Arial"/>
          <w:sz w:val="17"/>
          <w:szCs w:val="17"/>
          <w:color w:val="auto"/>
        </w:rPr>
        <w:t>During 2022, we launched the Industrial Buying Engine™ (“IBE”), which helps customers source and purchase from the more than 500,000 suppliers on Thomasnet.com. The IBE digitizes the old and time-consuming request-for-quote process and allows buyer and suppliers to transact on Thomasnet. In addition, through IBE buyers can receive instant quotes from Xometry. We also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Affecting Our Performance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Growth in Active Buyers</w:t>
      </w:r>
    </w:p>
    <w:p>
      <w:pPr>
        <w:spacing w:after="0" w:line="121" w:lineRule="exact"/>
        <w:rPr>
          <w:sz w:val="20"/>
          <w:szCs w:val="20"/>
          <w:color w:val="auto"/>
        </w:rPr>
      </w:pPr>
    </w:p>
    <w:p>
      <w:pPr>
        <w:ind w:right="40" w:firstLine="644"/>
        <w:spacing w:after="0" w:line="270" w:lineRule="auto"/>
        <w:rPr>
          <w:sz w:val="20"/>
          <w:szCs w:val="20"/>
          <w:color w:val="auto"/>
        </w:rPr>
      </w:pPr>
      <w:r>
        <w:rPr>
          <w:rFonts w:ascii="Arial" w:cs="Arial" w:eastAsia="Arial" w:hAnsi="Arial"/>
          <w:sz w:val="17"/>
          <w:szCs w:val="17"/>
          <w:color w:val="auto"/>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40,664 as of December 31, 2022, up 45% from 28,130 as of December 31, 2021.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Growth in Our Broad Base of Suppliers</w:t>
      </w:r>
    </w:p>
    <w:p>
      <w:pPr>
        <w:spacing w:after="0" w:line="121" w:lineRule="exact"/>
        <w:rPr>
          <w:sz w:val="20"/>
          <w:szCs w:val="20"/>
          <w:color w:val="auto"/>
        </w:rPr>
      </w:pPr>
    </w:p>
    <w:p>
      <w:pPr>
        <w:ind w:firstLine="644"/>
        <w:spacing w:after="0" w:line="288" w:lineRule="auto"/>
        <w:rPr>
          <w:sz w:val="20"/>
          <w:szCs w:val="20"/>
          <w:color w:val="auto"/>
        </w:rPr>
      </w:pPr>
      <w:r>
        <w:rPr>
          <w:rFonts w:ascii="Arial" w:cs="Arial" w:eastAsia="Arial" w:hAnsi="Arial"/>
          <w:sz w:val="16"/>
          <w:szCs w:val="16"/>
          <w:color w:val="auto"/>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or buy tools or supplies, has grown 22% from 2,010 for the year ended December 31, 2021 to 2,447 for the year ended December 31, 2022. As we add to our supplier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Technology and Expansion of Our Platform</w:t>
      </w:r>
    </w:p>
    <w:p>
      <w:pPr>
        <w:spacing w:after="0" w:line="121" w:lineRule="exact"/>
        <w:rPr>
          <w:sz w:val="20"/>
          <w:szCs w:val="20"/>
          <w:color w:val="auto"/>
        </w:rPr>
      </w:pPr>
    </w:p>
    <w:p>
      <w:pPr>
        <w:ind w:right="40" w:firstLine="644"/>
        <w:spacing w:after="0" w:line="255"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suppliers.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Our Financial Products and Services</w:t>
      </w:r>
    </w:p>
    <w:p>
      <w:pPr>
        <w:spacing w:after="0" w:line="121" w:lineRule="exact"/>
        <w:rPr>
          <w:sz w:val="20"/>
          <w:szCs w:val="20"/>
          <w:color w:val="auto"/>
        </w:rPr>
      </w:pPr>
    </w:p>
    <w:p>
      <w:pPr>
        <w:ind w:firstLine="644"/>
        <w:spacing w:after="0" w:line="266" w:lineRule="auto"/>
        <w:rPr>
          <w:sz w:val="20"/>
          <w:szCs w:val="20"/>
          <w:color w:val="auto"/>
        </w:rPr>
      </w:pPr>
      <w:r>
        <w:rPr>
          <w:rFonts w:ascii="Arial" w:cs="Arial" w:eastAsia="Arial" w:hAnsi="Arial"/>
          <w:sz w:val="17"/>
          <w:szCs w:val="17"/>
          <w:color w:val="auto"/>
        </w:rPr>
        <w:t>In 2019, we launched supplier services, beginning with Xometry Supplies in the U.S., which enables our suppliers to access experienced suppliers who sell competitively priced goods from leading brands. In mid-2020, we launched a suite of financial products and services to help our suppliers manage cash flow at all stages of job production. These services help suppliers manage their business more efficiently, even on jobs that they source outside of our platform. In December 2021, we acquired Thomas which significantly expanded our supplier services to including marketing and data services for our suppliers. Our suite of marketing and data services provided by Thomas help suppliers grow and more efficiently run their business. We offer suppliers a full slate of marketing services, including website building, search-engine optimization ("SEO") and targeted advertising to buyers, which are resources that will help them further grow their business. In November 2021, we acquired FactoryFour a cloud-based manufacturing execution system. We plan on providing this order management system to our supplier community which allows shops and shop owners to digitize and automate their operations so they can focus on growing their business. In addition to being able to manage existing orders, the software is designed to integrate seamlessly with the AI-driven Xometry marketplace and with the Thomasnet platform, giving suppliers a one-stop view into all of their orders. We expect revenue from supplier services to grow over time and have a favorable impact on our gross margin.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Expansion of Our International Operations</w:t>
      </w:r>
    </w:p>
    <w:p>
      <w:pPr>
        <w:spacing w:after="0" w:line="121" w:lineRule="exact"/>
        <w:rPr>
          <w:sz w:val="20"/>
          <w:szCs w:val="20"/>
          <w:color w:val="auto"/>
        </w:rPr>
      </w:pPr>
    </w:p>
    <w:p>
      <w:pPr>
        <w:ind w:firstLine="644"/>
        <w:spacing w:after="0" w:line="291" w:lineRule="auto"/>
        <w:rPr>
          <w:sz w:val="20"/>
          <w:szCs w:val="20"/>
          <w:color w:val="auto"/>
        </w:rPr>
      </w:pPr>
      <w:r>
        <w:rPr>
          <w:rFonts w:ascii="Arial" w:cs="Arial" w:eastAsia="Arial" w:hAnsi="Arial"/>
          <w:sz w:val="16"/>
          <w:szCs w:val="16"/>
          <w:color w:val="auto"/>
        </w:rPr>
        <w:t>In 2019, we launched Xometry in Europe, followed by Xometry Asia in 2022 and Xometry United Kingdom in 2023. We believe there is significant opportunity in the global manufacturing ecosystem for our marketplace. With operations throughout the majority of the contiguous United States and customers in Europe and Asia, we have established footholds in major markets around the world. As we have expanded our physical presence, we have also added new language functionality to our platform to reach a wider customer base. These new languages include the following: German, French, Italian, Mandarin, Spanish, Polish, Dutch, Norwegian, Swedish and Finnish.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21" w:lineRule="exact"/>
        <w:rPr>
          <w:sz w:val="20"/>
          <w:szCs w:val="20"/>
          <w:color w:val="auto"/>
        </w:rPr>
      </w:pPr>
    </w:p>
    <w:p>
      <w:pPr>
        <w:ind w:right="20" w:firstLine="644"/>
        <w:spacing w:after="0" w:line="301" w:lineRule="auto"/>
        <w:rPr>
          <w:sz w:val="20"/>
          <w:szCs w:val="20"/>
          <w:color w:val="auto"/>
        </w:rPr>
      </w:pPr>
      <w:r>
        <w:rPr>
          <w:rFonts w:ascii="Arial" w:cs="Arial" w:eastAsia="Arial" w:hAnsi="Arial"/>
          <w:sz w:val="16"/>
          <w:szCs w:val="16"/>
          <w:color w:val="auto"/>
        </w:rPr>
        <w:t>Unfavorable conditions in the economy both in the United States and abroad may negatively affect the growth of our business and our results of operations. For example, macroeconomic events, including the COVID-19 pandemic, rising inflation, the U.S. Federal Reserve raising interest rates and the Russia-Ukraine war, have led to economic uncertainty globally. Historically, during periods of economic uncertainty and downturns, businesses may slow spending on information technology and manufacturing, which may impact our business and our customers’ businesses.</w:t>
      </w:r>
    </w:p>
    <w:p>
      <w:pPr>
        <w:spacing w:after="0" w:line="48" w:lineRule="exact"/>
        <w:rPr>
          <w:sz w:val="20"/>
          <w:szCs w:val="20"/>
          <w:color w:val="auto"/>
        </w:rPr>
      </w:pPr>
    </w:p>
    <w:p>
      <w:pPr>
        <w:ind w:right="180" w:firstLine="644"/>
        <w:spacing w:after="0" w:line="311" w:lineRule="auto"/>
        <w:rPr>
          <w:sz w:val="20"/>
          <w:szCs w:val="20"/>
          <w:color w:val="auto"/>
        </w:rPr>
      </w:pPr>
      <w:r>
        <w:rPr>
          <w:rFonts w:ascii="Arial" w:cs="Arial" w:eastAsia="Arial" w:hAnsi="Arial"/>
          <w:sz w:val="16"/>
          <w:szCs w:val="16"/>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2022 Restructuring</w:t>
      </w:r>
    </w:p>
    <w:p>
      <w:pPr>
        <w:spacing w:after="0" w:line="121" w:lineRule="exact"/>
        <w:rPr>
          <w:sz w:val="20"/>
          <w:szCs w:val="20"/>
          <w:color w:val="auto"/>
        </w:rPr>
      </w:pPr>
    </w:p>
    <w:p>
      <w:pPr>
        <w:ind w:right="280" w:firstLine="644"/>
        <w:spacing w:after="0" w:line="252" w:lineRule="auto"/>
        <w:rPr>
          <w:sz w:val="20"/>
          <w:szCs w:val="20"/>
          <w:color w:val="auto"/>
        </w:rPr>
      </w:pPr>
      <w:r>
        <w:rPr>
          <w:rFonts w:ascii="Arial" w:cs="Arial" w:eastAsia="Arial" w:hAnsi="Arial"/>
          <w:sz w:val="18"/>
          <w:szCs w:val="18"/>
          <w:color w:val="auto"/>
        </w:rPr>
        <w:t>In December 2022</w:t>
      </w:r>
      <w:r>
        <w:rPr>
          <w:rFonts w:ascii="Arial" w:cs="Arial" w:eastAsia="Arial" w:hAnsi="Arial"/>
          <w:sz w:val="18"/>
          <w:szCs w:val="18"/>
          <w:i w:val="1"/>
          <w:iCs w:val="1"/>
          <w:color w:val="auto"/>
        </w:rPr>
        <w:t>,</w:t>
      </w:r>
      <w:r>
        <w:rPr>
          <w:rFonts w:ascii="Arial" w:cs="Arial" w:eastAsia="Arial" w:hAnsi="Arial"/>
          <w:sz w:val="18"/>
          <w:szCs w:val="18"/>
          <w:color w:val="auto"/>
        </w:rPr>
        <w:t xml:space="preserve"> we initiated a restructuring action to help manage our operating expenses by reducing our workforce by approximately 6%. The workforce reduction focused on realigning our staffing levels to help us meet the current and future objectives of our business. For the year ended December 31, 2022, we incurred $1.5 million for employee termination costs related to this restructuring. The majority of these costs will be paid by the Company in the first quarter of 2023. We expect the reduction in workforce will reduce operating expenses by approximately $8.0 million on a full year basis. Refer to Note 12, </w:t>
      </w:r>
      <w:r>
        <w:rPr>
          <w:rFonts w:ascii="Arial" w:cs="Arial" w:eastAsia="Arial" w:hAnsi="Arial"/>
          <w:sz w:val="18"/>
          <w:szCs w:val="18"/>
          <w:i w:val="1"/>
          <w:iCs w:val="1"/>
          <w:color w:val="auto"/>
        </w:rPr>
        <w:t>Debt Commitments and Contingencies—Restructuring</w:t>
      </w:r>
      <w:r>
        <w:rPr>
          <w:rFonts w:ascii="Arial" w:cs="Arial" w:eastAsia="Arial" w:hAnsi="Arial"/>
          <w:sz w:val="18"/>
          <w:szCs w:val="18"/>
          <w:color w:val="auto"/>
        </w:rPr>
        <w:t xml:space="preserve"> to of our consolidated financial statements included elsewhere in this Annual Report on Form 10-K.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firstLine="637"/>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17" w:lineRule="exact"/>
        <w:rPr>
          <w:sz w:val="20"/>
          <w:szCs w:val="20"/>
          <w:color w:val="auto"/>
        </w:rPr>
      </w:pPr>
    </w:p>
    <w:p>
      <w:pPr>
        <w:ind w:right="340" w:firstLine="637"/>
        <w:spacing w:after="0" w:line="341"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97" w:lineRule="exact"/>
        <w:rPr>
          <w:sz w:val="20"/>
          <w:szCs w:val="20"/>
          <w:color w:val="auto"/>
        </w:rPr>
      </w:pPr>
    </w:p>
    <w:p>
      <w:pPr>
        <w:ind w:right="40" w:firstLine="644"/>
        <w:spacing w:after="0" w:line="263"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40,664 as of December 31, 2022, up 45% from 28,130 as of December 31, 2021.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236220</wp:posOffset>
            </wp:positionV>
            <wp:extent cx="4794885" cy="326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94885" cy="326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17" w:lineRule="exact"/>
        <w:rPr>
          <w:sz w:val="20"/>
          <w:szCs w:val="20"/>
          <w:color w:val="auto"/>
        </w:rPr>
      </w:pPr>
    </w:p>
    <w:p>
      <w:pPr>
        <w:ind w:right="20" w:firstLine="637"/>
        <w:spacing w:after="0" w:line="273"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36" w:lineRule="exact"/>
        <w:rPr>
          <w:sz w:val="20"/>
          <w:szCs w:val="20"/>
          <w:color w:val="auto"/>
        </w:rPr>
      </w:pPr>
    </w:p>
    <w:p>
      <w:pPr>
        <w:ind w:firstLine="644"/>
        <w:spacing w:after="0" w:line="307" w:lineRule="auto"/>
        <w:rPr>
          <w:sz w:val="20"/>
          <w:szCs w:val="20"/>
          <w:color w:val="auto"/>
        </w:rPr>
      </w:pPr>
      <w:r>
        <w:rPr>
          <w:rFonts w:ascii="Arial" w:cs="Arial" w:eastAsia="Arial" w:hAnsi="Arial"/>
          <w:sz w:val="17"/>
          <w:szCs w:val="17"/>
          <w:color w:val="auto"/>
        </w:rPr>
        <w:t>For the quarter ended December 31, 2022, 96%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128270</wp:posOffset>
            </wp:positionV>
            <wp:extent cx="4743450" cy="3219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3450" cy="321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17" w:lineRule="exact"/>
        <w:rPr>
          <w:sz w:val="20"/>
          <w:szCs w:val="20"/>
          <w:color w:val="auto"/>
        </w:rPr>
      </w:pPr>
    </w:p>
    <w:p>
      <w:pPr>
        <w:ind w:firstLine="644"/>
        <w:spacing w:after="0" w:line="301" w:lineRule="auto"/>
        <w:rPr>
          <w:sz w:val="20"/>
          <w:szCs w:val="20"/>
          <w:color w:val="auto"/>
        </w:rPr>
      </w:pPr>
      <w:r>
        <w:rPr>
          <w:rFonts w:ascii="Arial" w:cs="Arial" w:eastAsia="Arial" w:hAnsi="Arial"/>
          <w:sz w:val="16"/>
          <w:szCs w:val="16"/>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1,027 as of December 31, 2022, up 47% from 701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1212215</wp:posOffset>
            </wp:positionH>
            <wp:positionV relativeFrom="paragraph">
              <wp:posOffset>133985</wp:posOffset>
            </wp:positionV>
            <wp:extent cx="4692015" cy="3236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92015" cy="323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4" w:lineRule="exact"/>
        <w:rPr>
          <w:sz w:val="20"/>
          <w:szCs w:val="20"/>
          <w:color w:val="auto"/>
        </w:rPr>
      </w:pPr>
    </w:p>
    <w:p>
      <w:pPr>
        <w:ind w:right="120" w:firstLine="637"/>
        <w:spacing w:after="0" w:line="284" w:lineRule="auto"/>
        <w:rPr>
          <w:sz w:val="20"/>
          <w:szCs w:val="20"/>
          <w:color w:val="auto"/>
        </w:rPr>
      </w:pPr>
      <w:r>
        <w:rPr>
          <w:rFonts w:ascii="Arial" w:cs="Arial" w:eastAsia="Arial" w:hAnsi="Arial"/>
          <w:sz w:val="16"/>
          <w:szCs w:val="16"/>
          <w:color w:val="auto"/>
        </w:rPr>
        <w:t>We define Adjusted EBITDA as net loss, adjusted for interest expense, interest and dividend income and other expenses, income tax benefit, and certain other non-cash or non-recurring items impacting net loss from time to time, principally comprised of depreciation and amortization, stock-based compensation, charitable contributions of common stock, income from an unconsolidated joint venture, impairment charges, restructuring charges and acquisition and other adjustments not reflective of the Company's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ind w:right="420" w:firstLine="637"/>
        <w:spacing w:after="0" w:line="263" w:lineRule="auto"/>
        <w:rPr>
          <w:sz w:val="20"/>
          <w:szCs w:val="20"/>
          <w:color w:val="auto"/>
        </w:rPr>
      </w:pPr>
      <w:r>
        <w:rPr>
          <w:rFonts w:ascii="Arial" w:cs="Arial" w:eastAsia="Arial" w:hAnsi="Arial"/>
          <w:sz w:val="18"/>
          <w:szCs w:val="18"/>
          <w:color w:val="auto"/>
        </w:rPr>
        <w:t>For the year ended December 31, 2022, Adjusted EBITDA increased to $(41.8) million, compared to Adjusted EBITDA of $(39.8) million in 2021. For the year ended December 31, 2022, Adjusted EBITDA decreased to (11.0)% of revenue, as compared to (18.2)% of revenue in 2021, driven primarily by increased operating efficiencies as we continue to scale our business.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Addback (deduct)</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interest and dividend income and other expenses</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FF0FC"/>
          </w:tcPr>
          <w:p>
            <w:pPr>
              <w:spacing w:after="0"/>
              <w:rPr>
                <w:sz w:val="21"/>
                <w:szCs w:val="2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7,819</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lease intangible</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based compensation expense</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19,172</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FF0FC"/>
          </w:tcPr>
          <w:p>
            <w:pPr>
              <w:spacing w:after="0"/>
              <w:rPr>
                <w:sz w:val="21"/>
                <w:szCs w:val="2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Acquisition and other</w:t>
            </w:r>
          </w:p>
        </w:tc>
        <w:tc>
          <w:tcPr>
            <w:tcW w:w="10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(676 )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Charitable contribution of common stock</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FF0FC"/>
          </w:tcPr>
          <w:p>
            <w:pPr>
              <w:spacing w:after="0"/>
              <w:rPr>
                <w:sz w:val="21"/>
                <w:szCs w:val="2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10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(570 )</w:t>
            </w:r>
          </w:p>
        </w:tc>
        <w:tc>
          <w:tcPr>
            <w:tcW w:w="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of assets</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06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w:t>
      </w:r>
    </w:p>
    <w:p>
      <w:pPr>
        <w:spacing w:after="0" w:line="332" w:lineRule="exact"/>
        <w:rPr>
          <w:sz w:val="20"/>
          <w:szCs w:val="20"/>
          <w:color w:val="auto"/>
        </w:rPr>
      </w:pPr>
    </w:p>
    <w:p>
      <w:pPr>
        <w:ind w:right="160" w:firstLine="681"/>
        <w:spacing w:after="0" w:line="286" w:lineRule="auto"/>
        <w:rPr>
          <w:sz w:val="20"/>
          <w:szCs w:val="20"/>
          <w:color w:val="auto"/>
        </w:rPr>
      </w:pPr>
      <w:r>
        <w:rPr>
          <w:rFonts w:ascii="Arial" w:cs="Arial" w:eastAsia="Arial" w:hAnsi="Arial"/>
          <w:sz w:val="16"/>
          <w:szCs w:val="16"/>
          <w:color w:val="auto"/>
        </w:rPr>
        <w:t>We define Non-GAAP net loss, as net loss adjusted for depreciation and amortization, stock-based compensation expense, amortization of lease intangible, amortization of deferred costs on convertible notes, losses on marketable securities, loss on sale of property and equipment, charitable contributions of common stock, impairment charges, restructuring charges and acquisition and other adjustments not reflective of the Company's ongoing business, such as adjustments related to purchase accounting, the revaluation of contingent consideration and transaction costs.</w:t>
      </w:r>
    </w:p>
    <w:p>
      <w:pPr>
        <w:jc w:val="center"/>
        <w:ind w:left="7360"/>
        <w:spacing w:after="0"/>
        <w:rPr>
          <w:sz w:val="20"/>
          <w:szCs w:val="20"/>
          <w:color w:val="auto"/>
        </w:rPr>
      </w:pPr>
      <w:r>
        <w:rPr>
          <w:rFonts w:ascii="Arial" w:cs="Arial" w:eastAsia="Arial" w:hAnsi="Arial"/>
          <w:sz w:val="18"/>
          <w:szCs w:val="18"/>
          <w:b w:val="1"/>
          <w:bCs w:val="1"/>
          <w:color w:val="auto"/>
        </w:rPr>
        <w:t>For the Year</w:t>
      </w:r>
    </w:p>
    <w:p>
      <w:pPr>
        <w:spacing w:after="0" w:line="22"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4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Non-GAAP Net Loss: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4"/>
              </w:rPr>
              <w:t>(76,009 )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(61,381 )</w:t>
            </w: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19,172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Amortization of deferred costs on convertible notes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Losses on marketable securities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Acquisition and other</w:t>
            </w:r>
          </w:p>
        </w:tc>
        <w:tc>
          <w:tcPr>
            <w:tcW w:w="10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(676 )</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sale of property and equipment</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Charitable contribution of common stock</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Restructuring charge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8"/>
        </w:trPr>
        <w:tc>
          <w:tcPr>
            <w:tcW w:w="20" w:type="dxa"/>
            <w:vAlign w:val="bottom"/>
            <w:tcBorders>
              <w:bottom w:val="single" w:sz="8" w:color="CFF0FC"/>
            </w:tcBorders>
            <w:shd w:val="clear" w:color="auto" w:fill="CFF0FC"/>
          </w:tcPr>
          <w:p>
            <w:pPr>
              <w:spacing w:after="0"/>
              <w:rPr>
                <w:sz w:val="24"/>
                <w:szCs w:val="24"/>
                <w:color w:val="auto"/>
              </w:rPr>
            </w:pPr>
          </w:p>
        </w:tc>
        <w:tc>
          <w:tcPr>
            <w:tcW w:w="7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Non-GAAP Net Loss</w:t>
            </w: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(40,097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637"/>
        <w:spacing w:after="0" w:line="271" w:lineRule="auto"/>
        <w:rPr>
          <w:sz w:val="20"/>
          <w:szCs w:val="20"/>
          <w:color w:val="auto"/>
        </w:rPr>
      </w:pPr>
      <w:r>
        <w:rPr>
          <w:rFonts w:ascii="Arial" w:cs="Arial" w:eastAsia="Arial" w:hAnsi="Arial"/>
          <w:sz w:val="17"/>
          <w:szCs w:val="17"/>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637"/>
        <w:spacing w:after="0" w:line="259" w:lineRule="auto"/>
        <w:rPr>
          <w:sz w:val="20"/>
          <w:szCs w:val="20"/>
          <w:color w:val="auto"/>
        </w:rPr>
      </w:pPr>
      <w:r>
        <w:rPr>
          <w:rFonts w:ascii="Arial" w:cs="Arial" w:eastAsia="Arial" w:hAnsi="Arial"/>
          <w:sz w:val="18"/>
          <w:szCs w:val="18"/>
          <w:color w:val="auto"/>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7" w:lineRule="exact"/>
        <w:rPr>
          <w:sz w:val="20"/>
          <w:szCs w:val="20"/>
          <w:color w:val="auto"/>
        </w:rPr>
      </w:pPr>
    </w:p>
    <w:p>
      <w:pPr>
        <w:ind w:right="140" w:firstLine="637"/>
        <w:spacing w:after="0" w:line="277" w:lineRule="auto"/>
        <w:rPr>
          <w:sz w:val="20"/>
          <w:szCs w:val="20"/>
          <w:color w:val="auto"/>
        </w:rPr>
      </w:pPr>
      <w:r>
        <w:rPr>
          <w:rFonts w:ascii="Arial" w:cs="Arial" w:eastAsia="Arial" w:hAnsi="Arial"/>
          <w:sz w:val="18"/>
          <w:szCs w:val="18"/>
          <w:color w:val="auto"/>
        </w:rPr>
        <w:t>Supplier services revenue includes the sale of marketing and advertising services, and to a lesser extent SaaS based solutions, the sale of supplies and financial service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637"/>
        <w:spacing w:after="0" w:line="279" w:lineRule="auto"/>
        <w:rPr>
          <w:sz w:val="20"/>
          <w:szCs w:val="20"/>
          <w:color w:val="auto"/>
        </w:rPr>
      </w:pPr>
      <w:r>
        <w:rPr>
          <w:rFonts w:ascii="Arial" w:cs="Arial" w:eastAsia="Arial" w:hAnsi="Arial"/>
          <w:sz w:val="17"/>
          <w:szCs w:val="17"/>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 of revenue for supplier services primarily consists of internal and external production costs and website hosting.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00" w:firstLine="637"/>
        <w:spacing w:after="0" w:line="263"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320" w:firstLine="637"/>
        <w:spacing w:after="0" w:line="293" w:lineRule="auto"/>
        <w:rPr>
          <w:sz w:val="20"/>
          <w:szCs w:val="20"/>
          <w:color w:val="auto"/>
        </w:rPr>
      </w:pPr>
      <w:r>
        <w:rPr>
          <w:rFonts w:ascii="Arial" w:cs="Arial" w:eastAsia="Arial" w:hAnsi="Arial"/>
          <w:sz w:val="16"/>
          <w:szCs w:val="16"/>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17" w:lineRule="exact"/>
        <w:rPr>
          <w:sz w:val="20"/>
          <w:szCs w:val="20"/>
          <w:color w:val="auto"/>
        </w:rPr>
      </w:pPr>
    </w:p>
    <w:p>
      <w:pPr>
        <w:ind w:right="40" w:firstLine="637"/>
        <w:spacing w:after="0" w:line="255" w:lineRule="auto"/>
        <w:rPr>
          <w:sz w:val="20"/>
          <w:szCs w:val="20"/>
          <w:color w:val="auto"/>
        </w:rPr>
      </w:pPr>
      <w:r>
        <w:rPr>
          <w:rFonts w:ascii="Arial" w:cs="Arial" w:eastAsia="Arial" w:hAnsi="Arial"/>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140" w:firstLine="637"/>
        <w:spacing w:after="0" w:line="256"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0" w:firstLine="637"/>
        <w:spacing w:after="0" w:line="255" w:lineRule="auto"/>
        <w:rPr>
          <w:sz w:val="20"/>
          <w:szCs w:val="20"/>
          <w:color w:val="auto"/>
        </w:rPr>
      </w:pPr>
      <w:r>
        <w:rPr>
          <w:rFonts w:ascii="Arial" w:cs="Arial" w:eastAsia="Arial" w:hAnsi="Arial"/>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 We expect our general and administrative expenses to increase. We expect to incur additional general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right="560"/>
        <w:spacing w:after="0" w:line="277" w:lineRule="auto"/>
        <w:rPr>
          <w:sz w:val="20"/>
          <w:szCs w:val="20"/>
          <w:color w:val="auto"/>
        </w:rPr>
      </w:pPr>
      <w:r>
        <w:rPr>
          <w:rFonts w:ascii="Arial" w:cs="Arial" w:eastAsia="Arial" w:hAnsi="Arial"/>
          <w:sz w:val="18"/>
          <w:szCs w:val="18"/>
          <w:color w:val="auto"/>
        </w:rPr>
        <w:t>administrative expenses as a result of operating as a public company, including as a result of increased legal, accounting, and directors’ and officers’ insurance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20" w:firstLine="637"/>
        <w:spacing w:after="0" w:line="307" w:lineRule="auto"/>
        <w:rPr>
          <w:sz w:val="20"/>
          <w:szCs w:val="20"/>
          <w:color w:val="auto"/>
        </w:rPr>
      </w:pPr>
      <w:r>
        <w:rPr>
          <w:rFonts w:ascii="Arial" w:cs="Arial" w:eastAsia="Arial" w:hAnsi="Arial"/>
          <w:sz w:val="17"/>
          <w:szCs w:val="17"/>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dividend income consists of interest on our cash and cash equivalents and dividend income from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consist primarily of realized and/or unrealized losses, losses on the extinguishment of debt and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Joint Venture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from unconsolidated joint venture consists of our share of the joint venture's income.</w:t>
      </w:r>
    </w:p>
    <w:p>
      <w:pPr>
        <w:spacing w:after="0" w:line="11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80" w:firstLine="644"/>
        <w:spacing w:after="0" w:line="277" w:lineRule="auto"/>
        <w:rPr>
          <w:sz w:val="20"/>
          <w:szCs w:val="20"/>
          <w:color w:val="auto"/>
        </w:rPr>
      </w:pPr>
      <w:r>
        <w:rPr>
          <w:rFonts w:ascii="Arial" w:cs="Arial" w:eastAsia="Arial" w:hAnsi="Arial"/>
          <w:sz w:val="18"/>
          <w:szCs w:val="18"/>
          <w:color w:val="auto"/>
        </w:rPr>
        <w:t>The following is our discussion of the consolidated results of operations for the year ended December 31, 2022 as compared to the year ended December 31, 2021.</w:t>
      </w:r>
    </w:p>
    <w:p>
      <w:pPr>
        <w:spacing w:after="0" w:line="62" w:lineRule="exact"/>
        <w:rPr>
          <w:sz w:val="20"/>
          <w:szCs w:val="20"/>
          <w:color w:val="auto"/>
        </w:rPr>
      </w:pPr>
    </w:p>
    <w:p>
      <w:pPr>
        <w:ind w:right="80" w:firstLine="644"/>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A discussion of the consolidated results of operations for the year ended December 31, 2021 as compared to the year ended December 31, 2020 has been omitted from this Annual Report on Form 10-K, but may be found in “Item 7. Management’s Discussion and Analysis of Financial Condition and Results of Operations” in our Annual Report on </w:t>
      </w:r>
      <w:hyperlink r:id="rId83">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filed with the SEC on March 18, 2022, which is available free of charge on the SEC's website at www.sec.gov and on our investor relations website at investors.xometry.com.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-182245</wp:posOffset>
            </wp:positionV>
            <wp:extent cx="5105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w w:val="74"/>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0" w:type="dxa"/>
            <w:vAlign w:val="bottom"/>
            <w:gridSpan w:val="2"/>
            <w:shd w:val="clear" w:color="auto" w:fill="CFF0FC"/>
          </w:tcPr>
          <w:p>
            <w:pPr>
              <w:jc w:val="right"/>
              <w:ind w:right="76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381,053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218,336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233,487</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147,566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83,222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Operations and support</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48,572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57,992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assets</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8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86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221,623</w:t>
            </w: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115,827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(74,057</w:t>
            </w:r>
          </w:p>
        </w:tc>
        <w:tc>
          <w:tcPr>
            <w:tcW w:w="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(58,686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(4,418 )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expenses</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(2,183 )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(2,866 )</w:t>
            </w: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2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28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(75,973 )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(61,381 )</w:t>
            </w: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(36 )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(76,009 )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(61,381 )</w:t>
            </w: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(loss) attributable to noncontrolling interest</w:t>
            </w:r>
          </w:p>
        </w:tc>
        <w:tc>
          <w:tcPr>
            <w:tcW w:w="28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6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(76,025 )</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(61,379 )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60" w:type="dxa"/>
            <w:vAlign w:val="bottom"/>
            <w:vMerge w:val="restart"/>
          </w:tcPr>
          <w:p>
            <w:pPr>
              <w:jc w:val="right"/>
              <w:ind w:right="1910"/>
              <w:spacing w:after="0"/>
              <w:rPr>
                <w:sz w:val="20"/>
                <w:szCs w:val="20"/>
                <w:color w:val="auto"/>
              </w:rPr>
            </w:pPr>
            <w:r>
              <w:rPr>
                <w:rFonts w:ascii="Arial" w:cs="Arial" w:eastAsia="Arial" w:hAnsi="Arial"/>
                <w:sz w:val="18"/>
                <w:szCs w:val="18"/>
                <w:color w:val="auto"/>
              </w:rPr>
              <w:t>51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-2439670</wp:posOffset>
            </wp:positionV>
            <wp:extent cx="685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-1181100</wp:posOffset>
            </wp:positionV>
            <wp:extent cx="685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-864235</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-547370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left="64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00" w:lineRule="exact"/>
        <w:rPr>
          <w:sz w:val="20"/>
          <w:szCs w:val="20"/>
          <w:color w:val="auto"/>
        </w:rPr>
      </w:pPr>
    </w:p>
    <w:p>
      <w:pPr>
        <w:spacing w:after="0" w:line="24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398"/>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5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61.3 %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73.8 %</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18.1 %</w:t>
            </w: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Operations and support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16.0 %</w:t>
            </w:r>
          </w:p>
        </w:tc>
      </w:tr>
      <w:tr>
        <w:trPr>
          <w:trHeight w:val="249"/>
        </w:trPr>
        <w:tc>
          <w:tcPr>
            <w:tcW w:w="768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0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58.0 </w:t>
            </w:r>
            <w:r>
              <w:rPr>
                <w:rFonts w:ascii="Arial" w:cs="Arial" w:eastAsia="Arial" w:hAnsi="Arial"/>
                <w:sz w:val="18"/>
                <w:szCs w:val="18"/>
                <w:color w:val="auto"/>
                <w:highlight w:val="white"/>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color w:val="auto"/>
                <w:highlight w:val="white"/>
              </w:rPr>
              <w:t>%</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Interest and dividend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Total other expenses</w:t>
            </w:r>
          </w:p>
        </w:tc>
        <w:tc>
          <w:tcPr>
            <w:tcW w:w="10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49"/>
        </w:trPr>
        <w:tc>
          <w:tcPr>
            <w:tcW w:w="768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0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49"/>
        </w:trPr>
        <w:tc>
          <w:tcPr>
            <w:tcW w:w="7680" w:type="dxa"/>
            <w:vAlign w:val="bottom"/>
          </w:tcPr>
          <w:p>
            <w:pPr>
              <w:ind w:left="200"/>
              <w:spacing w:after="0"/>
              <w:rPr>
                <w:sz w:val="20"/>
                <w:szCs w:val="20"/>
                <w:color w:val="auto"/>
              </w:rPr>
            </w:pPr>
            <w:r>
              <w:rPr>
                <w:rFonts w:ascii="Arial" w:cs="Arial" w:eastAsia="Arial" w:hAnsi="Arial"/>
                <w:sz w:val="18"/>
                <w:szCs w:val="18"/>
                <w:color w:val="auto"/>
              </w:rPr>
              <w:t>Net income (loss) attributable to noncontrolling interest</w:t>
            </w:r>
          </w:p>
        </w:tc>
        <w:tc>
          <w:tcPr>
            <w:tcW w:w="10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4711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6" w:lineRule="exact"/>
        <w:rPr>
          <w:sz w:val="20"/>
          <w:szCs w:val="20"/>
          <w:color w:val="auto"/>
        </w:rPr>
      </w:pPr>
    </w:p>
    <w:p>
      <w:pPr>
        <w:ind w:right="280" w:firstLine="637"/>
        <w:spacing w:after="0" w:line="263" w:lineRule="auto"/>
        <w:rPr>
          <w:sz w:val="20"/>
          <w:szCs w:val="20"/>
          <w:color w:val="auto"/>
        </w:rPr>
      </w:pPr>
      <w:r>
        <w:rPr>
          <w:rFonts w:ascii="Arial" w:cs="Arial" w:eastAsia="Arial" w:hAnsi="Arial"/>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Revenue and cost of revenue is presented in the following tables for the year ended December 31, 2022 (in thousands, amounts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not considered material):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0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Ended December 31,</w:t>
            </w:r>
          </w:p>
        </w:tc>
        <w:tc>
          <w:tcPr>
            <w:tcW w:w="100" w:type="dxa"/>
            <w:vAlign w:val="bottom"/>
          </w:tcPr>
          <w:p>
            <w:pPr>
              <w:spacing w:after="0"/>
              <w:rPr>
                <w:sz w:val="20"/>
                <w:szCs w:val="20"/>
                <w:color w:val="auto"/>
              </w:rPr>
            </w:pPr>
          </w:p>
        </w:tc>
      </w:tr>
      <w:tr>
        <w:trPr>
          <w:trHeight w:val="250"/>
        </w:trPr>
        <w:tc>
          <w:tcPr>
            <w:tcW w:w="34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1"/>
                <w:szCs w:val="21"/>
                <w:color w:val="auto"/>
              </w:rPr>
            </w:pPr>
          </w:p>
        </w:tc>
      </w:tr>
      <w:tr>
        <w:trPr>
          <w:trHeight w:val="236"/>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Marketplace</w:t>
            </w:r>
          </w:p>
        </w:tc>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2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303,134</w:t>
            </w:r>
          </w:p>
        </w:tc>
        <w:tc>
          <w:tcPr>
            <w:tcW w:w="100" w:type="dxa"/>
            <w:vAlign w:val="bottom"/>
            <w:shd w:val="clear" w:color="auto" w:fill="CFF0FC"/>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216,336</w:t>
            </w:r>
          </w:p>
        </w:tc>
        <w:tc>
          <w:tcPr>
            <w:tcW w:w="100" w:type="dxa"/>
            <w:vAlign w:val="bottom"/>
          </w:tcPr>
          <w:p>
            <w:pPr>
              <w:spacing w:after="0"/>
              <w:rPr>
                <w:sz w:val="21"/>
                <w:szCs w:val="21"/>
                <w:color w:val="auto"/>
              </w:rPr>
            </w:pPr>
          </w:p>
        </w:tc>
      </w:tr>
      <w:tr>
        <w:trPr>
          <w:trHeight w:val="27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Supplier services</w:t>
            </w: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2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77,919</w:t>
            </w:r>
          </w:p>
        </w:tc>
        <w:tc>
          <w:tcPr>
            <w:tcW w:w="100" w:type="dxa"/>
            <w:vAlign w:val="bottom"/>
            <w:shd w:val="clear" w:color="auto" w:fill="CFF0FC"/>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21"/>
                <w:szCs w:val="21"/>
                <w:color w:val="auto"/>
              </w:rPr>
            </w:pPr>
          </w:p>
        </w:tc>
      </w:tr>
      <w:tr>
        <w:trPr>
          <w:trHeight w:val="27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5"/>
        </w:trPr>
        <w:tc>
          <w:tcPr>
            <w:tcW w:w="3420" w:type="dxa"/>
            <w:vAlign w:val="bottom"/>
          </w:tcPr>
          <w:p>
            <w:pPr>
              <w:spacing w:after="0"/>
              <w:rPr>
                <w:sz w:val="24"/>
                <w:szCs w:val="24"/>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334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4" w:lineRule="exact"/>
        <w:rPr>
          <w:sz w:val="20"/>
          <w:szCs w:val="20"/>
          <w:color w:val="auto"/>
        </w:rPr>
      </w:pPr>
    </w:p>
    <w:p>
      <w:pPr>
        <w:ind w:right="80" w:firstLine="644"/>
        <w:spacing w:after="0" w:line="273" w:lineRule="auto"/>
        <w:rPr>
          <w:sz w:val="20"/>
          <w:szCs w:val="20"/>
          <w:color w:val="auto"/>
        </w:rPr>
      </w:pPr>
      <w:r>
        <w:rPr>
          <w:rFonts w:ascii="Arial" w:cs="Arial" w:eastAsia="Arial" w:hAnsi="Arial"/>
          <w:sz w:val="17"/>
          <w:szCs w:val="17"/>
          <w:color w:val="auto"/>
        </w:rPr>
        <w:t>Total revenue increased $162.7 million, or 75%, from $218.3 million for the year ended December 31, 2021 to $381.1 million for the year ended December 31, 2022. This growth was primarily a result of an increase in marketplace revenue and an increase in supplier services revenue due to our acquisition of Thomas. Total revenue from marketplace and supplier services for the year ended December 31, 2022 was $303.1 million and $77.9 million, respectively. The marketplace increase was primarily the result of increases in active buyers resulting from investments in sales and marketing, as well as existing buyers increasing their spend on the platform for the year ended December 31, 2022, as compared to the prior year. Supplier services revenue growth was driven primarily by our acquisition of Thomas in December 2021.</w:t>
      </w:r>
    </w:p>
    <w:p>
      <w:pPr>
        <w:spacing w:after="0" w:line="149" w:lineRule="exact"/>
        <w:rPr>
          <w:sz w:val="20"/>
          <w:szCs w:val="20"/>
          <w:color w:val="auto"/>
        </w:rPr>
      </w:pPr>
    </w:p>
    <w:p>
      <w:pPr>
        <w:ind w:right="480" w:firstLine="644"/>
        <w:spacing w:after="0" w:line="277" w:lineRule="auto"/>
        <w:rPr>
          <w:sz w:val="20"/>
          <w:szCs w:val="20"/>
          <w:color w:val="auto"/>
        </w:rPr>
      </w:pPr>
      <w:r>
        <w:rPr>
          <w:rFonts w:ascii="Arial" w:cs="Arial" w:eastAsia="Arial" w:hAnsi="Arial"/>
          <w:sz w:val="18"/>
          <w:szCs w:val="18"/>
          <w:color w:val="auto"/>
        </w:rPr>
        <w:t>Total revenue from our U.S. and International operating segments for the years ended December 31, 2022 and 2021, was $347.8 million and $202.0 million, respectively, for the U.S., and $33.2 million and $16.3 million, respectively, for International.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4" w:lineRule="exact"/>
        <w:rPr>
          <w:sz w:val="20"/>
          <w:szCs w:val="20"/>
          <w:color w:val="auto"/>
        </w:rPr>
      </w:pPr>
    </w:p>
    <w:p>
      <w:pPr>
        <w:ind w:right="80" w:firstLine="644"/>
        <w:spacing w:after="0" w:line="259" w:lineRule="auto"/>
        <w:rPr>
          <w:sz w:val="20"/>
          <w:szCs w:val="20"/>
          <w:color w:val="auto"/>
        </w:rPr>
      </w:pPr>
      <w:r>
        <w:rPr>
          <w:rFonts w:ascii="Arial" w:cs="Arial" w:eastAsia="Arial" w:hAnsi="Arial"/>
          <w:sz w:val="18"/>
          <w:szCs w:val="18"/>
          <w:color w:val="auto"/>
        </w:rPr>
        <w:t>Total cost of revenue increased $72.3 million, or 45%, from $161.2 million for the year ended December 31, 2021 to $233.5 million for the year ended December 31, 2022. This increase was primarily the result of an increase in marketplace cost of revenue and increase in supplier service costs of revenue due to our acquisition of Thomas. Total cost of revenue from marketplace and supplier services for the year ended December 31, 2022 was $216.3 million and $17.2 million, respectively.</w:t>
      </w:r>
    </w:p>
    <w:p>
      <w:pPr>
        <w:spacing w:after="0" w:line="158" w:lineRule="exact"/>
        <w:rPr>
          <w:sz w:val="20"/>
          <w:szCs w:val="20"/>
          <w:color w:val="auto"/>
        </w:rPr>
      </w:pPr>
    </w:p>
    <w:p>
      <w:pPr>
        <w:ind w:right="340" w:firstLine="644"/>
        <w:spacing w:after="0" w:line="263" w:lineRule="auto"/>
        <w:rPr>
          <w:sz w:val="20"/>
          <w:szCs w:val="20"/>
          <w:color w:val="auto"/>
        </w:rPr>
      </w:pPr>
      <w:r>
        <w:rPr>
          <w:rFonts w:ascii="Arial" w:cs="Arial" w:eastAsia="Arial" w:hAnsi="Arial"/>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84" w:lineRule="exact"/>
        <w:rPr>
          <w:sz w:val="20"/>
          <w:szCs w:val="20"/>
          <w:color w:val="auto"/>
        </w:rPr>
      </w:pPr>
    </w:p>
    <w:p>
      <w:pPr>
        <w:jc w:val="both"/>
        <w:ind w:right="380" w:firstLine="644"/>
        <w:spacing w:after="0" w:line="263" w:lineRule="auto"/>
        <w:rPr>
          <w:sz w:val="20"/>
          <w:szCs w:val="20"/>
          <w:color w:val="auto"/>
        </w:rPr>
      </w:pPr>
      <w:r>
        <w:rPr>
          <w:rFonts w:ascii="Arial" w:cs="Arial" w:eastAsia="Arial" w:hAnsi="Arial"/>
          <w:sz w:val="18"/>
          <w:szCs w:val="18"/>
          <w:color w:val="auto"/>
        </w:rPr>
        <w:t>Gross profit increased $90.4 million, or 158%, from $57.1 million for the year ended December 31, 2021 to $147.6 million for the year ended December 31, 2022. The increase in gross profit was primarily due to the acquisition of Thomas, increases in revenue from marketplace and improved marketplace gross margin as compared to the prior year period.</w:t>
      </w:r>
    </w:p>
    <w:p>
      <w:pPr>
        <w:spacing w:after="0" w:line="156" w:lineRule="exact"/>
        <w:rPr>
          <w:sz w:val="20"/>
          <w:szCs w:val="20"/>
          <w:color w:val="auto"/>
        </w:rPr>
      </w:pPr>
    </w:p>
    <w:p>
      <w:pPr>
        <w:jc w:val="both"/>
        <w:ind w:right="40" w:firstLine="644"/>
        <w:spacing w:after="0" w:line="301" w:lineRule="auto"/>
        <w:rPr>
          <w:sz w:val="20"/>
          <w:szCs w:val="20"/>
          <w:color w:val="auto"/>
        </w:rPr>
      </w:pPr>
      <w:r>
        <w:rPr>
          <w:rFonts w:ascii="Arial" w:cs="Arial" w:eastAsia="Arial" w:hAnsi="Arial"/>
          <w:sz w:val="16"/>
          <w:szCs w:val="16"/>
          <w:color w:val="auto"/>
        </w:rPr>
        <w:t>Gross margin for marketplace was 28.6% for the year ended December 31, 2022 which was an improvement over the prior year in part due to our AI-driven platform.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78.0% for the year ended December 31, 2022 primarily due to our acquisition of Thomas.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firstLine="637"/>
        <w:spacing w:after="0" w:line="256" w:lineRule="auto"/>
        <w:rPr>
          <w:sz w:val="20"/>
          <w:szCs w:val="20"/>
          <w:color w:val="auto"/>
        </w:rPr>
      </w:pPr>
      <w:r>
        <w:rPr>
          <w:rFonts w:ascii="Arial" w:cs="Arial" w:eastAsia="Arial" w:hAnsi="Arial"/>
          <w:sz w:val="18"/>
          <w:szCs w:val="18"/>
          <w:color w:val="auto"/>
        </w:rPr>
        <w:t>Sales and marketing expense increased $43.8 million, or 111%, from $39.4 million for year ended December 31, 2021 to $83.2 million for the year ended December 31, 2022, primarily as a result our acquisition of Thomas in December 2021, increases in marketing and advertising spend, additional sales employees and their compensation costs including stock-based compensation, consulting expenses and software and maintenance costs for the sales and marketing department. As a percent of total revenue, sales and marketing expenses increased to 21.8% for the year ended December 31, 2022 from 18.1% for the year ended December 31, 2021.</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During the year ended December 31, 2022, $0.5 million of restructuring charge is recorded in sales and marketing.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17" w:lineRule="exact"/>
        <w:rPr>
          <w:sz w:val="20"/>
          <w:szCs w:val="20"/>
          <w:color w:val="auto"/>
        </w:rPr>
      </w:pPr>
    </w:p>
    <w:p>
      <w:pPr>
        <w:ind w:right="20" w:firstLine="637"/>
        <w:spacing w:after="0" w:line="279" w:lineRule="auto"/>
        <w:rPr>
          <w:sz w:val="20"/>
          <w:szCs w:val="20"/>
          <w:color w:val="auto"/>
        </w:rPr>
      </w:pPr>
      <w:r>
        <w:rPr>
          <w:rFonts w:ascii="Arial" w:cs="Arial" w:eastAsia="Arial" w:hAnsi="Arial"/>
          <w:sz w:val="17"/>
          <w:szCs w:val="17"/>
          <w:color w:val="auto"/>
        </w:rPr>
        <w:t>Operations and support increased $24.9 million, or 105%, from $23.7 million for the year ended December 31, 2021 to $48.6 million for the year ended December 31, 2022, primarily as a result of our acquisition of Thomas in December 2021, hiring of additional operations and support employees and their compensation costs including stock-based compensation, and consulting expenses. As a percent of total revenue, operations and support expenses increased to 12.7% for the year ended December 31, 2022 from 10.8% for the year ended December 31, 2021.</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2022, $0.4 million of restructuring charge is recorded in operations and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100" w:firstLine="637"/>
        <w:spacing w:after="0" w:line="255" w:lineRule="auto"/>
        <w:rPr>
          <w:sz w:val="20"/>
          <w:szCs w:val="20"/>
          <w:color w:val="auto"/>
        </w:rPr>
      </w:pPr>
      <w:r>
        <w:rPr>
          <w:rFonts w:ascii="Arial" w:cs="Arial" w:eastAsia="Arial" w:hAnsi="Arial"/>
          <w:sz w:val="18"/>
          <w:szCs w:val="18"/>
          <w:color w:val="auto"/>
        </w:rPr>
        <w:t>Product development expense increased $13.2 million, or 74%, from $17.8 million for the year ended December 31, 2021 to $31.0 million for the year ended December 31, 2022, primarily as result of our acquisition of Thomas in December 2021, hiring additional development employees and their compensation costs including stock-based compensation, consulting and software and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maintenance expenses. As a percent of total revenue, product development remained flat at 8.1% for the year ended December 31, 2022 and 2021.</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2022, $0.5 million of restructuring charge is recorded in product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637"/>
        <w:spacing w:after="0" w:line="254" w:lineRule="auto"/>
        <w:rPr>
          <w:sz w:val="20"/>
          <w:szCs w:val="20"/>
          <w:color w:val="auto"/>
        </w:rPr>
      </w:pPr>
      <w:r>
        <w:rPr>
          <w:rFonts w:ascii="Arial" w:cs="Arial" w:eastAsia="Arial" w:hAnsi="Arial"/>
          <w:sz w:val="18"/>
          <w:szCs w:val="18"/>
          <w:color w:val="auto"/>
        </w:rPr>
        <w:t>General and administrative expense increased $23.1 million, or 66%, from $34.9 million for the year ended December 31, 2021 to $58.0 million for the year ended December 31, 2022. The primary driver of the increase was due to our acquisition of Thomas in December 2021. Our general and administrative expenses increased due to higher compensation and stock-based compensation due to new administrative employees. Additionally, we incurred higher public company costs for insurance, legal and accounting services. We had higher expenses for software and maintenance, insurance costs, card processing fees, bad debt expense and facilities costs offset by lower acquisition costs that were related to fourth quarter 2021 business combinations. As a percent of total revenue, general and administrative expenses decreased to 15.2% for the for the year ended December 31, 2022 from 16.0% for the year ended December 31, 2021.</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2022, $0.2 million of restructuring charge is recorded in general and administrative.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17" w:lineRule="exact"/>
        <w:rPr>
          <w:sz w:val="20"/>
          <w:szCs w:val="20"/>
          <w:color w:val="auto"/>
        </w:rPr>
      </w:pPr>
    </w:p>
    <w:p>
      <w:pPr>
        <w:ind w:right="120" w:firstLine="637"/>
        <w:spacing w:after="0" w:line="263" w:lineRule="auto"/>
        <w:rPr>
          <w:sz w:val="20"/>
          <w:szCs w:val="20"/>
          <w:color w:val="auto"/>
        </w:rPr>
      </w:pPr>
      <w:r>
        <w:rPr>
          <w:rFonts w:ascii="Arial" w:cs="Arial" w:eastAsia="Arial" w:hAnsi="Arial"/>
          <w:sz w:val="18"/>
          <w:szCs w:val="18"/>
          <w:color w:val="auto"/>
        </w:rPr>
        <w:t>Impairment of assets of $0.8 million related to incomplete software projects that were abandoned, furniture, fixtures and equipment and/or other assets to be disposed of during the year ended December 31, 2022. No impairments were recorded on our long-lived assets during the years ended December 31, 2021.</w:t>
      </w:r>
    </w:p>
    <w:p>
      <w:pPr>
        <w:spacing w:after="0" w:line="75" w:lineRule="exact"/>
        <w:rPr>
          <w:sz w:val="20"/>
          <w:szCs w:val="20"/>
          <w:color w:val="auto"/>
        </w:rPr>
      </w:pPr>
    </w:p>
    <w:p>
      <w:pPr>
        <w:ind w:right="40" w:firstLine="644"/>
        <w:spacing w:after="0" w:line="277" w:lineRule="auto"/>
        <w:rPr>
          <w:sz w:val="20"/>
          <w:szCs w:val="20"/>
          <w:color w:val="auto"/>
        </w:rPr>
      </w:pPr>
      <w:r>
        <w:rPr>
          <w:rFonts w:ascii="Arial" w:cs="Arial" w:eastAsia="Arial" w:hAnsi="Arial"/>
          <w:sz w:val="18"/>
          <w:szCs w:val="18"/>
          <w:color w:val="auto"/>
        </w:rPr>
        <w:t>During the year ended December 31, 2022, $0.5 million of our impairments were recorded in our U.S. reporting segment, and $0.3 million of our impairments were recorded in our International reporting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40" w:firstLine="637"/>
        <w:spacing w:after="0" w:line="277" w:lineRule="auto"/>
        <w:rPr>
          <w:sz w:val="20"/>
          <w:szCs w:val="20"/>
          <w:color w:val="auto"/>
        </w:rPr>
      </w:pPr>
      <w:r>
        <w:rPr>
          <w:rFonts w:ascii="Arial" w:cs="Arial" w:eastAsia="Arial" w:hAnsi="Arial"/>
          <w:sz w:val="18"/>
          <w:szCs w:val="18"/>
          <w:color w:val="auto"/>
        </w:rPr>
        <w:t>Interest expense increased by $3.6 million, or 419%, from $0.9 million for the year ended December 31, 2021 to $4.4 million for the year ended December 31, 2022, primarily as a result of the interest on the 2027 convertible notes issued in February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17" w:lineRule="exact"/>
        <w:rPr>
          <w:sz w:val="20"/>
          <w:szCs w:val="20"/>
          <w:color w:val="auto"/>
        </w:rPr>
      </w:pPr>
    </w:p>
    <w:p>
      <w:pPr>
        <w:ind w:right="40" w:firstLine="637"/>
        <w:spacing w:after="0" w:line="277" w:lineRule="auto"/>
        <w:rPr>
          <w:sz w:val="20"/>
          <w:szCs w:val="20"/>
          <w:color w:val="auto"/>
        </w:rPr>
      </w:pPr>
      <w:r>
        <w:rPr>
          <w:rFonts w:ascii="Arial" w:cs="Arial" w:eastAsia="Arial" w:hAnsi="Arial"/>
          <w:sz w:val="18"/>
          <w:szCs w:val="18"/>
          <w:color w:val="auto"/>
        </w:rPr>
        <w:t>Interest and dividend income increased by $3.1 million, or 319%, from $1.0 million for the year ended December 31, 2021 to $4.1 million for the year ended December 31, 2022, primarily due to dividend income from our marketable securities and cash accounts.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3" w:lineRule="exact"/>
        <w:rPr>
          <w:sz w:val="20"/>
          <w:szCs w:val="20"/>
          <w:color w:val="auto"/>
        </w:rPr>
      </w:pPr>
    </w:p>
    <w:p>
      <w:pPr>
        <w:jc w:val="both"/>
        <w:ind w:right="240" w:firstLine="644"/>
        <w:spacing w:after="0" w:line="255" w:lineRule="auto"/>
        <w:rPr>
          <w:sz w:val="20"/>
          <w:szCs w:val="20"/>
          <w:color w:val="auto"/>
        </w:rPr>
      </w:pPr>
      <w:r>
        <w:rPr>
          <w:rFonts w:ascii="Arial" w:cs="Arial" w:eastAsia="Arial" w:hAnsi="Arial"/>
          <w:sz w:val="18"/>
          <w:szCs w:val="18"/>
          <w:color w:val="auto"/>
        </w:rPr>
        <w:t>Other expenses decreased by $0.7 million, or 24%, from $2.9 million for the year ended December 31, 2021 to $2.2 million for the year ended December 31, 2022, primarily due to a reduction of $0.3 million loss on debt extinguishment recognized in 2021, a $0.1 million reduction in losses on marketable securities and a reduction in other miscellaneous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Joint Venture</w:t>
      </w:r>
    </w:p>
    <w:p>
      <w:pPr>
        <w:spacing w:after="0" w:line="117" w:lineRule="exact"/>
        <w:rPr>
          <w:sz w:val="20"/>
          <w:szCs w:val="20"/>
          <w:color w:val="auto"/>
        </w:rPr>
      </w:pPr>
    </w:p>
    <w:p>
      <w:pPr>
        <w:ind w:right="80" w:firstLine="637"/>
        <w:spacing w:after="0" w:line="277" w:lineRule="auto"/>
        <w:rPr>
          <w:sz w:val="20"/>
          <w:szCs w:val="20"/>
          <w:color w:val="auto"/>
        </w:rPr>
      </w:pPr>
      <w:r>
        <w:rPr>
          <w:rFonts w:ascii="Arial" w:cs="Arial" w:eastAsia="Arial" w:hAnsi="Arial"/>
          <w:sz w:val="18"/>
          <w:szCs w:val="18"/>
          <w:color w:val="auto"/>
        </w:rPr>
        <w:t>Income from unconsolidated joint venture increased $0.5 million due to our acquisition of a 50% interest in Industrial Media, LLC in connection with our acquisition of Thomas on December 9, 2021. This joint venture is in our U.S. operating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 for income taxes increased by $36,000 due to income taxes resulting from our acquisition of Thomas.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7" w:lineRule="exact"/>
        <w:rPr>
          <w:sz w:val="20"/>
          <w:szCs w:val="20"/>
          <w:color w:val="auto"/>
        </w:rPr>
      </w:pPr>
    </w:p>
    <w:p>
      <w:pPr>
        <w:ind w:right="140" w:firstLine="637"/>
        <w:spacing w:after="0" w:line="263" w:lineRule="auto"/>
        <w:rPr>
          <w:sz w:val="20"/>
          <w:szCs w:val="20"/>
          <w:color w:val="auto"/>
        </w:rPr>
      </w:pPr>
      <w:r>
        <w:rPr>
          <w:rFonts w:ascii="Arial" w:cs="Arial" w:eastAsia="Arial" w:hAnsi="Arial"/>
          <w:sz w:val="18"/>
          <w:szCs w:val="18"/>
          <w:color w:val="auto"/>
        </w:rPr>
        <w:t>Total segment loss from our U.S. operating segment for the year ended December 31, 2022 and 2021, was $58.8 million and $51.2 million, respectively. Total segment loss from our International operating segment for the year ended December 31, 2022 and 2021, was $17.3 million and $10.1 million, respectively.</w:t>
      </w:r>
    </w:p>
    <w:p>
      <w:pPr>
        <w:spacing w:after="0" w:line="75" w:lineRule="exact"/>
        <w:rPr>
          <w:sz w:val="20"/>
          <w:szCs w:val="20"/>
          <w:color w:val="auto"/>
        </w:rPr>
      </w:pPr>
    </w:p>
    <w:p>
      <w:pPr>
        <w:jc w:val="both"/>
        <w:ind w:right="400" w:firstLine="637"/>
        <w:spacing w:after="0" w:line="263" w:lineRule="auto"/>
        <w:rPr>
          <w:sz w:val="20"/>
          <w:szCs w:val="20"/>
          <w:color w:val="auto"/>
        </w:rPr>
      </w:pPr>
      <w:r>
        <w:rPr>
          <w:rFonts w:ascii="Arial" w:cs="Arial" w:eastAsia="Arial" w:hAnsi="Arial"/>
          <w:sz w:val="18"/>
          <w:szCs w:val="18"/>
          <w:color w:val="auto"/>
        </w:rPr>
        <w:t>Total segment interest expense from our U.S. operating segment for the year ended December 31, 2022 and 2021, was $4.4 million and $0.7 million, respectively. Total segment interest expense from our International operating segment for the year ended December 31, 2022 and 2021, was $22,000 and $0.1 million, respectively.</w:t>
      </w:r>
    </w:p>
    <w:p>
      <w:pPr>
        <w:spacing w:after="0" w:line="75" w:lineRule="exact"/>
        <w:rPr>
          <w:sz w:val="20"/>
          <w:szCs w:val="20"/>
          <w:color w:val="auto"/>
        </w:rPr>
      </w:pPr>
    </w:p>
    <w:p>
      <w:pPr>
        <w:jc w:val="both"/>
        <w:ind w:right="460" w:firstLine="637"/>
        <w:spacing w:after="0" w:line="255" w:lineRule="auto"/>
        <w:rPr>
          <w:sz w:val="20"/>
          <w:szCs w:val="20"/>
          <w:color w:val="auto"/>
        </w:rPr>
      </w:pPr>
      <w:r>
        <w:rPr>
          <w:rFonts w:ascii="Arial" w:cs="Arial" w:eastAsia="Arial" w:hAnsi="Arial"/>
          <w:sz w:val="18"/>
          <w:szCs w:val="18"/>
          <w:color w:val="auto"/>
        </w:rPr>
        <w:t>Total segment interest income from our U.S. operating segment for the year ended December 31, 2022 and 2021, was $4.1 million and $1.0 million, respectively. Total segment interest income from our International operating segment for the year ended December 31, 2022 and 2021, was $19,000 and zero, respectively.</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right="80" w:firstLine="644"/>
        <w:spacing w:after="0" w:line="290" w:lineRule="auto"/>
        <w:rPr>
          <w:sz w:val="20"/>
          <w:szCs w:val="20"/>
          <w:color w:val="auto"/>
        </w:rPr>
      </w:pPr>
      <w:r>
        <w:rPr>
          <w:rFonts w:ascii="Arial" w:cs="Arial" w:eastAsia="Arial" w:hAnsi="Arial"/>
          <w:sz w:val="16"/>
          <w:szCs w:val="16"/>
          <w:color w:val="auto"/>
        </w:rPr>
        <w:t>On January 2, 2023, the Company acquired 100% of the equity of Tridi Teknoloj A.S. ("Tridi") located in Istanbul, Turkey subject to an Share Purchase Agreement. The acquisition of Tridi extended our marketplace capabilities in Europe by opening a vast array of affordable suppliers. Tridi operates an online marketplace for manufacturing with the ability to serve all of Europe within a 24-hour turn around period. The Company accounted for the acquisition as a business combination. The aggregate non-contingent portion of the purchase price was approximately $3.8 million. In addition, the purchase price includes a contingent consideration arrangement to the former owners of Tridi up to a maximum amount of $1.25 million (undiscounted) in Class A common shares in two installments on the first and second anniversary of the acquisition and is based on the achievement of certain revenue targets. During the year ended December 31, 2022, the Company recognized approximately $0.3 million of acquisition costs which are recorded in general and administrative expenses on our Consolidated Statements of Operations and Comprehensive Loss.</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37"/>
        <w:spacing w:after="0" w:line="291" w:lineRule="auto"/>
        <w:rPr>
          <w:sz w:val="20"/>
          <w:szCs w:val="20"/>
          <w:color w:val="auto"/>
        </w:rPr>
      </w:pPr>
      <w:r>
        <w:rPr>
          <w:rFonts w:ascii="Arial" w:cs="Arial" w:eastAsia="Arial" w:hAnsi="Arial"/>
          <w:sz w:val="16"/>
          <w:szCs w:val="16"/>
          <w:color w:val="auto"/>
        </w:rPr>
        <w:t>We have financed our operations primarily through sales of our equity securities and borrowings under our convertible notes. As of December 31, 2022, our cash and cash equivalents and marketable securities totaled $319.4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57" w:lineRule="exact"/>
        <w:rPr>
          <w:sz w:val="20"/>
          <w:szCs w:val="20"/>
          <w:color w:val="auto"/>
        </w:rPr>
      </w:pPr>
    </w:p>
    <w:p>
      <w:pPr>
        <w:ind w:right="20" w:firstLine="637"/>
        <w:spacing w:after="0" w:line="277"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due 2027</w:t>
      </w:r>
    </w:p>
    <w:p>
      <w:pPr>
        <w:spacing w:after="0" w:line="117" w:lineRule="exact"/>
        <w:rPr>
          <w:sz w:val="20"/>
          <w:szCs w:val="20"/>
          <w:color w:val="auto"/>
        </w:rPr>
      </w:pPr>
    </w:p>
    <w:p>
      <w:pPr>
        <w:ind w:firstLine="637"/>
        <w:spacing w:after="0" w:line="293" w:lineRule="auto"/>
        <w:rPr>
          <w:sz w:val="20"/>
          <w:szCs w:val="20"/>
          <w:color w:val="auto"/>
        </w:rPr>
      </w:pPr>
      <w:r>
        <w:rPr>
          <w:rFonts w:ascii="Arial" w:cs="Arial" w:eastAsia="Arial" w:hAnsi="Arial"/>
          <w:sz w:val="16"/>
          <w:szCs w:val="16"/>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55" w:lineRule="exact"/>
        <w:rPr>
          <w:sz w:val="20"/>
          <w:szCs w:val="20"/>
          <w:color w:val="auto"/>
        </w:rPr>
      </w:pPr>
    </w:p>
    <w:p>
      <w:pPr>
        <w:ind w:right="200" w:firstLine="637"/>
        <w:spacing w:after="0" w:line="341" w:lineRule="auto"/>
        <w:rPr>
          <w:sz w:val="20"/>
          <w:szCs w:val="20"/>
          <w:color w:val="auto"/>
        </w:rPr>
      </w:pPr>
      <w:r>
        <w:rPr>
          <w:rFonts w:ascii="Arial" w:cs="Arial" w:eastAsia="Arial" w:hAnsi="Arial"/>
          <w:sz w:val="16"/>
          <w:szCs w:val="16"/>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17" w:lineRule="exact"/>
        <w:rPr>
          <w:sz w:val="20"/>
          <w:szCs w:val="20"/>
          <w:color w:val="auto"/>
        </w:rPr>
      </w:pPr>
    </w:p>
    <w:p>
      <w:pPr>
        <w:ind w:firstLine="637"/>
        <w:spacing w:after="0" w:line="259"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7" w:lineRule="exact"/>
        <w:rPr>
          <w:sz w:val="20"/>
          <w:szCs w:val="20"/>
          <w:color w:val="auto"/>
        </w:rPr>
      </w:pPr>
    </w:p>
    <w:p>
      <w:pPr>
        <w:ind w:right="60" w:firstLine="637"/>
        <w:spacing w:after="0" w:line="286" w:lineRule="auto"/>
        <w:rPr>
          <w:sz w:val="20"/>
          <w:szCs w:val="20"/>
          <w:color w:val="auto"/>
        </w:rPr>
      </w:pPr>
      <w:r>
        <w:rPr>
          <w:rFonts w:ascii="Arial" w:cs="Arial" w:eastAsia="Arial" w:hAnsi="Arial"/>
          <w:sz w:val="17"/>
          <w:szCs w:val="17"/>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56" w:lineRule="exact"/>
        <w:rPr>
          <w:sz w:val="20"/>
          <w:szCs w:val="20"/>
          <w:color w:val="auto"/>
        </w:rPr>
      </w:pPr>
    </w:p>
    <w:p>
      <w:pPr>
        <w:ind w:right="500" w:firstLine="637"/>
        <w:spacing w:after="0" w:line="277" w:lineRule="auto"/>
        <w:rPr>
          <w:sz w:val="20"/>
          <w:szCs w:val="20"/>
          <w:color w:val="auto"/>
        </w:rPr>
      </w:pPr>
      <w:r>
        <w:rPr>
          <w:rFonts w:ascii="Arial" w:cs="Arial" w:eastAsia="Arial" w:hAnsi="Arial"/>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2" w:lineRule="exact"/>
        <w:rPr>
          <w:sz w:val="20"/>
          <w:szCs w:val="20"/>
          <w:color w:val="auto"/>
        </w:rPr>
      </w:pPr>
    </w:p>
    <w:p>
      <w:pPr>
        <w:jc w:val="both"/>
        <w:ind w:left="1020" w:right="200" w:hanging="504"/>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4" w:lineRule="exact"/>
        <w:rPr>
          <w:rFonts w:ascii="Arial" w:cs="Arial" w:eastAsia="Arial" w:hAnsi="Arial"/>
          <w:sz w:val="18"/>
          <w:szCs w:val="18"/>
          <w:color w:val="auto"/>
        </w:rPr>
      </w:pPr>
    </w:p>
    <w:p>
      <w:pPr>
        <w:ind w:left="1020" w:right="20" w:hanging="504"/>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notice of redemption, at any time prior to the close of business on the scheduled trading day immediately preceding the redemption date,</w:t>
      </w:r>
    </w:p>
    <w:p>
      <w:pPr>
        <w:spacing w:after="0" w:line="46" w:lineRule="exact"/>
        <w:rPr>
          <w:sz w:val="20"/>
          <w:szCs w:val="20"/>
          <w:color w:val="auto"/>
        </w:rPr>
      </w:pPr>
    </w:p>
    <w:p>
      <w:pPr>
        <w:ind w:left="1020" w:right="180"/>
        <w:spacing w:after="0" w:line="250" w:lineRule="auto"/>
        <w:rPr>
          <w:sz w:val="20"/>
          <w:szCs w:val="20"/>
          <w:color w:val="auto"/>
        </w:rPr>
      </w:pPr>
      <w:r>
        <w:rPr>
          <w:rFonts w:ascii="Arial" w:cs="Arial" w:eastAsia="Arial" w:hAnsi="Arial"/>
          <w:sz w:val="18"/>
          <w:szCs w:val="18"/>
          <w:color w:val="auto"/>
        </w:rPr>
        <w:t>in which case we may be required to increase the conversion rate for the 2027 Notes so surrendered for conversion in connection with such redemption notice; or</w:t>
      </w: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117" w:lineRule="exact"/>
        <w:rPr>
          <w:sz w:val="20"/>
          <w:szCs w:val="20"/>
          <w:color w:val="auto"/>
        </w:rPr>
      </w:pPr>
    </w:p>
    <w:p>
      <w:pPr>
        <w:ind w:right="720" w:firstLine="637"/>
        <w:spacing w:after="0" w:line="277" w:lineRule="auto"/>
        <w:rPr>
          <w:sz w:val="20"/>
          <w:szCs w:val="20"/>
          <w:color w:val="auto"/>
        </w:rPr>
      </w:pPr>
      <w:r>
        <w:rPr>
          <w:rFonts w:ascii="Arial" w:cs="Arial" w:eastAsia="Arial" w:hAnsi="Arial"/>
          <w:sz w:val="18"/>
          <w:szCs w:val="18"/>
          <w:color w:val="auto"/>
        </w:rPr>
        <w:t>On or after November 1, 2026, the 2027 Notes are convertible at any time until the close of business on the second scheduled trading day immediately preceding the maturity date.</w:t>
      </w:r>
    </w:p>
    <w:p>
      <w:pPr>
        <w:spacing w:after="0" w:line="62" w:lineRule="exact"/>
        <w:rPr>
          <w:sz w:val="20"/>
          <w:szCs w:val="20"/>
          <w:color w:val="auto"/>
        </w:rPr>
      </w:pPr>
    </w:p>
    <w:p>
      <w:pPr>
        <w:ind w:right="100" w:firstLine="637"/>
        <w:spacing w:after="0" w:line="259" w:lineRule="auto"/>
        <w:rPr>
          <w:sz w:val="20"/>
          <w:szCs w:val="20"/>
          <w:color w:val="auto"/>
        </w:rPr>
      </w:pPr>
      <w:r>
        <w:rPr>
          <w:rFonts w:ascii="Arial" w:cs="Arial" w:eastAsia="Arial" w:hAnsi="Arial"/>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77" w:lineRule="exact"/>
        <w:rPr>
          <w:sz w:val="20"/>
          <w:szCs w:val="20"/>
          <w:color w:val="auto"/>
        </w:rPr>
      </w:pPr>
    </w:p>
    <w:p>
      <w:pPr>
        <w:ind w:right="640" w:firstLine="637"/>
        <w:spacing w:after="0" w:line="277" w:lineRule="auto"/>
        <w:rPr>
          <w:sz w:val="20"/>
          <w:szCs w:val="20"/>
          <w:color w:val="auto"/>
        </w:rPr>
      </w:pPr>
      <w:r>
        <w:rPr>
          <w:rFonts w:ascii="Arial" w:cs="Arial" w:eastAsia="Arial" w:hAnsi="Arial"/>
          <w:sz w:val="18"/>
          <w:szCs w:val="18"/>
          <w:color w:val="auto"/>
        </w:rPr>
        <w:t>We accounted for the issuance of the 2027 Notes as a single liability measured at its amortized cost, as no other embedded features require bifurcation and recognition as derivatives.</w:t>
      </w:r>
    </w:p>
    <w:p>
      <w:pPr>
        <w:spacing w:after="0" w:line="62" w:lineRule="exact"/>
        <w:rPr>
          <w:sz w:val="20"/>
          <w:szCs w:val="20"/>
          <w:color w:val="auto"/>
        </w:rPr>
      </w:pPr>
    </w:p>
    <w:p>
      <w:pPr>
        <w:ind w:right="1360" w:firstLine="637"/>
        <w:spacing w:after="0" w:line="480" w:lineRule="auto"/>
        <w:rPr>
          <w:sz w:val="20"/>
          <w:szCs w:val="20"/>
          <w:color w:val="auto"/>
        </w:rPr>
      </w:pPr>
      <w:r>
        <w:rPr>
          <w:rFonts w:ascii="Arial" w:cs="Arial" w:eastAsia="Arial" w:hAnsi="Arial"/>
          <w:sz w:val="18"/>
          <w:szCs w:val="18"/>
          <w:color w:val="auto"/>
        </w:rPr>
        <w:t xml:space="preserve">As of December 31, 2022, the 2027 Notes have a carrying value of $279.9 million with an effective annual interest rate of 1.6%. </w:t>
      </w:r>
      <w:r>
        <w:rPr>
          <w:rFonts w:ascii="Arial" w:cs="Arial" w:eastAsia="Arial" w:hAnsi="Arial"/>
          <w:sz w:val="18"/>
          <w:szCs w:val="18"/>
          <w:b w:val="1"/>
          <w:bCs w:val="1"/>
          <w:i w:val="1"/>
          <w:iCs w:val="1"/>
          <w:color w:val="auto"/>
        </w:rPr>
        <w:t>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(62,575 )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(68,571 )</w:t>
            </w: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440" w:type="dxa"/>
            <w:vAlign w:val="bottom"/>
            <w:gridSpan w:val="2"/>
          </w:tcPr>
          <w:p>
            <w:pPr>
              <w:jc w:val="right"/>
              <w:ind w:right="128"/>
              <w:spacing w:after="0"/>
              <w:rPr>
                <w:sz w:val="20"/>
                <w:szCs w:val="20"/>
                <w:color w:val="auto"/>
              </w:rPr>
            </w:pPr>
            <w:r>
              <w:rPr>
                <w:rFonts w:ascii="Arial" w:cs="Arial" w:eastAsia="Arial" w:hAnsi="Arial"/>
                <w:sz w:val="18"/>
                <w:szCs w:val="18"/>
                <w:color w:val="auto"/>
              </w:rPr>
              <w:t>(238,630 )</w:t>
            </w:r>
          </w:p>
        </w:tc>
        <w:tc>
          <w:tcPr>
            <w:tcW w:w="5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(212,748 )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280,972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307,768</w:t>
            </w:r>
          </w:p>
        </w:tc>
        <w:tc>
          <w:tcPr>
            <w:tcW w:w="100" w:type="dxa"/>
            <w:vAlign w:val="bottom"/>
            <w:shd w:val="clear" w:color="auto" w:fill="CFF0FC"/>
          </w:tcPr>
          <w:p>
            <w:pPr>
              <w:spacing w:after="0"/>
              <w:rPr>
                <w:sz w:val="21"/>
                <w:szCs w:val="2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637"/>
        <w:spacing w:after="0" w:line="254" w:lineRule="auto"/>
        <w:rPr>
          <w:sz w:val="20"/>
          <w:szCs w:val="20"/>
          <w:color w:val="auto"/>
        </w:rPr>
      </w:pPr>
      <w:r>
        <w:rPr>
          <w:rFonts w:ascii="Arial" w:cs="Arial" w:eastAsia="Arial" w:hAnsi="Arial"/>
          <w:sz w:val="18"/>
          <w:szCs w:val="18"/>
          <w:color w:val="auto"/>
        </w:rPr>
        <w:t>For the year ended December 31, 2022, net cash used in operating activities was $62.6 million, primarily due to a net loss of $(76.0) million adjusted for non-cash charges of $42.9 million and a net decrease in our operating assets and liabilities of $29.5 million. The non-cash adjustments primarily relate to stock-based compensation of $19.2 million, depreciation and amortization of $7.8 million, $7.2 million reduction to our right of use lease assets, donated common stock of $2.3 million, losses on marketable securities of $1.9 million, $1.7 million of amortization of deferred costs on convertible notes and a $1.5 million restructuring charge. The net decrease in operating assets and liabilities is primarily driven by an increase in accounts receivable of $16.9 million primarily due to our continued growth, a $7.0 million increase in other assets, a $1.6 million increase in prepaid expenses and a $5.7 million decrease in lease liabilities.</w:t>
      </w:r>
    </w:p>
    <w:p>
      <w:pPr>
        <w:spacing w:after="0" w:line="152" w:lineRule="exact"/>
        <w:rPr>
          <w:sz w:val="20"/>
          <w:szCs w:val="20"/>
          <w:color w:val="auto"/>
        </w:rPr>
      </w:pPr>
    </w:p>
    <w:p>
      <w:pPr>
        <w:ind w:right="100" w:firstLine="637"/>
        <w:spacing w:after="0" w:line="273" w:lineRule="auto"/>
        <w:rPr>
          <w:sz w:val="20"/>
          <w:szCs w:val="20"/>
          <w:color w:val="auto"/>
        </w:rPr>
      </w:pPr>
      <w:r>
        <w:rPr>
          <w:rFonts w:ascii="Arial" w:cs="Arial" w:eastAsia="Arial" w:hAnsi="Arial"/>
          <w:sz w:val="17"/>
          <w:szCs w:val="17"/>
          <w:color w:val="auto"/>
        </w:rPr>
        <w:t>For the year ended December 31, 2021, net cash used in operating activities was $68.6 million, primarily due to a net loss of $(61.4) million adjusted for non-cash charges of $16.5 million and a net decrease in our operating assets and liabilities of $23.6 million. The non-cash adjustments primarily relate to stock-based compensation of $7.4 million, depreciation and amortization of $3.6 million, donated common stock of $2.2 million and losses on marketable securities of $2.0 million. The net decrease in operating assets and liabilities is primarily driven by an increase in accounts receivable of $11.1 million and prepaid expenses of $4.0 million and a decrease in accrued expenses of $12.0 million and contract liabilities of $1.6 million. These decreases are partially offset by increases in accounts payable of $5.2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637"/>
        <w:spacing w:after="0" w:line="263" w:lineRule="auto"/>
        <w:rPr>
          <w:sz w:val="20"/>
          <w:szCs w:val="20"/>
          <w:color w:val="auto"/>
        </w:rPr>
      </w:pPr>
      <w:r>
        <w:rPr>
          <w:rFonts w:ascii="Arial" w:cs="Arial" w:eastAsia="Arial" w:hAnsi="Arial"/>
          <w:sz w:val="18"/>
          <w:szCs w:val="18"/>
          <w:color w:val="auto"/>
        </w:rPr>
        <w:t>Cash used by investing activities was $238.6 million during the year ended December 31, 2022, primarily due to the purchase of $284.1 million of marketable securities with proceeds from the 2027 Notes issuance and $13.7 million of purchases of property and equipment offset by proceeds of $58.9 million from the sale of marketable securities.</w:t>
      </w:r>
    </w:p>
    <w:p>
      <w:pPr>
        <w:spacing w:after="0" w:line="75" w:lineRule="exact"/>
        <w:rPr>
          <w:sz w:val="20"/>
          <w:szCs w:val="20"/>
          <w:color w:val="auto"/>
        </w:rPr>
      </w:pPr>
    </w:p>
    <w:p>
      <w:pPr>
        <w:ind w:right="200" w:firstLine="637"/>
        <w:spacing w:after="0" w:line="263" w:lineRule="auto"/>
        <w:rPr>
          <w:sz w:val="20"/>
          <w:szCs w:val="20"/>
          <w:color w:val="auto"/>
        </w:rPr>
      </w:pPr>
      <w:r>
        <w:rPr>
          <w:rFonts w:ascii="Arial" w:cs="Arial" w:eastAsia="Arial" w:hAnsi="Arial"/>
          <w:sz w:val="18"/>
          <w:szCs w:val="18"/>
          <w:color w:val="auto"/>
        </w:rPr>
        <w:t>Cash used in investing activities was $212.7 million during the year ended December 31, 2021 primarily due to three business acquisitions completed during 2021 for an aggregate of $174.6 million and the purchase of $267.5 million of marketable securities offset by proceeds from the sale of $235.0 million of marketable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20" w:firstLine="637"/>
        <w:spacing w:after="0" w:line="263" w:lineRule="auto"/>
        <w:rPr>
          <w:sz w:val="20"/>
          <w:szCs w:val="20"/>
          <w:color w:val="auto"/>
        </w:rPr>
      </w:pPr>
      <w:r>
        <w:rPr>
          <w:rFonts w:ascii="Arial" w:cs="Arial" w:eastAsia="Arial" w:hAnsi="Arial"/>
          <w:sz w:val="18"/>
          <w:szCs w:val="18"/>
          <w:color w:val="auto"/>
        </w:rPr>
        <w:t>Cash provided by financing activities was $281.0 million during the year ended December 31, 2022, primarily resulting from $287.5 million of proceeds from the issuance of the 2027 Notes and $3.7 million of proceeds from the exercise of stock options, partially offset by $9.3 million of issuance costs in connection with the issuance of the 2027 Notes.</w:t>
      </w:r>
    </w:p>
    <w:p>
      <w:pPr>
        <w:spacing w:after="0" w:line="75" w:lineRule="exact"/>
        <w:rPr>
          <w:sz w:val="20"/>
          <w:szCs w:val="20"/>
          <w:color w:val="auto"/>
        </w:rPr>
      </w:pPr>
    </w:p>
    <w:p>
      <w:pPr>
        <w:ind w:right="380" w:firstLine="637"/>
        <w:spacing w:after="0" w:line="258" w:lineRule="auto"/>
        <w:rPr>
          <w:sz w:val="20"/>
          <w:szCs w:val="20"/>
          <w:color w:val="auto"/>
        </w:rPr>
      </w:pPr>
      <w:r>
        <w:rPr>
          <w:rFonts w:ascii="Arial" w:cs="Arial" w:eastAsia="Arial" w:hAnsi="Arial"/>
          <w:sz w:val="18"/>
          <w:szCs w:val="18"/>
          <w:color w:val="auto"/>
        </w:rPr>
        <w:t>Cash provided by financing activities was $307.8 million during the year ended December 31, 2021, primarily from the proceeds of our initial public offering of $325.3 million, partially offset by the repayment of term-loan of $16.1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637"/>
        <w:spacing w:after="0" w:line="301" w:lineRule="auto"/>
        <w:rPr>
          <w:sz w:val="20"/>
          <w:szCs w:val="20"/>
          <w:color w:val="auto"/>
        </w:rPr>
      </w:pPr>
      <w:r>
        <w:rPr>
          <w:rFonts w:ascii="Arial" w:cs="Arial" w:eastAsia="Arial" w:hAnsi="Arial"/>
          <w:sz w:val="16"/>
          <w:szCs w:val="16"/>
          <w:color w:val="auto"/>
        </w:rPr>
        <w:t>Our discussion and analysis of financial condition and results of operations are based upon our financial statements included elsewhere in this Annual Report on Form 10-K.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15" w:lineRule="exact"/>
        <w:rPr>
          <w:sz w:val="20"/>
          <w:szCs w:val="20"/>
          <w:color w:val="auto"/>
        </w:rPr>
      </w:pPr>
    </w:p>
    <w:p>
      <w:pPr>
        <w:ind w:right="40" w:firstLine="637"/>
        <w:spacing w:after="0" w:line="256" w:lineRule="auto"/>
        <w:rPr>
          <w:sz w:val="20"/>
          <w:szCs w:val="20"/>
          <w:color w:val="auto"/>
        </w:rPr>
      </w:pPr>
      <w:r>
        <w:rPr>
          <w:rFonts w:ascii="Arial" w:cs="Arial" w:eastAsia="Arial" w:hAnsi="Arial"/>
          <w:sz w:val="18"/>
          <w:szCs w:val="18"/>
          <w:color w:val="auto"/>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25"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4"/>
        <w:spacing w:after="0" w:line="256" w:lineRule="auto"/>
        <w:rPr>
          <w:sz w:val="20"/>
          <w:szCs w:val="20"/>
          <w:color w:val="auto"/>
        </w:rPr>
      </w:pPr>
      <w:r>
        <w:rPr>
          <w:rFonts w:ascii="Arial" w:cs="Arial" w:eastAsia="Arial" w:hAnsi="Arial"/>
          <w:sz w:val="18"/>
          <w:szCs w:val="18"/>
          <w:color w:val="auto"/>
        </w:rPr>
        <w:t>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actual and planned financial performance, that could impact the fair value of our reporting units.</w:t>
      </w:r>
    </w:p>
    <w:p>
      <w:pPr>
        <w:spacing w:after="0" w:line="191" w:lineRule="exact"/>
        <w:rPr>
          <w:sz w:val="20"/>
          <w:szCs w:val="20"/>
          <w:color w:val="auto"/>
        </w:rPr>
      </w:pPr>
    </w:p>
    <w:p>
      <w:pPr>
        <w:jc w:val="both"/>
        <w:ind w:firstLine="644"/>
        <w:spacing w:after="0" w:line="277" w:lineRule="auto"/>
        <w:rPr>
          <w:sz w:val="20"/>
          <w:szCs w:val="20"/>
          <w:color w:val="auto"/>
        </w:rPr>
      </w:pPr>
      <w:r>
        <w:rPr>
          <w:rFonts w:ascii="Arial" w:cs="Arial" w:eastAsia="Arial" w:hAnsi="Arial"/>
          <w:sz w:val="18"/>
          <w:szCs w:val="18"/>
          <w:color w:val="auto"/>
        </w:rPr>
        <w:t>If the results of the annual qualitative assessment conclude that it is not more likely than not that the fair value of a reporting unit exceeds its carrying value, or if interim indicators of impairment are identified, a quantitative impairment test is performed.</w:t>
      </w:r>
    </w:p>
    <w:p>
      <w:pPr>
        <w:spacing w:after="0" w:line="169" w:lineRule="exact"/>
        <w:rPr>
          <w:sz w:val="20"/>
          <w:szCs w:val="20"/>
          <w:color w:val="auto"/>
        </w:rPr>
      </w:pPr>
    </w:p>
    <w:p>
      <w:pPr>
        <w:jc w:val="both"/>
        <w:ind w:firstLine="644"/>
        <w:spacing w:after="0" w:line="269" w:lineRule="auto"/>
        <w:rPr>
          <w:sz w:val="20"/>
          <w:szCs w:val="20"/>
          <w:color w:val="auto"/>
        </w:rPr>
      </w:pPr>
      <w:r>
        <w:rPr>
          <w:rFonts w:ascii="Arial" w:cs="Arial" w:eastAsia="Arial" w:hAnsi="Arial"/>
          <w:sz w:val="17"/>
          <w:szCs w:val="17"/>
          <w:color w:val="auto"/>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discount rates, growth rates, margins and determination of appropriate market comparisons. It is possible that our conclusions regarding impairment of goodwill could change in future periods if, for example, our businesses do not perform as projected or overall economic conditions in future periods vary from current assumptions.</w:t>
      </w:r>
    </w:p>
    <w:p>
      <w:pPr>
        <w:spacing w:after="0" w:line="182"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Our annual goodwill impairment test was performed as of October 1, 2022 using a qualitative assessment, the results of which indicated that it is more likely than not that the fair values of our reporting units exceeded their carrying values. No goodwill asset impairment charges were recorded as a result of our annual impairment test during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assets</w:t>
      </w:r>
    </w:p>
    <w:p>
      <w:pPr>
        <w:spacing w:after="0" w:line="225" w:lineRule="exact"/>
        <w:rPr>
          <w:sz w:val="20"/>
          <w:szCs w:val="20"/>
          <w:color w:val="auto"/>
        </w:rPr>
      </w:pPr>
    </w:p>
    <w:p>
      <w:pPr>
        <w:ind w:right="180" w:firstLine="644"/>
        <w:spacing w:after="0" w:line="311" w:lineRule="auto"/>
        <w:rPr>
          <w:sz w:val="20"/>
          <w:szCs w:val="20"/>
          <w:color w:val="auto"/>
        </w:rPr>
      </w:pPr>
      <w:r>
        <w:rPr>
          <w:rFonts w:ascii="Arial" w:cs="Arial" w:eastAsia="Arial" w:hAnsi="Arial"/>
          <w:sz w:val="16"/>
          <w:szCs w:val="16"/>
          <w:color w:val="auto"/>
        </w:rPr>
        <w:t>Most of our identifiable intangible assets were recognized as part of business combinations we executed in prior periods.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spacing w:after="0" w:line="148" w:lineRule="exact"/>
        <w:rPr>
          <w:sz w:val="20"/>
          <w:szCs w:val="20"/>
          <w:color w:val="auto"/>
        </w:rPr>
      </w:pPr>
    </w:p>
    <w:p>
      <w:pPr>
        <w:ind w:right="60" w:firstLine="644"/>
        <w:spacing w:after="0" w:line="275" w:lineRule="auto"/>
        <w:rPr>
          <w:sz w:val="20"/>
          <w:szCs w:val="20"/>
          <w:color w:val="auto"/>
        </w:rPr>
      </w:pPr>
      <w:r>
        <w:rPr>
          <w:rFonts w:ascii="Arial" w:cs="Arial" w:eastAsia="Arial" w:hAnsi="Arial"/>
          <w:sz w:val="17"/>
          <w:szCs w:val="17"/>
          <w:color w:val="auto"/>
        </w:rPr>
        <w:t>Our determination of the fair value of the intangible assets acquired involves the use of significant estimates and assumptions. Refer to our the “Business Combinations” disclosure below. We believe that the fair value assigned to the assets acquired and liabilities assumed are based on reasonable assumptions and estimates that a market participant would have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ind w:right="100" w:firstLine="644"/>
        <w:spacing w:after="0" w:line="301" w:lineRule="auto"/>
        <w:rPr>
          <w:sz w:val="20"/>
          <w:szCs w:val="20"/>
          <w:color w:val="auto"/>
        </w:rPr>
      </w:pPr>
      <w:r>
        <w:rPr>
          <w:rFonts w:ascii="Arial" w:cs="Arial" w:eastAsia="Arial" w:hAnsi="Arial"/>
          <w:sz w:val="16"/>
          <w:szCs w:val="16"/>
          <w:color w:val="auto"/>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 changes in the manner of our use of the assets or the strategy of our overall business, certain restructuring initiatives, significant negative industry or economic trends and significant decline in our share price for a sustained period.</w:t>
      </w:r>
    </w:p>
    <w:p>
      <w:pPr>
        <w:spacing w:after="0" w:line="156" w:lineRule="exact"/>
        <w:rPr>
          <w:sz w:val="20"/>
          <w:szCs w:val="20"/>
          <w:color w:val="auto"/>
        </w:rPr>
      </w:pPr>
    </w:p>
    <w:p>
      <w:pPr>
        <w:ind w:right="300" w:firstLine="644"/>
        <w:spacing w:after="0" w:line="263" w:lineRule="auto"/>
        <w:rPr>
          <w:sz w:val="20"/>
          <w:szCs w:val="20"/>
          <w:color w:val="auto"/>
        </w:rPr>
      </w:pPr>
      <w:r>
        <w:rPr>
          <w:rFonts w:ascii="Arial" w:cs="Arial" w:eastAsia="Arial" w:hAnsi="Arial"/>
          <w:sz w:val="18"/>
          <w:szCs w:val="18"/>
          <w:color w:val="auto"/>
        </w:rPr>
        <w:t>When such events or changes in circumstances occur, we compare the carrying amounts of the asset or assets groups with their respective estimated undiscounted future cash flows. If the asset or assets group are determined to be impaired, an impairment charge is recorded in the amount by which the carrying amount of the asset or assets group exceed their fair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ind w:right="20" w:firstLine="637"/>
        <w:spacing w:after="0" w:line="267" w:lineRule="auto"/>
        <w:rPr>
          <w:sz w:val="20"/>
          <w:szCs w:val="20"/>
          <w:color w:val="auto"/>
        </w:rPr>
      </w:pPr>
      <w:r>
        <w:rPr>
          <w:rFonts w:ascii="Arial" w:cs="Arial" w:eastAsia="Arial" w:hAnsi="Arial"/>
          <w:sz w:val="17"/>
          <w:szCs w:val="17"/>
          <w:color w:val="auto"/>
        </w:rPr>
        <w:t>During the fourth quarter of 2021, we acquired three businesses that we accounted for as business combinations. 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and goodwill acquired include but are not limited to future (i) expected cash flows from acquired customer relationships, (ii) attrition, (iii) gross profit and (iv) discount rate. To the extent our estimates and assumptions change during the measurement period, the fair value of the acquired intangible asset and goodwill could change materially.</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Accounting Pronouncements</w:t>
      </w:r>
    </w:p>
    <w:p>
      <w:pPr>
        <w:spacing w:after="0" w:line="210" w:lineRule="exact"/>
        <w:rPr>
          <w:sz w:val="20"/>
          <w:szCs w:val="20"/>
          <w:color w:val="auto"/>
        </w:rPr>
      </w:pPr>
    </w:p>
    <w:p>
      <w:pPr>
        <w:ind w:right="360" w:firstLine="637"/>
        <w:spacing w:after="0" w:line="277" w:lineRule="auto"/>
        <w:rPr>
          <w:sz w:val="20"/>
          <w:szCs w:val="20"/>
          <w:color w:val="auto"/>
        </w:rPr>
      </w:pPr>
      <w:r>
        <w:rPr>
          <w:rFonts w:ascii="Arial" w:cs="Arial" w:eastAsia="Arial" w:hAnsi="Arial"/>
          <w:sz w:val="18"/>
          <w:szCs w:val="18"/>
          <w:color w:val="auto"/>
        </w:rPr>
        <w:t>For information on recently issued accounting pronouncements, see Note 2 to our consolidated financial statements included elsewhere in this Annual Report on Form 10-K.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4"/>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380" w:firstLine="637"/>
        <w:spacing w:after="0" w:line="263"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could be impacted by changes in exchange rates.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80" w:firstLine="637"/>
        <w:spacing w:after="0" w:line="270"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Page(s)</w:t>
            </w:r>
          </w:p>
        </w:tc>
        <w:tc>
          <w:tcPr>
            <w:tcW w:w="20" w:type="dxa"/>
            <w:vAlign w:val="bottom"/>
          </w:tcPr>
          <w:p>
            <w:pPr>
              <w:spacing w:after="0"/>
              <w:rPr>
                <w:sz w:val="14"/>
                <w:szCs w:val="14"/>
                <w:color w:val="auto"/>
              </w:rPr>
            </w:pPr>
          </w:p>
        </w:tc>
      </w:tr>
      <w:tr>
        <w:trPr>
          <w:trHeight w:val="479"/>
        </w:trPr>
        <w:tc>
          <w:tcPr>
            <w:tcW w:w="2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1"/>
              </w:rPr>
              <w:t>Reports of Independent Registered Public Accounting Firm</w:t>
            </w:r>
          </w:p>
        </w:tc>
        <w:tc>
          <w:tcPr>
            <w:tcW w:w="59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Balance Sheets</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7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Convertible Preferred Stock and Stockholders’ Equity (Deficit)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Schedule II - Valuation and Qualifying Accounts</w:t>
            </w:r>
          </w:p>
        </w:tc>
        <w:tc>
          <w:tcPr>
            <w:tcW w:w="6760" w:type="dxa"/>
            <w:vAlign w:val="bottom"/>
            <w:gridSpan w:val="4"/>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r>
      <w:tr>
        <w:trPr>
          <w:trHeight w:val="722"/>
        </w:trPr>
        <w:tc>
          <w:tcPr>
            <w:tcW w:w="7880" w:type="dxa"/>
            <w:vAlign w:val="bottom"/>
            <w:gridSpan w:val="9"/>
          </w:tcPr>
          <w:p>
            <w:pPr>
              <w:jc w:val="right"/>
              <w:ind w:right="2160"/>
              <w:spacing w:after="0"/>
              <w:rPr>
                <w:sz w:val="20"/>
                <w:szCs w:val="20"/>
                <w:color w:val="auto"/>
              </w:rPr>
            </w:pPr>
            <w:r>
              <w:rPr>
                <w:rFonts w:ascii="Arial" w:cs="Arial" w:eastAsia="Arial" w:hAnsi="Arial"/>
                <w:sz w:val="18"/>
                <w:szCs w:val="18"/>
                <w:color w:val="auto"/>
              </w:rPr>
              <w:t>59</w:t>
            </w: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Xometry,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Consolidated Financial Statements</w:t>
      </w:r>
    </w:p>
    <w:p>
      <w:pPr>
        <w:spacing w:after="0" w:line="9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audited the accompanying consolidated balance sheets of Xometry, Inc. and subsidiaries (the Company) as of December 31, 2022 and 2021, the related consolidated statements of operations and comprehensive loss, changes in convertible preferred stock and stockholders’ equity (deficit), and cash flows for each of the years in the three-year period ended December 31, 2022, and the related notes and financial statement schedule, Schedule II - Valuation and Qualifying Accounts,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5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16, 2023 expressed an adverse opinion on the effectiveness of the Company’s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99"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Critical Audit Matter</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Evaluation of goodwill triggering events for the U.S. reporting unit</w:t>
      </w:r>
    </w:p>
    <w:p>
      <w:pPr>
        <w:spacing w:after="0" w:line="99" w:lineRule="exact"/>
        <w:rPr>
          <w:sz w:val="20"/>
          <w:szCs w:val="20"/>
          <w:color w:val="auto"/>
        </w:rPr>
      </w:pPr>
    </w:p>
    <w:p>
      <w:pPr>
        <w:jc w:val="both"/>
        <w:ind w:left="520"/>
        <w:spacing w:after="0" w:line="278" w:lineRule="auto"/>
        <w:rPr>
          <w:sz w:val="20"/>
          <w:szCs w:val="20"/>
          <w:color w:val="auto"/>
        </w:rPr>
      </w:pPr>
      <w:r>
        <w:rPr>
          <w:rFonts w:ascii="Arial" w:cs="Arial" w:eastAsia="Arial" w:hAnsi="Arial"/>
          <w:sz w:val="16"/>
          <w:szCs w:val="16"/>
          <w:color w:val="auto"/>
        </w:rPr>
        <w:t>As discussed in Notes 2, 13 and 17 to the consolidated financial statements, the goodwill balance as of December 31, 2022 was $258.0 million, all of which relates to the U.S. reporting unit. The Company tests goodwill for impairment annually in the fourth quarter, or more frequently if events or changes in circumstances indicate that the carrying value of a reporting unit, including goodwill, might be impaired.</w:t>
      </w:r>
    </w:p>
    <w:p>
      <w:pPr>
        <w:spacing w:after="0" w:line="48" w:lineRule="exact"/>
        <w:rPr>
          <w:sz w:val="20"/>
          <w:szCs w:val="20"/>
          <w:color w:val="auto"/>
        </w:rPr>
      </w:pPr>
    </w:p>
    <w:p>
      <w:pPr>
        <w:ind w:left="520" w:right="120"/>
        <w:spacing w:after="0" w:line="297" w:lineRule="auto"/>
        <w:rPr>
          <w:sz w:val="20"/>
          <w:szCs w:val="20"/>
          <w:color w:val="auto"/>
        </w:rPr>
      </w:pPr>
      <w:r>
        <w:rPr>
          <w:rFonts w:ascii="Arial" w:cs="Arial" w:eastAsia="Arial" w:hAnsi="Arial"/>
          <w:sz w:val="15"/>
          <w:szCs w:val="15"/>
          <w:color w:val="auto"/>
        </w:rPr>
        <w:t>We identified the evaluation of the Company’s assessment of goodwill triggering events for the U.S. reporting unit as a critical audit matter. Subjective auditor judgment was required to evaluate the Company’s assessment of potential triggering events such as macroeconomic conditions, industry and market considerations, historical and forecasted financial results, market capitalization and events specific to the entity. Possible goodwill triggering events could have had a significant effect on the Company’s determination of whether further quantitative analysis of the reporting unit’s fair value was required.</w:t>
      </w:r>
    </w:p>
    <w:p>
      <w:pPr>
        <w:spacing w:after="0" w:line="36" w:lineRule="exact"/>
        <w:rPr>
          <w:sz w:val="20"/>
          <w:szCs w:val="20"/>
          <w:color w:val="auto"/>
        </w:rPr>
      </w:pPr>
    </w:p>
    <w:p>
      <w:pPr>
        <w:ind w:left="520" w:right="60"/>
        <w:spacing w:after="0" w:line="268"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an internal control related to the Company’s goodwill impairment assessment process, including the evaluation of potential triggering events. We evaluated the Company’s assessment by comparing actual financial performance of the reporting unit to historical projections of cash flows and assessed whether, and to what extent, the decline in the Company’s market capitalization was indicative of a decline in the fair value of the reporting unit. We evaluated the Company’s assessment of identified entity-specific events against our knowledge of entity-specific events impacting the reporting unit that we obtained through other audit procedures. We evaluated the Company’s assessment of identified macroeconomic conditions and industry and market considerations by comparing them to publicly available macroeconomic, industry and market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2015.</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Xometry,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Opinion on Internal Control Over Financial Reporting</w:t>
      </w:r>
    </w:p>
    <w:p>
      <w:pPr>
        <w:spacing w:after="0" w:line="22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 xml:space="preserve">We have audited Xometry, Inc. and subsidiaries' (the Company) internal control over financial reporting as of December 31, 2022,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In our opinion, because of the effect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weakness, described below, on the achievement of the objectives of the control criteria, the Company has not maintained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changes in convertible preferred stock and stockholders’ equity (deficit), and cash flows for each of the years in the three-year period ended December 31, 2022, and the related notes and financial statement schedule, Schedule II - Valuation and Qualifying Accounts, (collectively, the consolidated financial statements), and our report dated March 16, 2023 expressed an unqualified opinion on those consolidated financial statements.</w:t>
      </w:r>
    </w:p>
    <w:p>
      <w:pPr>
        <w:spacing w:after="0" w:line="53"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related to the Company’s inability to timely perform an effective risk assessment related to the achievement of its control objectives in certain processes, primarily revenue and costs of revenue, has been identified and included in management’s assessment. The material weakness was considered in determining the nature, timing, and extent of audit tests applied in our audit of the 2022 consolidated financial statements, and this report does not affect our report on those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Definition and Limitations of Internal Control Over Financial Reporting</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2015.</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69"/>
        </w:trPr>
        <w:tc>
          <w:tcPr>
            <w:tcW w:w="85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5"/>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253,770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30,465</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less allowance for credit losses of $2.0 million and $0.8 million as of December 31, 2022 and 2021, respectively.</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49,188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32,427</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6,664</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5"/>
                <w:szCs w:val="15"/>
                <w:color w:val="auto"/>
              </w:rPr>
            </w:pPr>
          </w:p>
        </w:tc>
      </w:tr>
      <w:tr>
        <w:trPr>
          <w:trHeight w:val="169"/>
        </w:trPr>
        <w:tc>
          <w:tcPr>
            <w:tcW w:w="85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390,055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163,431</w:t>
            </w:r>
          </w:p>
        </w:tc>
        <w:tc>
          <w:tcPr>
            <w:tcW w:w="100" w:type="dxa"/>
            <w:vAlign w:val="bottom"/>
            <w:shd w:val="clear" w:color="auto" w:fill="CFF0FC"/>
          </w:tcPr>
          <w:p>
            <w:pPr>
              <w:spacing w:after="0"/>
              <w:rPr>
                <w:sz w:val="14"/>
                <w:szCs w:val="14"/>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27,489</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39,351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41,736</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258,036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254,672</w:t>
            </w:r>
          </w:p>
        </w:tc>
        <w:tc>
          <w:tcPr>
            <w:tcW w:w="100" w:type="dxa"/>
            <w:vAlign w:val="bottom"/>
          </w:tcPr>
          <w:p>
            <w:pPr>
              <w:spacing w:after="0"/>
              <w:rPr>
                <w:sz w:val="15"/>
                <w:szCs w:val="15"/>
                <w:color w:val="auto"/>
              </w:rPr>
            </w:pPr>
          </w:p>
        </w:tc>
      </w:tr>
      <w:tr>
        <w:trPr>
          <w:trHeight w:val="175"/>
        </w:trPr>
        <w:tc>
          <w:tcPr>
            <w:tcW w:w="8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40" w:type="dxa"/>
            <w:vAlign w:val="bottom"/>
          </w:tcPr>
          <w:p>
            <w:pPr>
              <w:ind w:left="38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736,925</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502,586</w:t>
            </w:r>
          </w:p>
        </w:tc>
        <w:tc>
          <w:tcPr>
            <w:tcW w:w="100" w:type="dxa"/>
            <w:vAlign w:val="bottom"/>
          </w:tcPr>
          <w:p>
            <w:pPr>
              <w:spacing w:after="0"/>
              <w:rPr>
                <w:sz w:val="14"/>
                <w:szCs w:val="14"/>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12,437</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12,718</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30,905</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7,863</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r>
      <w:tr>
        <w:trPr>
          <w:trHeight w:val="169"/>
        </w:trPr>
        <w:tc>
          <w:tcPr>
            <w:tcW w:w="85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63,803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57,037</w:t>
            </w:r>
          </w:p>
        </w:tc>
        <w:tc>
          <w:tcPr>
            <w:tcW w:w="100" w:type="dxa"/>
            <w:vAlign w:val="bottom"/>
            <w:shd w:val="clear" w:color="auto" w:fill="CFF0FC"/>
          </w:tcPr>
          <w:p>
            <w:pPr>
              <w:spacing w:after="0"/>
              <w:rPr>
                <w:sz w:val="14"/>
                <w:szCs w:val="14"/>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Convertible notes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279,909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16,920</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Long term income taxes payable</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5"/>
                <w:szCs w:val="15"/>
                <w:color w:val="auto"/>
              </w:rPr>
            </w:pPr>
          </w:p>
        </w:tc>
      </w:tr>
      <w:tr>
        <w:trPr>
          <w:trHeight w:val="169"/>
        </w:trPr>
        <w:tc>
          <w:tcPr>
            <w:tcW w:w="8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362,092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77,103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8540" w:type="dxa"/>
            <w:vAlign w:val="bottom"/>
          </w:tcPr>
          <w:p>
            <w:pPr>
              <w:ind w:left="200"/>
              <w:spacing w:after="0" w:line="143" w:lineRule="exact"/>
              <w:rPr>
                <w:sz w:val="20"/>
                <w:szCs w:val="20"/>
                <w:color w:val="auto"/>
              </w:rPr>
            </w:pPr>
            <w:r>
              <w:rPr>
                <w:rFonts w:ascii="Arial" w:cs="Arial" w:eastAsia="Arial" w:hAnsi="Arial"/>
                <w:sz w:val="14"/>
                <w:szCs w:val="14"/>
                <w:color w:val="auto"/>
                <w:w w:val="94"/>
              </w:rPr>
              <w:t>Preferred stock, $0.000001 par value. Authorized; 50,000,000 shares; zero shares issued and outstanding as of December 31, 2022 and 2021,</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854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85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Common stock, $0.000001 par value. Authorized; 750,000,000 shares; 44,822,264 shares and 43,998,404 shares issued and</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outstanding as of December 31, 2022 and 2021, respectively</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8540" w:type="dxa"/>
            <w:vAlign w:val="bottom"/>
          </w:tcPr>
          <w:p>
            <w:pPr>
              <w:ind w:left="200"/>
              <w:spacing w:after="0" w:line="143" w:lineRule="exact"/>
              <w:rPr>
                <w:sz w:val="20"/>
                <w:szCs w:val="20"/>
                <w:color w:val="auto"/>
              </w:rPr>
            </w:pPr>
            <w:r>
              <w:rPr>
                <w:rFonts w:ascii="Arial" w:cs="Arial" w:eastAsia="Arial" w:hAnsi="Arial"/>
                <w:sz w:val="14"/>
                <w:szCs w:val="14"/>
                <w:color w:val="auto"/>
                <w:w w:val="96"/>
              </w:rPr>
              <w:t>Class B Common stock, $0.000001 par value. Authorized; 5,000,000 shares; 2,676,154 shares issued and outstanding as of December 31,</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8540" w:type="dxa"/>
            <w:vAlign w:val="bottom"/>
          </w:tcPr>
          <w:p>
            <w:pPr>
              <w:ind w:left="200"/>
              <w:spacing w:after="0"/>
              <w:rPr>
                <w:sz w:val="20"/>
                <w:szCs w:val="20"/>
                <w:color w:val="auto"/>
              </w:rPr>
            </w:pPr>
            <w:r>
              <w:rPr>
                <w:rFonts w:ascii="Arial" w:cs="Arial" w:eastAsia="Arial" w:hAnsi="Arial"/>
                <w:sz w:val="14"/>
                <w:szCs w:val="14"/>
                <w:color w:val="auto"/>
              </w:rPr>
              <w:t>2022 and 2021, respectively</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623,081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597,641</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(loss)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(249,366 )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(173,341 )</w:t>
            </w:r>
          </w:p>
        </w:tc>
      </w:tr>
      <w:tr>
        <w:trPr>
          <w:trHeight w:val="169"/>
        </w:trPr>
        <w:tc>
          <w:tcPr>
            <w:tcW w:w="85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373,743</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424,449</w:t>
            </w:r>
          </w:p>
        </w:tc>
        <w:tc>
          <w:tcPr>
            <w:tcW w:w="100" w:type="dxa"/>
            <w:vAlign w:val="bottom"/>
            <w:tcBorders>
              <w:top w:val="single" w:sz="8" w:color="CFF0FC"/>
            </w:tcBorders>
          </w:tcPr>
          <w:p>
            <w:pPr>
              <w:spacing w:after="0"/>
              <w:rPr>
                <w:sz w:val="14"/>
                <w:szCs w:val="14"/>
                <w:color w:val="auto"/>
              </w:rPr>
            </w:pPr>
          </w:p>
        </w:tc>
      </w:tr>
      <w:tr>
        <w:trPr>
          <w:trHeight w:val="175"/>
        </w:trPr>
        <w:tc>
          <w:tcPr>
            <w:tcW w:w="8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40" w:type="dxa"/>
            <w:vAlign w:val="bottom"/>
          </w:tcPr>
          <w:p>
            <w:pPr>
              <w:ind w:left="380"/>
              <w:spacing w:after="0"/>
              <w:rPr>
                <w:sz w:val="20"/>
                <w:szCs w:val="20"/>
                <w:color w:val="auto"/>
              </w:rPr>
            </w:pPr>
            <w:r>
              <w:rPr>
                <w:rFonts w:ascii="Arial" w:cs="Arial" w:eastAsia="Arial" w:hAnsi="Arial"/>
                <w:sz w:val="14"/>
                <w:szCs w:val="14"/>
                <w:b w:val="1"/>
                <w:bCs w:val="1"/>
                <w:color w:val="auto"/>
              </w:rPr>
              <w:t>Total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425,483</w:t>
            </w:r>
          </w:p>
        </w:tc>
        <w:tc>
          <w:tcPr>
            <w:tcW w:w="100" w:type="dxa"/>
            <w:vAlign w:val="bottom"/>
          </w:tcPr>
          <w:p>
            <w:pPr>
              <w:spacing w:after="0"/>
              <w:rPr>
                <w:sz w:val="14"/>
                <w:szCs w:val="14"/>
                <w:color w:val="auto"/>
              </w:rPr>
            </w:pPr>
          </w:p>
        </w:tc>
      </w:tr>
      <w:tr>
        <w:trPr>
          <w:trHeight w:val="209"/>
        </w:trPr>
        <w:tc>
          <w:tcPr>
            <w:tcW w:w="8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736,925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-3509645</wp:posOffset>
            </wp:positionV>
            <wp:extent cx="6858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-3509645</wp:posOffset>
            </wp:positionV>
            <wp:extent cx="685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-1677670</wp:posOffset>
            </wp:positionV>
            <wp:extent cx="6858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-495935</wp:posOffset>
            </wp:positionV>
            <wp:extent cx="6858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-264795</wp:posOffset>
            </wp:positionV>
            <wp:extent cx="6858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Statements of Operations and Comprehensive Loss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Gross profit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Sales and marketing</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Operations and support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development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Impairment of assets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operating expenses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Loss from operations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(expenses) income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and dividend income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from unconsolidated joint venture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other income (expenses)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Loss before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Net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Deemed dividend to preferred stockholders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Year Ended</w:t>
      </w:r>
    </w:p>
    <w:p>
      <w:pPr>
        <w:jc w:val="center"/>
        <w:ind w:right="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056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480"/>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381,053</w:t>
            </w:r>
          </w:p>
        </w:tc>
        <w:tc>
          <w:tcPr>
            <w:tcW w:w="30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218,336</w:t>
            </w:r>
          </w:p>
        </w:tc>
        <w:tc>
          <w:tcPr>
            <w:tcW w:w="2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141,406</w:t>
            </w:r>
          </w:p>
        </w:tc>
        <w:tc>
          <w:tcPr>
            <w:tcW w:w="60" w:type="dxa"/>
            <w:vAlign w:val="bottom"/>
          </w:tcPr>
          <w:p>
            <w:pPr>
              <w:spacing w:after="0"/>
              <w:rPr>
                <w:sz w:val="24"/>
                <w:szCs w:val="24"/>
                <w:color w:val="auto"/>
              </w:rPr>
            </w:pPr>
          </w:p>
        </w:tc>
      </w:tr>
      <w:tr>
        <w:trPr>
          <w:trHeight w:val="228"/>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233,487</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161,195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108,120</w:t>
            </w:r>
          </w:p>
        </w:tc>
        <w:tc>
          <w:tcPr>
            <w:tcW w:w="60" w:type="dxa"/>
            <w:vAlign w:val="bottom"/>
          </w:tcPr>
          <w:p>
            <w:pPr>
              <w:spacing w:after="0"/>
              <w:rPr>
                <w:sz w:val="19"/>
                <w:szCs w:val="19"/>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147,566</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33,286</w:t>
            </w:r>
          </w:p>
        </w:tc>
        <w:tc>
          <w:tcPr>
            <w:tcW w:w="60" w:type="dxa"/>
            <w:vAlign w:val="bottom"/>
          </w:tcPr>
          <w:p>
            <w:pPr>
              <w:spacing w:after="0"/>
              <w:rPr>
                <w:sz w:val="19"/>
                <w:szCs w:val="19"/>
                <w:color w:val="auto"/>
              </w:rPr>
            </w:pPr>
          </w:p>
        </w:tc>
      </w:tr>
      <w:tr>
        <w:trPr>
          <w:trHeight w:val="238"/>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83,222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39,422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22,567</w:t>
            </w: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48,572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14,111</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31,013</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17,780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12,186</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57,992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34,942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12,046</w:t>
            </w:r>
          </w:p>
        </w:tc>
        <w:tc>
          <w:tcPr>
            <w:tcW w:w="60" w:type="dxa"/>
            <w:vAlign w:val="bottom"/>
          </w:tcPr>
          <w:p>
            <w:pPr>
              <w:spacing w:after="0"/>
              <w:rPr>
                <w:sz w:val="21"/>
                <w:szCs w:val="21"/>
                <w:color w:val="auto"/>
              </w:rPr>
            </w:pPr>
          </w:p>
        </w:tc>
      </w:tr>
      <w:tr>
        <w:trPr>
          <w:trHeight w:val="228"/>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1,592</w:t>
            </w:r>
          </w:p>
        </w:tc>
        <w:tc>
          <w:tcPr>
            <w:tcW w:w="60" w:type="dxa"/>
            <w:vAlign w:val="bottom"/>
          </w:tcPr>
          <w:p>
            <w:pPr>
              <w:spacing w:after="0"/>
              <w:rPr>
                <w:sz w:val="19"/>
                <w:szCs w:val="19"/>
                <w:color w:val="auto"/>
              </w:rPr>
            </w:pP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221,623</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115,827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62,502</w:t>
            </w:r>
          </w:p>
        </w:tc>
        <w:tc>
          <w:tcPr>
            <w:tcW w:w="60" w:type="dxa"/>
            <w:vAlign w:val="bottom"/>
          </w:tcPr>
          <w:p>
            <w:pPr>
              <w:spacing w:after="0"/>
              <w:rPr>
                <w:sz w:val="19"/>
                <w:szCs w:val="19"/>
                <w:color w:val="auto"/>
              </w:rPr>
            </w:pPr>
          </w:p>
        </w:tc>
      </w:tr>
      <w:tr>
        <w:trPr>
          <w:trHeight w:val="238"/>
        </w:trPr>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(74,057 )</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(58,686 )</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(29,216 )</w:t>
            </w:r>
          </w:p>
        </w:tc>
      </w:tr>
      <w:tr>
        <w:trPr>
          <w:trHeight w:val="485"/>
        </w:trPr>
        <w:tc>
          <w:tcPr>
            <w:tcW w:w="3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(4,418 )</w:t>
            </w:r>
          </w:p>
        </w:tc>
        <w:tc>
          <w:tcPr>
            <w:tcW w:w="3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(852 )</w:t>
            </w:r>
          </w:p>
        </w:tc>
        <w:tc>
          <w:tcPr>
            <w:tcW w:w="3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(1,089 )</w:t>
            </w: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4,115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(2,183 )</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(2,866 )</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(780 )</w:t>
            </w:r>
          </w:p>
        </w:tc>
      </w:tr>
      <w:tr>
        <w:trPr>
          <w:trHeight w:val="228"/>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(1,916 )</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(2,695 )</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(1,869 )</w:t>
            </w:r>
          </w:p>
        </w:tc>
      </w:tr>
      <w:tr>
        <w:trPr>
          <w:trHeight w:val="20"/>
        </w:trPr>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(75,973 )</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(61,381 )</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(31,085 )</w:t>
            </w:r>
          </w:p>
        </w:tc>
      </w:tr>
      <w:tr>
        <w:trPr>
          <w:trHeight w:val="228"/>
        </w:trPr>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(36 )</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(76,009 )</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(61,381 )</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(31,085 )</w:t>
            </w:r>
          </w:p>
        </w:tc>
      </w:tr>
      <w:tr>
        <w:trPr>
          <w:trHeight w:val="239"/>
        </w:trPr>
        <w:tc>
          <w:tcPr>
            <w:tcW w:w="3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(8,801 )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-3080385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-2772410</wp:posOffset>
            </wp:positionV>
            <wp:extent cx="7132320" cy="4622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-2155825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-1847850</wp:posOffset>
            </wp:positionV>
            <wp:extent cx="7132320" cy="462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-1231265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-922655</wp:posOffset>
            </wp:positionV>
            <wp:extent cx="7132320" cy="462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-306070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4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(2 )</w:t>
            </w:r>
          </w:p>
        </w:tc>
        <w:tc>
          <w:tcPr>
            <w:tcW w:w="4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(76,025 )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(61,379 )</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(39,886 )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per share, basic and diluted</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(1.61 )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(2.33 )</w:t>
            </w: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(5.32 )</w:t>
            </w:r>
          </w:p>
        </w:tc>
        <w:tc>
          <w:tcPr>
            <w:tcW w:w="0" w:type="dxa"/>
            <w:vAlign w:val="bottom"/>
          </w:tcPr>
          <w:p>
            <w:pPr>
              <w:spacing w:after="0"/>
              <w:rPr>
                <w:sz w:val="1"/>
                <w:szCs w:val="1"/>
                <w:color w:val="auto"/>
              </w:rPr>
            </w:pPr>
          </w:p>
        </w:tc>
      </w:tr>
      <w:tr>
        <w:trPr>
          <w:trHeight w:val="124"/>
        </w:trPr>
        <w:tc>
          <w:tcPr>
            <w:tcW w:w="6320" w:type="dxa"/>
            <w:vAlign w:val="bottom"/>
            <w:tcBorders>
              <w:top w:val="single" w:sz="8" w:color="CFF0FC"/>
            </w:tcBorders>
          </w:tcPr>
          <w:p>
            <w:pPr>
              <w:ind w:left="20"/>
              <w:spacing w:after="0" w:line="124" w:lineRule="exact"/>
              <w:rPr>
                <w:sz w:val="20"/>
                <w:szCs w:val="20"/>
                <w:color w:val="auto"/>
              </w:rPr>
            </w:pPr>
            <w:r>
              <w:rPr>
                <w:rFonts w:ascii="Arial" w:cs="Arial" w:eastAsia="Arial" w:hAnsi="Arial"/>
                <w:sz w:val="14"/>
                <w:szCs w:val="14"/>
                <w:color w:val="auto"/>
              </w:rPr>
              <w:t>Weighted-average number of shares outstanding used to compute</w:t>
            </w: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47,158,247</w:t>
            </w:r>
          </w:p>
        </w:tc>
        <w:tc>
          <w:tcPr>
            <w:tcW w:w="30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26,318,349</w:t>
            </w:r>
          </w:p>
        </w:tc>
        <w:tc>
          <w:tcPr>
            <w:tcW w:w="24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7,492,876</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320" w:type="dxa"/>
            <w:vAlign w:val="bottom"/>
          </w:tcPr>
          <w:p>
            <w:pPr>
              <w:ind w:left="120"/>
              <w:spacing w:after="0" w:line="120" w:lineRule="exact"/>
              <w:rPr>
                <w:sz w:val="20"/>
                <w:szCs w:val="20"/>
                <w:color w:val="auto"/>
              </w:rPr>
            </w:pPr>
            <w:r>
              <w:rPr>
                <w:rFonts w:ascii="Arial" w:cs="Arial" w:eastAsia="Arial" w:hAnsi="Arial"/>
                <w:sz w:val="13"/>
                <w:szCs w:val="13"/>
                <w:color w:val="auto"/>
              </w:rPr>
              <w:t>net loss per share, basic and diluted</w:t>
            </w: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32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(81 )</w:t>
            </w: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(61 )</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other comprehensive (loss) income</w:t>
            </w:r>
          </w:p>
        </w:tc>
        <w:tc>
          <w:tcPr>
            <w:tcW w:w="4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(81 )</w:t>
            </w:r>
          </w:p>
        </w:tc>
        <w:tc>
          <w:tcPr>
            <w:tcW w:w="4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(61 )</w:t>
            </w:r>
          </w:p>
        </w:tc>
        <w:tc>
          <w:tcPr>
            <w:tcW w:w="4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420" w:type="dxa"/>
            <w:vAlign w:val="bottom"/>
          </w:tcPr>
          <w:p>
            <w:pPr>
              <w:spacing w:after="0"/>
              <w:rPr>
                <w:sz w:val="15"/>
                <w:szCs w:val="15"/>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(76,009 )</w:t>
            </w:r>
          </w:p>
        </w:tc>
        <w:tc>
          <w:tcPr>
            <w:tcW w:w="4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(61,381 )</w:t>
            </w:r>
          </w:p>
        </w:tc>
        <w:tc>
          <w:tcPr>
            <w:tcW w:w="480" w:type="dxa"/>
            <w:vAlign w:val="bottom"/>
          </w:tcPr>
          <w:p>
            <w:pPr>
              <w:spacing w:after="0"/>
              <w:rPr>
                <w:sz w:val="15"/>
                <w:szCs w:val="15"/>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(31,085 )</w:t>
            </w:r>
          </w:p>
        </w:tc>
        <w:tc>
          <w:tcPr>
            <w:tcW w:w="0" w:type="dxa"/>
            <w:vAlign w:val="bottom"/>
          </w:tcPr>
          <w:p>
            <w:pPr>
              <w:spacing w:after="0"/>
              <w:rPr>
                <w:sz w:val="1"/>
                <w:szCs w:val="1"/>
                <w:color w:val="auto"/>
              </w:rPr>
            </w:pPr>
          </w:p>
        </w:tc>
      </w:tr>
      <w:tr>
        <w:trPr>
          <w:trHeight w:val="43"/>
        </w:trPr>
        <w:tc>
          <w:tcPr>
            <w:tcW w:w="6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Comprehensive loss</w:t>
            </w:r>
          </w:p>
        </w:tc>
        <w:tc>
          <w:tcPr>
            <w:tcW w:w="4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(76,090 )</w:t>
            </w:r>
          </w:p>
        </w:tc>
        <w:tc>
          <w:tcPr>
            <w:tcW w:w="4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(61,442 )</w:t>
            </w:r>
          </w:p>
        </w:tc>
        <w:tc>
          <w:tcPr>
            <w:tcW w:w="4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(30,875 )</w:t>
            </w:r>
          </w:p>
        </w:tc>
        <w:tc>
          <w:tcPr>
            <w:tcW w:w="0" w:type="dxa"/>
            <w:vAlign w:val="bottom"/>
          </w:tcPr>
          <w:p>
            <w:pPr>
              <w:spacing w:after="0"/>
              <w:rPr>
                <w:sz w:val="1"/>
                <w:szCs w:val="1"/>
                <w:color w:val="auto"/>
              </w:rPr>
            </w:pPr>
          </w:p>
        </w:tc>
      </w:tr>
      <w:tr>
        <w:trPr>
          <w:trHeight w:val="182"/>
        </w:trPr>
        <w:tc>
          <w:tcPr>
            <w:tcW w:w="6320" w:type="dxa"/>
            <w:vAlign w:val="bottom"/>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4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(76,146 )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(61,442 )</w:t>
            </w: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(30,875 )</w:t>
            </w: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-1908810</wp:posOffset>
            </wp:positionV>
            <wp:extent cx="7683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-1908810</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-1617345</wp:posOffset>
            </wp:positionV>
            <wp:extent cx="2217420" cy="539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217420" cy="53911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-624205</wp:posOffset>
            </wp:positionV>
            <wp:extent cx="7683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-624205</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80" w:type="dxa"/>
            <w:vAlign w:val="bottom"/>
          </w:tcPr>
          <w:p>
            <w:pPr>
              <w:spacing w:after="0"/>
              <w:rPr>
                <w:sz w:val="10"/>
                <w:szCs w:val="10"/>
                <w:color w:val="auto"/>
              </w:rPr>
            </w:pPr>
          </w:p>
        </w:tc>
        <w:tc>
          <w:tcPr>
            <w:tcW w:w="13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1"/>
                <w:szCs w:val="11"/>
                <w:b w:val="1"/>
                <w:bCs w:val="1"/>
                <w:color w:val="auto"/>
                <w:w w:val="90"/>
              </w:rPr>
              <w:t>Convertible Preferred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760" w:type="dxa"/>
            <w:vAlign w:val="bottom"/>
            <w:gridSpan w:val="3"/>
          </w:tcPr>
          <w:p>
            <w:pPr>
              <w:jc w:val="center"/>
              <w:ind w:left="419"/>
              <w:spacing w:after="0"/>
              <w:rPr>
                <w:sz w:val="20"/>
                <w:szCs w:val="20"/>
                <w:color w:val="auto"/>
              </w:rPr>
            </w:pPr>
            <w:r>
              <w:rPr>
                <w:rFonts w:ascii="Arial" w:cs="Arial" w:eastAsia="Arial" w:hAnsi="Arial"/>
                <w:sz w:val="11"/>
                <w:szCs w:val="11"/>
                <w:b w:val="1"/>
                <w:bCs w:val="1"/>
                <w:color w:val="auto"/>
                <w:w w:val="79"/>
              </w:rPr>
              <w:t>Stock</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3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1"/>
                <w:szCs w:val="11"/>
                <w:b w:val="1"/>
                <w:bCs w:val="1"/>
                <w:color w:val="auto"/>
                <w:w w:val="86"/>
              </w:rPr>
              <w:t>Seed-1, Seed-2, Series A-1,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Accumula</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380" w:type="dxa"/>
            <w:vAlign w:val="bottom"/>
            <w:tcBorders>
              <w:right w:val="single" w:sz="8" w:color="auto"/>
            </w:tcBorders>
            <w:gridSpan w:val="6"/>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Series A-2, Series B,</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ted Other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380" w:type="dxa"/>
            <w:vAlign w:val="bottom"/>
            <w:tcBorders>
              <w:right w:val="single" w:sz="8" w:color="auto"/>
            </w:tcBorders>
            <w:gridSpan w:val="6"/>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Series C, Series D, Series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w w:val="89"/>
              </w:rPr>
              <w:t>Class A - Common</w:t>
            </w:r>
          </w:p>
        </w:tc>
        <w:tc>
          <w:tcPr>
            <w:tcW w:w="100" w:type="dxa"/>
            <w:vAlign w:val="bottom"/>
          </w:tcPr>
          <w:p>
            <w:pPr>
              <w:spacing w:after="0"/>
              <w:rPr>
                <w:sz w:val="10"/>
                <w:szCs w:val="10"/>
                <w:color w:val="auto"/>
              </w:rPr>
            </w:pPr>
          </w:p>
        </w:tc>
        <w:tc>
          <w:tcPr>
            <w:tcW w:w="620" w:type="dxa"/>
            <w:vAlign w:val="bottom"/>
            <w:gridSpan w:val="3"/>
          </w:tcPr>
          <w:p>
            <w:pPr>
              <w:ind w:left="200"/>
              <w:spacing w:after="0" w:line="122" w:lineRule="exact"/>
              <w:rPr>
                <w:sz w:val="20"/>
                <w:szCs w:val="20"/>
                <w:color w:val="auto"/>
              </w:rPr>
            </w:pPr>
            <w:r>
              <w:rPr>
                <w:rFonts w:ascii="Arial" w:cs="Arial" w:eastAsia="Arial" w:hAnsi="Arial"/>
                <w:sz w:val="11"/>
                <w:szCs w:val="11"/>
                <w:b w:val="1"/>
                <w:bCs w:val="1"/>
                <w:color w:val="auto"/>
                <w:w w:val="84"/>
              </w:rPr>
              <w:t>Class B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6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Compreh</w:t>
            </w:r>
          </w:p>
        </w:tc>
        <w:tc>
          <w:tcPr>
            <w:tcW w:w="134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Accumul   Stockholders</w:t>
            </w:r>
          </w:p>
        </w:tc>
        <w:tc>
          <w:tcPr>
            <w:tcW w:w="6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Noncontr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760" w:type="dxa"/>
            <w:vAlign w:val="bottom"/>
            <w:gridSpan w:val="3"/>
          </w:tcPr>
          <w:p>
            <w:pPr>
              <w:jc w:val="center"/>
              <w:ind w:left="419"/>
              <w:spacing w:after="0"/>
              <w:rPr>
                <w:sz w:val="20"/>
                <w:szCs w:val="20"/>
                <w:color w:val="auto"/>
              </w:rPr>
            </w:pPr>
            <w:r>
              <w:rPr>
                <w:rFonts w:ascii="Arial" w:cs="Arial" w:eastAsia="Arial" w:hAnsi="Arial"/>
                <w:sz w:val="11"/>
                <w:szCs w:val="11"/>
                <w:b w:val="1"/>
                <w:bCs w:val="1"/>
                <w:color w:val="auto"/>
              </w:rPr>
              <w:t>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2"/>
          </w:tcPr>
          <w:p>
            <w:pPr>
              <w:ind w:left="340"/>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ind w:left="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ensive</w:t>
            </w:r>
          </w:p>
        </w:tc>
        <w:tc>
          <w:tcPr>
            <w:tcW w:w="80" w:type="dxa"/>
            <w:vAlign w:val="bottom"/>
          </w:tcPr>
          <w:p>
            <w:pPr>
              <w:spacing w:after="0"/>
              <w:rPr>
                <w:sz w:val="12"/>
                <w:szCs w:val="12"/>
                <w:color w:val="auto"/>
              </w:rPr>
            </w:pPr>
          </w:p>
        </w:tc>
        <w:tc>
          <w:tcPr>
            <w:tcW w:w="620" w:type="dxa"/>
            <w:vAlign w:val="bottom"/>
            <w:gridSpan w:val="3"/>
          </w:tcPr>
          <w:p>
            <w:pPr>
              <w:jc w:val="right"/>
              <w:ind w:right="297"/>
              <w:spacing w:after="0"/>
              <w:rPr>
                <w:sz w:val="20"/>
                <w:szCs w:val="20"/>
                <w:color w:val="auto"/>
              </w:rPr>
            </w:pPr>
            <w:r>
              <w:rPr>
                <w:rFonts w:ascii="Arial" w:cs="Arial" w:eastAsia="Arial" w:hAnsi="Arial"/>
                <w:sz w:val="11"/>
                <w:szCs w:val="11"/>
                <w:b w:val="1"/>
                <w:bCs w:val="1"/>
                <w:color w:val="auto"/>
              </w:rPr>
              <w:t>ated</w:t>
            </w:r>
          </w:p>
        </w:tc>
        <w:tc>
          <w:tcPr>
            <w:tcW w:w="540" w:type="dxa"/>
            <w:vAlign w:val="bottom"/>
          </w:tcPr>
          <w:p>
            <w:pPr>
              <w:jc w:val="center"/>
              <w:ind w:right="58"/>
              <w:spacing w:after="0"/>
              <w:rPr>
                <w:sz w:val="20"/>
                <w:szCs w:val="20"/>
                <w:color w:val="auto"/>
              </w:rPr>
            </w:pPr>
            <w:r>
              <w:rPr>
                <w:rFonts w:ascii="Arial" w:cs="Arial" w:eastAsia="Arial" w:hAnsi="Arial"/>
                <w:sz w:val="11"/>
                <w:szCs w:val="11"/>
                <w:b w:val="1"/>
                <w:bCs w:val="1"/>
                <w:color w:val="auto"/>
                <w:w w:val="74"/>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olling</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9"/>
              </w:rPr>
              <w:t>Amo</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7"/>
              </w:rPr>
              <w:t>Amo</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0"/>
              </w:rPr>
              <w:t>Am</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8"/>
              </w:rPr>
              <w:t>Income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76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6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w w:val="96"/>
              </w:rPr>
              <w:t>Amount</w:t>
            </w: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unt</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rPr>
              <w:t>unt</w:t>
            </w:r>
          </w:p>
        </w:tc>
        <w:tc>
          <w:tcPr>
            <w:tcW w:w="100" w:type="dxa"/>
            <w:vAlign w:val="bottom"/>
          </w:tcPr>
          <w:p>
            <w:pPr>
              <w:spacing w:after="0"/>
              <w:rPr>
                <w:sz w:val="12"/>
                <w:szCs w:val="12"/>
                <w:color w:val="auto"/>
              </w:rPr>
            </w:pPr>
          </w:p>
        </w:tc>
        <w:tc>
          <w:tcPr>
            <w:tcW w:w="62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75"/>
              </w:rPr>
              <w:t>ount</w:t>
            </w: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7"/>
              </w:rPr>
              <w:t>Capital</w:t>
            </w:r>
          </w:p>
        </w:tc>
        <w:tc>
          <w:tcPr>
            <w:tcW w:w="8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12"/>
                <w:szCs w:val="12"/>
                <w:color w:val="auto"/>
              </w:rPr>
            </w:pPr>
          </w:p>
        </w:tc>
        <w:tc>
          <w:tcPr>
            <w:tcW w:w="620" w:type="dxa"/>
            <w:vAlign w:val="bottom"/>
            <w:gridSpan w:val="3"/>
          </w:tcPr>
          <w:p>
            <w:pPr>
              <w:jc w:val="right"/>
              <w:ind w:right="237"/>
              <w:spacing w:after="0"/>
              <w:rPr>
                <w:sz w:val="20"/>
                <w:szCs w:val="20"/>
                <w:color w:val="auto"/>
              </w:rPr>
            </w:pPr>
            <w:r>
              <w:rPr>
                <w:rFonts w:ascii="Arial" w:cs="Arial" w:eastAsia="Arial" w:hAnsi="Arial"/>
                <w:sz w:val="11"/>
                <w:szCs w:val="11"/>
                <w:b w:val="1"/>
                <w:bCs w:val="1"/>
                <w:color w:val="auto"/>
                <w:w w:val="89"/>
              </w:rPr>
              <w:t>Deficit</w:t>
            </w: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(Deficit)</w:t>
            </w:r>
          </w:p>
        </w:tc>
        <w:tc>
          <w:tcPr>
            <w:tcW w:w="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32"/>
        </w:trPr>
        <w:tc>
          <w:tcPr>
            <w:tcW w:w="27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3"/>
                <w:szCs w:val="13"/>
                <w:color w:val="auto"/>
              </w:rPr>
              <w:t>25,483,1</w:t>
            </w:r>
          </w:p>
        </w:tc>
        <w:tc>
          <w:tcPr>
            <w:tcW w:w="12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3"/>
                <w:szCs w:val="13"/>
                <w:color w:val="auto"/>
                <w:w w:val="85"/>
              </w:rPr>
              <w:t>121,15</w:t>
            </w: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3"/>
                <w:szCs w:val="13"/>
                <w:color w:val="auto"/>
              </w:rPr>
              <w:t>7,289,57</w:t>
            </w: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3"/>
                <w:szCs w:val="13"/>
                <w:color w:val="auto"/>
              </w:rPr>
              <w:t>(77,60</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2019</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40" w:type="dxa"/>
            <w:vAlign w:val="bottom"/>
            <w:tcBorders>
              <w:right w:val="single" w:sz="8" w:color="auto"/>
            </w:tcBorders>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83"/>
              </w:rPr>
              <w:t>$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9 ) $</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(73,097 ) $</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(73,097 )</w:t>
            </w: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(2,246,88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3"/>
                <w:szCs w:val="13"/>
                <w:color w:val="auto"/>
                <w:w w:val="97"/>
              </w:rPr>
              <w:t>(12,85</w:t>
            </w: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Repurchase of convertible preferred stock</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2 )</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(5,578 )</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w w:val="98"/>
              </w:rPr>
              <w:t>(3,223 )</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(8,801 )</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(8,801 )</w:t>
            </w: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4,522,64</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convertible preferred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52,409</w:t>
            </w:r>
          </w:p>
        </w:tc>
        <w:tc>
          <w:tcPr>
            <w:tcW w:w="140" w:type="dxa"/>
            <w:vAlign w:val="bottom"/>
            <w:tcBorders>
              <w:right w:val="single" w:sz="8" w:color="auto"/>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466,211</w:t>
            </w:r>
          </w:p>
        </w:tc>
        <w:tc>
          <w:tcPr>
            <w:tcW w:w="1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based compensation</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Foreign currency translation</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3"/>
                <w:szCs w:val="13"/>
                <w:color w:val="auto"/>
              </w:rPr>
              <w:t>(31,08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60"/>
              <w:spacing w:after="0"/>
              <w:rPr>
                <w:sz w:val="20"/>
                <w:szCs w:val="20"/>
                <w:color w:val="auto"/>
              </w:rPr>
            </w:pPr>
            <w:r>
              <w:rPr>
                <w:rFonts w:ascii="Arial" w:cs="Arial" w:eastAsia="Arial" w:hAnsi="Arial"/>
                <w:sz w:val="13"/>
                <w:szCs w:val="13"/>
                <w:color w:val="auto"/>
              </w:rPr>
              <w:t>Net loss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(31,085 )</w:t>
            </w: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(31,085 )</w:t>
            </w: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(31,08</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comprehensive loss</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(30,875 )</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(30,875 )</w:t>
            </w:r>
          </w:p>
        </w:tc>
        <w:tc>
          <w:tcPr>
            <w:tcW w:w="0" w:type="dxa"/>
            <w:vAlign w:val="bottom"/>
          </w:tcPr>
          <w:p>
            <w:pPr>
              <w:spacing w:after="0"/>
              <w:rPr>
                <w:sz w:val="1"/>
                <w:szCs w:val="1"/>
                <w:color w:val="auto"/>
              </w:rPr>
            </w:pPr>
          </w:p>
        </w:tc>
      </w:tr>
      <w:tr>
        <w:trPr>
          <w:trHeight w:val="128"/>
        </w:trPr>
        <w:tc>
          <w:tcPr>
            <w:tcW w:w="278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27,758,9</w:t>
            </w:r>
          </w:p>
        </w:tc>
        <w:tc>
          <w:tcPr>
            <w:tcW w:w="1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85"/>
              </w:rPr>
              <w:t>160,71</w:t>
            </w:r>
          </w:p>
        </w:tc>
        <w:tc>
          <w:tcPr>
            <w:tcW w:w="140" w:type="dxa"/>
            <w:vAlign w:val="bottom"/>
            <w:tcBorders>
              <w:top w:val="single" w:sz="8" w:color="CFF0FC"/>
              <w:right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7,755,78</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(111,9</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auto"/>
            </w:tcBorders>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62 )</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(111,249 )</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(111,249 )</w:t>
            </w: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Conversion of convertible preferred stock in</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(27,758,9</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w w:val="97"/>
              </w:rPr>
              <w:t>(160,7</w:t>
            </w: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27,351,</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407,30</w:t>
            </w: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160,71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connection with initial public offering</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41 )</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13 )</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910,015</w:t>
            </w:r>
          </w:p>
        </w:tc>
        <w:tc>
          <w:tcPr>
            <w:tcW w:w="1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178,402</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2"/>
              </w:rPr>
              <w:t>Conversion of common stock in connection with the</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(8,665,79</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6,396,9</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2,268,</w:t>
            </w: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initial public offering</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24,242</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6"/>
              </w:rPr>
              <w:t>Issuance of common stock in connection with the</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7,906,2</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325,26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initial public offering, net of underwriters' discount</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Cost of initial public offering</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(3,678 )</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(3,678 )</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(3,678 )</w:t>
            </w: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2,100,6</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102,88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Shared issued in business combinations</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line="134" w:lineRule="exact"/>
              <w:rPr>
                <w:sz w:val="20"/>
                <w:szCs w:val="20"/>
                <w:color w:val="auto"/>
              </w:rPr>
            </w:pPr>
            <w:r>
              <w:rPr>
                <w:rFonts w:ascii="Arial" w:cs="Arial" w:eastAsia="Arial" w:hAnsi="Arial"/>
                <w:sz w:val="13"/>
                <w:szCs w:val="13"/>
                <w:color w:val="auto"/>
              </w:rPr>
              <w:t>Noncontrolling interest acquired in business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combination</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Donated common stock</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40,266</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7,395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7,395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(61 )</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(61 )</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(61,37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9 )</w:t>
            </w: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(61,379 )</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(61,381 )</w:t>
            </w:r>
          </w:p>
        </w:tc>
        <w:tc>
          <w:tcPr>
            <w:tcW w:w="0" w:type="dxa"/>
            <w:vAlign w:val="bottom"/>
          </w:tcPr>
          <w:p>
            <w:pPr>
              <w:spacing w:after="0"/>
              <w:rPr>
                <w:sz w:val="1"/>
                <w:szCs w:val="1"/>
                <w:color w:val="auto"/>
              </w:rPr>
            </w:pPr>
          </w:p>
        </w:tc>
      </w:tr>
      <w:tr>
        <w:trPr>
          <w:trHeight w:val="128"/>
        </w:trPr>
        <w:tc>
          <w:tcPr>
            <w:tcW w:w="278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(61,37</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(61 )</w:t>
            </w: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9 )</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(61,440 )</w:t>
            </w: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(61,442 )</w:t>
            </w: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43,998,</w:t>
            </w: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2,676,</w:t>
            </w:r>
          </w:p>
        </w:tc>
        <w:tc>
          <w:tcPr>
            <w:tcW w:w="1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597,64</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(173,3</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41 )</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424,449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425,483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72,968</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684,916</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Other common stock issued</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5,577</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Donated common stock</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60,399</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19,172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19,172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(121 )</w:t>
            </w:r>
          </w:p>
        </w:tc>
        <w:tc>
          <w:tcPr>
            <w:tcW w:w="80" w:type="dxa"/>
            <w:vAlign w:val="bottom"/>
          </w:tcPr>
          <w:p>
            <w:pPr>
              <w:spacing w:after="0"/>
              <w:rPr>
                <w:sz w:val="13"/>
                <w:szCs w:val="13"/>
                <w:color w:val="auto"/>
              </w:rPr>
            </w:pPr>
          </w:p>
        </w:tc>
        <w:tc>
          <w:tcPr>
            <w:tcW w:w="62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(121 )</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36"/>
        </w:trPr>
        <w:tc>
          <w:tcPr>
            <w:tcW w:w="27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(76,02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(76,025 )</w:t>
            </w:r>
          </w:p>
        </w:tc>
        <w:tc>
          <w:tcPr>
            <w:tcW w:w="10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(76,009 )</w:t>
            </w: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(76,146 )</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(76,090 )</w:t>
            </w: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ind w:left="20"/>
              <w:spacing w:after="0" w:line="128" w:lineRule="exact"/>
              <w:rPr>
                <w:sz w:val="20"/>
                <w:szCs w:val="20"/>
                <w:color w:val="auto"/>
              </w:rPr>
            </w:pPr>
            <w:r>
              <w:rPr>
                <w:rFonts w:ascii="Arial" w:cs="Arial" w:eastAsia="Arial" w:hAnsi="Arial"/>
                <w:sz w:val="13"/>
                <w:szCs w:val="13"/>
                <w:color w:val="auto"/>
              </w:rPr>
              <w:t>Balance, December 31, 2022</w:t>
            </w:r>
          </w:p>
        </w:tc>
        <w:tc>
          <w:tcPr>
            <w:tcW w:w="62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 —</w:t>
            </w: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44,822,</w:t>
            </w: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 —</w:t>
            </w:r>
          </w:p>
        </w:tc>
        <w:tc>
          <w:tcPr>
            <w:tcW w:w="1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2,676,</w:t>
            </w:r>
          </w:p>
        </w:tc>
        <w:tc>
          <w:tcPr>
            <w:tcW w:w="1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3"/>
              </w:rPr>
              <w:t>$ —</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ind w:left="20"/>
              <w:spacing w:after="0" w:line="128"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623,08</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(249,3</w:t>
            </w:r>
          </w:p>
        </w:tc>
        <w:tc>
          <w:tcPr>
            <w:tcW w:w="120" w:type="dxa"/>
            <w:vAlign w:val="bottom"/>
            <w:shd w:val="clear" w:color="auto" w:fill="CFF0FC"/>
          </w:tcPr>
          <w:p>
            <w:pPr>
              <w:jc w:val="right"/>
              <w:spacing w:after="0" w:line="128"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373,743</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1,090</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374,833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78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-3775075</wp:posOffset>
            </wp:positionV>
            <wp:extent cx="76835"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-3775075</wp:posOffset>
            </wp:positionV>
            <wp:extent cx="76835"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-3775075</wp:posOffset>
            </wp:positionV>
            <wp:extent cx="76835"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-3775075</wp:posOffset>
            </wp:positionV>
            <wp:extent cx="76835"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-3775075</wp:posOffset>
            </wp:positionV>
            <wp:extent cx="76835"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-3775075</wp:posOffset>
            </wp:positionV>
            <wp:extent cx="68580" cy="196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-3775075</wp:posOffset>
            </wp:positionV>
            <wp:extent cx="68580"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-3775075</wp:posOffset>
            </wp:positionV>
            <wp:extent cx="68580"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-3775075</wp:posOffset>
            </wp:positionV>
            <wp:extent cx="6858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-3775075</wp:posOffset>
            </wp:positionV>
            <wp:extent cx="68580"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-3775075</wp:posOffset>
            </wp:positionV>
            <wp:extent cx="68580" cy="196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-3775075</wp:posOffset>
            </wp:positionV>
            <wp:extent cx="68580"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-3775075</wp:posOffset>
            </wp:positionV>
            <wp:extent cx="68580" cy="196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-3775075</wp:posOffset>
            </wp:positionV>
            <wp:extent cx="6858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-1729105</wp:posOffset>
            </wp:positionV>
            <wp:extent cx="7683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-1729105</wp:posOffset>
            </wp:positionV>
            <wp:extent cx="76835"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-1729105</wp:posOffset>
            </wp:positionV>
            <wp:extent cx="7683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-1729105</wp:posOffset>
            </wp:positionV>
            <wp:extent cx="7683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-1729105</wp:posOffset>
            </wp:positionV>
            <wp:extent cx="7683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-1729105</wp:posOffset>
            </wp:positionV>
            <wp:extent cx="6858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-1729105</wp:posOffset>
            </wp:positionV>
            <wp:extent cx="6858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-1729105</wp:posOffset>
            </wp:positionV>
            <wp:extent cx="6858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-1729105</wp:posOffset>
            </wp:positionV>
            <wp:extent cx="6858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-1729105</wp:posOffset>
            </wp:positionV>
            <wp:extent cx="6858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-1729105</wp:posOffset>
            </wp:positionV>
            <wp:extent cx="6858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-1729105</wp:posOffset>
            </wp:positionV>
            <wp:extent cx="6858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-1729105</wp:posOffset>
            </wp:positionV>
            <wp:extent cx="6858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-436245</wp:posOffset>
            </wp:positionV>
            <wp:extent cx="6858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-436245</wp:posOffset>
            </wp:positionV>
            <wp:extent cx="6858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-127635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-110490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-127635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-110490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-127635</wp:posOffset>
            </wp:positionV>
            <wp:extent cx="4101465"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4101465" cy="12827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7"/>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(76,009 )</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(61,381 )</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(31,085 )</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3,596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Impairment of assets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Reduction in carrying amount of right-of-use asset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Stock based compensation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19,172</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Non-cash interest expense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debt extinguishment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Revaluation of contingent consideration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(income) from unconsolidated joint venture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Donation of common stock</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2,226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Losses on marketable securities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1,855</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2,002</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Loss on sale of property and equipment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Inventory write-off</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Amortization of deferred costs on convertible notes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Deferred taxes benefit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(179 )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3"/>
                <w:szCs w:val="13"/>
                <w:color w:val="auto"/>
              </w:rPr>
              <w:t>Restructuring charge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Changes in other assets and liabilities: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560"/>
              <w:spacing w:after="0"/>
              <w:rPr>
                <w:sz w:val="20"/>
                <w:szCs w:val="20"/>
                <w:color w:val="auto"/>
              </w:rPr>
            </w:pPr>
            <w:r>
              <w:rPr>
                <w:rFonts w:ascii="Arial" w:cs="Arial" w:eastAsia="Arial" w:hAnsi="Arial"/>
                <w:sz w:val="13"/>
                <w:szCs w:val="13"/>
                <w:color w:val="auto"/>
              </w:rPr>
              <w:t>Accounts receivable,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(16,923 )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(11,117 )</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(2,130 )</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Inventory</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(956 )</w:t>
            </w:r>
          </w:p>
        </w:tc>
        <w:tc>
          <w:tcPr>
            <w:tcW w:w="0" w:type="dxa"/>
            <w:vAlign w:val="bottom"/>
          </w:tcPr>
          <w:p>
            <w:pPr>
              <w:spacing w:after="0"/>
              <w:rPr>
                <w:sz w:val="1"/>
                <w:szCs w:val="1"/>
                <w:color w:val="auto"/>
              </w:rPr>
            </w:pPr>
          </w:p>
        </w:tc>
      </w:tr>
      <w:tr>
        <w:trPr>
          <w:trHeight w:val="175"/>
        </w:trPr>
        <w:tc>
          <w:tcPr>
            <w:tcW w:w="6800" w:type="dxa"/>
            <w:vAlign w:val="bottom"/>
          </w:tcPr>
          <w:p>
            <w:pPr>
              <w:ind w:left="560"/>
              <w:spacing w:after="0"/>
              <w:rPr>
                <w:sz w:val="20"/>
                <w:szCs w:val="20"/>
                <w:color w:val="auto"/>
              </w:rPr>
            </w:pPr>
            <w:r>
              <w:rPr>
                <w:rFonts w:ascii="Arial" w:cs="Arial" w:eastAsia="Arial" w:hAnsi="Arial"/>
                <w:sz w:val="13"/>
                <w:szCs w:val="13"/>
                <w:color w:val="auto"/>
              </w:rPr>
              <w:t>Prepaid expenses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(1,616 )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(4,025 )</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(210 )</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(7,016 )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(469 )</w:t>
            </w:r>
          </w:p>
        </w:tc>
        <w:tc>
          <w:tcPr>
            <w:tcW w:w="0" w:type="dxa"/>
            <w:vAlign w:val="bottom"/>
          </w:tcPr>
          <w:p>
            <w:pPr>
              <w:spacing w:after="0"/>
              <w:rPr>
                <w:sz w:val="1"/>
                <w:szCs w:val="1"/>
                <w:color w:val="auto"/>
              </w:rPr>
            </w:pPr>
          </w:p>
        </w:tc>
      </w:tr>
      <w:tr>
        <w:trPr>
          <w:trHeight w:val="175"/>
        </w:trPr>
        <w:tc>
          <w:tcPr>
            <w:tcW w:w="6800" w:type="dxa"/>
            <w:vAlign w:val="bottom"/>
          </w:tcPr>
          <w:p>
            <w:pPr>
              <w:ind w:left="560"/>
              <w:spacing w:after="0"/>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5,215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(2,350 )</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expenses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(12,008 )</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560"/>
              <w:spacing w:after="0"/>
              <w:rPr>
                <w:sz w:val="20"/>
                <w:szCs w:val="20"/>
                <w:color w:val="auto"/>
              </w:rPr>
            </w:pPr>
            <w:r>
              <w:rPr>
                <w:rFonts w:ascii="Arial" w:cs="Arial" w:eastAsia="Arial" w:hAnsi="Arial"/>
                <w:sz w:val="13"/>
                <w:szCs w:val="13"/>
                <w:color w:val="auto"/>
              </w:rPr>
              <w:t>Contract liabilities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(1,625 )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Lease liabilities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(5,727 )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(845 )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(1,004 )</w:t>
            </w:r>
          </w:p>
        </w:tc>
        <w:tc>
          <w:tcPr>
            <w:tcW w:w="0" w:type="dxa"/>
            <w:vAlign w:val="bottom"/>
          </w:tcPr>
          <w:p>
            <w:pPr>
              <w:spacing w:after="0"/>
              <w:rPr>
                <w:sz w:val="1"/>
                <w:szCs w:val="1"/>
                <w:color w:val="auto"/>
              </w:rPr>
            </w:pPr>
          </w:p>
        </w:tc>
      </w:tr>
      <w:tr>
        <w:trPr>
          <w:trHeight w:val="175"/>
        </w:trPr>
        <w:tc>
          <w:tcPr>
            <w:tcW w:w="6800" w:type="dxa"/>
            <w:vAlign w:val="bottom"/>
          </w:tcPr>
          <w:p>
            <w:pPr>
              <w:ind w:left="560"/>
              <w:spacing w:after="0"/>
              <w:rPr>
                <w:sz w:val="20"/>
                <w:szCs w:val="20"/>
                <w:color w:val="auto"/>
              </w:rPr>
            </w:pPr>
            <w:r>
              <w:rPr>
                <w:rFonts w:ascii="Arial" w:cs="Arial" w:eastAsia="Arial" w:hAnsi="Arial"/>
                <w:sz w:val="13"/>
                <w:szCs w:val="13"/>
                <w:color w:val="auto"/>
              </w:rPr>
              <w:t>Income taxes payable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Net cash used in operating activities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(62,575 )</w:t>
            </w: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(68,571 )</w:t>
            </w:r>
          </w:p>
        </w:tc>
        <w:tc>
          <w:tcPr>
            <w:tcW w:w="2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(22,049 )</w:t>
            </w:r>
          </w:p>
        </w:tc>
        <w:tc>
          <w:tcPr>
            <w:tcW w:w="0" w:type="dxa"/>
            <w:vAlign w:val="bottom"/>
          </w:tcPr>
          <w:p>
            <w:pPr>
              <w:spacing w:after="0"/>
              <w:rPr>
                <w:sz w:val="1"/>
                <w:szCs w:val="1"/>
                <w:color w:val="auto"/>
              </w:rPr>
            </w:pPr>
          </w:p>
        </w:tc>
      </w:tr>
      <w:tr>
        <w:trPr>
          <w:trHeight w:val="169"/>
        </w:trPr>
        <w:tc>
          <w:tcPr>
            <w:tcW w:w="68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marketable securities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(284,096 )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(267,467 )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sale of marketable securities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58,927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235,000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short-term investments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(17,711 )</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short-term investments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28,571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Purchases of property and equipment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(13,650 )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(6,262 )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(4,190 )</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life insurance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sale of property and equipment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Cash paid for business combinations, net of cash acquired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(174,646 )</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(238,630 )</w:t>
            </w: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(212,748 )</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9"/>
              </w:rPr>
              <w:t>Proceeds from issuance of Series A-2, Series B, Series C, Series D and Series E convertible preferred stock, net of</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costs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Repurchase of Series A-2, Series B, Series C and Series D convertible preferred stock</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(12,852 )</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Deemed dividend to preferred stockholders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(8,801 )</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initial public offering, net of underwriters' discount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325,263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in connection with initial public offering</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(3,678 )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stock options exercised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2,291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term loan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Repayment of term loan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(16,136 )</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the exercise of warrants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issuance of convertible notes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287,500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Costs incurred in connection with issuance of convertible notes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(9,309 )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Payment of contingent consideration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other borrowings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3"/>
                <w:szCs w:val="13"/>
                <w:color w:val="auto"/>
              </w:rPr>
              <w:t>Repayment of other borrowings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(4,783 )</w:t>
            </w: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on finance lease obligations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69"/>
        </w:trPr>
        <w:tc>
          <w:tcPr>
            <w:tcW w:w="6800" w:type="dxa"/>
            <w:vAlign w:val="bottom"/>
            <w:tcBorders>
              <w:top w:val="single" w:sz="8" w:color="CFF0FC"/>
            </w:tcBorders>
          </w:tcPr>
          <w:p>
            <w:pPr>
              <w:ind w:left="380"/>
              <w:spacing w:after="0"/>
              <w:rPr>
                <w:sz w:val="20"/>
                <w:szCs w:val="20"/>
                <w:color w:val="auto"/>
              </w:rPr>
            </w:pPr>
            <w:r>
              <w:rPr>
                <w:rFonts w:ascii="Arial" w:cs="Arial" w:eastAsia="Arial" w:hAnsi="Arial"/>
                <w:sz w:val="13"/>
                <w:szCs w:val="13"/>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280,972</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307,768</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35,261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Effect of foreign currency translation on cash and cash equivalents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(367 )</w:t>
            </w: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(61 )</w:t>
            </w:r>
          </w:p>
        </w:tc>
        <w:tc>
          <w:tcPr>
            <w:tcW w:w="2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(130 )</w:t>
            </w:r>
          </w:p>
        </w:tc>
        <w:tc>
          <w:tcPr>
            <w:tcW w:w="0" w:type="dxa"/>
            <w:vAlign w:val="bottom"/>
          </w:tcPr>
          <w:p>
            <w:pPr>
              <w:spacing w:after="0"/>
              <w:rPr>
                <w:sz w:val="1"/>
                <w:szCs w:val="1"/>
                <w:color w:val="auto"/>
              </w:rPr>
            </w:pPr>
          </w:p>
        </w:tc>
      </w:tr>
      <w:tr>
        <w:trPr>
          <w:trHeight w:val="20"/>
        </w:trPr>
        <w:tc>
          <w:tcPr>
            <w:tcW w:w="6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tcPr>
          <w:p>
            <w:pPr>
              <w:ind w:left="380"/>
              <w:spacing w:after="0"/>
              <w:rPr>
                <w:sz w:val="20"/>
                <w:szCs w:val="20"/>
                <w:color w:val="auto"/>
              </w:rPr>
            </w:pPr>
            <w:r>
              <w:rPr>
                <w:rFonts w:ascii="Arial" w:cs="Arial" w:eastAsia="Arial" w:hAnsi="Arial"/>
                <w:sz w:val="13"/>
                <w:szCs w:val="13"/>
                <w:b w:val="1"/>
                <w:bCs w:val="1"/>
                <w:color w:val="auto"/>
              </w:rPr>
              <w:t>Net (decrease) increase in cash and cash equivalents</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(20,600 )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26,388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19,752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and cash equivalents at beginning of the year</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86,262</w:t>
            </w:r>
          </w:p>
        </w:tc>
        <w:tc>
          <w:tcPr>
            <w:tcW w:w="100" w:type="dxa"/>
            <w:vAlign w:val="bottom"/>
            <w:tcBorders>
              <w:left w:val="single" w:sz="8" w:color="CFF0FC"/>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59,874</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40,122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the year</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65,662</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86,262</w:t>
            </w:r>
          </w:p>
        </w:tc>
        <w:tc>
          <w:tcPr>
            <w:tcW w:w="24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1,414</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907</w:t>
            </w:r>
          </w:p>
        </w:tc>
        <w:tc>
          <w:tcPr>
            <w:tcW w:w="24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Arial" w:cs="Arial" w:eastAsia="Arial" w:hAnsi="Arial"/>
                <w:sz w:val="13"/>
                <w:szCs w:val="13"/>
                <w:color w:val="auto"/>
              </w:rPr>
              <w:t>Non-cash purchase of property and equipment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Non-cash consideration in connection with business combinations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(518 )</w:t>
            </w: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2,339</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Arial" w:cs="Arial" w:eastAsia="Arial" w:hAnsi="Arial"/>
                <w:sz w:val="13"/>
                <w:szCs w:val="13"/>
                <w:color w:val="auto"/>
              </w:rPr>
              <w:t>Shares issued in business combinations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102,888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-4391660</wp:posOffset>
            </wp:positionV>
            <wp:extent cx="68580"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-4391660</wp:posOffset>
            </wp:positionV>
            <wp:extent cx="6858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-4391660</wp:posOffset>
            </wp:positionV>
            <wp:extent cx="6858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-3261360</wp:posOffset>
            </wp:positionV>
            <wp:extent cx="6858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-3261360</wp:posOffset>
            </wp:positionV>
            <wp:extent cx="6858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-1377315</wp:posOffset>
            </wp:positionV>
            <wp:extent cx="68580" cy="128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-1377315</wp:posOffset>
            </wp:positionV>
            <wp:extent cx="68580" cy="128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-1377315</wp:posOffset>
            </wp:positionV>
            <wp:extent cx="68580" cy="1282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-1137920</wp:posOffset>
            </wp:positionV>
            <wp:extent cx="68580" cy="2139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-1137920</wp:posOffset>
            </wp:positionV>
            <wp:extent cx="68580" cy="2139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213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-812800</wp:posOffset>
            </wp:positionV>
            <wp:extent cx="6858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-812800</wp:posOffset>
            </wp:positionV>
            <wp:extent cx="6858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ind w:left="40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10" w:lineRule="exact"/>
        <w:rPr>
          <w:sz w:val="20"/>
          <w:szCs w:val="20"/>
          <w:color w:val="auto"/>
        </w:rPr>
      </w:pPr>
    </w:p>
    <w:p>
      <w:pPr>
        <w:ind w:right="220" w:firstLine="644"/>
        <w:spacing w:after="0" w:line="279" w:lineRule="auto"/>
        <w:rPr>
          <w:sz w:val="20"/>
          <w:szCs w:val="20"/>
          <w:color w:val="auto"/>
        </w:rPr>
      </w:pPr>
      <w:r>
        <w:rPr>
          <w:rFonts w:ascii="Arial" w:cs="Arial" w:eastAsia="Arial" w:hAnsi="Arial"/>
          <w:sz w:val="17"/>
          <w:szCs w:val="17"/>
          <w:color w:val="auto"/>
        </w:rPr>
        <w:t>Xometry, Inc. (“Xometry”, the “Company”, “we”, or “our”)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p>
    <w:p>
      <w:pPr>
        <w:spacing w:after="0" w:line="170" w:lineRule="exact"/>
        <w:rPr>
          <w:sz w:val="20"/>
          <w:szCs w:val="20"/>
          <w:color w:val="auto"/>
        </w:rPr>
      </w:pPr>
    </w:p>
    <w:p>
      <w:pPr>
        <w:ind w:right="140" w:firstLine="644"/>
        <w:spacing w:after="0" w:line="259" w:lineRule="auto"/>
        <w:rPr>
          <w:sz w:val="20"/>
          <w:szCs w:val="20"/>
          <w:color w:val="auto"/>
        </w:rPr>
      </w:pPr>
      <w:r>
        <w:rPr>
          <w:rFonts w:ascii="Arial" w:cs="Arial" w:eastAsia="Arial" w:hAnsi="Arial"/>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185" w:lineRule="exact"/>
        <w:rPr>
          <w:sz w:val="20"/>
          <w:szCs w:val="20"/>
          <w:color w:val="auto"/>
        </w:rPr>
      </w:pPr>
    </w:p>
    <w:p>
      <w:pPr>
        <w:ind w:right="80" w:firstLine="644"/>
        <w:spacing w:after="0" w:line="259" w:lineRule="auto"/>
        <w:rPr>
          <w:sz w:val="20"/>
          <w:szCs w:val="20"/>
          <w:color w:val="auto"/>
        </w:rPr>
      </w:pPr>
      <w:r>
        <w:rPr>
          <w:rFonts w:ascii="Arial" w:cs="Arial" w:eastAsia="Arial" w:hAnsi="Arial"/>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w:t>
      </w:r>
    </w:p>
    <w:p>
      <w:pPr>
        <w:spacing w:after="0" w:line="185" w:lineRule="exact"/>
        <w:rPr>
          <w:sz w:val="20"/>
          <w:szCs w:val="20"/>
          <w:color w:val="auto"/>
        </w:rPr>
      </w:pPr>
    </w:p>
    <w:p>
      <w:pPr>
        <w:ind w:firstLine="644"/>
        <w:spacing w:after="0" w:line="293" w:lineRule="auto"/>
        <w:rPr>
          <w:sz w:val="20"/>
          <w:szCs w:val="20"/>
          <w:color w:val="auto"/>
        </w:rPr>
      </w:pPr>
      <w:r>
        <w:rPr>
          <w:rFonts w:ascii="Arial" w:cs="Arial" w:eastAsia="Arial" w:hAnsi="Arial"/>
          <w:sz w:val="16"/>
          <w:szCs w:val="16"/>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 In 2021, we acquired Thomas Publishing Company (“Thomas”) and Fusiform, Inc. (d/b/a FactoryFour) (“FactoryFour”), expanding our basket of supplier services to include advertising and marketing services and to a lesser extent SaaS based solutions to help suppliers optimize their productivity.</w:t>
      </w:r>
    </w:p>
    <w:p>
      <w:pPr>
        <w:spacing w:after="0" w:line="122" w:lineRule="exact"/>
        <w:rPr>
          <w:sz w:val="20"/>
          <w:szCs w:val="20"/>
          <w:color w:val="auto"/>
        </w:rPr>
      </w:pPr>
    </w:p>
    <w:p>
      <w:pPr>
        <w:ind w:right="280" w:firstLine="644"/>
        <w:spacing w:after="0" w:line="273" w:lineRule="auto"/>
        <w:rPr>
          <w:sz w:val="20"/>
          <w:szCs w:val="20"/>
          <w:color w:val="auto"/>
        </w:rPr>
      </w:pPr>
      <w:r>
        <w:rPr>
          <w:rFonts w:ascii="Arial" w:cs="Arial" w:eastAsia="Arial" w:hAnsi="Arial"/>
          <w:sz w:val="17"/>
          <w:szCs w:val="17"/>
          <w:color w:val="auto"/>
        </w:rPr>
        <w:t>During 2022, we launched the Industrial Buying Engine™ (“IBE”), which helps customers source and purchase from the more than 500,000 suppliers on Thomasnet.com. The IBE digitizes the old and time-consuming request-for-quote process and allows buyer and suppliers to transact on Thomasnet. In addition, through IBE buyers can receive instant quotes from Xometry. We also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36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300" w:hanging="648"/>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ind w:right="40" w:firstLine="644"/>
        <w:spacing w:after="0" w:line="311" w:lineRule="auto"/>
        <w:rPr>
          <w:sz w:val="20"/>
          <w:szCs w:val="20"/>
          <w:color w:val="auto"/>
        </w:rPr>
      </w:pPr>
      <w:r>
        <w:rPr>
          <w:rFonts w:ascii="Arial" w:cs="Arial" w:eastAsia="Arial" w:hAnsi="Arial"/>
          <w:sz w:val="16"/>
          <w:szCs w:val="16"/>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International.</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7" w:lineRule="exact"/>
        <w:rPr>
          <w:sz w:val="20"/>
          <w:szCs w:val="20"/>
          <w:color w:val="auto"/>
        </w:rPr>
      </w:pPr>
    </w:p>
    <w:p>
      <w:pPr>
        <w:ind w:right="40" w:firstLine="644"/>
        <w:spacing w:after="0" w:line="252"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primary functional currency for the Company's consolidated subsidiaries operating in Germany and to a lesser extent, China and Japan, is the Euro,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right="80" w:firstLine="644"/>
        <w:spacing w:after="0" w:line="255" w:lineRule="auto"/>
        <w:rPr>
          <w:sz w:val="20"/>
          <w:szCs w:val="20"/>
          <w:color w:val="auto"/>
        </w:rPr>
      </w:pPr>
      <w:r>
        <w:rPr>
          <w:rFonts w:ascii="Arial" w:cs="Arial" w:eastAsia="Arial" w:hAnsi="Arial"/>
          <w:sz w:val="18"/>
          <w:szCs w:val="18"/>
          <w:color w:val="auto"/>
        </w:rPr>
        <w:t>In connection with the acquisition of Thomas on December 9, 2021, we assumed a 66.67% ownership in Incom Co., LTD. As we have a controlling interest in Incom Co., LTD, we have consolidated Incom Co., LTD into our financial statements since December 9, 2021.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(deficit) on our Consolidated Balance Sheets. We include net income (loss) attributable to the noncontrolling interests in net income (loss) in our Consolidated Statements of Operations and Comprehensive Loss.</w:t>
      </w:r>
    </w:p>
    <w:p>
      <w:pPr>
        <w:spacing w:after="0" w:line="83" w:lineRule="exact"/>
        <w:rPr>
          <w:sz w:val="20"/>
          <w:szCs w:val="20"/>
          <w:color w:val="auto"/>
        </w:rPr>
      </w:pPr>
    </w:p>
    <w:p>
      <w:pPr>
        <w:ind w:left="1300" w:hanging="648"/>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80" w:firstLine="644"/>
        <w:spacing w:after="0" w:line="277"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 These reclassifications have not changed the results of operations of prior periods.</w:t>
      </w:r>
    </w:p>
    <w:p>
      <w:pPr>
        <w:spacing w:after="0" w:line="62" w:lineRule="exact"/>
        <w:rPr>
          <w:sz w:val="20"/>
          <w:szCs w:val="20"/>
          <w:color w:val="auto"/>
        </w:rPr>
      </w:pPr>
    </w:p>
    <w:p>
      <w:pPr>
        <w:ind w:left="1300" w:hanging="648"/>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480" w:firstLine="644"/>
        <w:spacing w:after="0" w:line="341"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17" w:lineRule="exact"/>
        <w:rPr>
          <w:sz w:val="20"/>
          <w:szCs w:val="20"/>
          <w:color w:val="auto"/>
        </w:rPr>
      </w:pPr>
    </w:p>
    <w:p>
      <w:pPr>
        <w:ind w:left="1300" w:hanging="648"/>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644"/>
        <w:spacing w:after="0" w:line="288" w:lineRule="auto"/>
        <w:rPr>
          <w:sz w:val="20"/>
          <w:szCs w:val="20"/>
          <w:color w:val="auto"/>
        </w:rPr>
      </w:pPr>
      <w:r>
        <w:rPr>
          <w:rFonts w:ascii="Arial" w:cs="Arial" w:eastAsia="Arial" w:hAnsi="Arial"/>
          <w:sz w:val="16"/>
          <w:szCs w:val="16"/>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58" w:lineRule="exact"/>
        <w:rPr>
          <w:sz w:val="20"/>
          <w:szCs w:val="20"/>
          <w:color w:val="auto"/>
        </w:rPr>
      </w:pPr>
    </w:p>
    <w:p>
      <w:pPr>
        <w:ind w:left="1300" w:hanging="648"/>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 and Financial Instruments</w:t>
      </w:r>
    </w:p>
    <w:p>
      <w:pPr>
        <w:spacing w:after="0" w:line="117"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56" w:lineRule="exact"/>
        <w:rPr>
          <w:sz w:val="20"/>
          <w:szCs w:val="20"/>
          <w:color w:val="auto"/>
        </w:rPr>
      </w:pPr>
    </w:p>
    <w:p>
      <w:pPr>
        <w:ind w:right="360" w:firstLine="644"/>
        <w:spacing w:after="0" w:line="263"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84" w:lineRule="exact"/>
        <w:rPr>
          <w:sz w:val="20"/>
          <w:szCs w:val="20"/>
          <w:color w:val="auto"/>
        </w:rPr>
      </w:pPr>
    </w:p>
    <w:p>
      <w:pPr>
        <w:jc w:val="both"/>
        <w:ind w:right="80" w:firstLine="644"/>
        <w:spacing w:after="0" w:line="263" w:lineRule="auto"/>
        <w:rPr>
          <w:sz w:val="20"/>
          <w:szCs w:val="20"/>
          <w:color w:val="auto"/>
        </w:rPr>
      </w:pPr>
      <w:r>
        <w:rPr>
          <w:rFonts w:ascii="Arial" w:cs="Arial" w:eastAsia="Arial" w:hAnsi="Arial"/>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56" w:lineRule="exact"/>
        <w:rPr>
          <w:sz w:val="20"/>
          <w:szCs w:val="20"/>
          <w:color w:val="auto"/>
        </w:rPr>
      </w:pPr>
    </w:p>
    <w:p>
      <w:pPr>
        <w:ind w:firstLine="644"/>
        <w:spacing w:after="0" w:line="27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29" w:lineRule="exact"/>
        <w:rPr>
          <w:sz w:val="20"/>
          <w:szCs w:val="20"/>
          <w:color w:val="auto"/>
        </w:rPr>
      </w:pPr>
    </w:p>
    <w:p>
      <w:pPr>
        <w:ind w:right="200" w:firstLine="644"/>
        <w:spacing w:after="0" w:line="263" w:lineRule="auto"/>
        <w:rPr>
          <w:sz w:val="20"/>
          <w:szCs w:val="20"/>
          <w:color w:val="auto"/>
        </w:rPr>
      </w:pPr>
      <w:r>
        <w:rPr>
          <w:rFonts w:ascii="Arial" w:cs="Arial" w:eastAsia="Arial" w:hAnsi="Arial"/>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75" w:lineRule="exact"/>
        <w:rPr>
          <w:sz w:val="20"/>
          <w:szCs w:val="20"/>
          <w:color w:val="auto"/>
        </w:rPr>
      </w:pPr>
    </w:p>
    <w:p>
      <w:pPr>
        <w:ind w:left="1300" w:hanging="648"/>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center"/>
        <w:ind w:right="40"/>
        <w:spacing w:after="0" w:line="277" w:lineRule="auto"/>
        <w:rPr>
          <w:sz w:val="20"/>
          <w:szCs w:val="20"/>
          <w:color w:val="auto"/>
        </w:rPr>
      </w:pPr>
      <w:r>
        <w:rPr>
          <w:rFonts w:ascii="Arial" w:cs="Arial" w:eastAsia="Arial" w:hAnsi="Arial"/>
          <w:sz w:val="18"/>
          <w:szCs w:val="18"/>
          <w:color w:val="auto"/>
        </w:rPr>
        <w:t>Cash and cash equivalents consist of cash held in checking accounts. These investments are stated at cost, which approximates fair value.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0" w:name="page71"/>
    <w:bookmarkEnd w:id="70"/>
    <w:p>
      <w:pPr>
        <w:ind w:left="1300" w:hanging="648"/>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firstLine="689"/>
        <w:spacing w:after="0" w:line="270" w:lineRule="auto"/>
        <w:rPr>
          <w:sz w:val="20"/>
          <w:szCs w:val="20"/>
          <w:color w:val="auto"/>
        </w:rPr>
      </w:pPr>
      <w:r>
        <w:rPr>
          <w:rFonts w:ascii="Arial" w:cs="Arial" w:eastAsia="Arial" w:hAnsi="Arial"/>
          <w:sz w:val="17"/>
          <w:szCs w:val="17"/>
          <w:color w:val="auto"/>
        </w:rPr>
        <w:t>The Company measures its marketable securities at fair value and recognizes any changes in fair value in net loss. Our marketable securities represent our investments in a short term bond fund and or money market fund. We consider our marketable securities as available for use in current operations, and therefore classify these securities as current assets on the Consolidated Balance Sheets. As of December 31, 2022 and 2021, the Company's marketable securities of $253.8 million and $30.5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years ended December 31, 2022 and 2021, the Company recorded losses of $1.9 million and $2.0 million, respectively related to these securities which is recorded in other expenses on the Consolidated Statements of Operations and Comprehensive Loss.</w:t>
      </w:r>
    </w:p>
    <w:p>
      <w:pPr>
        <w:spacing w:after="0" w:line="75" w:lineRule="exact"/>
        <w:rPr>
          <w:sz w:val="20"/>
          <w:szCs w:val="20"/>
          <w:color w:val="auto"/>
        </w:rPr>
      </w:pPr>
    </w:p>
    <w:p>
      <w:pPr>
        <w:ind w:left="1300" w:hanging="648"/>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firstLine="644"/>
        <w:spacing w:after="0" w:line="288" w:lineRule="auto"/>
        <w:rPr>
          <w:sz w:val="20"/>
          <w:szCs w:val="20"/>
          <w:color w:val="auto"/>
        </w:rPr>
      </w:pPr>
      <w:r>
        <w:rPr>
          <w:rFonts w:ascii="Arial" w:cs="Arial" w:eastAsia="Arial" w:hAnsi="Arial"/>
          <w:sz w:val="16"/>
          <w:szCs w:val="16"/>
          <w:color w:val="auto"/>
        </w:rPr>
        <w:t>Accounts receivable are stated at the amount the Company expects to collect from outstanding balances. Our accounts receivable do not bear interest. Amounts collected on accounts receivable are included in net cash provided by operating activities in the Consolidated Statements of Cash Flows. For buyers for which Xometry provides credit, the Company performs credit inquiries, including references checks, and queries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related to accounts receivable and changes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1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Balance at beginning of year, January 1</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0"/>
                <w:szCs w:val="20"/>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 to provision accounts</w:t>
            </w:r>
          </w:p>
        </w:tc>
        <w:tc>
          <w:tcPr>
            <w:tcW w:w="11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Recoveries or other</w:t>
            </w:r>
          </w:p>
        </w:tc>
        <w:tc>
          <w:tcPr>
            <w:tcW w:w="1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(145 )</w:t>
            </w:r>
          </w:p>
        </w:tc>
        <w:tc>
          <w:tcPr>
            <w:tcW w:w="1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(55 )</w:t>
            </w: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(124 )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year end, December 31</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7" w:lineRule="exact"/>
        <w:rPr>
          <w:sz w:val="20"/>
          <w:szCs w:val="20"/>
          <w:color w:val="auto"/>
        </w:rPr>
      </w:pPr>
    </w:p>
    <w:p>
      <w:pPr>
        <w:ind w:left="1300" w:hanging="648"/>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40" w:firstLine="644"/>
        <w:spacing w:after="0" w:line="286" w:lineRule="auto"/>
        <w:rPr>
          <w:sz w:val="20"/>
          <w:szCs w:val="20"/>
          <w:color w:val="auto"/>
        </w:rPr>
      </w:pPr>
      <w:r>
        <w:rPr>
          <w:rFonts w:ascii="Arial" w:cs="Arial" w:eastAsia="Arial" w:hAnsi="Arial"/>
          <w:sz w:val="17"/>
          <w:szCs w:val="17"/>
          <w:color w:val="auto"/>
        </w:rPr>
        <w:t>Inventory consists primarily of work-in-progress, tools, raw materials and finished goods.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51" w:lineRule="exact"/>
        <w:rPr>
          <w:sz w:val="20"/>
          <w:szCs w:val="20"/>
          <w:color w:val="auto"/>
        </w:rPr>
      </w:pPr>
    </w:p>
    <w:p>
      <w:pPr>
        <w:ind w:left="1300" w:hanging="648"/>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 and Long-Lived Assets</w:t>
      </w:r>
    </w:p>
    <w:p>
      <w:pPr>
        <w:spacing w:after="0" w:line="117" w:lineRule="exact"/>
        <w:rPr>
          <w:sz w:val="20"/>
          <w:szCs w:val="20"/>
          <w:color w:val="auto"/>
        </w:rPr>
      </w:pPr>
    </w:p>
    <w:p>
      <w:pPr>
        <w:ind w:right="80" w:firstLine="644"/>
        <w:spacing w:after="0" w:line="263"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142" w:lineRule="exact"/>
        <w:rPr>
          <w:sz w:val="20"/>
          <w:szCs w:val="20"/>
          <w:color w:val="auto"/>
        </w:rPr>
      </w:pPr>
    </w:p>
    <w:p>
      <w:pPr>
        <w:ind w:right="80" w:firstLine="644"/>
        <w:spacing w:after="0" w:line="253" w:lineRule="auto"/>
        <w:rPr>
          <w:sz w:val="20"/>
          <w:szCs w:val="20"/>
          <w:color w:val="auto"/>
        </w:rPr>
      </w:pPr>
      <w:r>
        <w:rPr>
          <w:rFonts w:ascii="Arial" w:cs="Arial" w:eastAsia="Arial" w:hAnsi="Arial"/>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120"/>
        <w:spacing w:after="0" w:line="277" w:lineRule="auto"/>
        <w:rPr>
          <w:sz w:val="20"/>
          <w:szCs w:val="20"/>
          <w:color w:val="auto"/>
        </w:rPr>
      </w:pPr>
      <w:r>
        <w:rPr>
          <w:rFonts w:ascii="Arial" w:cs="Arial" w:eastAsia="Arial" w:hAnsi="Arial"/>
          <w:sz w:val="18"/>
          <w:szCs w:val="18"/>
          <w:color w:val="auto"/>
        </w:rPr>
        <w:t>amount exceeds its fair value. Fair value is determined through various valuation techniques including discounted cash flow models, quoted market values and third-party independent appraisals, as considered necessary.</w:t>
      </w:r>
    </w:p>
    <w:p>
      <w:pPr>
        <w:spacing w:after="0" w:line="142" w:lineRule="exact"/>
        <w:rPr>
          <w:sz w:val="20"/>
          <w:szCs w:val="20"/>
          <w:color w:val="auto"/>
        </w:rPr>
      </w:pPr>
    </w:p>
    <w:p>
      <w:pPr>
        <w:ind w:right="180" w:firstLine="644"/>
        <w:spacing w:after="0" w:line="275" w:lineRule="auto"/>
        <w:rPr>
          <w:sz w:val="20"/>
          <w:szCs w:val="20"/>
          <w:color w:val="auto"/>
        </w:rPr>
      </w:pPr>
      <w:r>
        <w:rPr>
          <w:rFonts w:ascii="Arial" w:cs="Arial" w:eastAsia="Arial" w:hAnsi="Arial"/>
          <w:sz w:val="17"/>
          <w:szCs w:val="17"/>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$11.5 million and $5.2 million for the years ended December 31, 2022 and 2021,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7" w:lineRule="exact"/>
        <w:rPr>
          <w:sz w:val="20"/>
          <w:szCs w:val="20"/>
          <w:color w:val="auto"/>
        </w:rPr>
      </w:pPr>
    </w:p>
    <w:p>
      <w:pPr>
        <w:ind w:left="1300" w:hanging="648"/>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In Unconsolidated Joint Venture</w:t>
      </w:r>
    </w:p>
    <w:p>
      <w:pPr>
        <w:spacing w:after="0" w:line="184" w:lineRule="exact"/>
        <w:rPr>
          <w:sz w:val="20"/>
          <w:szCs w:val="20"/>
          <w:color w:val="auto"/>
        </w:rPr>
      </w:pPr>
    </w:p>
    <w:p>
      <w:pPr>
        <w:jc w:val="both"/>
        <w:ind w:right="100" w:firstLine="644"/>
        <w:spacing w:after="0" w:line="259" w:lineRule="auto"/>
        <w:rPr>
          <w:sz w:val="20"/>
          <w:szCs w:val="20"/>
          <w:color w:val="auto"/>
        </w:rPr>
      </w:pPr>
      <w:r>
        <w:rPr>
          <w:rFonts w:ascii="Arial" w:cs="Arial" w:eastAsia="Arial" w:hAnsi="Arial"/>
          <w:sz w:val="18"/>
          <w:szCs w:val="18"/>
          <w:color w:val="auto"/>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45" w:lineRule="exact"/>
        <w:rPr>
          <w:sz w:val="20"/>
          <w:szCs w:val="20"/>
          <w:color w:val="auto"/>
        </w:rPr>
      </w:pPr>
    </w:p>
    <w:p>
      <w:pPr>
        <w:ind w:right="60" w:firstLine="644"/>
        <w:spacing w:after="0" w:line="291" w:lineRule="auto"/>
        <w:rPr>
          <w:sz w:val="20"/>
          <w:szCs w:val="20"/>
          <w:color w:val="auto"/>
        </w:rPr>
      </w:pPr>
      <w:r>
        <w:rPr>
          <w:rFonts w:ascii="Arial" w:cs="Arial" w:eastAsia="Arial" w:hAnsi="Arial"/>
          <w:sz w:val="16"/>
          <w:szCs w:val="16"/>
          <w:color w:val="auto"/>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 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impairment loss on our investment in unconsolidated joint venture was recognized during the years ended December 31, 2022 and 2021.</w:t>
      </w:r>
    </w:p>
    <w:p>
      <w:pPr>
        <w:spacing w:after="0" w:line="128" w:lineRule="exact"/>
        <w:rPr>
          <w:sz w:val="20"/>
          <w:szCs w:val="20"/>
          <w:color w:val="auto"/>
        </w:rPr>
      </w:pPr>
    </w:p>
    <w:p>
      <w:pPr>
        <w:ind w:left="1300" w:hanging="648"/>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40" w:firstLine="644"/>
        <w:spacing w:after="0" w:line="286" w:lineRule="auto"/>
        <w:rPr>
          <w:sz w:val="20"/>
          <w:szCs w:val="20"/>
          <w:color w:val="auto"/>
        </w:rPr>
      </w:pPr>
      <w:r>
        <w:rPr>
          <w:rFonts w:ascii="Arial" w:cs="Arial" w:eastAsia="Arial" w:hAnsi="Arial"/>
          <w:sz w:val="17"/>
          <w:szCs w:val="17"/>
          <w:color w:val="auto"/>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Arial" w:cs="Arial" w:eastAsia="Arial" w:hAnsi="Arial"/>
          <w:sz w:val="17"/>
          <w:szCs w:val="17"/>
          <w:i w:val="1"/>
          <w:iCs w:val="1"/>
          <w:color w:val="auto"/>
        </w:rPr>
        <w:t>Topic 606, Revenue from Contracts with Customers</w:t>
      </w:r>
      <w:r>
        <w:rPr>
          <w:rFonts w:ascii="Arial" w:cs="Arial" w:eastAsia="Arial" w:hAnsi="Arial"/>
          <w:sz w:val="17"/>
          <w:szCs w:val="17"/>
          <w:color w:val="auto"/>
        </w:rPr>
        <w:t xml:space="preserve"> (“ASC 606”).</w:t>
      </w:r>
    </w:p>
    <w:p>
      <w:pPr>
        <w:spacing w:after="0" w:line="164"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191" w:lineRule="exact"/>
        <w:rPr>
          <w:sz w:val="20"/>
          <w:szCs w:val="20"/>
          <w:color w:val="auto"/>
        </w:rPr>
      </w:pPr>
    </w:p>
    <w:p>
      <w:pPr>
        <w:ind w:right="80" w:firstLine="644"/>
        <w:spacing w:after="0" w:line="25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93" w:lineRule="exact"/>
        <w:rPr>
          <w:sz w:val="20"/>
          <w:szCs w:val="20"/>
          <w:color w:val="auto"/>
        </w:rPr>
      </w:pPr>
    </w:p>
    <w:p>
      <w:pPr>
        <w:ind w:right="20" w:firstLine="644"/>
        <w:spacing w:after="0" w:line="285" w:lineRule="auto"/>
        <w:rPr>
          <w:sz w:val="20"/>
          <w:szCs w:val="20"/>
          <w:color w:val="auto"/>
        </w:rPr>
      </w:pPr>
      <w:r>
        <w:rPr>
          <w:rFonts w:ascii="Arial" w:cs="Arial" w:eastAsia="Arial" w:hAnsi="Arial"/>
          <w:sz w:val="16"/>
          <w:szCs w:val="16"/>
          <w:color w:val="auto"/>
        </w:rPr>
        <w:t>Xometry also derives revenue from its supplier services which is a suite of services offered to our suppliers. Our revenue also includes the sale of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ind w:right="20"/>
        <w:spacing w:after="0" w:line="329" w:lineRule="auto"/>
        <w:rPr>
          <w:sz w:val="20"/>
          <w:szCs w:val="20"/>
          <w:color w:val="auto"/>
        </w:rPr>
      </w:pPr>
      <w:r>
        <w:rPr>
          <w:rFonts w:ascii="Arial" w:cs="Arial" w:eastAsia="Arial" w:hAnsi="Arial"/>
          <w:sz w:val="16"/>
          <w:szCs w:val="16"/>
          <w:color w:val="auto"/>
        </w:rPr>
        <w:t>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93" w:lineRule="exact"/>
        <w:rPr>
          <w:sz w:val="20"/>
          <w:szCs w:val="20"/>
          <w:color w:val="auto"/>
        </w:rPr>
      </w:pPr>
    </w:p>
    <w:p>
      <w:pPr>
        <w:ind w:right="120" w:firstLine="644"/>
        <w:spacing w:after="0" w:line="277" w:lineRule="auto"/>
        <w:rPr>
          <w:sz w:val="20"/>
          <w:szCs w:val="20"/>
          <w:color w:val="auto"/>
        </w:rPr>
      </w:pPr>
      <w:r>
        <w:rPr>
          <w:rFonts w:ascii="Arial" w:cs="Arial" w:eastAsia="Arial" w:hAnsi="Arial"/>
          <w:sz w:val="18"/>
          <w:szCs w:val="18"/>
          <w:color w:val="auto"/>
        </w:rPr>
        <w:t>Revenue is shown net of estimated returns, refunds, and allowances. At December 31, 2022 and 2021, the Company has a provision for estimated returns, refunds or allowances of $0.3 million and $0.2 million, respectively.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Liabilities</w:t>
      </w:r>
    </w:p>
    <w:p>
      <w:pPr>
        <w:spacing w:after="0" w:line="184" w:lineRule="exact"/>
        <w:rPr>
          <w:sz w:val="20"/>
          <w:szCs w:val="20"/>
          <w:color w:val="auto"/>
        </w:rPr>
      </w:pPr>
    </w:p>
    <w:p>
      <w:pPr>
        <w:ind w:right="220" w:firstLine="644"/>
        <w:spacing w:after="0" w:line="307" w:lineRule="auto"/>
        <w:rPr>
          <w:sz w:val="20"/>
          <w:szCs w:val="20"/>
          <w:color w:val="auto"/>
        </w:rPr>
      </w:pPr>
      <w:r>
        <w:rPr>
          <w:rFonts w:ascii="Arial" w:cs="Arial" w:eastAsia="Arial" w:hAnsi="Arial"/>
          <w:sz w:val="17"/>
          <w:szCs w:val="17"/>
          <w:color w:val="auto"/>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660"/>
              <w:spacing w:after="0"/>
              <w:rPr>
                <w:sz w:val="20"/>
                <w:szCs w:val="20"/>
                <w:color w:val="auto"/>
              </w:rPr>
            </w:pPr>
            <w:r>
              <w:rPr>
                <w:rFonts w:ascii="Arial" w:cs="Arial" w:eastAsia="Arial" w:hAnsi="Arial"/>
                <w:sz w:val="18"/>
                <w:szCs w:val="18"/>
                <w:color w:val="auto"/>
              </w:rPr>
              <w:t>The following table is a summary of the contract liabilities (in thousands):</w:t>
            </w: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Rollforward of contract liabilities:</w:t>
            </w:r>
          </w:p>
        </w:tc>
        <w:tc>
          <w:tcPr>
            <w:tcW w:w="6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Contract liabilities at December 31, 2020</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contract liabilities</w:t>
            </w:r>
          </w:p>
        </w:tc>
        <w:tc>
          <w:tcPr>
            <w:tcW w:w="6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(126,997 )</w:t>
            </w: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Payments received in advance</w:t>
            </w:r>
          </w:p>
        </w:tc>
        <w:tc>
          <w:tcPr>
            <w:tcW w:w="6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Contract liabilities at December 31, 2021</w:t>
            </w:r>
          </w:p>
        </w:tc>
        <w:tc>
          <w:tcPr>
            <w:tcW w:w="6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recognized</w:t>
            </w: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(171,709 )</w:t>
            </w: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Payments received in advance</w:t>
            </w:r>
          </w:p>
        </w:tc>
        <w:tc>
          <w:tcPr>
            <w:tcW w:w="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172,355</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liabilities at December 31, 2022</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Contract Acquisition Costs</w:t>
      </w:r>
    </w:p>
    <w:p>
      <w:pPr>
        <w:spacing w:after="0" w:line="117"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For contracts in excess of one year, the Company amortizes such costs on a straight-line basis over the average customer life of two years for new customers and over the renewal period for existing customers which is generally one year. Sales commissions are included in Xometry’s sales and marketing expenses in the Consolidated Statements of Operations and Comprehensive Loss. For the year ended December 31, 2022 and 2021, we recognized approximately $4.9 million and $0.5 million, respectively of amortization related to deferred sales commissions. As of December 31, 2022 and 2021, the Company had deferred sales contract acquisition costs of $3.3 million and $5.3 million, respectively which is classified in other current assets on the Consolidated Balance Sheets.</w:t>
      </w:r>
    </w:p>
    <w:p>
      <w:pPr>
        <w:spacing w:after="0" w:line="85" w:lineRule="exact"/>
        <w:rPr>
          <w:sz w:val="20"/>
          <w:szCs w:val="20"/>
          <w:color w:val="auto"/>
        </w:rPr>
      </w:pPr>
    </w:p>
    <w:p>
      <w:pPr>
        <w:ind w:left="1300" w:hanging="648"/>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0" w:firstLine="644"/>
        <w:spacing w:after="0" w:line="307" w:lineRule="auto"/>
        <w:rPr>
          <w:sz w:val="20"/>
          <w:szCs w:val="20"/>
          <w:color w:val="auto"/>
        </w:rPr>
      </w:pPr>
      <w:r>
        <w:rPr>
          <w:rFonts w:ascii="Arial" w:cs="Arial" w:eastAsia="Arial" w:hAnsi="Arial"/>
          <w:sz w:val="17"/>
          <w:szCs w:val="17"/>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 for supplier services primarily consists of internal and external production costs and website hosting.</w:t>
      </w:r>
    </w:p>
    <w:p>
      <w:pPr>
        <w:spacing w:after="0" w:line="117" w:lineRule="exact"/>
        <w:rPr>
          <w:sz w:val="20"/>
          <w:szCs w:val="20"/>
          <w:color w:val="auto"/>
        </w:rPr>
      </w:pPr>
    </w:p>
    <w:p>
      <w:pPr>
        <w:ind w:left="1300" w:hanging="648"/>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644"/>
        <w:spacing w:after="0" w:line="293" w:lineRule="auto"/>
        <w:rPr>
          <w:sz w:val="20"/>
          <w:szCs w:val="20"/>
          <w:color w:val="auto"/>
        </w:rPr>
      </w:pPr>
      <w:r>
        <w:rPr>
          <w:rFonts w:ascii="Arial" w:cs="Arial" w:eastAsia="Arial" w:hAnsi="Arial"/>
          <w:sz w:val="16"/>
          <w:szCs w:val="16"/>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The Company has finance leases as detailed in the Long-Lived Assets section above.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122" w:lineRule="exact"/>
        <w:rPr>
          <w:sz w:val="20"/>
          <w:szCs w:val="20"/>
          <w:color w:val="auto"/>
        </w:rPr>
      </w:pPr>
    </w:p>
    <w:p>
      <w:pPr>
        <w:ind w:right="80" w:firstLine="644"/>
        <w:spacing w:after="0" w:line="254"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right="40"/>
        <w:spacing w:after="0" w:line="263" w:lineRule="auto"/>
        <w:rPr>
          <w:sz w:val="20"/>
          <w:szCs w:val="20"/>
          <w:color w:val="auto"/>
        </w:rPr>
      </w:pPr>
      <w:r>
        <w:rPr>
          <w:rFonts w:ascii="Arial" w:cs="Arial" w:eastAsia="Arial" w:hAnsi="Arial"/>
          <w:sz w:val="18"/>
          <w:szCs w:val="18"/>
          <w:color w:val="auto"/>
        </w:rPr>
        <w:t>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17" w:lineRule="exact"/>
        <w:rPr>
          <w:sz w:val="20"/>
          <w:szCs w:val="20"/>
          <w:color w:val="auto"/>
        </w:rPr>
      </w:pPr>
    </w:p>
    <w:p>
      <w:pPr>
        <w:ind w:left="1300" w:hanging="648"/>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00" w:firstLine="644"/>
        <w:spacing w:after="0" w:line="259" w:lineRule="auto"/>
        <w:rPr>
          <w:sz w:val="20"/>
          <w:szCs w:val="20"/>
          <w:color w:val="auto"/>
        </w:rPr>
      </w:pPr>
      <w:r>
        <w:rPr>
          <w:rFonts w:ascii="Arial" w:cs="Arial" w:eastAsia="Arial" w:hAnsi="Arial"/>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2022, 2021 and 2020, the Company’s advertising costs were $33.5 million, $20.7 million and $12.0 million, respectively.</w:t>
      </w:r>
    </w:p>
    <w:p>
      <w:pPr>
        <w:spacing w:after="0" w:line="77" w:lineRule="exact"/>
        <w:rPr>
          <w:sz w:val="20"/>
          <w:szCs w:val="20"/>
          <w:color w:val="auto"/>
        </w:rPr>
      </w:pPr>
    </w:p>
    <w:p>
      <w:pPr>
        <w:ind w:left="1300" w:hanging="648"/>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Operations and Support</w:t>
      </w:r>
    </w:p>
    <w:p>
      <w:pPr>
        <w:spacing w:after="0" w:line="117" w:lineRule="exact"/>
        <w:rPr>
          <w:sz w:val="20"/>
          <w:szCs w:val="20"/>
          <w:color w:val="auto"/>
        </w:rPr>
      </w:pPr>
    </w:p>
    <w:p>
      <w:pPr>
        <w:ind w:firstLine="644"/>
        <w:spacing w:after="0" w:line="259" w:lineRule="auto"/>
        <w:rPr>
          <w:sz w:val="20"/>
          <w:szCs w:val="20"/>
          <w:color w:val="auto"/>
        </w:rPr>
      </w:pPr>
      <w:r>
        <w:rPr>
          <w:rFonts w:ascii="Arial" w:cs="Arial" w:eastAsia="Arial" w:hAnsi="Arial"/>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77" w:lineRule="exact"/>
        <w:rPr>
          <w:sz w:val="20"/>
          <w:szCs w:val="20"/>
          <w:color w:val="auto"/>
        </w:rPr>
      </w:pPr>
    </w:p>
    <w:p>
      <w:pPr>
        <w:ind w:left="1300" w:hanging="648"/>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140" w:firstLine="644"/>
        <w:spacing w:after="0" w:line="341" w:lineRule="auto"/>
        <w:rPr>
          <w:sz w:val="20"/>
          <w:szCs w:val="20"/>
          <w:color w:val="auto"/>
        </w:rPr>
      </w:pPr>
      <w:r>
        <w:rPr>
          <w:rFonts w:ascii="Arial" w:cs="Arial" w:eastAsia="Arial" w:hAnsi="Arial"/>
          <w:sz w:val="16"/>
          <w:szCs w:val="16"/>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17" w:lineRule="exact"/>
        <w:rPr>
          <w:sz w:val="20"/>
          <w:szCs w:val="20"/>
          <w:color w:val="auto"/>
        </w:rPr>
      </w:pPr>
    </w:p>
    <w:p>
      <w:pPr>
        <w:ind w:left="1300" w:hanging="648"/>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40" w:firstLine="644"/>
        <w:spacing w:after="0" w:line="307" w:lineRule="auto"/>
        <w:rPr>
          <w:sz w:val="20"/>
          <w:szCs w:val="20"/>
          <w:color w:val="auto"/>
        </w:rPr>
      </w:pPr>
      <w:r>
        <w:rPr>
          <w:rFonts w:ascii="Arial" w:cs="Arial" w:eastAsia="Arial" w:hAnsi="Arial"/>
          <w:sz w:val="17"/>
          <w:szCs w:val="17"/>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34" w:lineRule="exact"/>
        <w:rPr>
          <w:sz w:val="20"/>
          <w:szCs w:val="20"/>
          <w:color w:val="auto"/>
        </w:rPr>
      </w:pPr>
    </w:p>
    <w:p>
      <w:pPr>
        <w:ind w:left="1300" w:hanging="648"/>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Black-Scholes model considers several variables and assumptions in estimating the fair value of stock-based awards. These variables include:</w:t>
      </w:r>
    </w:p>
    <w:p>
      <w:pPr>
        <w:spacing w:after="0" w:line="140" w:lineRule="exact"/>
        <w:rPr>
          <w:sz w:val="20"/>
          <w:szCs w:val="20"/>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17" w:lineRule="exact"/>
        <w:rPr>
          <w:sz w:val="20"/>
          <w:szCs w:val="20"/>
          <w:color w:val="auto"/>
        </w:rPr>
      </w:pPr>
    </w:p>
    <w:p>
      <w:pPr>
        <w:ind w:right="20" w:firstLine="644"/>
        <w:spacing w:after="0" w:line="285" w:lineRule="auto"/>
        <w:rPr>
          <w:sz w:val="20"/>
          <w:szCs w:val="20"/>
          <w:color w:val="auto"/>
        </w:rPr>
      </w:pPr>
      <w:r>
        <w:rPr>
          <w:rFonts w:ascii="Arial" w:cs="Arial" w:eastAsia="Arial" w:hAnsi="Arial"/>
          <w:sz w:val="16"/>
          <w:szCs w:val="16"/>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As there was no public market for the Company's common stock prior to the IPO, the Company estimates its expected share price volatility based on the historical volatility of publicly traded peer companies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4" w:name="page75"/>
    <w:bookmarkEnd w:id="74"/>
    <w:p>
      <w:pPr>
        <w:ind w:left="1300" w:hanging="648"/>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firstLine="644"/>
        <w:spacing w:after="0" w:line="256"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during the year. The diluted net loss per share is computed by giving effect to all potentially dilutive securities outstanding for the year. For the years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83" w:lineRule="exact"/>
        <w:rPr>
          <w:sz w:val="20"/>
          <w:szCs w:val="20"/>
          <w:color w:val="auto"/>
        </w:rPr>
      </w:pPr>
    </w:p>
    <w:p>
      <w:pPr>
        <w:ind w:firstLine="644"/>
        <w:spacing w:after="0" w:line="254" w:lineRule="auto"/>
        <w:rPr>
          <w:sz w:val="20"/>
          <w:szCs w:val="20"/>
          <w:color w:val="auto"/>
        </w:rPr>
      </w:pPr>
      <w:r>
        <w:rPr>
          <w:rFonts w:ascii="Arial" w:cs="Arial" w:eastAsia="Arial" w:hAnsi="Arial"/>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85" w:lineRule="exact"/>
        <w:rPr>
          <w:sz w:val="20"/>
          <w:szCs w:val="20"/>
          <w:color w:val="auto"/>
        </w:rPr>
      </w:pPr>
    </w:p>
    <w:p>
      <w:pPr>
        <w:ind w:left="1300" w:hanging="648"/>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644"/>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that it is not considered to be more likely than not that a deferred tax asset will be realized, a valuation allowance is established.</w:t>
      </w:r>
    </w:p>
    <w:p>
      <w:pPr>
        <w:spacing w:after="0" w:line="140" w:lineRule="exact"/>
        <w:rPr>
          <w:sz w:val="20"/>
          <w:szCs w:val="20"/>
          <w:color w:val="auto"/>
        </w:rPr>
      </w:pPr>
    </w:p>
    <w:p>
      <w:pPr>
        <w:ind w:right="40" w:firstLine="644"/>
        <w:spacing w:after="0" w:line="311"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40" w:lineRule="exact"/>
        <w:rPr>
          <w:sz w:val="20"/>
          <w:szCs w:val="20"/>
          <w:color w:val="auto"/>
        </w:rPr>
      </w:pPr>
    </w:p>
    <w:p>
      <w:pPr>
        <w:ind w:left="1300" w:hanging="648"/>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440" w:firstLine="64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5" w:lineRule="exact"/>
        <w:rPr>
          <w:sz w:val="20"/>
          <w:szCs w:val="20"/>
          <w:color w:val="auto"/>
        </w:rPr>
      </w:pPr>
    </w:p>
    <w:p>
      <w:pPr>
        <w:ind w:left="1300" w:hanging="648"/>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60" w:firstLine="644"/>
        <w:spacing w:after="0" w:line="263"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spacing w:after="0" w:line="75" w:lineRule="exact"/>
        <w:rPr>
          <w:sz w:val="20"/>
          <w:szCs w:val="20"/>
          <w:color w:val="auto"/>
        </w:rPr>
      </w:pPr>
    </w:p>
    <w:p>
      <w:pPr>
        <w:ind w:left="1300" w:hanging="648"/>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644"/>
        <w:spacing w:after="0" w:line="259"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As of December 31, 2022 and 2021, the Company's goodwill is attributable to the U.S. reporting unit.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77" w:lineRule="exact"/>
        <w:rPr>
          <w:sz w:val="20"/>
          <w:szCs w:val="20"/>
          <w:color w:val="auto"/>
        </w:rPr>
      </w:pPr>
    </w:p>
    <w:p>
      <w:pPr>
        <w:ind w:right="140" w:firstLine="644"/>
        <w:spacing w:after="0" w:line="269" w:lineRule="auto"/>
        <w:rPr>
          <w:sz w:val="20"/>
          <w:szCs w:val="20"/>
          <w:color w:val="auto"/>
        </w:rPr>
      </w:pPr>
      <w:r>
        <w:rPr>
          <w:rFonts w:ascii="Arial" w:cs="Arial" w:eastAsia="Arial" w:hAnsi="Arial"/>
          <w:sz w:val="17"/>
          <w:szCs w:val="17"/>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During the years ended December 31, 2022 and 2021, the Company performed its qualitative assessment and determined that it was more likely than not that the fair value of our reporting units exceeded their carrying values.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5" w:name="page76"/>
    <w:bookmarkEnd w:id="75"/>
    <w:p>
      <w:pPr>
        <w:ind w:right="60" w:firstLine="644"/>
        <w:spacing w:after="0" w:line="263"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156" w:lineRule="exact"/>
        <w:rPr>
          <w:sz w:val="20"/>
          <w:szCs w:val="20"/>
          <w:color w:val="auto"/>
        </w:rPr>
      </w:pPr>
    </w:p>
    <w:p>
      <w:pPr>
        <w:jc w:val="both"/>
        <w:ind w:right="60" w:firstLine="644"/>
        <w:spacing w:after="0" w:line="259"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77" w:lineRule="exact"/>
        <w:rPr>
          <w:sz w:val="20"/>
          <w:szCs w:val="20"/>
          <w:color w:val="auto"/>
        </w:rPr>
      </w:pPr>
    </w:p>
    <w:p>
      <w:pPr>
        <w:ind w:left="1300" w:hanging="648"/>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Accounting Adopted during the Year Ended December 31, 2022</w:t>
      </w:r>
    </w:p>
    <w:p>
      <w:pPr>
        <w:spacing w:after="0" w:line="184" w:lineRule="exact"/>
        <w:rPr>
          <w:sz w:val="20"/>
          <w:szCs w:val="20"/>
          <w:color w:val="auto"/>
        </w:rPr>
      </w:pPr>
    </w:p>
    <w:p>
      <w:pPr>
        <w:ind w:right="40" w:firstLine="644"/>
        <w:spacing w:after="0" w:line="273" w:lineRule="auto"/>
        <w:rPr>
          <w:sz w:val="20"/>
          <w:szCs w:val="20"/>
          <w:color w:val="auto"/>
        </w:rPr>
      </w:pPr>
      <w:r>
        <w:rPr>
          <w:rFonts w:ascii="Arial" w:cs="Arial" w:eastAsia="Arial" w:hAnsi="Arial"/>
          <w:sz w:val="17"/>
          <w:szCs w:val="17"/>
          <w:color w:val="auto"/>
        </w:rPr>
        <w:t xml:space="preserve">In August 2020, the FASB issued Accounting Standards Update (“ASU”) 2020-06, </w:t>
      </w:r>
      <w:r>
        <w:rPr>
          <w:rFonts w:ascii="Arial" w:cs="Arial" w:eastAsia="Arial" w:hAnsi="Arial"/>
          <w:sz w:val="17"/>
          <w:szCs w:val="17"/>
          <w:i w:val="1"/>
          <w:iCs w:val="1"/>
          <w:color w:val="auto"/>
        </w:rPr>
        <w:t>Debt—Debt with Conversion and Other Options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470-20) and Derivatives and Hedging — Contracts in Entity’s Own Equity (Subtopic 815-40): Accounting for Convertible Instruments and Contracts in an Entity’s Own Equity </w:t>
      </w:r>
      <w:r>
        <w:rPr>
          <w:rFonts w:ascii="Arial" w:cs="Arial" w:eastAsia="Arial" w:hAnsi="Arial"/>
          <w:sz w:val="17"/>
          <w:szCs w:val="17"/>
          <w:color w:val="auto"/>
        </w:rPr>
        <w:t>(“ASU 2020-06”), which reduced the number of models used to account for convertible instruments, amends the accounting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an entity’s own equity that would have previously been accounted for as derivatives, and modifies the diluted earnings per share calculations for convertible instruments. We adopted ASU 2020-06 on January 1, 2022. As a result of the adoption of ASU 2020-06, the convertible notes issued in February 2022 were considered to be debt with no allocation to equity.</w:t>
      </w:r>
    </w:p>
    <w:p>
      <w:pPr>
        <w:spacing w:after="0" w:line="149" w:lineRule="exact"/>
        <w:rPr>
          <w:sz w:val="20"/>
          <w:szCs w:val="20"/>
          <w:color w:val="auto"/>
        </w:rPr>
      </w:pPr>
    </w:p>
    <w:p>
      <w:pPr>
        <w:ind w:right="80" w:firstLine="689"/>
        <w:spacing w:after="0" w:line="258" w:lineRule="auto"/>
        <w:rPr>
          <w:sz w:val="20"/>
          <w:szCs w:val="20"/>
          <w:color w:val="auto"/>
        </w:rPr>
      </w:pPr>
      <w:r>
        <w:rPr>
          <w:rFonts w:ascii="Arial" w:cs="Arial" w:eastAsia="Arial" w:hAnsi="Arial"/>
          <w:sz w:val="18"/>
          <w:szCs w:val="18"/>
          <w:color w:val="auto"/>
        </w:rPr>
        <w:t xml:space="preserve">In June 2016, the FASB issued ASU 2016-13, Financial Instruments-Credit Losses (“Topic 326”),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Topic 326 changes the impairment model for most financial assets and certain other instruments. Under the new standard, entities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was originally effective for the Company on January 1, 2023 given our Emerging Growth Company status. We lost our Emerging Growth Company status on January 1, 2023. Therefore, the Company applied Topic 326 on July 1, 2022. The adoption of Topic 326 on July 1, 2022 did not have a material impact on the Company's consolidated financial statements and related disclosures.</w:t>
      </w:r>
    </w:p>
    <w:p>
      <w:pPr>
        <w:spacing w:after="0" w:line="148" w:lineRule="exact"/>
        <w:rPr>
          <w:sz w:val="20"/>
          <w:szCs w:val="20"/>
          <w:color w:val="auto"/>
        </w:rPr>
      </w:pPr>
    </w:p>
    <w:p>
      <w:pPr>
        <w:ind w:right="140" w:firstLine="644"/>
        <w:spacing w:after="0" w:line="277"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1" w:lineRule="exact"/>
        <w:rPr>
          <w:sz w:val="20"/>
          <w:szCs w:val="20"/>
          <w:color w:val="auto"/>
        </w:rPr>
      </w:pPr>
    </w:p>
    <w:p>
      <w:pPr>
        <w:ind w:right="320" w:firstLine="644"/>
        <w:spacing w:after="0" w:line="263"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56" w:lineRule="exact"/>
        <w:rPr>
          <w:sz w:val="20"/>
          <w:szCs w:val="20"/>
          <w:color w:val="auto"/>
        </w:rPr>
      </w:pPr>
    </w:p>
    <w:p>
      <w:pPr>
        <w:ind w:right="400" w:firstLine="644"/>
        <w:spacing w:after="0" w:line="277" w:lineRule="auto"/>
        <w:rPr>
          <w:sz w:val="20"/>
          <w:szCs w:val="20"/>
          <w:color w:val="auto"/>
        </w:rPr>
      </w:pPr>
      <w:r>
        <w:rPr>
          <w:rFonts w:ascii="Arial" w:cs="Arial" w:eastAsia="Arial" w:hAnsi="Arial"/>
          <w:sz w:val="18"/>
          <w:szCs w:val="18"/>
          <w:color w:val="auto"/>
        </w:rPr>
        <w:t>For 2022 and 2021, no one customer accounted for more than 10% of the Company's revenues. As of December 31, 2022 and 2021, no single customer accounted for more than 10% of the Company’s accounts receivable.</w:t>
      </w:r>
    </w:p>
    <w:p>
      <w:pPr>
        <w:spacing w:after="0" w:line="1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60" w:firstLine="644"/>
        <w:spacing w:after="0" w:line="279" w:lineRule="auto"/>
        <w:rPr>
          <w:sz w:val="20"/>
          <w:szCs w:val="20"/>
          <w:color w:val="auto"/>
        </w:rPr>
      </w:pPr>
      <w:r>
        <w:rPr>
          <w:rFonts w:ascii="Arial" w:cs="Arial" w:eastAsia="Arial" w:hAnsi="Arial"/>
          <w:sz w:val="17"/>
          <w:szCs w:val="17"/>
          <w:color w:val="auto"/>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December 31, 2022 and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45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4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4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1"/>
                <w:szCs w:val="21"/>
                <w:color w:val="auto"/>
              </w:rPr>
            </w:pP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inventory</w:t>
            </w:r>
          </w:p>
        </w:tc>
        <w:tc>
          <w:tcPr>
            <w:tcW w:w="4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21"/>
                <w:szCs w:val="21"/>
                <w:color w:val="auto"/>
              </w:rPr>
            </w:pP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r>
      <w:tr>
        <w:trPr>
          <w:trHeight w:val="276"/>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8"/>
        </w:trPr>
        <w:tc>
          <w:tcPr>
            <w:tcW w:w="3400" w:type="dxa"/>
            <w:vAlign w:val="bottom"/>
          </w:tcPr>
          <w:p>
            <w:pPr>
              <w:spacing w:after="0"/>
              <w:rPr>
                <w:sz w:val="24"/>
                <w:szCs w:val="24"/>
                <w:color w:val="auto"/>
              </w:rPr>
            </w:pPr>
          </w:p>
        </w:tc>
        <w:tc>
          <w:tcPr>
            <w:tcW w:w="4340" w:type="dxa"/>
            <w:vAlign w:val="bottom"/>
          </w:tcPr>
          <w:p>
            <w:pPr>
              <w:jc w:val="right"/>
              <w:ind w:right="193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-384810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-367665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December 31, 2022 and 2021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69"/>
        </w:trPr>
        <w:tc>
          <w:tcPr>
            <w:tcW w:w="598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Useful Life</w:t>
            </w:r>
          </w:p>
        </w:tc>
        <w:tc>
          <w:tcPr>
            <w:tcW w:w="160" w:type="dxa"/>
            <w:vAlign w:val="bottom"/>
            <w:gridSpan w:val="2"/>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hardware</w:t>
            </w: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0"/>
                <w:szCs w:val="20"/>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w:t>
            </w: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24,343</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Patent</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17 years</w:t>
            </w:r>
          </w:p>
        </w:tc>
        <w:tc>
          <w:tcPr>
            <w:tcW w:w="160" w:type="dxa"/>
            <w:vAlign w:val="bottom"/>
          </w:tcPr>
          <w:p>
            <w:pPr>
              <w:spacing w:after="0"/>
              <w:rPr>
                <w:sz w:val="20"/>
                <w:szCs w:val="20"/>
                <w:color w:val="auto"/>
              </w:rPr>
            </w:pPr>
          </w:p>
        </w:tc>
        <w:tc>
          <w:tcPr>
            <w:tcW w:w="134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r>
      <w:tr>
        <w:trPr>
          <w:trHeight w:val="221"/>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92"/>
              </w:rPr>
              <w:t>Shorter of useful</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9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91"/>
              </w:rPr>
              <w:t>life or lease term</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7 years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33,212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20,826</w:t>
            </w:r>
          </w:p>
        </w:tc>
        <w:tc>
          <w:tcPr>
            <w:tcW w:w="100" w:type="dxa"/>
            <w:vAlign w:val="bottom"/>
            <w:shd w:val="clear" w:color="auto" w:fill="CFF0FC"/>
          </w:tcPr>
          <w:p>
            <w:pPr>
              <w:spacing w:after="0"/>
              <w:rPr>
                <w:sz w:val="20"/>
                <w:szCs w:val="20"/>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(14,133 )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(10,539 )</w:t>
            </w:r>
          </w:p>
        </w:tc>
      </w:tr>
      <w:tr>
        <w:trPr>
          <w:trHeight w:val="276"/>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19,079</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right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8"/>
        </w:trPr>
        <w:tc>
          <w:tcPr>
            <w:tcW w:w="8520" w:type="dxa"/>
            <w:vAlign w:val="bottom"/>
            <w:gridSpan w:val="8"/>
          </w:tcPr>
          <w:p>
            <w:pPr>
              <w:ind w:left="660"/>
              <w:spacing w:after="0"/>
              <w:rPr>
                <w:sz w:val="20"/>
                <w:szCs w:val="20"/>
                <w:color w:val="auto"/>
              </w:rPr>
            </w:pPr>
            <w:r>
              <w:rPr>
                <w:rFonts w:ascii="Arial" w:cs="Arial" w:eastAsia="Arial" w:hAnsi="Arial"/>
                <w:sz w:val="18"/>
                <w:szCs w:val="18"/>
                <w:color w:val="auto"/>
                <w:w w:val="89"/>
              </w:rPr>
              <w:t>Depreciation expense for the years ended December 31, 2022, 2021 and 2020 was as follows (in thousands):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CFF0FC"/>
            </w:tcBorders>
          </w:tcPr>
          <w:p>
            <w:pPr>
              <w:spacing w:after="0"/>
              <w:rPr>
                <w:sz w:val="20"/>
                <w:szCs w:val="20"/>
                <w:color w:val="auto"/>
              </w:rPr>
            </w:pPr>
          </w:p>
        </w:tc>
        <w:tc>
          <w:tcPr>
            <w:tcW w:w="16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20"/>
                <w:szCs w:val="20"/>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CFF0FC"/>
            </w:tcBorders>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CFF0FC"/>
            </w:tcBorders>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-1651635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-1634490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-187960</wp:posOffset>
            </wp:positionV>
            <wp:extent cx="768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9" w:lineRule="exact"/>
        <w:rPr>
          <w:sz w:val="20"/>
          <w:szCs w:val="20"/>
          <w:color w:val="auto"/>
        </w:rPr>
      </w:pPr>
    </w:p>
    <w:p>
      <w:pPr>
        <w:ind w:right="320" w:firstLine="644"/>
        <w:spacing w:after="0" w:line="301" w:lineRule="auto"/>
        <w:rPr>
          <w:sz w:val="20"/>
          <w:szCs w:val="20"/>
          <w:color w:val="auto"/>
        </w:rPr>
      </w:pPr>
      <w:r>
        <w:rPr>
          <w:rFonts w:ascii="Arial" w:cs="Arial" w:eastAsia="Arial" w:hAnsi="Arial"/>
          <w:sz w:val="16"/>
          <w:szCs w:val="16"/>
          <w:color w:val="auto"/>
        </w:rPr>
        <w:t>During the year ended December 31, 2022, the Company recorded impairments of approximately $0.8 million related to abandoned software projects that were previously in development, furniture, fixtures and equipment and/or other assets to be disposed. During the year ended December 31, 2022, $0.5 million of these impairments were recorded in our U.S. reporting segment and $0.3 million of these impairments were recorded in our International reporting segment. No impairments were recorded on our property and equipment during the years ended December 31, 2021 and 2020.</w:t>
      </w:r>
    </w:p>
    <w:p>
      <w:pPr>
        <w:spacing w:after="0" w:line="260" w:lineRule="exact"/>
        <w:rPr>
          <w:sz w:val="20"/>
          <w:szCs w:val="20"/>
          <w:color w:val="auto"/>
        </w:rPr>
      </w:pPr>
    </w:p>
    <w:p>
      <w:pPr>
        <w:ind w:left="700" w:hanging="692"/>
        <w:spacing w:after="0"/>
        <w:tabs>
          <w:tab w:leader="none" w:pos="7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644"/>
        <w:spacing w:after="0" w:line="275" w:lineRule="auto"/>
        <w:rPr>
          <w:sz w:val="20"/>
          <w:szCs w:val="20"/>
          <w:color w:val="auto"/>
        </w:rPr>
      </w:pPr>
      <w:r>
        <w:rPr>
          <w:rFonts w:ascii="Arial" w:cs="Arial" w:eastAsia="Arial" w:hAnsi="Arial"/>
          <w:sz w:val="17"/>
          <w:szCs w:val="17"/>
          <w:color w:val="auto"/>
        </w:rPr>
        <w:t>The Company leases its offices under non-cancelable lease agreements which expire between 2023 and 2029.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spacing w:after="0" w:line="202" w:lineRule="exact"/>
        <w:rPr>
          <w:sz w:val="20"/>
          <w:szCs w:val="20"/>
          <w:color w:val="auto"/>
        </w:rPr>
      </w:pPr>
    </w:p>
    <w:p>
      <w:pPr>
        <w:ind w:right="140" w:firstLine="644"/>
        <w:spacing w:after="0" w:line="262" w:lineRule="auto"/>
        <w:rPr>
          <w:sz w:val="20"/>
          <w:szCs w:val="20"/>
          <w:color w:val="auto"/>
        </w:rPr>
      </w:pPr>
      <w:r>
        <w:rPr>
          <w:rFonts w:ascii="Arial" w:cs="Arial" w:eastAsia="Arial" w:hAnsi="Arial"/>
          <w:sz w:val="18"/>
          <w:szCs w:val="18"/>
          <w:color w:val="auto"/>
        </w:rPr>
        <w:t>The Company subleases a portion of its office in New York City to three other companies (the “Sublessees”). The Sublessees pay the Company a portion of the rent under the existing lease with the landlord (the “Head Lease”), the Company was not relieved from its legal obligation to the landlord under the Head Lease. Accordingly, an operating lease liability and an operating lease ROU asset was reflected on the Company’s Consolidated Balance Sheets related to the Head 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Operating lease expense for the years ended December 31, 2022, 2021 and 2020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5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6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7,706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Total operating lease expense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7,788</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-187960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lease costs for the year ended December 31, 2022 are presented below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6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88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3560" w:type="dxa"/>
            <w:vAlign w:val="bottom"/>
            <w:tcBorders>
              <w:top w:val="single" w:sz="8" w:color="auto"/>
              <w:bottom w:val="single" w:sz="8" w:color="auto"/>
            </w:tcBorders>
          </w:tcPr>
          <w:p>
            <w:pPr>
              <w:jc w:val="right"/>
              <w:ind w:right="19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costs:</w:t>
            </w:r>
          </w:p>
        </w:tc>
        <w:tc>
          <w:tcPr>
            <w:tcW w:w="700" w:type="dxa"/>
            <w:vAlign w:val="bottom"/>
            <w:shd w:val="clear" w:color="auto" w:fill="CFF0FC"/>
          </w:tcPr>
          <w:p>
            <w:pPr>
              <w:spacing w:after="0"/>
              <w:rPr>
                <w:sz w:val="20"/>
                <w:szCs w:val="20"/>
                <w:color w:val="auto"/>
              </w:rPr>
            </w:pPr>
          </w:p>
        </w:tc>
        <w:tc>
          <w:tcPr>
            <w:tcW w:w="3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880" w:type="dxa"/>
            <w:vAlign w:val="bottom"/>
          </w:tcPr>
          <w:p>
            <w:pPr>
              <w:ind w:left="300"/>
              <w:spacing w:after="0"/>
              <w:rPr>
                <w:sz w:val="20"/>
                <w:szCs w:val="20"/>
                <w:color w:val="auto"/>
              </w:rPr>
            </w:pPr>
            <w:r>
              <w:rPr>
                <w:rFonts w:ascii="Arial" w:cs="Arial" w:eastAsia="Arial" w:hAnsi="Arial"/>
                <w:sz w:val="18"/>
                <w:szCs w:val="18"/>
                <w:color w:val="auto"/>
              </w:rPr>
              <w:t>Operating lease costs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56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Variable lease costs</w:t>
            </w:r>
          </w:p>
        </w:tc>
        <w:tc>
          <w:tcPr>
            <w:tcW w:w="700" w:type="dxa"/>
            <w:vAlign w:val="bottom"/>
            <w:shd w:val="clear" w:color="auto" w:fill="CFF0FC"/>
          </w:tcPr>
          <w:p>
            <w:pPr>
              <w:spacing w:after="0"/>
              <w:rPr>
                <w:sz w:val="21"/>
                <w:szCs w:val="21"/>
                <w:color w:val="auto"/>
              </w:rPr>
            </w:pPr>
          </w:p>
        </w:tc>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21"/>
                <w:szCs w:val="21"/>
                <w:color w:val="auto"/>
              </w:rPr>
            </w:pPr>
          </w:p>
        </w:tc>
      </w:tr>
      <w:tr>
        <w:trPr>
          <w:trHeight w:val="236"/>
        </w:trPr>
        <w:tc>
          <w:tcPr>
            <w:tcW w:w="6880" w:type="dxa"/>
            <w:vAlign w:val="bottom"/>
          </w:tcPr>
          <w:p>
            <w:pPr>
              <w:ind w:left="300"/>
              <w:spacing w:after="0"/>
              <w:rPr>
                <w:sz w:val="20"/>
                <w:szCs w:val="20"/>
                <w:color w:val="auto"/>
              </w:rPr>
            </w:pPr>
            <w:r>
              <w:rPr>
                <w:rFonts w:ascii="Arial" w:cs="Arial" w:eastAsia="Arial" w:hAnsi="Arial"/>
                <w:sz w:val="18"/>
                <w:szCs w:val="18"/>
                <w:color w:val="auto"/>
              </w:rPr>
              <w:t>Short-term lease costs</w:t>
            </w:r>
          </w:p>
        </w:tc>
        <w:tc>
          <w:tcPr>
            <w:tcW w:w="70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Amortization of in-place lease intangible assets</w:t>
            </w:r>
          </w:p>
        </w:tc>
        <w:tc>
          <w:tcPr>
            <w:tcW w:w="700" w:type="dxa"/>
            <w:vAlign w:val="bottom"/>
            <w:shd w:val="clear" w:color="auto" w:fill="CFF0FC"/>
          </w:tcPr>
          <w:p>
            <w:pPr>
              <w:spacing w:after="0"/>
              <w:rPr>
                <w:sz w:val="21"/>
                <w:szCs w:val="21"/>
                <w:color w:val="auto"/>
              </w:rPr>
            </w:pPr>
          </w:p>
        </w:tc>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21"/>
                <w:szCs w:val="21"/>
                <w:color w:val="auto"/>
              </w:rPr>
            </w:pPr>
          </w:p>
        </w:tc>
      </w:tr>
      <w:tr>
        <w:trPr>
          <w:trHeight w:val="236"/>
        </w:trPr>
        <w:tc>
          <w:tcPr>
            <w:tcW w:w="6880" w:type="dxa"/>
            <w:vAlign w:val="bottom"/>
          </w:tcPr>
          <w:p>
            <w:pPr>
              <w:ind w:left="300"/>
              <w:spacing w:after="0"/>
              <w:rPr>
                <w:sz w:val="20"/>
                <w:szCs w:val="20"/>
                <w:color w:val="auto"/>
              </w:rPr>
            </w:pPr>
            <w:r>
              <w:rPr>
                <w:rFonts w:ascii="Arial" w:cs="Arial" w:eastAsia="Arial" w:hAnsi="Arial"/>
                <w:sz w:val="18"/>
                <w:szCs w:val="18"/>
                <w:color w:val="auto"/>
              </w:rPr>
              <w:t>Amortization of in place lease asset - below market</w:t>
            </w:r>
          </w:p>
        </w:tc>
        <w:tc>
          <w:tcPr>
            <w:tcW w:w="70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0"/>
                <w:szCs w:val="20"/>
                <w:color w:val="auto"/>
              </w:rPr>
            </w:pPr>
          </w:p>
        </w:tc>
      </w:tr>
      <w:tr>
        <w:trPr>
          <w:trHeight w:val="243"/>
        </w:trPr>
        <w:tc>
          <w:tcPr>
            <w:tcW w:w="68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Sublease income</w:t>
            </w:r>
          </w:p>
        </w:tc>
        <w:tc>
          <w:tcPr>
            <w:tcW w:w="700" w:type="dxa"/>
            <w:vAlign w:val="bottom"/>
            <w:shd w:val="clear" w:color="auto" w:fill="CFF0FC"/>
          </w:tcPr>
          <w:p>
            <w:pPr>
              <w:spacing w:after="0"/>
              <w:rPr>
                <w:sz w:val="21"/>
                <w:szCs w:val="21"/>
                <w:color w:val="auto"/>
              </w:rPr>
            </w:pPr>
          </w:p>
        </w:tc>
        <w:tc>
          <w:tcPr>
            <w:tcW w:w="3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(1,978 )</w:t>
            </w:r>
          </w:p>
        </w:tc>
      </w:tr>
      <w:tr>
        <w:trPr>
          <w:trHeight w:val="236"/>
        </w:trPr>
        <w:tc>
          <w:tcPr>
            <w:tcW w:w="6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lease cost</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Borders>
              <w:top w:val="single" w:sz="8" w:color="CFF0FC"/>
            </w:tcBorders>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lease costs for the years ended December 30, 2021 and 2020, were primarily operating lease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supplemental cash and non-cash information related to Xometry’s leases during 2022, 2021 and 2020 (in thousands):</w:t>
      </w:r>
    </w:p>
    <w:p>
      <w:pPr>
        <w:spacing w:after="0" w:line="4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8890</wp:posOffset>
            </wp:positionV>
            <wp:extent cx="2611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02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20"/>
                <w:szCs w:val="20"/>
                <w:color w:val="auto"/>
              </w:rPr>
            </w:pPr>
          </w:p>
        </w:tc>
        <w:tc>
          <w:tcPr>
            <w:tcW w:w="100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cash flows from financing leases</w:t>
            </w: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lease obligations: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26,706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Reduction to right of use assets resulting from reductions to lease obligations:</w:t>
            </w:r>
          </w:p>
        </w:tc>
        <w:tc>
          <w:tcPr>
            <w:tcW w:w="9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c>
          <w:tcPr>
            <w:tcW w:w="10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20" w:lineRule="exact"/>
        <w:rPr>
          <w:sz w:val="20"/>
          <w:szCs w:val="20"/>
          <w:color w:val="auto"/>
        </w:rPr>
      </w:pPr>
    </w:p>
    <w:p>
      <w:pPr>
        <w:ind w:right="100" w:firstLine="743"/>
        <w:spacing w:after="0" w:line="263" w:lineRule="auto"/>
        <w:rPr>
          <w:sz w:val="20"/>
          <w:szCs w:val="20"/>
          <w:color w:val="auto"/>
        </w:rPr>
      </w:pPr>
      <w:r>
        <w:rPr>
          <w:rFonts w:ascii="Arial" w:cs="Arial" w:eastAsia="Arial" w:hAnsi="Arial"/>
          <w:sz w:val="18"/>
          <w:szCs w:val="18"/>
          <w:color w:val="auto"/>
        </w:rPr>
        <w:t>The increase in our ROU assets at December 31, 2022, as compared to December 31, 2021, is primarily due to our new lease in North Bethesda, Maryland and new and/or amended leases in Europe. The increase in our ROU lease assets at December 31, 2021, as compared to December 31, 2020, is primarily related to our acquisitions during the fourth quarter of 2021, see Note 13 - Acquisitions.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Xometry’s aggregate annual lease obligations at December 31, 2022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Operating Leases</w:t>
            </w:r>
          </w:p>
        </w:tc>
      </w:tr>
      <w:tr>
        <w:trPr>
          <w:trHeight w:val="236"/>
        </w:trPr>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2023</w:t>
            </w:r>
          </w:p>
        </w:tc>
        <w:tc>
          <w:tcPr>
            <w:tcW w:w="50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FF0FC"/>
          </w:tcPr>
          <w:p>
            <w:pPr>
              <w:spacing w:after="0"/>
              <w:rPr>
                <w:sz w:val="20"/>
                <w:szCs w:val="20"/>
                <w:color w:val="auto"/>
              </w:rPr>
            </w:pPr>
          </w:p>
        </w:tc>
      </w:tr>
      <w:tr>
        <w:trPr>
          <w:trHeight w:val="236"/>
        </w:trPr>
        <w:tc>
          <w:tcPr>
            <w:tcW w:w="4160" w:type="dxa"/>
            <w:vAlign w:val="bottom"/>
          </w:tcPr>
          <w:p>
            <w:pPr>
              <w:ind w:left="60"/>
              <w:spacing w:after="0"/>
              <w:rPr>
                <w:sz w:val="20"/>
                <w:szCs w:val="20"/>
                <w:color w:val="auto"/>
              </w:rPr>
            </w:pPr>
            <w:r>
              <w:rPr>
                <w:rFonts w:ascii="Arial" w:cs="Arial" w:eastAsia="Arial" w:hAnsi="Arial"/>
                <w:sz w:val="18"/>
                <w:szCs w:val="18"/>
                <w:color w:val="auto"/>
              </w:rPr>
              <w:t>2024</w:t>
            </w: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0"/>
                <w:szCs w:val="20"/>
                <w:color w:val="auto"/>
              </w:rPr>
            </w:pPr>
          </w:p>
        </w:tc>
      </w:tr>
      <w:tr>
        <w:trPr>
          <w:trHeight w:val="249"/>
        </w:trPr>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5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FF0FC"/>
          </w:tcPr>
          <w:p>
            <w:pPr>
              <w:spacing w:after="0"/>
              <w:rPr>
                <w:sz w:val="21"/>
                <w:szCs w:val="21"/>
                <w:color w:val="auto"/>
              </w:rPr>
            </w:pPr>
          </w:p>
        </w:tc>
      </w:tr>
      <w:tr>
        <w:trPr>
          <w:trHeight w:val="236"/>
        </w:trPr>
        <w:tc>
          <w:tcPr>
            <w:tcW w:w="4160" w:type="dxa"/>
            <w:vAlign w:val="bottom"/>
          </w:tcPr>
          <w:p>
            <w:pPr>
              <w:ind w:left="60"/>
              <w:spacing w:after="0"/>
              <w:rPr>
                <w:sz w:val="20"/>
                <w:szCs w:val="20"/>
                <w:color w:val="auto"/>
              </w:rPr>
            </w:pPr>
            <w:r>
              <w:rPr>
                <w:rFonts w:ascii="Arial" w:cs="Arial" w:eastAsia="Arial" w:hAnsi="Arial"/>
                <w:sz w:val="18"/>
                <w:szCs w:val="18"/>
                <w:color w:val="auto"/>
              </w:rPr>
              <w:t>2026</w:t>
            </w: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r>
      <w:tr>
        <w:trPr>
          <w:trHeight w:val="249"/>
        </w:trPr>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2027</w:t>
            </w:r>
          </w:p>
        </w:tc>
        <w:tc>
          <w:tcPr>
            <w:tcW w:w="5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21"/>
                <w:szCs w:val="21"/>
                <w:color w:val="auto"/>
              </w:rPr>
            </w:pPr>
          </w:p>
        </w:tc>
      </w:tr>
      <w:tr>
        <w:trPr>
          <w:trHeight w:val="236"/>
        </w:trPr>
        <w:tc>
          <w:tcPr>
            <w:tcW w:w="4160" w:type="dxa"/>
            <w:vAlign w:val="bottom"/>
          </w:tcPr>
          <w:p>
            <w:pPr>
              <w:ind w:left="60"/>
              <w:spacing w:after="0"/>
              <w:rPr>
                <w:sz w:val="20"/>
                <w:szCs w:val="20"/>
                <w:color w:val="auto"/>
              </w:rPr>
            </w:pPr>
            <w:r>
              <w:rPr>
                <w:rFonts w:ascii="Arial" w:cs="Arial" w:eastAsia="Arial" w:hAnsi="Arial"/>
                <w:sz w:val="18"/>
                <w:szCs w:val="18"/>
                <w:color w:val="auto"/>
              </w:rPr>
              <w:t>Thereafter</w:t>
            </w:r>
          </w:p>
        </w:tc>
        <w:tc>
          <w:tcPr>
            <w:tcW w:w="5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0"/>
                <w:szCs w:val="20"/>
                <w:color w:val="auto"/>
              </w:rPr>
            </w:pPr>
          </w:p>
        </w:tc>
      </w:tr>
      <w:tr>
        <w:trPr>
          <w:trHeight w:val="242"/>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undiscounted lease obligations</w:t>
            </w:r>
          </w:p>
        </w:tc>
        <w:tc>
          <w:tcPr>
            <w:tcW w:w="5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25,024</w:t>
            </w:r>
          </w:p>
        </w:tc>
        <w:tc>
          <w:tcPr>
            <w:tcW w:w="100" w:type="dxa"/>
            <w:vAlign w:val="bottom"/>
            <w:shd w:val="clear" w:color="auto" w:fill="CFF0FC"/>
          </w:tcPr>
          <w:p>
            <w:pPr>
              <w:spacing w:after="0"/>
              <w:rPr>
                <w:sz w:val="21"/>
                <w:szCs w:val="21"/>
                <w:color w:val="auto"/>
              </w:rPr>
            </w:pPr>
          </w:p>
        </w:tc>
      </w:tr>
      <w:tr>
        <w:trPr>
          <w:trHeight w:val="236"/>
        </w:trPr>
        <w:tc>
          <w:tcPr>
            <w:tcW w:w="41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(2,613 )</w:t>
            </w:r>
          </w:p>
        </w:tc>
      </w:tr>
      <w:tr>
        <w:trPr>
          <w:trHeight w:val="242"/>
        </w:trPr>
        <w:tc>
          <w:tcPr>
            <w:tcW w:w="41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lease obligations</w:t>
            </w:r>
          </w:p>
        </w:tc>
        <w:tc>
          <w:tcPr>
            <w:tcW w:w="5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22,411</w:t>
            </w:r>
          </w:p>
        </w:tc>
        <w:tc>
          <w:tcPr>
            <w:tcW w:w="100" w:type="dxa"/>
            <w:vAlign w:val="bottom"/>
            <w:shd w:val="clear" w:color="auto" w:fill="CFF0FC"/>
          </w:tcPr>
          <w:p>
            <w:pPr>
              <w:spacing w:after="0"/>
              <w:rPr>
                <w:sz w:val="24"/>
                <w:szCs w:val="24"/>
                <w:color w:val="auto"/>
              </w:rPr>
            </w:pPr>
          </w:p>
        </w:tc>
      </w:tr>
      <w:tr>
        <w:trPr>
          <w:trHeight w:val="416"/>
        </w:trPr>
        <w:tc>
          <w:tcPr>
            <w:tcW w:w="4160" w:type="dxa"/>
            <w:vAlign w:val="bottom"/>
            <w:tcBorders>
              <w:top w:val="single" w:sz="8" w:color="CFF0FC"/>
            </w:tcBorders>
          </w:tcPr>
          <w:p>
            <w:pPr>
              <w:spacing w:after="0"/>
              <w:rPr>
                <w:sz w:val="24"/>
                <w:szCs w:val="24"/>
                <w:color w:val="auto"/>
              </w:rPr>
            </w:pPr>
          </w:p>
        </w:tc>
        <w:tc>
          <w:tcPr>
            <w:tcW w:w="5060" w:type="dxa"/>
            <w:vAlign w:val="bottom"/>
            <w:tcBorders>
              <w:top w:val="single" w:sz="8" w:color="CFF0FC"/>
            </w:tcBorders>
          </w:tcPr>
          <w:p>
            <w:pPr>
              <w:jc w:val="right"/>
              <w:ind w:right="3410"/>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5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640" w:type="dxa"/>
            <w:vAlign w:val="bottom"/>
            <w:shd w:val="clear" w:color="auto" w:fill="CFF0FC"/>
          </w:tcPr>
          <w:p>
            <w:pPr>
              <w:ind w:left="1320"/>
              <w:spacing w:after="0"/>
              <w:rPr>
                <w:sz w:val="20"/>
                <w:szCs w:val="20"/>
                <w:color w:val="auto"/>
              </w:rPr>
            </w:pPr>
            <w:r>
              <w:rPr>
                <w:rFonts w:ascii="Arial" w:cs="Arial" w:eastAsia="Arial" w:hAnsi="Arial"/>
                <w:sz w:val="18"/>
                <w:szCs w:val="18"/>
                <w:color w:val="auto"/>
                <w:w w:val="85"/>
              </w:rPr>
              <w:t>3.76</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1"/>
              </w:rPr>
              <w:t>3.83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540" w:type="dxa"/>
            <w:vAlign w:val="bottom"/>
            <w:gridSpan w:val="3"/>
          </w:tcPr>
          <w:p>
            <w:pPr>
              <w:ind w:left="1320"/>
              <w:spacing w:after="0"/>
              <w:rPr>
                <w:sz w:val="20"/>
                <w:szCs w:val="20"/>
                <w:color w:val="auto"/>
              </w:rPr>
            </w:pPr>
            <w:r>
              <w:rPr>
                <w:rFonts w:ascii="Arial" w:cs="Arial" w:eastAsia="Arial" w:hAnsi="Arial"/>
                <w:sz w:val="18"/>
                <w:szCs w:val="18"/>
                <w:color w:val="auto"/>
              </w:rPr>
              <w:t>4.78 %</w:t>
            </w: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w w:val="85"/>
              </w:rPr>
              <w:t>4.05 %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40" w:firstLine="494"/>
        <w:spacing w:after="0" w:line="259" w:lineRule="auto"/>
        <w:rPr>
          <w:sz w:val="20"/>
          <w:szCs w:val="20"/>
          <w:color w:val="auto"/>
        </w:rPr>
      </w:pPr>
      <w:r>
        <w:rPr>
          <w:rFonts w:ascii="Arial" w:cs="Arial" w:eastAsia="Arial" w:hAnsi="Arial"/>
          <w:sz w:val="18"/>
          <w:szCs w:val="18"/>
          <w:color w:val="auto"/>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$3.7 million of other offering costs in connection with its IPO.</w:t>
      </w:r>
    </w:p>
    <w:p>
      <w:pPr>
        <w:spacing w:after="0" w:line="185" w:lineRule="exact"/>
        <w:rPr>
          <w:sz w:val="20"/>
          <w:szCs w:val="20"/>
          <w:color w:val="auto"/>
        </w:rPr>
      </w:pPr>
    </w:p>
    <w:p>
      <w:pPr>
        <w:ind w:right="240" w:firstLine="494"/>
        <w:spacing w:after="0" w:line="311"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48" w:lineRule="exact"/>
        <w:rPr>
          <w:sz w:val="20"/>
          <w:szCs w:val="20"/>
          <w:color w:val="auto"/>
        </w:rPr>
      </w:pPr>
    </w:p>
    <w:p>
      <w:pPr>
        <w:ind w:right="80" w:firstLine="494"/>
        <w:spacing w:after="0" w:line="255" w:lineRule="auto"/>
        <w:rPr>
          <w:sz w:val="20"/>
          <w:szCs w:val="20"/>
          <w:color w:val="auto"/>
        </w:rPr>
      </w:pPr>
      <w:r>
        <w:rPr>
          <w:rFonts w:ascii="Arial" w:cs="Arial" w:eastAsia="Arial" w:hAnsi="Arial"/>
          <w:sz w:val="18"/>
          <w:szCs w:val="18"/>
          <w:color w:val="auto"/>
        </w:rPr>
        <w:t>Also on July 2, 2021, the Company reserved 402,658 shares of its Class A common stock, representing 1% of the Company's fully diluted capitalization as of the date of approval by our board of directors, for charitable contributions to non-profit organizations. These shares will be issued over the next five years, in an amount not to exceed 20% of the initial reserve amount per calendar year. During 2022 and 2021, the Company donated 60,399 and 40,266 shares of its Class A common stock, respectively, to a donor advised fund and recognized an expense associated with the charitable contribution of approximately $2.3 million and $2.2 million which is recorded in general and administrative expense in the Consolidated Statements of Operations and Comprehensive Loss.</w:t>
      </w:r>
    </w:p>
    <w:p>
      <w:pPr>
        <w:spacing w:after="0" w:line="83" w:lineRule="exact"/>
        <w:rPr>
          <w:sz w:val="20"/>
          <w:szCs w:val="20"/>
          <w:color w:val="auto"/>
        </w:rPr>
      </w:pPr>
    </w:p>
    <w:p>
      <w:pPr>
        <w:ind w:right="140" w:firstLine="644"/>
        <w:spacing w:after="0" w:line="259" w:lineRule="auto"/>
        <w:rPr>
          <w:sz w:val="20"/>
          <w:szCs w:val="20"/>
          <w:color w:val="auto"/>
        </w:rPr>
      </w:pPr>
      <w:r>
        <w:rPr>
          <w:rFonts w:ascii="Arial" w:cs="Arial" w:eastAsia="Arial" w:hAnsi="Arial"/>
          <w:sz w:val="18"/>
          <w:szCs w:val="18"/>
          <w:color w:val="auto"/>
        </w:rPr>
        <w:t>Prior to the Company's IPO on July 2, 2021, holders of common stock were entitled to one vote per share,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 to the preferred stock with respect to dividend rights, rights upon liquidation, and dissolution of the Company.</w:t>
      </w:r>
    </w:p>
    <w:p>
      <w:pPr>
        <w:spacing w:after="0" w:line="145" w:lineRule="exact"/>
        <w:rPr>
          <w:sz w:val="20"/>
          <w:szCs w:val="20"/>
          <w:color w:val="auto"/>
        </w:rPr>
      </w:pPr>
    </w:p>
    <w:p>
      <w:pPr>
        <w:ind w:right="140" w:firstLine="644"/>
        <w:spacing w:after="0" w:line="263" w:lineRule="auto"/>
        <w:rPr>
          <w:sz w:val="20"/>
          <w:szCs w:val="20"/>
          <w:color w:val="auto"/>
        </w:rPr>
      </w:pPr>
      <w:r>
        <w:rPr>
          <w:rFonts w:ascii="Arial" w:cs="Arial" w:eastAsia="Arial" w:hAnsi="Arial"/>
          <w:sz w:val="18"/>
          <w:szCs w:val="18"/>
          <w:color w:val="auto"/>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75" w:lineRule="exact"/>
        <w:rPr>
          <w:sz w:val="20"/>
          <w:szCs w:val="20"/>
          <w:color w:val="auto"/>
        </w:rPr>
      </w:pPr>
    </w:p>
    <w:p>
      <w:pPr>
        <w:ind w:left="1160" w:hanging="508"/>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750,000,000 are designated Class A common stock;</w:t>
      </w:r>
    </w:p>
    <w:p>
      <w:pPr>
        <w:spacing w:after="0" w:line="116" w:lineRule="exact"/>
        <w:rPr>
          <w:rFonts w:ascii="Arial" w:cs="Arial" w:eastAsia="Arial" w:hAnsi="Arial"/>
          <w:sz w:val="18"/>
          <w:szCs w:val="18"/>
          <w:color w:val="auto"/>
        </w:rPr>
      </w:pPr>
    </w:p>
    <w:p>
      <w:pPr>
        <w:ind w:left="1160" w:hanging="508"/>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5,000,000 are designated Class B common stock; and</w:t>
      </w:r>
    </w:p>
    <w:p>
      <w:pPr>
        <w:spacing w:after="0" w:line="116" w:lineRule="exact"/>
        <w:rPr>
          <w:rFonts w:ascii="Arial" w:cs="Arial" w:eastAsia="Arial" w:hAnsi="Arial"/>
          <w:sz w:val="18"/>
          <w:szCs w:val="18"/>
          <w:color w:val="auto"/>
        </w:rPr>
      </w:pPr>
    </w:p>
    <w:p>
      <w:pPr>
        <w:ind w:left="1160" w:hanging="508"/>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50,000,000 are designated preferred stock.</w:t>
      </w:r>
    </w:p>
    <w:p>
      <w:pPr>
        <w:spacing w:after="0" w:line="198" w:lineRule="exact"/>
        <w:rPr>
          <w:sz w:val="20"/>
          <w:szCs w:val="20"/>
          <w:color w:val="auto"/>
        </w:rPr>
      </w:pPr>
    </w:p>
    <w:p>
      <w:pPr>
        <w:ind w:right="100" w:firstLine="644"/>
        <w:spacing w:after="0" w:line="279" w:lineRule="auto"/>
        <w:rPr>
          <w:sz w:val="20"/>
          <w:szCs w:val="20"/>
          <w:color w:val="auto"/>
        </w:rPr>
      </w:pPr>
      <w:r>
        <w:rPr>
          <w:rFonts w:ascii="Arial" w:cs="Arial" w:eastAsia="Arial" w:hAnsi="Arial"/>
          <w:sz w:val="17"/>
          <w:szCs w:val="17"/>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No Class B common stock were converted to Class A common stock during 2022.</w:t>
      </w:r>
    </w:p>
    <w:p>
      <w:pPr>
        <w:spacing w:after="0" w:line="129" w:lineRule="exact"/>
        <w:rPr>
          <w:sz w:val="20"/>
          <w:szCs w:val="20"/>
          <w:color w:val="auto"/>
        </w:rPr>
      </w:pPr>
    </w:p>
    <w:p>
      <w:pPr>
        <w:ind w:right="280" w:firstLine="644"/>
        <w:spacing w:after="0" w:line="273" w:lineRule="auto"/>
        <w:rPr>
          <w:sz w:val="20"/>
          <w:szCs w:val="20"/>
          <w:color w:val="auto"/>
        </w:rPr>
      </w:pPr>
      <w:r>
        <w:rPr>
          <w:rFonts w:ascii="Arial" w:cs="Arial" w:eastAsia="Arial" w:hAnsi="Arial"/>
          <w:sz w:val="17"/>
          <w:szCs w:val="17"/>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79" w:name="page80"/>
    <w:bookmarkEnd w:id="79"/>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240" w:firstLine="644"/>
        <w:spacing w:after="0" w:line="256" w:lineRule="auto"/>
        <w:rPr>
          <w:sz w:val="20"/>
          <w:szCs w:val="20"/>
          <w:color w:val="auto"/>
        </w:rPr>
      </w:pPr>
      <w:r>
        <w:rPr>
          <w:rFonts w:ascii="Arial" w:cs="Arial" w:eastAsia="Arial" w:hAnsi="Arial"/>
          <w:sz w:val="18"/>
          <w:szCs w:val="18"/>
          <w:color w:val="auto"/>
        </w:rPr>
        <w:t>The Company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164" w:lineRule="exact"/>
        <w:rPr>
          <w:sz w:val="20"/>
          <w:szCs w:val="20"/>
          <w:color w:val="auto"/>
        </w:rPr>
      </w:pPr>
    </w:p>
    <w:p>
      <w:pPr>
        <w:ind w:right="660" w:firstLine="644"/>
        <w:spacing w:after="0" w:line="277" w:lineRule="auto"/>
        <w:rPr>
          <w:sz w:val="20"/>
          <w:szCs w:val="20"/>
          <w:color w:val="auto"/>
        </w:rPr>
      </w:pPr>
      <w:r>
        <w:rPr>
          <w:rFonts w:ascii="Arial" w:cs="Arial" w:eastAsia="Arial" w:hAnsi="Arial"/>
          <w:sz w:val="18"/>
          <w:szCs w:val="18"/>
          <w:color w:val="auto"/>
        </w:rPr>
        <w:t>As of December 31, 2020, the numbers of authorized and outstanding shares in the Convertible Preferred Stock, with their total respective liquidation preferences, were as follows (in thousands, except share and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8"/>
              </w:rPr>
              <w:t>Shares</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Liquidation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1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4"/>
                <w:szCs w:val="14"/>
                <w:color w:val="auto"/>
              </w:rPr>
            </w:pPr>
          </w:p>
        </w:tc>
        <w:tc>
          <w:tcPr>
            <w:tcW w:w="1580" w:type="dxa"/>
            <w:vAlign w:val="bottom"/>
            <w:gridSpan w:val="3"/>
          </w:tcPr>
          <w:p>
            <w:pPr>
              <w:ind w:left="260"/>
              <w:spacing w:after="0"/>
              <w:rPr>
                <w:sz w:val="20"/>
                <w:szCs w:val="20"/>
                <w:color w:val="auto"/>
              </w:rPr>
            </w:pPr>
            <w:r>
              <w:rPr>
                <w:rFonts w:ascii="Arial" w:cs="Arial" w:eastAsia="Arial" w:hAnsi="Arial"/>
                <w:sz w:val="14"/>
                <w:szCs w:val="14"/>
                <w:b w:val="1"/>
                <w:bCs w:val="1"/>
                <w:color w:val="auto"/>
              </w:rPr>
              <w:t>Authorized</w:t>
            </w:r>
          </w:p>
        </w:tc>
        <w:tc>
          <w:tcPr>
            <w:tcW w:w="104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Outstanding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rPr>
              <w:t>preference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Series:</w:t>
            </w:r>
          </w:p>
        </w:tc>
        <w:tc>
          <w:tcPr>
            <w:tcW w:w="13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260" w:type="dxa"/>
            <w:vAlign w:val="bottom"/>
          </w:tcPr>
          <w:p>
            <w:pPr>
              <w:ind w:left="200"/>
              <w:spacing w:after="0"/>
              <w:rPr>
                <w:sz w:val="20"/>
                <w:szCs w:val="20"/>
                <w:color w:val="auto"/>
              </w:rPr>
            </w:pPr>
            <w:r>
              <w:rPr>
                <w:rFonts w:ascii="Arial" w:cs="Arial" w:eastAsia="Arial" w:hAnsi="Arial"/>
                <w:sz w:val="18"/>
                <w:szCs w:val="18"/>
                <w:color w:val="auto"/>
              </w:rPr>
              <w:t>Series Seed-1 Convertible Preferred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4,200,000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4,200,000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Seed-2 Convertible Preferred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0"/>
              <w:spacing w:after="0"/>
              <w:rPr>
                <w:sz w:val="20"/>
                <w:szCs w:val="20"/>
                <w:color w:val="auto"/>
              </w:rPr>
            </w:pPr>
            <w:r>
              <w:rPr>
                <w:rFonts w:ascii="Arial" w:cs="Arial" w:eastAsia="Arial" w:hAnsi="Arial"/>
                <w:sz w:val="18"/>
                <w:szCs w:val="18"/>
                <w:color w:val="auto"/>
              </w:rPr>
              <w:t>Series A-1 Convertible Preferred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4,211,094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4,211,094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A-2 Convertible Preferred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12,839</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0"/>
              <w:spacing w:after="0"/>
              <w:rPr>
                <w:sz w:val="20"/>
                <w:szCs w:val="20"/>
                <w:color w:val="auto"/>
              </w:rPr>
            </w:pPr>
            <w:r>
              <w:rPr>
                <w:rFonts w:ascii="Arial" w:cs="Arial" w:eastAsia="Arial" w:hAnsi="Arial"/>
                <w:sz w:val="18"/>
                <w:szCs w:val="18"/>
                <w:color w:val="auto"/>
              </w:rPr>
              <w:t>Series B Convertible Preferred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4,132,055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4,044,271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20,347</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C Convertible Preferred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26,004</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0"/>
              <w:spacing w:after="0"/>
              <w:rPr>
                <w:sz w:val="20"/>
                <w:szCs w:val="20"/>
                <w:color w:val="auto"/>
              </w:rPr>
            </w:pPr>
            <w:r>
              <w:rPr>
                <w:rFonts w:ascii="Arial" w:cs="Arial" w:eastAsia="Arial" w:hAnsi="Arial"/>
                <w:sz w:val="18"/>
                <w:szCs w:val="18"/>
                <w:color w:val="auto"/>
              </w:rPr>
              <w:t>Series D Convertible Preferred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$0.000001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5,494,064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5,494,064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54,864</w:t>
            </w:r>
          </w:p>
        </w:tc>
        <w:tc>
          <w:tcPr>
            <w:tcW w:w="100" w:type="dxa"/>
            <w:vAlign w:val="bottom"/>
          </w:tcPr>
          <w:p>
            <w:pPr>
              <w:spacing w:after="0"/>
              <w:rPr>
                <w:sz w:val="20"/>
                <w:szCs w:val="20"/>
                <w:color w:val="auto"/>
              </w:rPr>
            </w:pPr>
          </w:p>
        </w:tc>
      </w:tr>
      <w:tr>
        <w:trPr>
          <w:trHeight w:val="249"/>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Series E Convertible Preferred Stock</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2,400,000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2,275,759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Totals</w:t>
            </w:r>
          </w:p>
        </w:tc>
        <w:tc>
          <w:tcPr>
            <w:tcW w:w="1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27,970,966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27,758,941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163,520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160,713</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-187960</wp:posOffset>
            </wp:positionV>
            <wp:extent cx="76835"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380" w:firstLine="644"/>
        <w:spacing w:after="0" w:line="307" w:lineRule="auto"/>
        <w:rPr>
          <w:sz w:val="20"/>
          <w:szCs w:val="20"/>
          <w:color w:val="auto"/>
        </w:rPr>
      </w:pPr>
      <w:r>
        <w:rPr>
          <w:rFonts w:ascii="Arial" w:cs="Arial" w:eastAsia="Arial" w:hAnsi="Arial"/>
          <w:sz w:val="17"/>
          <w:szCs w:val="17"/>
          <w:color w:val="auto"/>
        </w:rPr>
        <w:t>In connection with the Company's IPO on July 2, 2021, 27,758,941 shares of Convertible Preferred Stock were converted to Class A common stock. Of those 27,758,941 shares of Convertible Preferred Stock, 407,308 were exchanged for Class B common stock.</w:t>
      </w:r>
    </w:p>
    <w:p>
      <w:pPr>
        <w:spacing w:after="0" w:line="107" w:lineRule="exact"/>
        <w:rPr>
          <w:sz w:val="20"/>
          <w:szCs w:val="20"/>
          <w:color w:val="auto"/>
        </w:rPr>
      </w:pPr>
    </w:p>
    <w:p>
      <w:pPr>
        <w:ind w:right="160" w:firstLine="644"/>
        <w:spacing w:after="0" w:line="267" w:lineRule="auto"/>
        <w:rPr>
          <w:sz w:val="20"/>
          <w:szCs w:val="20"/>
          <w:color w:val="auto"/>
        </w:rPr>
      </w:pPr>
      <w:r>
        <w:rPr>
          <w:rFonts w:ascii="Arial" w:cs="Arial" w:eastAsia="Arial" w:hAnsi="Arial"/>
          <w:sz w:val="17"/>
          <w:szCs w:val="17"/>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7"/>
          <w:szCs w:val="17"/>
          <w:color w:val="auto"/>
        </w:rPr>
        <w:t>The following table is a reconciliation of the Convertible Preferred Stock reacquired and reissued in 2020 (in thousands, except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1420" w:type="dxa"/>
            <w:vAlign w:val="bottom"/>
            <w:gridSpan w:val="2"/>
          </w:tcPr>
          <w:p>
            <w:pPr>
              <w:jc w:val="center"/>
              <w:ind w:left="70"/>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1380" w:type="dxa"/>
            <w:vAlign w:val="bottom"/>
            <w:gridSpan w:val="2"/>
          </w:tcPr>
          <w:p>
            <w:pPr>
              <w:jc w:val="center"/>
              <w:ind w:left="69"/>
              <w:spacing w:after="0"/>
              <w:rPr>
                <w:sz w:val="20"/>
                <w:szCs w:val="20"/>
                <w:color w:val="auto"/>
              </w:rPr>
            </w:pPr>
            <w:r>
              <w:rPr>
                <w:rFonts w:ascii="Arial" w:cs="Arial" w:eastAsia="Arial" w:hAnsi="Arial"/>
                <w:sz w:val="13"/>
                <w:szCs w:val="13"/>
                <w:b w:val="1"/>
                <w:bCs w:val="1"/>
                <w:color w:val="auto"/>
                <w:w w:val="82"/>
              </w:rPr>
              <w:t>2020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2"/>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1"/>
              <w:spacing w:after="0"/>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24" w:lineRule="exact"/>
              <w:rPr>
                <w:sz w:val="20"/>
                <w:szCs w:val="20"/>
                <w:color w:val="auto"/>
              </w:rPr>
            </w:pPr>
            <w:r>
              <w:rPr>
                <w:rFonts w:ascii="Arial" w:cs="Arial" w:eastAsia="Arial" w:hAnsi="Arial"/>
                <w:sz w:val="13"/>
                <w:szCs w:val="13"/>
                <w:b w:val="1"/>
                <w:bCs w:val="1"/>
                <w:color w:val="auto"/>
                <w:w w:val="86"/>
              </w:rPr>
              <w:t>Cash Paid to</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Reacquire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40" w:type="dxa"/>
            <w:vAlign w:val="bottom"/>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Preferred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Convertible</w:t>
            </w:r>
          </w:p>
        </w:tc>
        <w:tc>
          <w:tcPr>
            <w:tcW w:w="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2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Preferred</w:t>
            </w:r>
          </w:p>
        </w:tc>
        <w:tc>
          <w:tcPr>
            <w:tcW w:w="72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Repurchased</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Stock</w:t>
            </w:r>
          </w:p>
        </w:tc>
        <w:tc>
          <w:tcPr>
            <w:tcW w:w="720" w:type="dxa"/>
            <w:vAlign w:val="bottom"/>
          </w:tcPr>
          <w:p>
            <w:pPr>
              <w:jc w:val="center"/>
              <w:ind w:right="31"/>
              <w:spacing w:after="0"/>
              <w:rPr>
                <w:sz w:val="20"/>
                <w:szCs w:val="20"/>
                <w:color w:val="auto"/>
              </w:rPr>
            </w:pPr>
            <w:r>
              <w:rPr>
                <w:rFonts w:ascii="Arial" w:cs="Arial" w:eastAsia="Arial" w:hAnsi="Arial"/>
                <w:sz w:val="13"/>
                <w:szCs w:val="13"/>
                <w:b w:val="1"/>
                <w:bCs w:val="1"/>
                <w:color w:val="auto"/>
                <w:w w:val="82"/>
              </w:rPr>
              <w:t>Issuance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Series:</w:t>
            </w:r>
          </w:p>
        </w:tc>
        <w:tc>
          <w:tcPr>
            <w:tcW w:w="12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0"/>
              <w:spacing w:after="0" w:line="143" w:lineRule="exact"/>
              <w:rPr>
                <w:sz w:val="20"/>
                <w:szCs w:val="20"/>
                <w:color w:val="auto"/>
              </w:rPr>
            </w:pPr>
            <w:r>
              <w:rPr>
                <w:rFonts w:ascii="Arial" w:cs="Arial" w:eastAsia="Arial" w:hAnsi="Arial"/>
                <w:sz w:val="14"/>
                <w:szCs w:val="14"/>
                <w:color w:val="auto"/>
              </w:rPr>
              <w:t>Series Seed-1</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4,200,000</w:t>
            </w:r>
          </w:p>
        </w:tc>
        <w:tc>
          <w:tcPr>
            <w:tcW w:w="14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4,200,000</w:t>
            </w:r>
          </w:p>
        </w:tc>
        <w:tc>
          <w:tcPr>
            <w:tcW w:w="120" w:type="dxa"/>
            <w:vAlign w:val="bottom"/>
            <w:tcBorders>
              <w:right w:val="single" w:sz="8" w:color="auto"/>
            </w:tcBorders>
          </w:tcPr>
          <w:p>
            <w:pPr>
              <w:spacing w:after="0"/>
              <w:rPr>
                <w:sz w:val="15"/>
                <w:szCs w:val="15"/>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Seed-2</w:t>
            </w: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Convertible</w:t>
            </w: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2,188,322</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2,188,322</w:t>
            </w: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0"/>
              <w:spacing w:after="0" w:line="143" w:lineRule="exact"/>
              <w:rPr>
                <w:sz w:val="20"/>
                <w:szCs w:val="20"/>
                <w:color w:val="auto"/>
              </w:rPr>
            </w:pPr>
            <w:r>
              <w:rPr>
                <w:rFonts w:ascii="Arial" w:cs="Arial" w:eastAsia="Arial" w:hAnsi="Arial"/>
                <w:sz w:val="14"/>
                <w:szCs w:val="14"/>
                <w:color w:val="auto"/>
              </w:rPr>
              <w:t>Series A-1 Convertible</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4,211,094</w:t>
            </w:r>
          </w:p>
        </w:tc>
        <w:tc>
          <w:tcPr>
            <w:tcW w:w="14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4,211,094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A-2 Convertible</w:t>
            </w: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1,591,230</w:t>
            </w:r>
          </w:p>
        </w:tc>
        <w:tc>
          <w:tcPr>
            <w:tcW w:w="15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(1,136,622 )</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1,136,622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1,591,230</w:t>
            </w: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(5,001 )</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10,883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0"/>
              <w:spacing w:after="0" w:line="143" w:lineRule="exact"/>
              <w:rPr>
                <w:sz w:val="20"/>
                <w:szCs w:val="20"/>
                <w:color w:val="auto"/>
              </w:rPr>
            </w:pPr>
            <w:r>
              <w:rPr>
                <w:rFonts w:ascii="Arial" w:cs="Arial" w:eastAsia="Arial" w:hAnsi="Arial"/>
                <w:sz w:val="14"/>
                <w:szCs w:val="14"/>
                <w:color w:val="auto"/>
              </w:rPr>
              <w:t>Series B Convertible</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4,044,271</w:t>
            </w:r>
          </w:p>
        </w:tc>
        <w:tc>
          <w:tcPr>
            <w:tcW w:w="1560" w:type="dxa"/>
            <w:vAlign w:val="bottom"/>
            <w:gridSpan w:val="3"/>
          </w:tcPr>
          <w:p>
            <w:pPr>
              <w:jc w:val="right"/>
              <w:ind w:right="80"/>
              <w:spacing w:after="0"/>
              <w:rPr>
                <w:sz w:val="20"/>
                <w:szCs w:val="20"/>
                <w:color w:val="auto"/>
              </w:rPr>
            </w:pPr>
            <w:r>
              <w:rPr>
                <w:rFonts w:ascii="Arial" w:cs="Arial" w:eastAsia="Arial" w:hAnsi="Arial"/>
                <w:sz w:val="14"/>
                <w:szCs w:val="14"/>
                <w:color w:val="auto"/>
              </w:rPr>
              <w:t>(390,152 )</w:t>
            </w:r>
          </w:p>
        </w:tc>
        <w:tc>
          <w:tcPr>
            <w:tcW w:w="1100" w:type="dxa"/>
            <w:vAlign w:val="bottom"/>
          </w:tcPr>
          <w:p>
            <w:pPr>
              <w:jc w:val="right"/>
              <w:spacing w:after="0"/>
              <w:rPr>
                <w:sz w:val="20"/>
                <w:szCs w:val="20"/>
                <w:color w:val="auto"/>
              </w:rPr>
            </w:pPr>
            <w:r>
              <w:rPr>
                <w:rFonts w:ascii="Arial" w:cs="Arial" w:eastAsia="Arial" w:hAnsi="Arial"/>
                <w:sz w:val="14"/>
                <w:szCs w:val="14"/>
                <w:color w:val="auto"/>
              </w:rPr>
              <w:t>390,152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4,044,271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(2,001 )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C Convertible</w:t>
            </w: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3,754,201</w:t>
            </w:r>
          </w:p>
        </w:tc>
        <w:tc>
          <w:tcPr>
            <w:tcW w:w="15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(405,453 )</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405,453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3,754,201</w:t>
            </w: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24,756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(2,700 )</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0"/>
              <w:spacing w:after="0" w:line="143" w:lineRule="exact"/>
              <w:rPr>
                <w:sz w:val="20"/>
                <w:szCs w:val="20"/>
                <w:color w:val="auto"/>
              </w:rPr>
            </w:pPr>
            <w:r>
              <w:rPr>
                <w:rFonts w:ascii="Arial" w:cs="Arial" w:eastAsia="Arial" w:hAnsi="Arial"/>
                <w:sz w:val="14"/>
                <w:szCs w:val="14"/>
                <w:color w:val="auto"/>
              </w:rPr>
              <w:t>Series D Convertible</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5,494,064</w:t>
            </w:r>
          </w:p>
        </w:tc>
        <w:tc>
          <w:tcPr>
            <w:tcW w:w="1560" w:type="dxa"/>
            <w:vAlign w:val="bottom"/>
            <w:gridSpan w:val="3"/>
          </w:tcPr>
          <w:p>
            <w:pPr>
              <w:jc w:val="right"/>
              <w:ind w:right="80"/>
              <w:spacing w:after="0"/>
              <w:rPr>
                <w:sz w:val="20"/>
                <w:szCs w:val="20"/>
                <w:color w:val="auto"/>
              </w:rPr>
            </w:pPr>
            <w:r>
              <w:rPr>
                <w:rFonts w:ascii="Arial" w:cs="Arial" w:eastAsia="Arial" w:hAnsi="Arial"/>
                <w:sz w:val="14"/>
                <w:szCs w:val="14"/>
                <w:color w:val="auto"/>
              </w:rPr>
              <w:t>(314,659 )</w:t>
            </w:r>
          </w:p>
        </w:tc>
        <w:tc>
          <w:tcPr>
            <w:tcW w:w="1100" w:type="dxa"/>
            <w:vAlign w:val="bottom"/>
          </w:tcPr>
          <w:p>
            <w:pPr>
              <w:jc w:val="right"/>
              <w:spacing w:after="0"/>
              <w:rPr>
                <w:sz w:val="20"/>
                <w:szCs w:val="20"/>
                <w:color w:val="auto"/>
              </w:rPr>
            </w:pPr>
            <w:r>
              <w:rPr>
                <w:rFonts w:ascii="Arial" w:cs="Arial" w:eastAsia="Arial" w:hAnsi="Arial"/>
                <w:sz w:val="14"/>
                <w:szCs w:val="14"/>
                <w:color w:val="auto"/>
              </w:rPr>
              <w:t>314,659</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5,494,064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(3,150 )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E Convertible</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2,275,759</w:t>
            </w:r>
          </w:p>
        </w:tc>
        <w:tc>
          <w:tcPr>
            <w:tcW w:w="140" w:type="dxa"/>
            <w:vAlign w:val="bottom"/>
            <w:vMerge w:val="restart"/>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2,275,759</w:t>
            </w: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30,757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30,757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bottom w:val="single" w:sz="8" w:color="CFF0FC"/>
            </w:tcBorders>
            <w:shd w:val="clear" w:color="auto" w:fill="CFF0FC"/>
          </w:tcPr>
          <w:p>
            <w:pPr>
              <w:jc w:val="center"/>
              <w:ind w:right="88"/>
              <w:spacing w:after="0"/>
              <w:rPr>
                <w:sz w:val="20"/>
                <w:szCs w:val="20"/>
                <w:color w:val="auto"/>
              </w:rPr>
            </w:pPr>
            <w:r>
              <w:rPr>
                <w:rFonts w:ascii="Arial" w:cs="Arial" w:eastAsia="Arial" w:hAnsi="Arial"/>
                <w:sz w:val="14"/>
                <w:szCs w:val="14"/>
                <w:color w:val="auto"/>
                <w:w w:val="92"/>
              </w:rPr>
              <w:t>Preferred Stock</w:t>
            </w: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60" w:type="dxa"/>
            <w:vAlign w:val="bottom"/>
          </w:tcPr>
          <w:p>
            <w:pPr>
              <w:ind w:left="20"/>
              <w:spacing w:after="0" w:line="155" w:lineRule="exact"/>
              <w:rPr>
                <w:sz w:val="20"/>
                <w:szCs w:val="20"/>
                <w:color w:val="auto"/>
              </w:rPr>
            </w:pPr>
            <w:r>
              <w:rPr>
                <w:rFonts w:ascii="Arial" w:cs="Arial" w:eastAsia="Arial" w:hAnsi="Arial"/>
                <w:sz w:val="14"/>
                <w:szCs w:val="14"/>
                <w:color w:val="auto"/>
              </w:rPr>
              <w:t>Totals</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25,483,182</w:t>
            </w:r>
          </w:p>
        </w:tc>
        <w:tc>
          <w:tcPr>
            <w:tcW w:w="15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(2,246,886 )</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4,522,645</w:t>
            </w:r>
          </w:p>
        </w:tc>
        <w:tc>
          <w:tcPr>
            <w:tcW w:w="1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27,758,941</w:t>
            </w:r>
          </w:p>
        </w:tc>
        <w:tc>
          <w:tcPr>
            <w:tcW w:w="120" w:type="dxa"/>
            <w:vAlign w:val="bottom"/>
            <w:tcBorders>
              <w:right w:val="single" w:sz="8" w:color="auto"/>
            </w:tcBorders>
          </w:tcPr>
          <w:p>
            <w:pPr>
              <w:spacing w:after="0"/>
              <w:rPr>
                <w:sz w:val="14"/>
                <w:szCs w:val="14"/>
                <w:color w:val="auto"/>
              </w:rPr>
            </w:pPr>
          </w:p>
        </w:tc>
        <w:tc>
          <w:tcPr>
            <w:tcW w:w="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121,156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56" w:lineRule="exact"/>
              <w:rPr>
                <w:sz w:val="20"/>
                <w:szCs w:val="20"/>
                <w:color w:val="auto"/>
              </w:rPr>
            </w:pPr>
            <w:r>
              <w:rPr>
                <w:rFonts w:ascii="Arial" w:cs="Arial" w:eastAsia="Arial" w:hAnsi="Arial"/>
                <w:sz w:val="11"/>
                <w:szCs w:val="11"/>
                <w:color w:val="auto"/>
              </w:rPr>
              <w:t xml:space="preserve">(12,852 ) </w:t>
            </w:r>
            <w:r>
              <w:rPr>
                <w:rFonts w:ascii="Arial" w:cs="Arial" w:eastAsia="Arial" w:hAnsi="Arial"/>
                <w:sz w:val="18"/>
                <w:szCs w:val="18"/>
                <w:color w:val="auto"/>
                <w:vertAlign w:val="superscript"/>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52,409</w:t>
            </w:r>
          </w:p>
        </w:tc>
        <w:tc>
          <w:tcPr>
            <w:tcW w:w="2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160,713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60" w:type="dxa"/>
            <w:vAlign w:val="bottom"/>
            <w:shd w:val="clear" w:color="auto" w:fill="CFF0FC"/>
          </w:tcPr>
          <w:p>
            <w:pPr>
              <w:jc w:val="center"/>
              <w:ind w:right="108"/>
              <w:spacing w:after="0" w:line="124" w:lineRule="exact"/>
              <w:rPr>
                <w:sz w:val="20"/>
                <w:szCs w:val="20"/>
                <w:color w:val="auto"/>
              </w:rPr>
            </w:pPr>
            <w:r>
              <w:rPr>
                <w:rFonts w:ascii="Arial" w:cs="Arial" w:eastAsia="Arial" w:hAnsi="Arial"/>
                <w:sz w:val="14"/>
                <w:szCs w:val="14"/>
                <w:color w:val="auto"/>
                <w:w w:val="92"/>
              </w:rPr>
              <w:t>Deemed dividend paid to</w:t>
            </w:r>
          </w:p>
        </w:tc>
        <w:tc>
          <w:tcPr>
            <w:tcW w:w="1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(8,801 )</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jc w:val="center"/>
              <w:ind w:right="48"/>
              <w:spacing w:after="0"/>
              <w:rPr>
                <w:sz w:val="20"/>
                <w:szCs w:val="20"/>
                <w:color w:val="auto"/>
              </w:rPr>
            </w:pPr>
            <w:r>
              <w:rPr>
                <w:rFonts w:ascii="Arial" w:cs="Arial" w:eastAsia="Arial" w:hAnsi="Arial"/>
                <w:sz w:val="14"/>
                <w:szCs w:val="14"/>
                <w:color w:val="auto"/>
                <w:w w:val="93"/>
              </w:rPr>
              <w:t>preferred stockholders</w:t>
            </w: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(21,653 )</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-487680</wp:posOffset>
            </wp:positionV>
            <wp:extent cx="76835"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-487680</wp:posOffset>
            </wp:positionV>
            <wp:extent cx="7683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-487680</wp:posOffset>
            </wp:positionV>
            <wp:extent cx="76835"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-487680</wp:posOffset>
            </wp:positionV>
            <wp:extent cx="6858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-487680</wp:posOffset>
            </wp:positionV>
            <wp:extent cx="6858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-487680</wp:posOffset>
            </wp:positionV>
            <wp:extent cx="6858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-487680</wp:posOffset>
            </wp:positionV>
            <wp:extent cx="6858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-144780</wp:posOffset>
            </wp:positionV>
            <wp:extent cx="6858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16" w:lineRule="exact"/>
        <w:rPr>
          <w:sz w:val="20"/>
          <w:szCs w:val="20"/>
          <w:color w:val="auto"/>
        </w:rPr>
      </w:pPr>
    </w:p>
    <w:p>
      <w:pPr>
        <w:ind w:left="1300" w:hanging="648"/>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00" w:firstLine="644"/>
        <w:spacing w:after="0" w:line="258" w:lineRule="auto"/>
        <w:rPr>
          <w:sz w:val="20"/>
          <w:szCs w:val="20"/>
          <w:color w:val="auto"/>
        </w:rPr>
      </w:pPr>
      <w:r>
        <w:rPr>
          <w:rFonts w:ascii="Arial" w:cs="Arial" w:eastAsia="Arial" w:hAnsi="Arial"/>
          <w:sz w:val="18"/>
          <w:szCs w:val="18"/>
          <w:color w:val="auto"/>
        </w:rPr>
        <w:t>Each share of Convertible Preferred Stock had voting rights equal to an equivalent number of shares of common stock into which was convertible and votes together as one class with the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ind w:left="1300" w:hanging="648"/>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644"/>
        <w:spacing w:after="0" w:line="273" w:lineRule="auto"/>
        <w:rPr>
          <w:sz w:val="20"/>
          <w:szCs w:val="20"/>
          <w:color w:val="auto"/>
        </w:rPr>
      </w:pPr>
      <w:r>
        <w:rPr>
          <w:rFonts w:ascii="Arial" w:cs="Arial" w:eastAsia="Arial" w:hAnsi="Arial"/>
          <w:sz w:val="17"/>
          <w:szCs w:val="17"/>
          <w:color w:val="auto"/>
        </w:rPr>
        <w:t>The holders of the Convertible Preferred Stock and the holders of the shares of common stock were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was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68" w:lineRule="exact"/>
        <w:rPr>
          <w:sz w:val="20"/>
          <w:szCs w:val="20"/>
          <w:color w:val="auto"/>
        </w:rPr>
      </w:pPr>
    </w:p>
    <w:p>
      <w:pPr>
        <w:ind w:left="1300" w:hanging="648"/>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0" w:firstLine="644"/>
        <w:spacing w:after="0" w:line="293" w:lineRule="auto"/>
        <w:rPr>
          <w:sz w:val="20"/>
          <w:szCs w:val="20"/>
          <w:color w:val="auto"/>
        </w:rPr>
      </w:pPr>
      <w:r>
        <w:rPr>
          <w:rFonts w:ascii="Arial" w:cs="Arial" w:eastAsia="Arial" w:hAnsi="Arial"/>
          <w:sz w:val="16"/>
          <w:szCs w:val="16"/>
          <w:color w:val="auto"/>
        </w:rPr>
        <w:t>Each share of Convertible Preferred Stock was convertible, at the option of the holder, into one share of common stock, as determined by dividing its issuance price per share by the applicable conversion price, subject to adjustments. Each share of Convertible Preferred Stock would automatically convert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required the vote or written consent of a majority of the outstanding shares of Series D Convertible Preferred Stock and Series E Convertible Preferred Stock, respectively.</w:t>
      </w:r>
    </w:p>
    <w:p>
      <w:pPr>
        <w:spacing w:after="0" w:line="55" w:lineRule="exact"/>
        <w:rPr>
          <w:sz w:val="20"/>
          <w:szCs w:val="20"/>
          <w:color w:val="auto"/>
        </w:rPr>
      </w:pPr>
    </w:p>
    <w:p>
      <w:pPr>
        <w:ind w:left="1300" w:hanging="648"/>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 and Share Preference</w:t>
      </w:r>
    </w:p>
    <w:p>
      <w:pPr>
        <w:spacing w:after="0" w:line="117" w:lineRule="exact"/>
        <w:rPr>
          <w:sz w:val="20"/>
          <w:szCs w:val="20"/>
          <w:color w:val="auto"/>
        </w:rPr>
      </w:pPr>
    </w:p>
    <w:p>
      <w:pPr>
        <w:ind w:right="40" w:firstLine="644"/>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were entitled to liquidation preference equal to the original purchase price plus declared and unpaid dividends. After payment of the amounts above, if assets or funds remain in the Company, all remaining assets and funds were to be distributed pro rata among holders of common stock.</w:t>
      </w:r>
    </w:p>
    <w:p>
      <w:pPr>
        <w:spacing w:after="0" w:line="77" w:lineRule="exact"/>
        <w:rPr>
          <w:sz w:val="20"/>
          <w:szCs w:val="20"/>
          <w:color w:val="auto"/>
        </w:rPr>
      </w:pPr>
    </w:p>
    <w:p>
      <w:pPr>
        <w:ind w:left="1300" w:hanging="648"/>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40" w:firstLine="644"/>
        <w:spacing w:after="0" w:line="271" w:lineRule="auto"/>
        <w:rPr>
          <w:sz w:val="20"/>
          <w:szCs w:val="20"/>
          <w:color w:val="auto"/>
        </w:rPr>
      </w:pPr>
      <w:r>
        <w:rPr>
          <w:rFonts w:ascii="Arial" w:cs="Arial" w:eastAsia="Arial" w:hAnsi="Arial"/>
          <w:sz w:val="17"/>
          <w:szCs w:val="17"/>
          <w:color w:val="auto"/>
        </w:rPr>
        <w:t>The holders of Convertible Preferred Stock had no voluntary rights to redeem their shares. The Convertible Preferred Stock had deemed liquidation provisions which require the shares to be redeemed upon a change in control or other deemed liquidation events. Although the Convertible Preferred Stock was not mandatorily or currently redeemable, a deemed liquidation event would constitute a redemption event outside the Company’s control. As a result of these liquidation features, all shares of Convertible Preferred Stock were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would be made only if and when it became probable the preferred shares would become redeemable.</w:t>
      </w:r>
    </w:p>
    <w:p>
      <w:pPr>
        <w:spacing w:after="0" w:line="13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58"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45" w:lineRule="exact"/>
        <w:rPr>
          <w:sz w:val="20"/>
          <w:szCs w:val="20"/>
          <w:color w:val="auto"/>
        </w:rPr>
      </w:pPr>
    </w:p>
    <w:p>
      <w:pPr>
        <w:ind w:firstLine="644"/>
        <w:spacing w:after="0" w:line="296" w:lineRule="auto"/>
        <w:rPr>
          <w:sz w:val="20"/>
          <w:szCs w:val="20"/>
          <w:color w:val="auto"/>
        </w:rPr>
      </w:pPr>
      <w:r>
        <w:rPr>
          <w:rFonts w:ascii="Arial" w:cs="Arial" w:eastAsia="Arial" w:hAnsi="Arial"/>
          <w:sz w:val="16"/>
          <w:szCs w:val="16"/>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w:t>
      </w:r>
    </w:p>
    <w:p>
      <w:pPr>
        <w:spacing w:after="0" w:line="119" w:lineRule="exact"/>
        <w:rPr>
          <w:sz w:val="20"/>
          <w:szCs w:val="20"/>
          <w:color w:val="auto"/>
        </w:rPr>
      </w:pPr>
    </w:p>
    <w:p>
      <w:pPr>
        <w:ind w:left="5540" w:right="1300" w:hanging="4881"/>
        <w:spacing w:after="0" w:line="277" w:lineRule="auto"/>
        <w:rPr>
          <w:sz w:val="20"/>
          <w:szCs w:val="20"/>
          <w:color w:val="auto"/>
        </w:rPr>
      </w:pPr>
      <w:r>
        <w:rPr>
          <w:rFonts w:ascii="Arial" w:cs="Arial" w:eastAsia="Arial" w:hAnsi="Arial"/>
          <w:sz w:val="18"/>
          <w:szCs w:val="18"/>
          <w:color w:val="auto"/>
        </w:rPr>
        <w:t>As of December 31, 2022, there were 5,032,332 shares available for the Company to grant under the 2021 Equity Incentive Plan.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60" w:firstLine="644"/>
        <w:spacing w:after="0" w:line="256" w:lineRule="auto"/>
        <w:rPr>
          <w:sz w:val="20"/>
          <w:szCs w:val="20"/>
          <w:color w:val="auto"/>
        </w:rPr>
      </w:pPr>
      <w:r>
        <w:rPr>
          <w:rFonts w:ascii="Arial" w:cs="Arial" w:eastAsia="Arial" w:hAnsi="Arial"/>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assumptions for the year ended December 31, 2022 and 2021 are provided in the following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7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assumptions: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Expected dividend yield</w:t>
            </w:r>
          </w:p>
        </w:tc>
        <w:tc>
          <w:tcPr>
            <w:tcW w:w="3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2"/>
        </w:trPr>
        <w:tc>
          <w:tcPr>
            <w:tcW w:w="7660" w:type="dxa"/>
            <w:vAlign w:val="bottom"/>
          </w:tcPr>
          <w:p>
            <w:pPr>
              <w:ind w:left="20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67 %</w:t>
            </w:r>
          </w:p>
        </w:tc>
        <w:tc>
          <w:tcPr>
            <w:tcW w:w="6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Expected term (years)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6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Fair value of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37.60</w:t>
            </w:r>
          </w:p>
        </w:tc>
        <w:tc>
          <w:tcPr>
            <w:tcW w:w="26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60" w:firstLine="644"/>
        <w:spacing w:after="0" w:line="277" w:lineRule="auto"/>
        <w:rPr>
          <w:sz w:val="20"/>
          <w:szCs w:val="20"/>
          <w:color w:val="auto"/>
        </w:rPr>
      </w:pPr>
      <w:r>
        <w:rPr>
          <w:rFonts w:ascii="Arial" w:cs="Arial" w:eastAsia="Arial" w:hAnsi="Arial"/>
          <w:sz w:val="18"/>
          <w:szCs w:val="18"/>
          <w:color w:val="auto"/>
        </w:rPr>
        <w:t>A summary of the status of the Company’s stock option activity and the changes during the years then ended are as follows (in millions,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2,620,527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1,144,457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(465,668 )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(131,129 )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(15,413 )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December 31,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3,152,774</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2.97</w:t>
            </w:r>
          </w:p>
        </w:tc>
        <w:tc>
          <w:tcPr>
            <w:tcW w:w="12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Exercisable at December 31,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1,193,301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220" w:type="dxa"/>
            <w:vAlign w:val="bottom"/>
          </w:tcPr>
          <w:p>
            <w:pPr>
              <w:jc w:val="right"/>
              <w:spacing w:after="0"/>
              <w:rPr>
                <w:sz w:val="20"/>
                <w:szCs w:val="20"/>
                <w:color w:val="auto"/>
              </w:rPr>
            </w:pPr>
            <w:r>
              <w:rPr>
                <w:rFonts w:ascii="Arial" w:cs="Arial" w:eastAsia="Arial" w:hAnsi="Arial"/>
                <w:sz w:val="18"/>
                <w:szCs w:val="18"/>
                <w:color w:val="auto"/>
              </w:rPr>
              <w:t>3,152,774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1,393,431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(1,101,539 )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(148,304 )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(9,492 )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3,286,870</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40" w:type="dxa"/>
            <w:vAlign w:val="bottom"/>
          </w:tcPr>
          <w:p>
            <w:pPr>
              <w:ind w:left="200"/>
              <w:spacing w:after="0"/>
              <w:rPr>
                <w:sz w:val="20"/>
                <w:szCs w:val="20"/>
                <w:color w:val="auto"/>
              </w:rPr>
            </w:pPr>
            <w:r>
              <w:rPr>
                <w:rFonts w:ascii="Arial" w:cs="Arial" w:eastAsia="Arial" w:hAnsi="Arial"/>
                <w:sz w:val="18"/>
                <w:szCs w:val="18"/>
                <w:color w:val="auto"/>
              </w:rPr>
              <w:t>Exercisable at December 31, 2021</w:t>
            </w:r>
          </w:p>
        </w:tc>
        <w:tc>
          <w:tcPr>
            <w:tcW w:w="1220" w:type="dxa"/>
            <w:vAlign w:val="bottom"/>
          </w:tcPr>
          <w:p>
            <w:pPr>
              <w:jc w:val="right"/>
              <w:spacing w:after="0"/>
              <w:rPr>
                <w:sz w:val="20"/>
                <w:szCs w:val="20"/>
                <w:color w:val="auto"/>
              </w:rPr>
            </w:pPr>
            <w:r>
              <w:rPr>
                <w:rFonts w:ascii="Arial" w:cs="Arial" w:eastAsia="Arial" w:hAnsi="Arial"/>
                <w:sz w:val="18"/>
                <w:szCs w:val="18"/>
                <w:color w:val="auto"/>
              </w:rPr>
              <w:t>987,622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3,286,870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377,253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(682,958 )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(137,413 )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(2,333 )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December 31,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2,841,419</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11.33</w:t>
            </w:r>
          </w:p>
        </w:tc>
        <w:tc>
          <w:tcPr>
            <w:tcW w:w="12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Exercisable at December 31, 2022</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-2876550</wp:posOffset>
            </wp:positionV>
            <wp:extent cx="76835" cy="3422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-1446530</wp:posOffset>
            </wp:positionV>
            <wp:extent cx="76835" cy="3340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-341630</wp:posOffset>
            </wp:positionV>
            <wp:extent cx="7683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357" w:lineRule="exact"/>
        <w:rPr>
          <w:sz w:val="20"/>
          <w:szCs w:val="20"/>
          <w:color w:val="auto"/>
        </w:rPr>
      </w:pPr>
    </w:p>
    <w:p>
      <w:pPr>
        <w:ind w:right="180" w:firstLine="644"/>
        <w:spacing w:after="0" w:line="263"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2022, 2021 and 2020 was $22.94, $26.23 and $1.79, respectively. The total intrinsic value of options exercised during the years ended December 31, 2022, 2021 and 2020 was $25.1 million, $19.0 million and $1.6 million, respectively.</w:t>
      </w:r>
    </w:p>
    <w:p>
      <w:pPr>
        <w:spacing w:after="0" w:line="142" w:lineRule="exact"/>
        <w:rPr>
          <w:sz w:val="20"/>
          <w:szCs w:val="20"/>
          <w:color w:val="auto"/>
        </w:rPr>
      </w:pPr>
    </w:p>
    <w:p>
      <w:pPr>
        <w:ind w:right="540" w:firstLine="644"/>
        <w:spacing w:after="0" w:line="258" w:lineRule="auto"/>
        <w:rPr>
          <w:sz w:val="20"/>
          <w:szCs w:val="20"/>
          <w:color w:val="auto"/>
        </w:rPr>
      </w:pPr>
      <w:r>
        <w:rPr>
          <w:rFonts w:ascii="Arial" w:cs="Arial" w:eastAsia="Arial" w:hAnsi="Arial"/>
          <w:sz w:val="18"/>
          <w:szCs w:val="18"/>
          <w:color w:val="auto"/>
        </w:rPr>
        <w:t>At December 31, 2022 and 2021, there was $20.1 million and $21.4 million, respectively, of total unrecognized compensation cost related to unvested stock options granted under the 2021 and 2016 Equity Incentive Plans. That cost is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6" w:right="27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expected to be recognized over a weighted average period of approximately two years and three years as of December 31, 2022 and 2021,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225" w:lineRule="exact"/>
        <w:rPr>
          <w:sz w:val="20"/>
          <w:szCs w:val="20"/>
          <w:color w:val="auto"/>
        </w:rPr>
      </w:pPr>
    </w:p>
    <w:p>
      <w:pPr>
        <w:ind w:right="80" w:firstLine="644"/>
        <w:spacing w:after="0" w:line="255" w:lineRule="auto"/>
        <w:rPr>
          <w:sz w:val="20"/>
          <w:szCs w:val="20"/>
          <w:color w:val="auto"/>
        </w:rPr>
      </w:pPr>
      <w:r>
        <w:rPr>
          <w:rFonts w:ascii="Arial" w:cs="Arial" w:eastAsia="Arial" w:hAnsi="Arial"/>
          <w:sz w:val="18"/>
          <w:szCs w:val="18"/>
          <w:color w:val="auto"/>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4 years from the grant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80" w:firstLine="644"/>
        <w:spacing w:after="0" w:line="277" w:lineRule="auto"/>
        <w:rPr>
          <w:sz w:val="20"/>
          <w:szCs w:val="20"/>
          <w:color w:val="auto"/>
        </w:rPr>
      </w:pPr>
      <w:r>
        <w:rPr>
          <w:rFonts w:ascii="Arial" w:cs="Arial" w:eastAsia="Arial" w:hAnsi="Arial"/>
          <w:sz w:val="18"/>
          <w:szCs w:val="18"/>
          <w:color w:val="auto"/>
        </w:rPr>
        <w:t>A summary of the status of the Company’s restricted stock unit activity and the changes during the year ended are as follows (in millions,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0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24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(per share)</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 as of December 31, 2020</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193,722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(1,954 )</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Forfeited and cancelled</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(5,288 )</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 as of December 31, 2021</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186,480</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917,661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(73,018 )</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Forfeited and cancelled</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(155,221 )</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 as of December 31, 2022</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875,902</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44.37</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1" w:lineRule="exact"/>
        <w:rPr>
          <w:sz w:val="20"/>
          <w:szCs w:val="20"/>
          <w:color w:val="auto"/>
        </w:rPr>
      </w:pPr>
    </w:p>
    <w:p>
      <w:pPr>
        <w:ind w:right="140" w:firstLine="644"/>
        <w:spacing w:after="0" w:line="311" w:lineRule="auto"/>
        <w:rPr>
          <w:sz w:val="20"/>
          <w:szCs w:val="20"/>
          <w:color w:val="auto"/>
        </w:rPr>
      </w:pPr>
      <w:r>
        <w:rPr>
          <w:rFonts w:ascii="Arial" w:cs="Arial" w:eastAsia="Arial" w:hAnsi="Arial"/>
          <w:sz w:val="16"/>
          <w:szCs w:val="16"/>
          <w:color w:val="auto"/>
        </w:rPr>
        <w:t>At December 31, 2022 and 2021, there was approximately $31.2 million and $10.7 million, respectively of total unrecognized compensation cost related to unvested restricted stock units granted under the 2021 Equity Incentive Plan. That cost is expected to be recognized over a weighted average period of three years and four years at December 31, 2022 and 2021, respectively. No restricted stock units were granted in 2020.</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cost for the years ended December 31, 2022, 2021 and 2020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080" w:type="dxa"/>
            <w:vAlign w:val="bottom"/>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FF0FC"/>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1540" w:type="dxa"/>
            <w:vAlign w:val="bottom"/>
            <w:gridSpan w:val="2"/>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1,223</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21"/>
                <w:szCs w:val="21"/>
                <w:color w:val="auto"/>
              </w:rPr>
            </w:pP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6,886</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2,659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1,744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1"/>
                <w:szCs w:val="21"/>
                <w:color w:val="auto"/>
              </w:rPr>
            </w:pP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r>
      <w:tr>
        <w:trPr>
          <w:trHeight w:val="276"/>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compensation expense</w:t>
            </w:r>
          </w:p>
        </w:tc>
        <w:tc>
          <w:tcPr>
            <w:tcW w:w="1180" w:type="dxa"/>
            <w:vAlign w:val="bottom"/>
            <w:tcBorders>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19,172</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7,395</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80" w:firstLine="644"/>
        <w:spacing w:after="0" w:line="254" w:lineRule="auto"/>
        <w:rPr>
          <w:sz w:val="20"/>
          <w:szCs w:val="20"/>
          <w:color w:val="auto"/>
        </w:rPr>
      </w:pPr>
      <w:r>
        <w:rPr>
          <w:rFonts w:ascii="Arial" w:cs="Arial" w:eastAsia="Arial" w:hAnsi="Arial"/>
          <w:sz w:val="18"/>
          <w:szCs w:val="18"/>
          <w:color w:val="auto"/>
        </w:rPr>
        <w:t>For the year ended December 31, 2022 the Company has income tax expense of less than $0.1 million. The Company had no current or deferred income tax benefit or expense in the U.S. or outside the U.S. for the years ended December 31, 2021 and 2020. This estimated annual effective tax rate of 0% differs from the U.S. federal statutory rate primarily due to the effects of certain permanent items, foreign tax rate differences, and increases in the valuation allowance against deferred tax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5"/>
              </w:rPr>
              <w:t>Year Ended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6700" w:type="dxa"/>
            <w:vAlign w:val="bottom"/>
          </w:tcPr>
          <w:p>
            <w:pPr>
              <w:ind w:left="20"/>
              <w:spacing w:after="0"/>
              <w:rPr>
                <w:sz w:val="20"/>
                <w:szCs w:val="20"/>
                <w:color w:val="auto"/>
              </w:rPr>
            </w:pPr>
            <w:r>
              <w:rPr>
                <w:rFonts w:ascii="Arial" w:cs="Arial" w:eastAsia="Arial" w:hAnsi="Arial"/>
                <w:sz w:val="18"/>
                <w:szCs w:val="18"/>
                <w:color w:val="auto"/>
              </w:rPr>
              <w:t>Federal tax statutory rate</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Foreign rate difference</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Permanent difference: stock based compensation</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Permanent difference: other</w:t>
            </w:r>
          </w:p>
        </w:tc>
        <w:tc>
          <w:tcPr>
            <w:tcW w:w="1580" w:type="dxa"/>
            <w:vAlign w:val="bottom"/>
            <w:gridSpan w:val="2"/>
          </w:tcPr>
          <w:p>
            <w:pPr>
              <w:jc w:val="right"/>
              <w:ind w:right="56"/>
              <w:spacing w:after="0"/>
              <w:rPr>
                <w:sz w:val="20"/>
                <w:szCs w:val="20"/>
                <w:color w:val="auto"/>
              </w:rPr>
            </w:pPr>
            <w:r>
              <w:rPr>
                <w:rFonts w:ascii="Arial" w:cs="Arial" w:eastAsia="Arial" w:hAnsi="Arial"/>
                <w:sz w:val="18"/>
                <w:szCs w:val="18"/>
                <w:color w:val="auto"/>
              </w:rPr>
              <w:t>(2 )</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(1 )</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w:t>
            </w:r>
          </w:p>
        </w:tc>
        <w:tc>
          <w:tcPr>
            <w:tcW w:w="1580" w:type="dxa"/>
            <w:vAlign w:val="bottom"/>
            <w:gridSpan w:val="2"/>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1"/>
                <w:szCs w:val="2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580" w:type="dxa"/>
            <w:vAlign w:val="bottom"/>
            <w:gridSpan w:val="2"/>
          </w:tcPr>
          <w:p>
            <w:pPr>
              <w:jc w:val="right"/>
              <w:ind w:right="56"/>
              <w:spacing w:after="0"/>
              <w:rPr>
                <w:sz w:val="20"/>
                <w:szCs w:val="20"/>
                <w:color w:val="auto"/>
              </w:rPr>
            </w:pPr>
            <w:r>
              <w:rPr>
                <w:rFonts w:ascii="Arial" w:cs="Arial" w:eastAsia="Arial" w:hAnsi="Arial"/>
                <w:sz w:val="18"/>
                <w:szCs w:val="18"/>
                <w:color w:val="auto"/>
              </w:rPr>
              <w:t>(24 )</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(22 )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20"/>
                <w:szCs w:val="20"/>
                <w:color w:val="auto"/>
              </w:rPr>
            </w:pPr>
          </w:p>
        </w:tc>
      </w:tr>
      <w:tr>
        <w:trPr>
          <w:trHeight w:val="236"/>
        </w:trPr>
        <w:tc>
          <w:tcPr>
            <w:tcW w:w="670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ind w:right="220" w:firstLine="644"/>
        <w:spacing w:after="0" w:line="263"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2022 and 2021 are presented below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4,913</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Sec. 163(j) interest limitation carryforward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Allowance for doubtful accounts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Charitable contributions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Unrealized losses</w:t>
            </w:r>
          </w:p>
        </w:tc>
        <w:tc>
          <w:tcPr>
            <w:tcW w:w="960" w:type="dxa"/>
            <w:vAlign w:val="bottom"/>
          </w:tcPr>
          <w:p>
            <w:pPr>
              <w:spacing w:after="0"/>
              <w:rPr>
                <w:sz w:val="20"/>
                <w:szCs w:val="20"/>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63,755</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54,570</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deferred tax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76,889</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63,329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9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(60,435 )</w:t>
            </w:r>
          </w:p>
        </w:tc>
        <w:tc>
          <w:tcPr>
            <w:tcW w:w="4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(47,310 )</w:t>
            </w: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deferred tax assets, net</w:t>
            </w: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16,454</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Leases</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(5,886 )</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(4,729 )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Deferred sales commissions</w:t>
            </w:r>
          </w:p>
        </w:tc>
        <w:tc>
          <w:tcPr>
            <w:tcW w:w="9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(1,409 )</w:t>
            </w:r>
          </w:p>
        </w:tc>
        <w:tc>
          <w:tcPr>
            <w:tcW w:w="4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(1,406 )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costs and intangibles</w:t>
            </w:r>
          </w:p>
        </w:tc>
        <w:tc>
          <w:tcPr>
            <w:tcW w:w="9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(9,576 )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(9,884 )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(12 )</w:t>
            </w:r>
          </w:p>
        </w:tc>
        <w:tc>
          <w:tcPr>
            <w:tcW w:w="46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deferred tax liabilities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(16,883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Net deferred tax (liability) asset</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(429 )</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-1146810</wp:posOffset>
            </wp:positionV>
            <wp:extent cx="123317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Valuation Allowance</w:t>
      </w:r>
    </w:p>
    <w:p>
      <w:pPr>
        <w:spacing w:after="0" w:line="117" w:lineRule="exact"/>
        <w:rPr>
          <w:sz w:val="20"/>
          <w:szCs w:val="20"/>
          <w:color w:val="auto"/>
        </w:rPr>
      </w:pPr>
    </w:p>
    <w:p>
      <w:pPr>
        <w:ind w:right="60" w:firstLine="64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45" w:lineRule="exact"/>
        <w:rPr>
          <w:sz w:val="20"/>
          <w:szCs w:val="20"/>
          <w:color w:val="auto"/>
        </w:rPr>
      </w:pPr>
    </w:p>
    <w:p>
      <w:pPr>
        <w:ind w:right="240" w:firstLine="644"/>
        <w:spacing w:after="0" w:line="259" w:lineRule="auto"/>
        <w:rPr>
          <w:sz w:val="20"/>
          <w:szCs w:val="20"/>
          <w:color w:val="auto"/>
        </w:rPr>
      </w:pPr>
      <w:r>
        <w:rPr>
          <w:rFonts w:ascii="Arial" w:cs="Arial" w:eastAsia="Arial" w:hAnsi="Arial"/>
          <w:sz w:val="18"/>
          <w:szCs w:val="18"/>
          <w:color w:val="auto"/>
        </w:rPr>
        <w:t>As of December 31, 2022, and 2021, the Company had a valuation allowance of $60.4 million and $47.3 million, respectively, against certain deferred tax assets. The valuation allowance relates to the deferred tax assets of the Company’s U.S. entities, including federal and state tax attributes and timing differences, as well as the deferred tax assets of its foreign subsidiaries. The increase in the valuation allowance during 2022 is primarily related to the pre-tax losses generated in the U.S and non-U.S.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7" w:lineRule="exact"/>
        <w:rPr>
          <w:sz w:val="20"/>
          <w:szCs w:val="20"/>
          <w:color w:val="auto"/>
        </w:rPr>
      </w:pPr>
    </w:p>
    <w:p>
      <w:pPr>
        <w:ind w:right="80" w:firstLine="644"/>
        <w:spacing w:after="0" w:line="254" w:lineRule="auto"/>
        <w:rPr>
          <w:sz w:val="20"/>
          <w:szCs w:val="20"/>
          <w:color w:val="auto"/>
        </w:rPr>
      </w:pPr>
      <w:r>
        <w:rPr>
          <w:rFonts w:ascii="Arial" w:cs="Arial" w:eastAsia="Arial" w:hAnsi="Arial"/>
          <w:sz w:val="18"/>
          <w:szCs w:val="18"/>
          <w:color w:val="auto"/>
        </w:rPr>
        <w:t>As of December 31, 2022, the Company has net operating loss (“NOL”) carryforwards for U.S. federal income tax purposes, and similar state amounts, of approximately $224.6 million available to reduce future income subject to income taxes before limitations. As of December 31, 2022, the Company had a net operating loss carryforward for tax purposes related to its foreign subsidiaries of $33.8 million. U.S. federal net operating carryforwards generated prior to 2018 in the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33" w:right="279" w:bottom="1440" w:gutter="0" w:footer="0" w:header="0"/>
        </w:sectPr>
      </w:pPr>
    </w:p>
    <w:bookmarkStart w:id="85" w:name="page86"/>
    <w:bookmarkEnd w:id="85"/>
    <w:p>
      <w:pPr>
        <w:jc w:val="both"/>
        <w:spacing w:after="0" w:line="311" w:lineRule="auto"/>
        <w:rPr>
          <w:sz w:val="20"/>
          <w:szCs w:val="20"/>
          <w:color w:val="auto"/>
        </w:rPr>
      </w:pPr>
      <w:r>
        <w:rPr>
          <w:rFonts w:ascii="Arial" w:cs="Arial" w:eastAsia="Arial" w:hAnsi="Arial"/>
          <w:sz w:val="16"/>
          <w:szCs w:val="16"/>
          <w:color w:val="auto"/>
        </w:rPr>
        <w:t>approximate amount of $71.9 million will begin to expire, if not utilized, in 2023.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p>
    <w:p>
      <w:pPr>
        <w:spacing w:after="0" w:line="40"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auto"/>
        </w:rPr>
        <w:t>During 2022, management completed its evaluation of any limitations on the ability of the Company to utilize the Thomas subsidiary net operating loss carryforward of $58.4 million.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60" w:firstLine="644"/>
        <w:spacing w:after="0" w:line="301" w:lineRule="auto"/>
        <w:rPr>
          <w:sz w:val="20"/>
          <w:szCs w:val="20"/>
          <w:color w:val="auto"/>
        </w:rPr>
      </w:pPr>
      <w:r>
        <w:rPr>
          <w:rFonts w:ascii="Arial" w:cs="Arial" w:eastAsia="Arial" w:hAnsi="Arial"/>
          <w:sz w:val="16"/>
          <w:szCs w:val="16"/>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comparable periods.</w:t>
      </w:r>
    </w:p>
    <w:p>
      <w:pPr>
        <w:spacing w:after="0" w:line="156" w:lineRule="exact"/>
        <w:rPr>
          <w:sz w:val="20"/>
          <w:szCs w:val="20"/>
          <w:color w:val="auto"/>
        </w:rPr>
      </w:pPr>
    </w:p>
    <w:p>
      <w:pPr>
        <w:ind w:right="320" w:firstLine="644"/>
        <w:spacing w:after="0" w:line="263"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260" w:firstLine="644"/>
        <w:spacing w:after="0" w:line="259" w:lineRule="auto"/>
        <w:rPr>
          <w:sz w:val="20"/>
          <w:szCs w:val="20"/>
          <w:color w:val="auto"/>
        </w:rPr>
      </w:pPr>
      <w:r>
        <w:rPr>
          <w:rFonts w:ascii="Arial" w:cs="Arial" w:eastAsia="Arial" w:hAnsi="Arial"/>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Deemed dividend to preferred stockholders</w:t>
            </w:r>
          </w:p>
        </w:tc>
        <w:tc>
          <w:tcPr>
            <w:tcW w:w="28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(8,801 )</w:t>
            </w: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(76,025 )</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(61,379 )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(39,886 )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Weighted-average number of shares outstanding used to compute net loss per share</w:t>
            </w: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47,158,247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26,318,349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7,492,876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(2.33 )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-812800</wp:posOffset>
            </wp:positionV>
            <wp:extent cx="76835" cy="3422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-812800</wp:posOffset>
            </wp:positionV>
            <wp:extent cx="68580" cy="3422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3422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-205105</wp:posOffset>
            </wp:positionV>
            <wp:extent cx="2089150"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89150" cy="205740"/>
                    </a:xfrm>
                    <a:prstGeom prst="rect">
                      <a:avLst/>
                    </a:prstGeom>
                    <a:noFill/>
                  </pic:spPr>
                </pic:pic>
              </a:graphicData>
            </a:graphic>
          </wp:anchor>
        </w:drawing>
      </w:r>
    </w:p>
    <w:p>
      <w:pPr>
        <w:spacing w:after="0" w:line="181" w:lineRule="exact"/>
        <w:rPr>
          <w:sz w:val="20"/>
          <w:szCs w:val="20"/>
          <w:color w:val="auto"/>
        </w:rPr>
      </w:pPr>
    </w:p>
    <w:p>
      <w:pPr>
        <w:ind w:right="540" w:firstLine="644"/>
        <w:spacing w:after="0" w:line="307"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5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w:t>
            </w:r>
          </w:p>
        </w:tc>
        <w:tc>
          <w:tcPr>
            <w:tcW w:w="10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2,841,419</w:t>
            </w:r>
          </w:p>
        </w:tc>
        <w:tc>
          <w:tcPr>
            <w:tcW w:w="260" w:type="dxa"/>
            <w:vAlign w:val="bottom"/>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3,286,870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740" w:type="dxa"/>
            <w:vAlign w:val="bottom"/>
          </w:tcPr>
          <w:p>
            <w:pPr>
              <w:jc w:val="right"/>
              <w:spacing w:after="0"/>
              <w:rPr>
                <w:sz w:val="20"/>
                <w:szCs w:val="20"/>
                <w:color w:val="auto"/>
              </w:rPr>
            </w:pPr>
            <w:r>
              <w:rPr>
                <w:rFonts w:ascii="Arial" w:cs="Arial" w:eastAsia="Arial" w:hAnsi="Arial"/>
                <w:sz w:val="18"/>
                <w:szCs w:val="18"/>
                <w:color w:val="auto"/>
              </w:rPr>
              <w:t>875,902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186,480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Warrants outstanding</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87,784</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Shares reserved for charitable contribution</w:t>
            </w:r>
          </w:p>
        </w:tc>
        <w:tc>
          <w:tcPr>
            <w:tcW w:w="740" w:type="dxa"/>
            <w:vAlign w:val="bottom"/>
          </w:tcPr>
          <w:p>
            <w:pPr>
              <w:jc w:val="right"/>
              <w:spacing w:after="0"/>
              <w:rPr>
                <w:sz w:val="20"/>
                <w:szCs w:val="20"/>
                <w:color w:val="auto"/>
              </w:rPr>
            </w:pPr>
            <w:r>
              <w:rPr>
                <w:rFonts w:ascii="Arial" w:cs="Arial" w:eastAsia="Arial" w:hAnsi="Arial"/>
                <w:sz w:val="18"/>
                <w:szCs w:val="18"/>
                <w:color w:val="auto"/>
              </w:rPr>
              <w:t>301,993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362,392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0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5,123,624</w:t>
            </w:r>
          </w:p>
        </w:tc>
        <w:tc>
          <w:tcPr>
            <w:tcW w:w="26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shares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9,230,722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3,923,526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540"/>
              <w:spacing w:after="0"/>
              <w:rPr>
                <w:sz w:val="20"/>
                <w:szCs w:val="20"/>
                <w:color w:val="auto"/>
              </w:rPr>
            </w:pPr>
            <w:r>
              <w:rPr>
                <w:rFonts w:ascii="Arial" w:cs="Arial" w:eastAsia="Arial" w:hAnsi="Arial"/>
                <w:sz w:val="18"/>
                <w:szCs w:val="18"/>
                <w:color w:val="auto"/>
              </w:rPr>
              <w:t>83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-547370</wp:posOffset>
            </wp:positionV>
            <wp:extent cx="685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2027 Convertible Notes</w:t>
      </w:r>
    </w:p>
    <w:p>
      <w:pPr>
        <w:spacing w:after="0" w:line="225" w:lineRule="exact"/>
        <w:rPr>
          <w:sz w:val="20"/>
          <w:szCs w:val="20"/>
          <w:color w:val="auto"/>
        </w:rPr>
      </w:pPr>
    </w:p>
    <w:p>
      <w:pPr>
        <w:ind w:right="20" w:firstLine="644"/>
        <w:spacing w:after="0" w:line="293" w:lineRule="auto"/>
        <w:rPr>
          <w:sz w:val="20"/>
          <w:szCs w:val="20"/>
          <w:color w:val="auto"/>
        </w:rPr>
      </w:pPr>
      <w:r>
        <w:rPr>
          <w:rFonts w:ascii="Arial" w:cs="Arial" w:eastAsia="Arial" w:hAnsi="Arial"/>
          <w:sz w:val="16"/>
          <w:szCs w:val="16"/>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163" w:lineRule="exact"/>
        <w:rPr>
          <w:sz w:val="20"/>
          <w:szCs w:val="20"/>
          <w:color w:val="auto"/>
        </w:rPr>
      </w:pPr>
    </w:p>
    <w:p>
      <w:pPr>
        <w:ind w:right="420" w:firstLine="644"/>
        <w:spacing w:after="0" w:line="263" w:lineRule="auto"/>
        <w:rPr>
          <w:sz w:val="20"/>
          <w:szCs w:val="20"/>
          <w:color w:val="auto"/>
        </w:rPr>
      </w:pPr>
      <w:r>
        <w:rPr>
          <w:rFonts w:ascii="Arial" w:cs="Arial" w:eastAsia="Arial" w:hAnsi="Arial"/>
          <w:sz w:val="18"/>
          <w:szCs w:val="18"/>
          <w:color w:val="auto"/>
        </w:rPr>
        <w:t>The 2027 Notes are unsecured obligations which bear regular interest at 1% per annum and for which the principal balance will not accrete. Interest payment are due on February 1 and August 1. The 2027 Notes will mature on February 1, 2027 unless repurchased, redeemed, or converted in accordance with their terms prior to such date.</w:t>
      </w:r>
    </w:p>
    <w:p>
      <w:pPr>
        <w:spacing w:after="0" w:line="183"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185" w:lineRule="exact"/>
        <w:rPr>
          <w:sz w:val="20"/>
          <w:szCs w:val="20"/>
          <w:color w:val="auto"/>
        </w:rPr>
      </w:pPr>
    </w:p>
    <w:p>
      <w:pPr>
        <w:ind w:right="60" w:firstLine="644"/>
        <w:spacing w:after="0" w:line="286" w:lineRule="auto"/>
        <w:rPr>
          <w:sz w:val="20"/>
          <w:szCs w:val="20"/>
          <w:color w:val="auto"/>
        </w:rPr>
      </w:pPr>
      <w:r>
        <w:rPr>
          <w:rFonts w:ascii="Arial" w:cs="Arial" w:eastAsia="Arial" w:hAnsi="Arial"/>
          <w:sz w:val="17"/>
          <w:szCs w:val="17"/>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164" w:lineRule="exact"/>
        <w:rPr>
          <w:sz w:val="20"/>
          <w:szCs w:val="20"/>
          <w:color w:val="auto"/>
        </w:rPr>
      </w:pPr>
    </w:p>
    <w:p>
      <w:pPr>
        <w:ind w:right="520" w:firstLine="644"/>
        <w:spacing w:after="0" w:line="277" w:lineRule="auto"/>
        <w:rPr>
          <w:sz w:val="20"/>
          <w:szCs w:val="20"/>
          <w:color w:val="auto"/>
        </w:rPr>
      </w:pPr>
      <w:r>
        <w:rPr>
          <w:rFonts w:ascii="Arial" w:cs="Arial" w:eastAsia="Arial" w:hAnsi="Arial"/>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2" w:lineRule="exact"/>
        <w:rPr>
          <w:sz w:val="20"/>
          <w:szCs w:val="20"/>
          <w:color w:val="auto"/>
        </w:rPr>
      </w:pPr>
    </w:p>
    <w:p>
      <w:pPr>
        <w:jc w:val="both"/>
        <w:ind w:left="1020" w:hanging="504"/>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4" w:lineRule="exact"/>
        <w:rPr>
          <w:rFonts w:ascii="Arial" w:cs="Arial" w:eastAsia="Arial" w:hAnsi="Arial"/>
          <w:sz w:val="18"/>
          <w:szCs w:val="18"/>
          <w:color w:val="auto"/>
        </w:rPr>
      </w:pPr>
    </w:p>
    <w:p>
      <w:pPr>
        <w:jc w:val="both"/>
        <w:ind w:left="1020" w:hanging="504"/>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74" w:lineRule="exact"/>
        <w:rPr>
          <w:rFonts w:ascii="Arial" w:cs="Arial" w:eastAsia="Arial" w:hAnsi="Arial"/>
          <w:sz w:val="18"/>
          <w:szCs w:val="18"/>
          <w:color w:val="auto"/>
        </w:rPr>
      </w:pPr>
    </w:p>
    <w:p>
      <w:pPr>
        <w:jc w:val="both"/>
        <w:ind w:left="1020" w:hanging="504"/>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25" w:lineRule="exact"/>
        <w:rPr>
          <w:sz w:val="20"/>
          <w:szCs w:val="20"/>
          <w:color w:val="auto"/>
        </w:rPr>
      </w:pPr>
    </w:p>
    <w:p>
      <w:pPr>
        <w:ind w:right="720" w:firstLine="644"/>
        <w:spacing w:after="0" w:line="277" w:lineRule="auto"/>
        <w:rPr>
          <w:sz w:val="20"/>
          <w:szCs w:val="20"/>
          <w:color w:val="auto"/>
        </w:rPr>
      </w:pPr>
      <w:r>
        <w:rPr>
          <w:rFonts w:ascii="Arial" w:cs="Arial" w:eastAsia="Arial" w:hAnsi="Arial"/>
          <w:sz w:val="18"/>
          <w:szCs w:val="18"/>
          <w:color w:val="auto"/>
        </w:rPr>
        <w:t>On or after November 1, 2026, the 2027 Notes are convertible at any time until the close of business on the second scheduled trading day immediately preceding the maturity date.</w:t>
      </w:r>
    </w:p>
    <w:p>
      <w:pPr>
        <w:spacing w:after="0" w:line="169" w:lineRule="exact"/>
        <w:rPr>
          <w:sz w:val="20"/>
          <w:szCs w:val="20"/>
          <w:color w:val="auto"/>
        </w:rPr>
      </w:pPr>
    </w:p>
    <w:p>
      <w:pPr>
        <w:ind w:right="100" w:firstLine="644"/>
        <w:spacing w:after="0" w:line="259" w:lineRule="auto"/>
        <w:rPr>
          <w:sz w:val="20"/>
          <w:szCs w:val="20"/>
          <w:color w:val="auto"/>
        </w:rPr>
      </w:pPr>
      <w:r>
        <w:rPr>
          <w:rFonts w:ascii="Arial" w:cs="Arial" w:eastAsia="Arial" w:hAnsi="Arial"/>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185" w:lineRule="exact"/>
        <w:rPr>
          <w:sz w:val="20"/>
          <w:szCs w:val="20"/>
          <w:color w:val="auto"/>
        </w:rPr>
      </w:pPr>
    </w:p>
    <w:p>
      <w:pPr>
        <w:ind w:right="640" w:firstLine="644"/>
        <w:spacing w:after="0" w:line="277" w:lineRule="auto"/>
        <w:rPr>
          <w:sz w:val="20"/>
          <w:szCs w:val="20"/>
          <w:color w:val="auto"/>
        </w:rPr>
      </w:pPr>
      <w:r>
        <w:rPr>
          <w:rFonts w:ascii="Arial" w:cs="Arial" w:eastAsia="Arial" w:hAnsi="Arial"/>
          <w:sz w:val="18"/>
          <w:szCs w:val="18"/>
          <w:color w:val="auto"/>
        </w:rPr>
        <w:t>We accounted for the issuance of the 2027 Notes as a single liability measured at its amortized cost, as no other embedded features require bifurcation and recognition as derivatives.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7"/>
          <w:szCs w:val="17"/>
          <w:color w:val="auto"/>
        </w:rPr>
        <w:t>The following table presents the outstanding principal amount and carrying value of the 2027 Notes as of the dates indicated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9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FF0FC"/>
          </w:tcPr>
          <w:p>
            <w:pPr>
              <w:spacing w:after="0"/>
              <w:rPr>
                <w:sz w:val="20"/>
                <w:szCs w:val="20"/>
                <w:color w:val="auto"/>
              </w:rPr>
            </w:pPr>
          </w:p>
        </w:tc>
      </w:tr>
      <w:tr>
        <w:trPr>
          <w:trHeight w:val="236"/>
        </w:trPr>
        <w:tc>
          <w:tcPr>
            <w:tcW w:w="93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(7,044 )</w:t>
            </w:r>
          </w:p>
        </w:tc>
      </w:tr>
      <w:tr>
        <w:trPr>
          <w:trHeight w:val="243"/>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(547 )</w:t>
            </w:r>
          </w:p>
        </w:tc>
      </w:tr>
      <w:tr>
        <w:trPr>
          <w:trHeight w:val="236"/>
        </w:trPr>
        <w:tc>
          <w:tcPr>
            <w:tcW w:w="9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carrying value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279,909</w:t>
            </w:r>
          </w:p>
        </w:tc>
        <w:tc>
          <w:tcPr>
            <w:tcW w:w="100" w:type="dxa"/>
            <w:vAlign w:val="bottom"/>
            <w:tcBorders>
              <w:top w:val="single" w:sz="8" w:color="CFF0FC"/>
            </w:tcBorders>
          </w:tcPr>
          <w:p>
            <w:pPr>
              <w:spacing w:after="0"/>
              <w:rPr>
                <w:sz w:val="20"/>
                <w:szCs w:val="20"/>
                <w:color w:val="auto"/>
              </w:rPr>
            </w:pPr>
          </w:p>
        </w:tc>
      </w:tr>
      <w:tr>
        <w:trPr>
          <w:trHeight w:val="20"/>
        </w:trPr>
        <w:tc>
          <w:tcPr>
            <w:tcW w:w="9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80" w:firstLine="644"/>
        <w:spacing w:after="0" w:line="258" w:lineRule="auto"/>
        <w:rPr>
          <w:sz w:val="20"/>
          <w:szCs w:val="20"/>
          <w:color w:val="auto"/>
        </w:rPr>
      </w:pPr>
      <w:r>
        <w:rPr>
          <w:rFonts w:ascii="Arial" w:cs="Arial" w:eastAsia="Arial" w:hAnsi="Arial"/>
          <w:sz w:val="18"/>
          <w:szCs w:val="18"/>
          <w:color w:val="auto"/>
        </w:rPr>
        <w:t>The annual effective interest rate for the 2027 Notes was approximately 1.6%. Interest expense related to the 2027 Notes for the periods presented below was as follows (in thousands):</w:t>
      </w:r>
    </w:p>
    <w:p>
      <w:pPr>
        <w:jc w:val="center"/>
        <w:ind w:left="8560"/>
        <w:spacing w:after="0" w:line="232" w:lineRule="auto"/>
        <w:rPr>
          <w:sz w:val="20"/>
          <w:szCs w:val="20"/>
          <w:color w:val="auto"/>
        </w:rPr>
      </w:pPr>
      <w:r>
        <w:rPr>
          <w:rFonts w:ascii="Arial" w:cs="Arial" w:eastAsia="Arial" w:hAnsi="Arial"/>
          <w:sz w:val="14"/>
          <w:szCs w:val="14"/>
          <w:b w:val="1"/>
          <w:bCs w:val="1"/>
          <w:color w:val="auto"/>
        </w:rPr>
        <w:t>Year Ended</w:t>
      </w:r>
    </w:p>
    <w:p>
      <w:pPr>
        <w:jc w:val="center"/>
        <w:ind w:left="8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5080</wp:posOffset>
            </wp:positionV>
            <wp:extent cx="1558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ind w:left="9760"/>
        <w:spacing w:after="0"/>
        <w:rPr>
          <w:sz w:val="20"/>
          <w:szCs w:val="20"/>
          <w:color w:val="auto"/>
        </w:rPr>
      </w:pPr>
      <w:r>
        <w:rPr>
          <w:rFonts w:ascii="Arial" w:cs="Arial" w:eastAsia="Arial" w:hAnsi="Arial"/>
          <w:sz w:val="14"/>
          <w:szCs w:val="14"/>
          <w:b w:val="1"/>
          <w:bCs w:val="1"/>
          <w:color w:val="auto"/>
        </w:rPr>
        <w:t>2022</w:t>
      </w:r>
    </w:p>
    <w:p>
      <w:pPr>
        <w:sectPr>
          <w:pgSz w:w="11900" w:h="16838" w:orient="portrait"/>
          <w:cols w:equalWidth="0" w:num="1">
            <w:col w:w="11240"/>
          </w:cols>
          <w:pgMar w:left="320" w:top="125"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Coupon interest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transaction costs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interest expense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w:t>
            </w:r>
          </w:p>
        </w:tc>
      </w:tr>
      <w:tr>
        <w:trPr>
          <w:trHeight w:val="235"/>
        </w:trPr>
        <w:tc>
          <w:tcPr>
            <w:tcW w:w="10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50"/>
        </w:trPr>
        <w:tc>
          <w:tcPr>
            <w:tcW w:w="10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36"/>
        </w:trPr>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-650240</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-341630</wp:posOffset>
            </wp:positionV>
            <wp:extent cx="7132320" cy="4965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496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125" w:right="339" w:bottom="1440" w:gutter="0" w:footer="0" w:header="0"/>
          <w:type w:val="continuous"/>
        </w:sectPr>
      </w:pPr>
    </w:p>
    <w:p>
      <w:pPr>
        <w:spacing w:after="0" w:line="244" w:lineRule="exact"/>
        <w:rPr>
          <w:sz w:val="20"/>
          <w:szCs w:val="20"/>
          <w:color w:val="auto"/>
        </w:rPr>
      </w:pPr>
    </w:p>
    <w:p>
      <w:pPr>
        <w:ind w:right="740" w:firstLine="225"/>
        <w:spacing w:after="0" w:line="258" w:lineRule="auto"/>
        <w:rPr>
          <w:sz w:val="20"/>
          <w:szCs w:val="20"/>
          <w:color w:val="auto"/>
        </w:rPr>
      </w:pPr>
      <w:r>
        <w:rPr>
          <w:rFonts w:ascii="Arial" w:cs="Arial" w:eastAsia="Arial" w:hAnsi="Arial"/>
          <w:sz w:val="18"/>
          <w:szCs w:val="18"/>
          <w:color w:val="auto"/>
        </w:rPr>
        <w:t>The Company estimates the fair value of the 2027 Notes with inputs that are unobservable. The following table presents the carrying value and estimated fair value of the 2027 Notes as of the date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2022</w:t>
            </w:r>
          </w:p>
        </w:tc>
        <w:tc>
          <w:tcPr>
            <w:tcW w:w="16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Carrying Value</w:t>
            </w:r>
          </w:p>
        </w:tc>
        <w:tc>
          <w:tcPr>
            <w:tcW w:w="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Fair Value</w:t>
            </w:r>
          </w:p>
        </w:tc>
        <w:tc>
          <w:tcPr>
            <w:tcW w:w="520" w:type="dxa"/>
            <w:vAlign w:val="bottom"/>
            <w:vMerge w:val="restart"/>
          </w:tcPr>
          <w:p>
            <w:pPr>
              <w:jc w:val="right"/>
              <w:ind w:right="2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279,909</w:t>
            </w:r>
          </w:p>
        </w:tc>
        <w:tc>
          <w:tcPr>
            <w:tcW w:w="4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257,671</w:t>
            </w: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560" w:firstLine="8"/>
        <w:spacing w:after="0" w:line="274"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fair value is estimated using a discounted cash flow analysis, using interest rate that we believe are offered for similar borrowings (a Level 3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60" w:firstLine="644"/>
        <w:spacing w:after="0" w:line="296" w:lineRule="auto"/>
        <w:rPr>
          <w:sz w:val="20"/>
          <w:szCs w:val="20"/>
          <w:color w:val="auto"/>
        </w:rPr>
      </w:pPr>
      <w:r>
        <w:rPr>
          <w:rFonts w:ascii="Arial" w:cs="Arial" w:eastAsia="Arial" w:hAnsi="Arial"/>
          <w:sz w:val="16"/>
          <w:szCs w:val="16"/>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(see Note 7). In connection with the debt extinguishment, the Company paid Hercules $16.1 million and recorded a loss on debt extinguishment of approximately $0.3 million.</w:t>
      </w:r>
    </w:p>
    <w:p>
      <w:pPr>
        <w:spacing w:after="0" w:line="119" w:lineRule="exact"/>
        <w:rPr>
          <w:sz w:val="20"/>
          <w:szCs w:val="20"/>
          <w:color w:val="auto"/>
        </w:rPr>
      </w:pPr>
    </w:p>
    <w:p>
      <w:pPr>
        <w:ind w:right="120" w:firstLine="644"/>
        <w:spacing w:after="0" w:line="263" w:lineRule="auto"/>
        <w:rPr>
          <w:sz w:val="20"/>
          <w:szCs w:val="20"/>
          <w:color w:val="auto"/>
        </w:rPr>
      </w:pPr>
      <w:r>
        <w:rPr>
          <w:rFonts w:ascii="Arial" w:cs="Arial" w:eastAsia="Arial" w:hAnsi="Arial"/>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156" w:lineRule="exact"/>
        <w:rPr>
          <w:sz w:val="20"/>
          <w:szCs w:val="20"/>
          <w:color w:val="auto"/>
        </w:rPr>
      </w:pPr>
    </w:p>
    <w:p>
      <w:pPr>
        <w:ind w:right="220" w:firstLine="644"/>
        <w:spacing w:after="0" w:line="263"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right="60" w:firstLine="644"/>
        <w:spacing w:after="0" w:line="259"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40" w:firstLine="644"/>
        <w:spacing w:after="0" w:line="258"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ind w:right="420"/>
        <w:spacing w:after="0" w:line="277" w:lineRule="auto"/>
        <w:rPr>
          <w:sz w:val="20"/>
          <w:szCs w:val="20"/>
          <w:color w:val="auto"/>
        </w:rPr>
      </w:pPr>
      <w:r>
        <w:rPr>
          <w:rFonts w:ascii="Arial" w:cs="Arial" w:eastAsia="Arial" w:hAnsi="Arial"/>
          <w:sz w:val="18"/>
          <w:szCs w:val="18"/>
          <w:color w:val="auto"/>
        </w:rPr>
        <w:t>proceedings cannot be predicted with certainty, the ultimate liability of the Company in connection with its legal proceedings is not expected to have a material adverse effect on the Company’s financial position or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80" w:firstLine="644"/>
        <w:spacing w:after="0" w:line="259" w:lineRule="auto"/>
        <w:rPr>
          <w:sz w:val="20"/>
          <w:szCs w:val="20"/>
          <w:color w:val="auto"/>
        </w:rPr>
      </w:pPr>
      <w:r>
        <w:rPr>
          <w:rFonts w:ascii="Arial" w:cs="Arial" w:eastAsia="Arial" w:hAnsi="Arial"/>
          <w:sz w:val="18"/>
          <w:szCs w:val="18"/>
          <w:color w:val="auto"/>
        </w:rPr>
        <w:t>In December 2022</w:t>
      </w:r>
      <w:r>
        <w:rPr>
          <w:rFonts w:ascii="Arial" w:cs="Arial" w:eastAsia="Arial" w:hAnsi="Arial"/>
          <w:sz w:val="18"/>
          <w:szCs w:val="18"/>
          <w:i w:val="1"/>
          <w:iCs w:val="1"/>
          <w:color w:val="auto"/>
        </w:rPr>
        <w:t>,</w:t>
      </w:r>
      <w:r>
        <w:rPr>
          <w:rFonts w:ascii="Arial" w:cs="Arial" w:eastAsia="Arial" w:hAnsi="Arial"/>
          <w:sz w:val="18"/>
          <w:szCs w:val="18"/>
          <w:color w:val="auto"/>
        </w:rPr>
        <w:t xml:space="preserve"> we initiated a restructuring action to help manage our operating expenses by reducing our workforce by approximately 6%. The workforce reduction focused on realigning our staffing levels to help us meet the current and future objectives of our business. For the year ended December 31, 2022, we incurred $1.5 million for employee termination costs related to this restructuring. The majority of these costs will be paid by the Company in the first quarter of 2023.</w:t>
      </w:r>
    </w:p>
    <w:p>
      <w:pPr>
        <w:spacing w:after="0" w:line="77" w:lineRule="exact"/>
        <w:rPr>
          <w:sz w:val="20"/>
          <w:szCs w:val="20"/>
          <w:color w:val="auto"/>
        </w:rPr>
      </w:pPr>
    </w:p>
    <w:p>
      <w:pPr>
        <w:ind w:right="180" w:firstLine="644"/>
        <w:spacing w:after="0" w:line="258" w:lineRule="auto"/>
        <w:rPr>
          <w:sz w:val="20"/>
          <w:szCs w:val="20"/>
          <w:color w:val="auto"/>
        </w:rPr>
      </w:pPr>
      <w:r>
        <w:rPr>
          <w:rFonts w:ascii="Arial" w:cs="Arial" w:eastAsia="Arial" w:hAnsi="Arial"/>
          <w:sz w:val="18"/>
          <w:szCs w:val="18"/>
          <w:color w:val="auto"/>
        </w:rPr>
        <w:t>The following table shows the total amount incurred and the liability, which is recorded in accrued expenses in the Consolidated Balance Sheets, for restructuring-related employee termination benefits as of December 31, 2022 (in thousands):</w:t>
      </w:r>
    </w:p>
    <w:tbl>
      <w:tblPr>
        <w:tblLayout w:type="fixed"/>
        <w:tblInd w:w="0" w:type="dxa"/>
        <w:tblCellMar>
          <w:top w:w="0" w:type="dxa"/>
          <w:left w:w="0" w:type="dxa"/>
          <w:bottom w:w="0" w:type="dxa"/>
          <w:right w:w="0" w:type="dxa"/>
        </w:tblCellMar>
      </w:tblPr>
      <w:tr>
        <w:trPr>
          <w:trHeight w:val="140"/>
        </w:trPr>
        <w:tc>
          <w:tcPr>
            <w:tcW w:w="7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gridSpan w:val="2"/>
          </w:tcPr>
          <w:p>
            <w:pPr>
              <w:jc w:val="right"/>
              <w:ind w:right="150"/>
              <w:spacing w:after="0" w:line="140" w:lineRule="exact"/>
              <w:rPr>
                <w:sz w:val="20"/>
                <w:szCs w:val="20"/>
                <w:color w:val="auto"/>
              </w:rPr>
            </w:pPr>
            <w:r>
              <w:rPr>
                <w:rFonts w:ascii="Arial" w:cs="Arial" w:eastAsia="Arial" w:hAnsi="Arial"/>
                <w:sz w:val="14"/>
                <w:szCs w:val="14"/>
                <w:b w:val="1"/>
                <w:bCs w:val="1"/>
                <w:color w:val="auto"/>
              </w:rPr>
              <w:t>Employee Termination</w:t>
            </w:r>
          </w:p>
        </w:tc>
        <w:tc>
          <w:tcPr>
            <w:tcW w:w="100" w:type="dxa"/>
            <w:vAlign w:val="bottom"/>
          </w:tcPr>
          <w:p>
            <w:pPr>
              <w:spacing w:after="0"/>
              <w:rPr>
                <w:sz w:val="12"/>
                <w:szCs w:val="12"/>
                <w:color w:val="auto"/>
              </w:rPr>
            </w:pPr>
          </w:p>
        </w:tc>
      </w:tr>
      <w:tr>
        <w:trPr>
          <w:trHeight w:val="185"/>
        </w:trPr>
        <w:tc>
          <w:tcPr>
            <w:tcW w:w="7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Benefits</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7940" w:type="dxa"/>
            <w:vAlign w:val="bottom"/>
          </w:tcPr>
          <w:p>
            <w:pPr>
              <w:spacing w:after="0"/>
              <w:rPr>
                <w:sz w:val="24"/>
                <w:szCs w:val="24"/>
                <w:color w:val="auto"/>
              </w:rPr>
            </w:pPr>
          </w:p>
        </w:tc>
        <w:tc>
          <w:tcPr>
            <w:tcW w:w="27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restructuring costs as of December 31, 2021</w:t>
            </w:r>
          </w:p>
        </w:tc>
        <w:tc>
          <w:tcPr>
            <w:tcW w:w="2700" w:type="dxa"/>
            <w:vAlign w:val="bottom"/>
            <w:gridSpan w:val="2"/>
            <w:shd w:val="clear" w:color="auto" w:fill="CFF0FC"/>
          </w:tcPr>
          <w:p>
            <w:pPr>
              <w:jc w:val="right"/>
              <w:ind w:right="11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Restructuring costs incurred during the year ended December 31, 2022</w:t>
            </w: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r>
      <w:tr>
        <w:trPr>
          <w:trHeight w:val="243"/>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 paid during the year ended December 31, 2022</w:t>
            </w:r>
          </w:p>
        </w:tc>
        <w:tc>
          <w:tcPr>
            <w:tcW w:w="13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Accrued restructuring costs as of December 31, 2022</w:t>
            </w:r>
          </w:p>
        </w:tc>
        <w:tc>
          <w:tcPr>
            <w:tcW w:w="1380" w:type="dxa"/>
            <w:vAlign w:val="bottom"/>
          </w:tcPr>
          <w:p>
            <w:pPr>
              <w:spacing w:after="0"/>
              <w:rPr>
                <w:sz w:val="20"/>
                <w:szCs w:val="20"/>
                <w:color w:val="auto"/>
              </w:rPr>
            </w:pPr>
          </w:p>
        </w:tc>
        <w:tc>
          <w:tcPr>
            <w:tcW w:w="1320" w:type="dxa"/>
            <w:vAlign w:val="bottom"/>
            <w:tcBorders>
              <w:bottom w:val="single" w:sz="8" w:color="auto"/>
            </w:tcBorders>
          </w:tcPr>
          <w:p>
            <w:pPr>
              <w:jc w:val="right"/>
              <w:ind w:right="114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r>
      <w:tr>
        <w:trPr>
          <w:trHeight w:val="20"/>
        </w:trPr>
        <w:tc>
          <w:tcPr>
            <w:tcW w:w="93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5"/>
        </w:trPr>
        <w:tc>
          <w:tcPr>
            <w:tcW w:w="10640" w:type="dxa"/>
            <w:vAlign w:val="bottom"/>
            <w:gridSpan w:val="3"/>
          </w:tcPr>
          <w:p>
            <w:pPr>
              <w:ind w:left="660"/>
              <w:spacing w:after="0"/>
              <w:rPr>
                <w:sz w:val="20"/>
                <w:szCs w:val="20"/>
                <w:color w:val="auto"/>
              </w:rPr>
            </w:pPr>
            <w:r>
              <w:rPr>
                <w:rFonts w:ascii="Arial" w:cs="Arial" w:eastAsia="Arial" w:hAnsi="Arial"/>
                <w:sz w:val="18"/>
                <w:szCs w:val="18"/>
                <w:color w:val="auto"/>
              </w:rPr>
              <w:t>The following table shows the total restructuring costs incurred during the year ended December 31, 2022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7940" w:type="dxa"/>
            <w:vAlign w:val="bottom"/>
          </w:tcPr>
          <w:p>
            <w:pPr>
              <w:spacing w:after="0"/>
              <w:rPr>
                <w:sz w:val="16"/>
                <w:szCs w:val="16"/>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40" w:type="dxa"/>
            <w:vAlign w:val="bottom"/>
          </w:tcPr>
          <w:p>
            <w:pPr>
              <w:spacing w:after="0"/>
              <w:rPr>
                <w:sz w:val="14"/>
                <w:szCs w:val="14"/>
                <w:color w:val="auto"/>
              </w:rPr>
            </w:pPr>
          </w:p>
        </w:tc>
        <w:tc>
          <w:tcPr>
            <w:tcW w:w="2700" w:type="dxa"/>
            <w:vAlign w:val="bottom"/>
            <w:tcBorders>
              <w:bottom w:val="single" w:sz="8" w:color="auto"/>
            </w:tcBorders>
            <w:gridSpan w:val="2"/>
          </w:tcPr>
          <w:p>
            <w:pPr>
              <w:jc w:val="right"/>
              <w:ind w:right="88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FF0FC"/>
          </w:tcPr>
          <w:p>
            <w:pPr>
              <w:jc w:val="right"/>
              <w:ind w:right="119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r>
      <w:tr>
        <w:trPr>
          <w:trHeight w:val="276"/>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restructure charge</w:t>
            </w:r>
          </w:p>
        </w:tc>
        <w:tc>
          <w:tcPr>
            <w:tcW w:w="1380" w:type="dxa"/>
            <w:vAlign w:val="bottom"/>
            <w:tcBorders>
              <w:bottom w:val="single" w:sz="8" w:color="auto"/>
            </w:tcBorders>
            <w:shd w:val="clear" w:color="auto" w:fill="CFF0FC"/>
          </w:tcPr>
          <w:p>
            <w:pPr>
              <w:jc w:val="right"/>
              <w:ind w:right="119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400" w:firstLine="509"/>
        <w:spacing w:after="0" w:line="255" w:lineRule="auto"/>
        <w:rPr>
          <w:sz w:val="20"/>
          <w:szCs w:val="20"/>
          <w:color w:val="auto"/>
        </w:rPr>
      </w:pPr>
      <w:r>
        <w:rPr>
          <w:rFonts w:ascii="Arial" w:cs="Arial" w:eastAsia="Arial" w:hAnsi="Arial"/>
          <w:sz w:val="18"/>
          <w:szCs w:val="18"/>
          <w:color w:val="auto"/>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$1.6 million, $0.7 million and $0.4 million for the years ending December 31, 2022, 2021 and 2020, respectively.</w:t>
      </w:r>
    </w:p>
    <w:p>
      <w:pPr>
        <w:spacing w:after="0" w:line="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Blue Saw</w:t>
      </w:r>
    </w:p>
    <w:p>
      <w:pPr>
        <w:spacing w:after="0" w:line="117" w:lineRule="exact"/>
        <w:rPr>
          <w:sz w:val="20"/>
          <w:szCs w:val="20"/>
          <w:color w:val="auto"/>
        </w:rPr>
      </w:pPr>
    </w:p>
    <w:p>
      <w:pPr>
        <w:ind w:right="40" w:firstLine="644"/>
        <w:spacing w:after="0" w:line="270" w:lineRule="auto"/>
        <w:rPr>
          <w:sz w:val="20"/>
          <w:szCs w:val="20"/>
          <w:color w:val="auto"/>
        </w:rPr>
      </w:pPr>
      <w:r>
        <w:rPr>
          <w:rFonts w:ascii="Arial" w:cs="Arial" w:eastAsia="Arial" w:hAnsi="Arial"/>
          <w:sz w:val="17"/>
          <w:szCs w:val="17"/>
          <w:color w:val="auto"/>
        </w:rPr>
        <w:t>On November 1, 2021, the Company acquired Big Blue Saw LLC ("Big Blue Saw") subject to an Asset Purchase Agreement. The acquisition of Big Blue Saw extended our marketplace capabilities in water jet and laser cutting. The Company accounted for the acquisition as a business combination. The goodwill of $2.1 million arising from the acquisition of Big Blue Saw related to certain expected synergies which includes improved pricing capabilities. This goodwill which is included in our U.S. reporting segment is deductible for tax purposes. The aggregate non-contingent portion of the purchase price was $1.5 million and was paid in cash and Class A common stock on the acquisition date. In addition, the purchase price includes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probably weighted assumptions about client conversions.</w:t>
      </w:r>
    </w:p>
    <w:p>
      <w:pPr>
        <w:spacing w:after="0" w:line="70" w:lineRule="exact"/>
        <w:rPr>
          <w:sz w:val="20"/>
          <w:szCs w:val="20"/>
          <w:color w:val="auto"/>
        </w:rPr>
      </w:pPr>
    </w:p>
    <w:p>
      <w:pPr>
        <w:ind w:right="20" w:firstLine="644"/>
        <w:spacing w:after="0" w:line="258" w:lineRule="auto"/>
        <w:rPr>
          <w:sz w:val="20"/>
          <w:szCs w:val="20"/>
          <w:color w:val="auto"/>
        </w:rPr>
      </w:pPr>
      <w:r>
        <w:rPr>
          <w:rFonts w:ascii="Arial" w:cs="Arial" w:eastAsia="Arial" w:hAnsi="Arial"/>
          <w:sz w:val="18"/>
          <w:szCs w:val="18"/>
          <w:color w:val="auto"/>
        </w:rPr>
        <w:t>During the year ended December 31, 2022, the Company recorded an approximate $54,000 increase to the contingent consideration liability with a corresponding expense recognized in general and administrative expense on our Consolidated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ind w:right="120"/>
        <w:spacing w:after="0" w:line="259" w:lineRule="auto"/>
        <w:rPr>
          <w:sz w:val="20"/>
          <w:szCs w:val="20"/>
          <w:color w:val="auto"/>
        </w:rPr>
      </w:pPr>
      <w:r>
        <w:rPr>
          <w:rFonts w:ascii="Arial" w:cs="Arial" w:eastAsia="Arial" w:hAnsi="Arial"/>
          <w:sz w:val="18"/>
          <w:szCs w:val="18"/>
          <w:color w:val="auto"/>
        </w:rPr>
        <w:t>Statements of Operations and Comprehensive Loss. The Company re-evaluated the fair value of the contingent consideration based on current information available to the Company subsequent to our acquisition using a similar methodology as described above. As of December 31, 2022, and December 31, 2021, the total contingent consideration had a fair value of $0.4 million and $0.9 million, respectively. In December 2022, the Company paid the first installment payment of $0.5 million to the former owner of Big Blue Saw.</w:t>
      </w:r>
    </w:p>
    <w:p>
      <w:pPr>
        <w:spacing w:after="0" w:line="77" w:lineRule="exact"/>
        <w:rPr>
          <w:sz w:val="20"/>
          <w:szCs w:val="20"/>
          <w:color w:val="auto"/>
        </w:rPr>
      </w:pPr>
    </w:p>
    <w:p>
      <w:pPr>
        <w:ind w:right="80" w:firstLine="644"/>
        <w:spacing w:after="0" w:line="311" w:lineRule="auto"/>
        <w:rPr>
          <w:sz w:val="20"/>
          <w:szCs w:val="20"/>
          <w:color w:val="auto"/>
        </w:rPr>
      </w:pPr>
      <w:r>
        <w:rPr>
          <w:rFonts w:ascii="Arial" w:cs="Arial" w:eastAsia="Arial" w:hAnsi="Arial"/>
          <w:sz w:val="16"/>
          <w:szCs w:val="16"/>
          <w:color w:val="auto"/>
        </w:rPr>
        <w:t>The Company performed a preliminary valuation analysis of the fair market value of the acquired assets and liabilities of Big Blue Saw during the fourth quarter of 2021. The Company completed its valuation of the acquired assets and liabilities during the second quarter of 2022 and finalized the settlement of the working capital during the fourth quarter of 2022. The settlement of the working capital in the fourth quarter of 2022 was not material.</w:t>
      </w:r>
    </w:p>
    <w:p>
      <w:pPr>
        <w:spacing w:after="0" w:line="107" w:lineRule="exact"/>
        <w:rPr>
          <w:sz w:val="20"/>
          <w:szCs w:val="20"/>
          <w:color w:val="auto"/>
        </w:rPr>
      </w:pPr>
    </w:p>
    <w:p>
      <w:pPr>
        <w:ind w:right="700" w:firstLine="644"/>
        <w:spacing w:after="0" w:line="270" w:lineRule="auto"/>
        <w:rPr>
          <w:sz w:val="20"/>
          <w:szCs w:val="20"/>
          <w:color w:val="auto"/>
        </w:rPr>
      </w:pPr>
      <w:r>
        <w:rPr>
          <w:rFonts w:ascii="Arial" w:cs="Arial" w:eastAsia="Arial" w:hAnsi="Arial"/>
          <w:sz w:val="18"/>
          <w:szCs w:val="18"/>
          <w:color w:val="auto"/>
        </w:rPr>
        <w:t>The following table (in thousands) summarizes the consideration paid for Big Blue Saw and the final fair value of the assets acquired and liabilities assumed on the acquisition date:</w:t>
      </w:r>
    </w:p>
    <w:tbl>
      <w:tblPr>
        <w:tblLayout w:type="fixed"/>
        <w:tblInd w:w="0" w:type="dxa"/>
        <w:tblCellMar>
          <w:top w:w="0" w:type="dxa"/>
          <w:left w:w="0" w:type="dxa"/>
          <w:bottom w:w="0" w:type="dxa"/>
          <w:right w:w="0" w:type="dxa"/>
        </w:tblCellMar>
      </w:tblP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Fair value of Class A common stock</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Fair value of contingent consideration</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r>
      <w:tr>
        <w:trPr>
          <w:trHeight w:val="276"/>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Fair value of consideration</w:t>
            </w:r>
          </w:p>
        </w:tc>
        <w:tc>
          <w:tcPr>
            <w:tcW w:w="80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Acquisition costs included in general and administrative for the year ended December 31, 2021</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Right-of-use asset</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liability</w:t>
            </w:r>
          </w:p>
        </w:tc>
        <w:tc>
          <w:tcPr>
            <w:tcW w:w="8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(105 )</w:t>
            </w: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(109 )</w:t>
            </w:r>
          </w:p>
        </w:tc>
      </w:tr>
      <w:tr>
        <w:trPr>
          <w:trHeight w:val="242"/>
        </w:trPr>
        <w:tc>
          <w:tcPr>
            <w:tcW w:w="9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identifiable net assets assumed</w:t>
            </w:r>
          </w:p>
        </w:tc>
        <w:tc>
          <w:tcPr>
            <w:tcW w:w="8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r>
      <w:tr>
        <w:trPr>
          <w:trHeight w:val="276"/>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79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FactoryFour</w:t>
      </w:r>
    </w:p>
    <w:p>
      <w:pPr>
        <w:spacing w:after="0" w:line="117" w:lineRule="exact"/>
        <w:rPr>
          <w:sz w:val="20"/>
          <w:szCs w:val="20"/>
          <w:color w:val="auto"/>
        </w:rPr>
      </w:pPr>
    </w:p>
    <w:p>
      <w:pPr>
        <w:ind w:right="40" w:firstLine="644"/>
        <w:spacing w:after="0" w:line="288" w:lineRule="auto"/>
        <w:rPr>
          <w:sz w:val="20"/>
          <w:szCs w:val="20"/>
          <w:color w:val="auto"/>
        </w:rPr>
      </w:pPr>
      <w:r>
        <w:rPr>
          <w:rFonts w:ascii="Arial" w:cs="Arial" w:eastAsia="Arial" w:hAnsi="Arial"/>
          <w:sz w:val="16"/>
          <w:szCs w:val="16"/>
          <w:color w:val="auto"/>
        </w:rPr>
        <w:t>On November 5, 2021, the Company acquired FactoryFour subject to an Asset Purchase Agreement. FactoryFour provides SaaS based solution to help manufacturers in the Xometry marketplace improve lead times and make strong, data-driven decisions through real-time production tracking. The Company accounted for the acquisition as a business combination. The goodwill of $5.0 million arising from the acquisition of FactoryFour related to certain expected synergies which includes our ability to offer a wider range of products to sellers on our platform. This goodwill which is included in our U.S. reporting segment is deductible for tax purposes.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initial fair value of the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58" w:lineRule="exact"/>
        <w:rPr>
          <w:sz w:val="20"/>
          <w:szCs w:val="20"/>
          <w:color w:val="auto"/>
        </w:rPr>
      </w:pPr>
    </w:p>
    <w:p>
      <w:pPr>
        <w:ind w:right="80" w:firstLine="644"/>
        <w:spacing w:after="0" w:line="271" w:lineRule="auto"/>
        <w:rPr>
          <w:sz w:val="20"/>
          <w:szCs w:val="20"/>
          <w:color w:val="auto"/>
        </w:rPr>
      </w:pPr>
      <w:r>
        <w:rPr>
          <w:rFonts w:ascii="Arial" w:cs="Arial" w:eastAsia="Arial" w:hAnsi="Arial"/>
          <w:sz w:val="17"/>
          <w:szCs w:val="17"/>
          <w:color w:val="auto"/>
        </w:rPr>
        <w:t>During the year ended December 31, 2022, the Company recorded an approximate $0.8 million increase to the contingent consideration liability with a corresponding expense recognized in general and administrative expense on our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December 31, 2022 and 2021, the total contingent consideration had a fair value of $1.5 million and $1.5 million, respectively. In December 2022, the Company paid the first installment payment of $0.8 million to the former owners of FactoryFour.</w:t>
      </w:r>
    </w:p>
    <w:p>
      <w:pPr>
        <w:spacing w:after="0" w:line="73" w:lineRule="exact"/>
        <w:rPr>
          <w:sz w:val="20"/>
          <w:szCs w:val="20"/>
          <w:color w:val="auto"/>
        </w:rPr>
      </w:pPr>
    </w:p>
    <w:p>
      <w:pPr>
        <w:ind w:right="20" w:firstLine="644"/>
        <w:spacing w:after="0" w:line="266" w:lineRule="auto"/>
        <w:rPr>
          <w:sz w:val="20"/>
          <w:szCs w:val="20"/>
          <w:color w:val="auto"/>
        </w:rPr>
      </w:pPr>
      <w:r>
        <w:rPr>
          <w:rFonts w:ascii="Arial" w:cs="Arial" w:eastAsia="Arial" w:hAnsi="Arial"/>
          <w:sz w:val="18"/>
          <w:szCs w:val="18"/>
          <w:color w:val="auto"/>
        </w:rPr>
        <w:t>The Company performed its initial valuation analysis of the fair market value of the acquired assets and liabilities of FactoryFour during the fourth quarter of 2021. The Company finalized its valuation analysis in the first quarter of 2022. No changes to the initial purchase price allocation were made during 2022.</w:t>
      </w: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right="460" w:firstLine="644"/>
        <w:spacing w:after="0" w:line="270" w:lineRule="auto"/>
        <w:rPr>
          <w:sz w:val="20"/>
          <w:szCs w:val="20"/>
          <w:color w:val="auto"/>
        </w:rPr>
      </w:pPr>
      <w:r>
        <w:rPr>
          <w:rFonts w:ascii="Arial" w:cs="Arial" w:eastAsia="Arial" w:hAnsi="Arial"/>
          <w:sz w:val="18"/>
          <w:szCs w:val="18"/>
          <w:color w:val="auto"/>
        </w:rPr>
        <w:t>The following table (in thousands) summarizes the consideration paid for FactoryFour and the fair value of the assets acquired and liabilities assumed on the acquisition date:</w:t>
      </w:r>
    </w:p>
    <w:tbl>
      <w:tblPr>
        <w:tblLayout w:type="fixed"/>
        <w:tblInd w:w="0" w:type="dxa"/>
        <w:tblCellMar>
          <w:top w:w="0" w:type="dxa"/>
          <w:left w:w="0" w:type="dxa"/>
          <w:bottom w:w="0" w:type="dxa"/>
          <w:right w:w="0" w:type="dxa"/>
        </w:tblCellMar>
      </w:tblPr>
      <w:tr>
        <w:trPr>
          <w:trHeight w:val="22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980" w:type="dxa"/>
            <w:vAlign w:val="bottom"/>
          </w:tcPr>
          <w:p>
            <w:pPr>
              <w:ind w:left="200"/>
              <w:spacing w:after="0"/>
              <w:rPr>
                <w:sz w:val="20"/>
                <w:szCs w:val="20"/>
                <w:color w:val="auto"/>
              </w:rPr>
            </w:pPr>
            <w:r>
              <w:rPr>
                <w:rFonts w:ascii="Arial" w:cs="Arial" w:eastAsia="Arial" w:hAnsi="Arial"/>
                <w:sz w:val="18"/>
                <w:szCs w:val="18"/>
                <w:color w:val="auto"/>
              </w:rPr>
              <w:t>Cash</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Fair value of Class A common stock</w:t>
            </w: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80" w:type="dxa"/>
            <w:vAlign w:val="bottom"/>
          </w:tcPr>
          <w:p>
            <w:pPr>
              <w:ind w:left="200"/>
              <w:spacing w:after="0"/>
              <w:rPr>
                <w:sz w:val="20"/>
                <w:szCs w:val="20"/>
                <w:color w:val="auto"/>
              </w:rPr>
            </w:pPr>
            <w:r>
              <w:rPr>
                <w:rFonts w:ascii="Arial" w:cs="Arial" w:eastAsia="Arial" w:hAnsi="Arial"/>
                <w:sz w:val="18"/>
                <w:szCs w:val="18"/>
                <w:color w:val="auto"/>
              </w:rPr>
              <w:t>Fair value of contingent consideration</w:t>
            </w: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Fair value of consideration</w:t>
            </w:r>
          </w:p>
        </w:tc>
        <w:tc>
          <w:tcPr>
            <w:tcW w:w="7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8980" w:type="dxa"/>
            <w:vAlign w:val="bottom"/>
          </w:tcPr>
          <w:p>
            <w:pPr>
              <w:ind w:left="20"/>
              <w:spacing w:after="0"/>
              <w:rPr>
                <w:sz w:val="20"/>
                <w:szCs w:val="20"/>
                <w:color w:val="auto"/>
              </w:rPr>
            </w:pPr>
            <w:r>
              <w:rPr>
                <w:rFonts w:ascii="Arial" w:cs="Arial" w:eastAsia="Arial" w:hAnsi="Arial"/>
                <w:sz w:val="18"/>
                <w:szCs w:val="18"/>
                <w:color w:val="auto"/>
              </w:rPr>
              <w:t>Acquisition costs included in general and administrative for the year ended December 31, 2021</w:t>
            </w:r>
          </w:p>
        </w:tc>
        <w:tc>
          <w:tcPr>
            <w:tcW w:w="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6"/>
        </w:trPr>
        <w:tc>
          <w:tcPr>
            <w:tcW w:w="8980" w:type="dxa"/>
            <w:vAlign w:val="bottom"/>
          </w:tcPr>
          <w:p>
            <w:pPr>
              <w:ind w:left="200"/>
              <w:spacing w:after="0"/>
              <w:rPr>
                <w:sz w:val="20"/>
                <w:szCs w:val="20"/>
                <w:color w:val="auto"/>
              </w:rPr>
            </w:pPr>
            <w:r>
              <w:rPr>
                <w:rFonts w:ascii="Arial" w:cs="Arial" w:eastAsia="Arial" w:hAnsi="Arial"/>
                <w:sz w:val="18"/>
                <w:szCs w:val="18"/>
                <w:color w:val="auto"/>
              </w:rPr>
              <w:t>Intangible asset - developed technology</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w:t>
            </w: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80" w:type="dxa"/>
            <w:vAlign w:val="bottom"/>
          </w:tcPr>
          <w:p>
            <w:pPr>
              <w:ind w:left="200"/>
              <w:spacing w:after="0"/>
              <w:rPr>
                <w:sz w:val="20"/>
                <w:szCs w:val="20"/>
                <w:color w:val="auto"/>
              </w:rPr>
            </w:pPr>
            <w:r>
              <w:rPr>
                <w:rFonts w:ascii="Arial" w:cs="Arial" w:eastAsia="Arial" w:hAnsi="Arial"/>
                <w:sz w:val="18"/>
                <w:szCs w:val="18"/>
                <w:color w:val="auto"/>
              </w:rPr>
              <w:t>Lease liability</w:t>
            </w:r>
          </w:p>
        </w:tc>
        <w:tc>
          <w:tcPr>
            <w:tcW w:w="7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(1,044 )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(658 )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80" w:type="dxa"/>
            <w:vAlign w:val="bottom"/>
          </w:tcPr>
          <w:p>
            <w:pPr>
              <w:ind w:left="380"/>
              <w:spacing w:after="0"/>
              <w:rPr>
                <w:sz w:val="20"/>
                <w:szCs w:val="20"/>
                <w:color w:val="auto"/>
              </w:rPr>
            </w:pPr>
            <w:r>
              <w:rPr>
                <w:rFonts w:ascii="Arial" w:cs="Arial" w:eastAsia="Arial" w:hAnsi="Arial"/>
                <w:sz w:val="18"/>
                <w:szCs w:val="18"/>
                <w:color w:val="auto"/>
              </w:rPr>
              <w:t>Total identifiable net assets assumed</w:t>
            </w:r>
          </w:p>
        </w:tc>
        <w:tc>
          <w:tcPr>
            <w:tcW w:w="7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(256 )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80" w:type="dxa"/>
            <w:vAlign w:val="bottom"/>
          </w:tcPr>
          <w:p>
            <w:pPr>
              <w:ind w:left="3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-1917065</wp:posOffset>
            </wp:positionV>
            <wp:extent cx="68580" cy="3340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-504825</wp:posOffset>
            </wp:positionV>
            <wp:extent cx="68580" cy="162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-187960</wp:posOffset>
            </wp:positionV>
            <wp:extent cx="685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The useful life of the acquired developed technology is 3 years.</w:t>
      </w:r>
    </w:p>
    <w:p>
      <w:pPr>
        <w:spacing w:after="0" w:line="234" w:lineRule="exact"/>
        <w:rPr>
          <w:sz w:val="20"/>
          <w:szCs w:val="20"/>
          <w:color w:val="auto"/>
        </w:rPr>
      </w:pPr>
    </w:p>
    <w:p>
      <w:pPr>
        <w:ind w:right="200" w:firstLine="644"/>
        <w:spacing w:after="0" w:line="277" w:lineRule="auto"/>
        <w:rPr>
          <w:sz w:val="20"/>
          <w:szCs w:val="20"/>
          <w:color w:val="auto"/>
        </w:rPr>
      </w:pPr>
      <w:r>
        <w:rPr>
          <w:rFonts w:ascii="Arial" w:cs="Arial" w:eastAsia="Arial" w:hAnsi="Arial"/>
          <w:sz w:val="18"/>
          <w:szCs w:val="18"/>
          <w:color w:val="auto"/>
        </w:rPr>
        <w:t>The acquisitions of Big Blue Saw and FactoryFour were not considered material individually or in the aggregate to the Company for the periods presented, and therefore, proforma information has not been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w:t>
      </w:r>
    </w:p>
    <w:p>
      <w:pPr>
        <w:spacing w:after="0" w:line="117" w:lineRule="exact"/>
        <w:rPr>
          <w:sz w:val="20"/>
          <w:szCs w:val="20"/>
          <w:color w:val="auto"/>
        </w:rPr>
      </w:pPr>
    </w:p>
    <w:p>
      <w:pPr>
        <w:ind w:right="80" w:firstLine="644"/>
        <w:spacing w:after="0" w:line="273" w:lineRule="auto"/>
        <w:rPr>
          <w:sz w:val="20"/>
          <w:szCs w:val="20"/>
          <w:color w:val="auto"/>
        </w:rPr>
      </w:pPr>
      <w:r>
        <w:rPr>
          <w:rFonts w:ascii="Arial" w:cs="Arial" w:eastAsia="Arial" w:hAnsi="Arial"/>
          <w:sz w:val="17"/>
          <w:szCs w:val="17"/>
          <w:color w:val="auto"/>
        </w:rPr>
        <w:t>On December 9, 2021, the Company acquired Thomas subject to an Agreement and Plan of Merger. Xometry leverages Thomas’ marketing and data services to deliver a suite of end-to-end services for suppliers with additional financial services and digital marketing products. The Company accounted for the acquisition as a business combination. The goodwill of $250.1 million arising from the acquisition of Thomas related to certain expected synergies which includes growing buyers and suppliers, expanding into new categories and enhancing supplier services. This goodwill, which is included in our U.S. reporting segment, is not deductible for tax purposes. The aggregate non-contingent portion of the purchase price was approximately $275.8 million and was paid in cash and Class A common stock on the acquisition date.</w:t>
      </w:r>
    </w:p>
    <w:p>
      <w:pPr>
        <w:spacing w:after="0" w:line="149"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During the year ended December 31, 2022, the Company recognized measurement period adjustments primarily related to certain other assets, lease intangibles and tax liabilities which resulted in additional goodwill of approximately $3.9 million. The Company also recognized within current assets $4.8 million of indemnity receivables from the Thomas seller. A portion of the deferred tax liability of $0.6 million which was recognized on the acquisition date was subsequently recognized into income during the year ended December 31, 2022. The Company completed its valuation of the acquired assets and liabilities during the fourth quarter of 2022.</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0" w:right="359" w:bottom="1440" w:gutter="0" w:footer="0" w:header="0"/>
        </w:sectPr>
      </w:pPr>
    </w:p>
    <w:bookmarkStart w:id="91" w:name="page92"/>
    <w:bookmarkEnd w:id="91"/>
    <w:p>
      <w:pPr>
        <w:ind w:right="120" w:firstLine="644"/>
        <w:spacing w:after="0" w:line="258" w:lineRule="auto"/>
        <w:rPr>
          <w:sz w:val="20"/>
          <w:szCs w:val="20"/>
          <w:color w:val="auto"/>
        </w:rPr>
      </w:pPr>
      <w:r>
        <w:rPr>
          <w:rFonts w:ascii="Arial" w:cs="Arial" w:eastAsia="Arial" w:hAnsi="Arial"/>
          <w:sz w:val="18"/>
          <w:szCs w:val="18"/>
          <w:color w:val="auto"/>
        </w:rPr>
        <w:t>The following table (in thousands) summarizes the consideration paid for Thomas and the fair value of the assets acquired and liabilities assumed on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Previously</w:t>
            </w:r>
          </w:p>
        </w:tc>
        <w:tc>
          <w:tcPr>
            <w:tcW w:w="160" w:type="dxa"/>
            <w:vAlign w:val="bottom"/>
          </w:tcPr>
          <w:p>
            <w:pPr>
              <w:spacing w:after="0"/>
              <w:rPr>
                <w:sz w:val="18"/>
                <w:szCs w:val="18"/>
                <w:color w:val="auto"/>
              </w:rPr>
            </w:pPr>
          </w:p>
        </w:tc>
        <w:tc>
          <w:tcPr>
            <w:tcW w:w="1620" w:type="dxa"/>
            <w:vAlign w:val="bottom"/>
            <w:gridSpan w:val="3"/>
          </w:tcPr>
          <w:p>
            <w:pPr>
              <w:jc w:val="right"/>
              <w:ind w:right="390"/>
              <w:spacing w:after="0"/>
              <w:rPr>
                <w:sz w:val="20"/>
                <w:szCs w:val="20"/>
                <w:color w:val="auto"/>
              </w:rPr>
            </w:pPr>
            <w:r>
              <w:rPr>
                <w:rFonts w:ascii="Arial" w:cs="Arial" w:eastAsia="Arial" w:hAnsi="Arial"/>
                <w:sz w:val="18"/>
                <w:szCs w:val="18"/>
                <w:color w:val="auto"/>
                <w:w w:val="91"/>
              </w:rPr>
              <w:t>Purchase Price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Reported</w:t>
            </w:r>
          </w:p>
        </w:tc>
        <w:tc>
          <w:tcPr>
            <w:tcW w:w="160" w:type="dxa"/>
            <w:vAlign w:val="bottom"/>
          </w:tcPr>
          <w:p>
            <w:pPr>
              <w:spacing w:after="0"/>
              <w:rPr>
                <w:sz w:val="20"/>
                <w:szCs w:val="20"/>
                <w:color w:val="auto"/>
              </w:rPr>
            </w:pPr>
          </w:p>
        </w:tc>
        <w:tc>
          <w:tcPr>
            <w:tcW w:w="1620" w:type="dxa"/>
            <w:vAlign w:val="bottom"/>
            <w:gridSpan w:val="3"/>
          </w:tcPr>
          <w:p>
            <w:pPr>
              <w:jc w:val="center"/>
              <w:ind w:right="290"/>
              <w:spacing w:after="0"/>
              <w:rPr>
                <w:sz w:val="20"/>
                <w:szCs w:val="20"/>
                <w:color w:val="auto"/>
              </w:rPr>
            </w:pPr>
            <w:r>
              <w:rPr>
                <w:rFonts w:ascii="Arial" w:cs="Arial" w:eastAsia="Arial" w:hAnsi="Arial"/>
                <w:sz w:val="18"/>
                <w:szCs w:val="18"/>
                <w:color w:val="auto"/>
                <w:w w:val="97"/>
              </w:rPr>
              <w:t>Allocation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As of</w:t>
            </w:r>
          </w:p>
        </w:tc>
        <w:tc>
          <w:tcPr>
            <w:tcW w:w="178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Measurement Period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560" w:type="dxa"/>
            <w:vAlign w:val="bottom"/>
          </w:tcPr>
          <w:p>
            <w:pPr>
              <w:spacing w:after="0"/>
              <w:rPr>
                <w:sz w:val="21"/>
                <w:szCs w:val="21"/>
                <w:color w:val="auto"/>
              </w:rPr>
            </w:pP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December 31, 2021</w:t>
            </w:r>
          </w:p>
        </w:tc>
        <w:tc>
          <w:tcPr>
            <w:tcW w:w="160" w:type="dxa"/>
            <w:vAlign w:val="bottom"/>
          </w:tcPr>
          <w:p>
            <w:pPr>
              <w:spacing w:after="0"/>
              <w:rPr>
                <w:sz w:val="21"/>
                <w:szCs w:val="21"/>
                <w:color w:val="auto"/>
              </w:rPr>
            </w:pPr>
          </w:p>
        </w:tc>
        <w:tc>
          <w:tcPr>
            <w:tcW w:w="16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Adjustments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As Adjusted</w:t>
            </w: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color w:val="auto"/>
              </w:rPr>
              <w:t>Consideration: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174,838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(518 ) $</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174,320</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Fair value of Class A common stock</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101,499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101,499</w:t>
            </w:r>
          </w:p>
        </w:tc>
        <w:tc>
          <w:tcPr>
            <w:tcW w:w="100" w:type="dxa"/>
            <w:vAlign w:val="bottom"/>
          </w:tcPr>
          <w:p>
            <w:pPr>
              <w:spacing w:after="0"/>
              <w:rPr>
                <w:sz w:val="20"/>
                <w:szCs w:val="20"/>
                <w:color w:val="auto"/>
              </w:rPr>
            </w:pPr>
          </w:p>
        </w:tc>
      </w:tr>
      <w:tr>
        <w:trPr>
          <w:trHeight w:val="27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Fair value of consideration</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276,337</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4"/>
        </w:trPr>
        <w:tc>
          <w:tcPr>
            <w:tcW w:w="6560" w:type="dxa"/>
            <w:vAlign w:val="bottom"/>
          </w:tcPr>
          <w:p>
            <w:pPr>
              <w:ind w:left="20"/>
              <w:spacing w:after="0"/>
              <w:rPr>
                <w:sz w:val="20"/>
                <w:szCs w:val="20"/>
                <w:color w:val="auto"/>
              </w:rPr>
            </w:pPr>
            <w:r>
              <w:rPr>
                <w:rFonts w:ascii="Arial" w:cs="Arial" w:eastAsia="Arial" w:hAnsi="Arial"/>
                <w:sz w:val="18"/>
                <w:szCs w:val="18"/>
                <w:color w:val="auto"/>
                <w:w w:val="91"/>
              </w:rPr>
              <w:t>Acquisition costs included in general and administrative for the year ended December 31,</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(1,833 )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41,844</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24,130</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joint venture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(18,690 )</w:t>
            </w:r>
          </w:p>
        </w:tc>
        <w:tc>
          <w:tcPr>
            <w:tcW w:w="160" w:type="dxa"/>
            <w:vAlign w:val="bottom"/>
          </w:tcPr>
          <w:p>
            <w:pPr>
              <w:spacing w:after="0"/>
              <w:rPr>
                <w:sz w:val="20"/>
                <w:szCs w:val="20"/>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(18,690 )</w:t>
            </w: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(1,083 )</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(1,083 )</w:t>
            </w: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(1,647 )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(1,696 )</w:t>
            </w: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(3,343 )</w:t>
            </w: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(281 )</w:t>
            </w:r>
          </w:p>
        </w:tc>
        <w:tc>
          <w:tcPr>
            <w:tcW w:w="1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(281 )</w:t>
            </w: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(6,634 )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(6,745 )</w:t>
            </w: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(30,183 )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(30,580 )</w:t>
            </w: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(1,036 )</w:t>
            </w:r>
          </w:p>
        </w:tc>
        <w:tc>
          <w:tcPr>
            <w:tcW w:w="160" w:type="dxa"/>
            <w:vAlign w:val="bottom"/>
          </w:tcPr>
          <w:p>
            <w:pPr>
              <w:spacing w:after="0"/>
              <w:rPr>
                <w:sz w:val="20"/>
                <w:szCs w:val="20"/>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(1,036 )</w:t>
            </w:r>
          </w:p>
        </w:tc>
      </w:tr>
      <w:tr>
        <w:trPr>
          <w:trHeight w:val="242"/>
        </w:trPr>
        <w:tc>
          <w:tcPr>
            <w:tcW w:w="6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identifiable net assets assumed</w:t>
            </w:r>
          </w:p>
        </w:tc>
        <w:tc>
          <w:tcPr>
            <w:tcW w:w="22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29,599</w:t>
            </w: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246,738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250,102</w:t>
            </w:r>
          </w:p>
        </w:tc>
        <w:tc>
          <w:tcPr>
            <w:tcW w:w="100" w:type="dxa"/>
            <w:vAlign w:val="bottom"/>
          </w:tcPr>
          <w:p>
            <w:pPr>
              <w:spacing w:after="0"/>
              <w:rPr>
                <w:sz w:val="20"/>
                <w:szCs w:val="20"/>
                <w:color w:val="auto"/>
              </w:rPr>
            </w:pPr>
          </w:p>
        </w:tc>
      </w:tr>
      <w:tr>
        <w:trPr>
          <w:trHeight w:val="276"/>
        </w:trPr>
        <w:tc>
          <w:tcPr>
            <w:tcW w:w="6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276,337</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8"/>
        </w:trPr>
        <w:tc>
          <w:tcPr>
            <w:tcW w:w="8200" w:type="dxa"/>
            <w:vAlign w:val="bottom"/>
            <w:gridSpan w:val="4"/>
          </w:tcPr>
          <w:p>
            <w:pPr>
              <w:ind w:left="660"/>
              <w:spacing w:after="0"/>
              <w:rPr>
                <w:sz w:val="20"/>
                <w:szCs w:val="20"/>
                <w:color w:val="auto"/>
              </w:rPr>
            </w:pPr>
            <w:r>
              <w:rPr>
                <w:rFonts w:ascii="Arial" w:cs="Arial" w:eastAsia="Arial" w:hAnsi="Arial"/>
                <w:sz w:val="18"/>
                <w:szCs w:val="18"/>
                <w:color w:val="auto"/>
                <w:w w:val="98"/>
              </w:rPr>
              <w:t>The following table (in thousands) summarizes the fair value of the identifiable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Estimated life</w:t>
            </w:r>
          </w:p>
        </w:tc>
      </w:tr>
      <w:tr>
        <w:trPr>
          <w:trHeight w:val="24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auto"/>
            </w:tcBorders>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0"/>
                <w:szCs w:val="20"/>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Trade name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r>
      <w:tr>
        <w:trPr>
          <w:trHeight w:val="249"/>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intangible assets</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56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41,844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-4665980</wp:posOffset>
            </wp:positionV>
            <wp:extent cx="2020570" cy="4711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20570" cy="47117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-1557655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-1540510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-1557655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-1540510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200" w:firstLine="644"/>
        <w:spacing w:after="0" w:line="219" w:lineRule="exact"/>
        <w:rPr>
          <w:sz w:val="20"/>
          <w:szCs w:val="20"/>
          <w:color w:val="auto"/>
        </w:rPr>
      </w:pPr>
      <w:r>
        <w:rPr>
          <w:rFonts w:ascii="Arial" w:cs="Arial" w:eastAsia="Arial" w:hAnsi="Arial"/>
          <w:sz w:val="17"/>
          <w:szCs w:val="17"/>
          <w:color w:val="auto"/>
        </w:rPr>
        <w:t>The estimated fair value of the intangible assets acquired was determined by the Company. The Company engaged a third</w:t>
      </w:r>
      <w:r>
        <w:rPr>
          <w:rFonts w:ascii="MS PGothic" w:cs="MS PGothic" w:eastAsia="MS PGothic" w:hAnsi="MS PGothic"/>
          <w:sz w:val="17"/>
          <w:szCs w:val="17"/>
          <w:color w:val="auto"/>
        </w:rPr>
        <w:t>‑</w:t>
      </w:r>
      <w:r>
        <w:rPr>
          <w:rFonts w:ascii="Arial" w:cs="Arial" w:eastAsia="Arial" w:hAnsi="Arial"/>
          <w:sz w:val="17"/>
          <w:szCs w:val="17"/>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estimate the fair value of the lease intangible assets the Company used a discounted cash flow analysis. To measure the fair value of the noncontrolling interest, the Company used a market approach which considered historical revenues of the investee and market multiples (Level 3 inputs).</w:t>
      </w:r>
    </w:p>
    <w:p>
      <w:pPr>
        <w:spacing w:after="0" w:line="20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Thomas’ results of operations were included in the Company's consolidated financial statements from the date of acquisition, December 9, 2021.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2" w:name="page93"/>
    <w:bookmarkEnd w:id="92"/>
    <w:p>
      <w:pPr>
        <w:ind w:right="100" w:firstLine="644"/>
        <w:spacing w:after="0" w:line="263" w:lineRule="auto"/>
        <w:rPr>
          <w:sz w:val="20"/>
          <w:szCs w:val="20"/>
          <w:color w:val="auto"/>
        </w:rPr>
      </w:pPr>
      <w:r>
        <w:rPr>
          <w:rFonts w:ascii="Arial" w:cs="Arial" w:eastAsia="Arial" w:hAnsi="Arial"/>
          <w:sz w:val="18"/>
          <w:szCs w:val="18"/>
          <w:color w:val="auto"/>
        </w:rPr>
        <w:t>The following unaudited pro forma condensed combined financial information gives effect to the acquisition of Thomas as if it was consummated on January 1, 2020 (the beginning of the comparable prior reporting period), and includes pro forma adjustments related to the amortization of acquired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following adjustments were made:</w:t>
      </w:r>
    </w:p>
    <w:p>
      <w:pPr>
        <w:spacing w:after="0" w:line="117" w:lineRule="exact"/>
        <w:rPr>
          <w:sz w:val="20"/>
          <w:szCs w:val="20"/>
          <w:color w:val="auto"/>
        </w:rPr>
      </w:pPr>
    </w:p>
    <w:p>
      <w:pPr>
        <w:ind w:left="1020" w:right="360" w:hanging="504"/>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the year ended December 31, 2021, the Company's direct and incremental transaction costs of $5.7 million are excluded from the pro forma condensed combined net loss.</w:t>
      </w:r>
    </w:p>
    <w:p>
      <w:pPr>
        <w:spacing w:after="0" w:line="169" w:lineRule="exact"/>
        <w:rPr>
          <w:sz w:val="20"/>
          <w:szCs w:val="20"/>
          <w:color w:val="auto"/>
        </w:rPr>
      </w:pPr>
    </w:p>
    <w:p>
      <w:pPr>
        <w:ind w:right="220" w:firstLine="644"/>
        <w:spacing w:after="0" w:line="286" w:lineRule="auto"/>
        <w:rPr>
          <w:sz w:val="20"/>
          <w:szCs w:val="20"/>
          <w:color w:val="auto"/>
        </w:rPr>
      </w:pPr>
      <w:r>
        <w:rPr>
          <w:rFonts w:ascii="Arial" w:cs="Arial" w:eastAsia="Arial" w:hAnsi="Arial"/>
          <w:sz w:val="17"/>
          <w:szCs w:val="17"/>
          <w:color w:val="auto"/>
        </w:rPr>
        <w:t>This unaudited data is presented for informational purposes only and is not intended to represent or be indicative of the results of operations that would have been reported had the acquisition occurred on January 1, 2020. It should not be taken as representative of future results of operations of the combined company. The following table presents the unaudited pro forma condensed combined financial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Pr>
          <w:p>
            <w:pPr>
              <w:spacing w:after="0"/>
              <w:rPr>
                <w:sz w:val="20"/>
                <w:szCs w:val="20"/>
                <w:color w:val="auto"/>
              </w:rPr>
            </w:pPr>
          </w:p>
        </w:tc>
        <w:tc>
          <w:tcPr>
            <w:tcW w:w="34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For the Year Ended December 31,</w:t>
            </w:r>
          </w:p>
        </w:tc>
      </w:tr>
      <w:tr>
        <w:trPr>
          <w:trHeight w:val="238"/>
        </w:trPr>
        <w:tc>
          <w:tcPr>
            <w:tcW w:w="77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6"/>
        </w:trPr>
        <w:tc>
          <w:tcPr>
            <w:tcW w:w="7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w w:val="93"/>
              </w:rPr>
              <w:t>280,790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206,095</w:t>
            </w:r>
          </w:p>
        </w:tc>
        <w:tc>
          <w:tcPr>
            <w:tcW w:w="100" w:type="dxa"/>
            <w:vAlign w:val="bottom"/>
            <w:shd w:val="clear" w:color="auto" w:fill="CFF0FC"/>
          </w:tcPr>
          <w:p>
            <w:pPr>
              <w:spacing w:after="0"/>
              <w:rPr>
                <w:sz w:val="21"/>
                <w:szCs w:val="2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0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(61,852 )</w:t>
            </w:r>
          </w:p>
        </w:tc>
        <w:tc>
          <w:tcPr>
            <w:tcW w:w="5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(43,159 )</w:t>
            </w:r>
          </w:p>
        </w:tc>
      </w:tr>
    </w:tbl>
    <w:p>
      <w:pPr>
        <w:spacing w:after="0" w:line="385"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segment information for the years ended December 31, 2022, 2021 and 2020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U.S.</w:t>
            </w:r>
          </w:p>
        </w:tc>
        <w:tc>
          <w:tcPr>
            <w:tcW w:w="2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347,842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202,034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381,053</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218,336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Segment Interest Expense</w:t>
            </w:r>
          </w:p>
        </w:tc>
        <w:tc>
          <w:tcPr>
            <w:tcW w:w="2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6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w:t>
            </w:r>
          </w:p>
        </w:tc>
        <w:tc>
          <w:tcPr>
            <w:tcW w:w="2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(4,396 )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(716 )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(1,089 )</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(22 )</w:t>
            </w: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65"/>
        </w:trPr>
        <w:tc>
          <w:tcPr>
            <w:tcW w:w="4660" w:type="dxa"/>
            <w:vAlign w:val="bottom"/>
          </w:tcPr>
          <w:p>
            <w:pPr>
              <w:ind w:left="20"/>
              <w:spacing w:after="0"/>
              <w:rPr>
                <w:sz w:val="20"/>
                <w:szCs w:val="20"/>
                <w:color w:val="auto"/>
              </w:rPr>
            </w:pPr>
            <w:r>
              <w:rPr>
                <w:rFonts w:ascii="Arial" w:cs="Arial" w:eastAsia="Arial" w:hAnsi="Arial"/>
                <w:sz w:val="18"/>
                <w:szCs w:val="18"/>
                <w:color w:val="auto"/>
              </w:rPr>
              <w:t>Segment Interest and Dividend Income</w:t>
            </w: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w:t>
            </w:r>
          </w:p>
        </w:tc>
        <w:tc>
          <w:tcPr>
            <w:tcW w:w="2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660" w:type="dxa"/>
            <w:vAlign w:val="bottom"/>
          </w:tcPr>
          <w:p>
            <w:pPr>
              <w:ind w:left="20"/>
              <w:spacing w:after="0"/>
              <w:rPr>
                <w:sz w:val="20"/>
                <w:szCs w:val="20"/>
                <w:color w:val="auto"/>
              </w:rPr>
            </w:pPr>
            <w:r>
              <w:rPr>
                <w:rFonts w:ascii="Arial" w:cs="Arial" w:eastAsia="Arial" w:hAnsi="Arial"/>
                <w:sz w:val="18"/>
                <w:szCs w:val="18"/>
                <w:color w:val="auto"/>
              </w:rPr>
              <w:t>Segment Income from Unconsolidated Joint Venture</w:t>
            </w: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w:t>
            </w:r>
          </w:p>
        </w:tc>
        <w:tc>
          <w:tcPr>
            <w:tcW w:w="2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60" w:type="dxa"/>
            <w:vAlign w:val="bottom"/>
          </w:tcPr>
          <w:p>
            <w:pPr>
              <w:spacing w:after="0"/>
              <w:rPr>
                <w:sz w:val="24"/>
                <w:szCs w:val="24"/>
                <w:color w:val="auto"/>
              </w:rPr>
            </w:pPr>
          </w:p>
        </w:tc>
        <w:tc>
          <w:tcPr>
            <w:tcW w:w="2220" w:type="dxa"/>
            <w:vAlign w:val="bottom"/>
          </w:tcPr>
          <w:p>
            <w:pPr>
              <w:jc w:val="right"/>
              <w:ind w:right="107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-2961640</wp:posOffset>
            </wp:positionV>
            <wp:extent cx="76835" cy="4965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6835" cy="49657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-2961640</wp:posOffset>
            </wp:positionV>
            <wp:extent cx="68580" cy="4965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8580" cy="4965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4965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49657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-1994535</wp:posOffset>
            </wp:positionV>
            <wp:extent cx="1969135" cy="3340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969135" cy="33401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-1189355</wp:posOffset>
            </wp:positionV>
            <wp:extent cx="1969135" cy="3340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969135" cy="33401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-384810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-367665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-384810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-367665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Depreciation and Amortization</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7,332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7,819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Impairments</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824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Losses</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(58,758 )</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(51,230 )</w:t>
            </w: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(22,130 )</w:t>
            </w:r>
          </w:p>
        </w:tc>
      </w:tr>
      <w:tr>
        <w:trPr>
          <w:trHeight w:val="243"/>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(17,267 )</w:t>
            </w:r>
          </w:p>
        </w:tc>
        <w:tc>
          <w:tcPr>
            <w:tcW w:w="2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(10,149 )</w:t>
            </w:r>
          </w:p>
        </w:tc>
        <w:tc>
          <w:tcPr>
            <w:tcW w:w="1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(8,955 )</w:t>
            </w:r>
          </w:p>
        </w:tc>
      </w:tr>
      <w:tr>
        <w:trPr>
          <w:trHeight w:val="20"/>
        </w:trPr>
        <w:tc>
          <w:tcPr>
            <w:tcW w:w="6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(76,025 )</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(61,379 )</w:t>
            </w:r>
          </w:p>
        </w:tc>
        <w:tc>
          <w:tcPr>
            <w:tcW w:w="14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(31,085 )</w:t>
            </w:r>
          </w:p>
        </w:tc>
      </w:tr>
      <w:tr>
        <w:trPr>
          <w:trHeight w:val="20"/>
        </w:trPr>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6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6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Property and Equipment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U.S.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16,451</w:t>
            </w:r>
          </w:p>
        </w:tc>
        <w:tc>
          <w:tcPr>
            <w:tcW w:w="20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right w:val="single" w:sz="8" w:color="CFF0FC"/>
            </w:tcBorders>
            <w:shd w:val="clear" w:color="auto" w:fill="CFF0FC"/>
          </w:tcPr>
          <w:p>
            <w:pPr>
              <w:spacing w:after="0"/>
              <w:rPr>
                <w:sz w:val="21"/>
                <w:szCs w:val="21"/>
                <w:color w:val="auto"/>
              </w:rPr>
            </w:pPr>
          </w:p>
        </w:tc>
        <w:tc>
          <w:tcPr>
            <w:tcW w:w="200" w:type="dxa"/>
            <w:vAlign w:val="bottom"/>
            <w:tcBorders>
              <w:bottom w:val="single" w:sz="8" w:color="auto"/>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19,079</w:t>
            </w:r>
          </w:p>
        </w:tc>
        <w:tc>
          <w:tcPr>
            <w:tcW w:w="2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6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68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Segment Expenditures for Property and Equipment </w:t>
            </w:r>
            <w:r>
              <w:rPr>
                <w:rFonts w:ascii="Arial" w:cs="Arial" w:eastAsia="Arial" w:hAnsi="Arial"/>
                <w:sz w:val="24"/>
                <w:szCs w:val="24"/>
                <w:color w:val="auto"/>
                <w:vertAlign w:val="superscript"/>
              </w:rPr>
              <w:t>(1)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11,789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-3938270</wp:posOffset>
            </wp:positionV>
            <wp:extent cx="76835" cy="3422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-3938270</wp:posOffset>
            </wp:positionV>
            <wp:extent cx="68580" cy="3422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3422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-3133090</wp:posOffset>
            </wp:positionV>
            <wp:extent cx="76835" cy="3422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-3133090</wp:posOffset>
            </wp:positionV>
            <wp:extent cx="68580" cy="3422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3422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-2328545</wp:posOffset>
            </wp:positionV>
            <wp:extent cx="7683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-2328545</wp:posOffset>
            </wp:positionV>
            <wp:extent cx="68580"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-2328545</wp:posOffset>
            </wp:positionV>
            <wp:extent cx="68580"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-1249680</wp:posOffset>
            </wp:positionV>
            <wp:extent cx="6858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76835"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6858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 Includes software development costs.</w:t>
      </w:r>
    </w:p>
    <w:p>
      <w:pPr>
        <w:spacing w:after="0" w:line="22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Disaggregated Revenue and Cost of Revenue Information</w:t>
      </w:r>
    </w:p>
    <w:p>
      <w:pPr>
        <w:spacing w:after="0" w:line="188" w:lineRule="exact"/>
        <w:rPr>
          <w:sz w:val="20"/>
          <w:szCs w:val="20"/>
          <w:color w:val="auto"/>
        </w:rPr>
      </w:pPr>
    </w:p>
    <w:p>
      <w:pPr>
        <w:ind w:right="40" w:firstLine="644"/>
        <w:spacing w:after="0" w:line="263" w:lineRule="auto"/>
        <w:rPr>
          <w:sz w:val="20"/>
          <w:szCs w:val="20"/>
          <w:color w:val="auto"/>
        </w:rPr>
      </w:pPr>
      <w:r>
        <w:rPr>
          <w:rFonts w:ascii="Arial" w:cs="Arial" w:eastAsia="Arial" w:hAnsi="Arial"/>
          <w:sz w:val="18"/>
          <w:szCs w:val="18"/>
          <w:color w:val="auto"/>
        </w:rPr>
        <w:t>The following table present our revenues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presented in the following tables for the year ended December 31, 2022 (in thousands, supplier service revenue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was not considered material):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20" w:type="dxa"/>
            <w:vAlign w:val="bottom"/>
          </w:tcPr>
          <w:p>
            <w:pPr>
              <w:jc w:val="center"/>
              <w:ind w:right="910"/>
              <w:spacing w:after="0"/>
              <w:rPr>
                <w:sz w:val="20"/>
                <w:szCs w:val="20"/>
                <w:color w:val="auto"/>
              </w:rPr>
            </w:pPr>
            <w:r>
              <w:rPr>
                <w:rFonts w:ascii="Arial" w:cs="Arial" w:eastAsia="Arial" w:hAnsi="Arial"/>
                <w:sz w:val="18"/>
                <w:szCs w:val="18"/>
                <w:b w:val="1"/>
                <w:bCs w:val="1"/>
                <w:color w:val="auto"/>
                <w:w w:val="94"/>
              </w:rPr>
              <w:t>For The Year</w:t>
            </w:r>
          </w:p>
        </w:tc>
        <w:tc>
          <w:tcPr>
            <w:tcW w:w="1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2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Ended December 31,</w:t>
            </w:r>
          </w:p>
        </w:tc>
        <w:tc>
          <w:tcPr>
            <w:tcW w:w="100" w:type="dxa"/>
            <w:vAlign w:val="bottom"/>
          </w:tcPr>
          <w:p>
            <w:pPr>
              <w:spacing w:after="0"/>
              <w:rPr>
                <w:sz w:val="20"/>
                <w:szCs w:val="20"/>
                <w:color w:val="auto"/>
              </w:rPr>
            </w:pPr>
          </w:p>
        </w:tc>
      </w:tr>
      <w:tr>
        <w:trPr>
          <w:trHeight w:val="25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Marketplace</w:t>
            </w:r>
          </w:p>
        </w:tc>
        <w:tc>
          <w:tcPr>
            <w:tcW w:w="98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2"/>
                <w:szCs w:val="22"/>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303,134</w:t>
            </w: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216,336</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Supplier Services</w:t>
            </w:r>
          </w:p>
        </w:tc>
        <w:tc>
          <w:tcPr>
            <w:tcW w:w="9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77,919</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3511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8" w:lineRule="exact"/>
        <w:rPr>
          <w:sz w:val="20"/>
          <w:szCs w:val="20"/>
          <w:color w:val="auto"/>
        </w:rPr>
      </w:pPr>
    </w:p>
    <w:p>
      <w:pPr>
        <w:ind w:right="560" w:firstLine="644"/>
        <w:spacing w:after="0" w:line="258" w:lineRule="auto"/>
        <w:rPr>
          <w:sz w:val="20"/>
          <w:szCs w:val="20"/>
          <w:color w:val="auto"/>
        </w:rPr>
      </w:pPr>
      <w:r>
        <w:rPr>
          <w:rFonts w:ascii="Arial" w:cs="Arial" w:eastAsia="Arial" w:hAnsi="Arial"/>
          <w:sz w:val="18"/>
          <w:szCs w:val="18"/>
          <w:color w:val="auto"/>
        </w:rPr>
        <w:t>Prior the Company's IPO on July 2, 2021, certain companies and/or affiliates of companies that were holders of the Company’s Convertible Preferred Stock acquired products and assemblies through the Xometry platform. These Convertible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ind w:right="480"/>
        <w:spacing w:after="0" w:line="277" w:lineRule="auto"/>
        <w:rPr>
          <w:sz w:val="20"/>
          <w:szCs w:val="20"/>
          <w:color w:val="auto"/>
        </w:rPr>
      </w:pPr>
      <w:r>
        <w:rPr>
          <w:rFonts w:ascii="Arial" w:cs="Arial" w:eastAsia="Arial" w:hAnsi="Arial"/>
          <w:sz w:val="18"/>
          <w:szCs w:val="18"/>
          <w:color w:val="auto"/>
        </w:rPr>
        <w:t>Preferred Stock converted to Class A common stock on July 2, 2021. As such, Xometry’s revenue, accounts receivable, and accounts payable include amounts from these companies and/or affiliates of these companies.</w:t>
      </w:r>
    </w:p>
    <w:p>
      <w:pPr>
        <w:spacing w:after="0" w:line="142" w:lineRule="exact"/>
        <w:rPr>
          <w:sz w:val="20"/>
          <w:szCs w:val="20"/>
          <w:color w:val="auto"/>
        </w:rPr>
      </w:pPr>
    </w:p>
    <w:p>
      <w:pPr>
        <w:ind w:right="380" w:firstLine="644"/>
        <w:spacing w:after="0" w:line="277" w:lineRule="auto"/>
        <w:rPr>
          <w:sz w:val="20"/>
          <w:szCs w:val="20"/>
          <w:color w:val="auto"/>
        </w:rPr>
      </w:pPr>
      <w:r>
        <w:rPr>
          <w:rFonts w:ascii="Arial" w:cs="Arial" w:eastAsia="Arial" w:hAnsi="Arial"/>
          <w:sz w:val="18"/>
          <w:szCs w:val="18"/>
          <w:color w:val="auto"/>
        </w:rPr>
        <w:t>For the year ended December 31, 2021 and 2020, Xometry recognized $0.7 million and $1.5 million from companies/and or affiliates of these companies, respectively.</w:t>
      </w:r>
    </w:p>
    <w:p>
      <w:pPr>
        <w:spacing w:after="0" w:line="129" w:lineRule="exact"/>
        <w:rPr>
          <w:sz w:val="20"/>
          <w:szCs w:val="20"/>
          <w:color w:val="auto"/>
        </w:rPr>
      </w:pPr>
    </w:p>
    <w:p>
      <w:pPr>
        <w:ind w:right="60" w:firstLine="644"/>
        <w:spacing w:after="0" w:line="256" w:lineRule="auto"/>
        <w:rPr>
          <w:sz w:val="20"/>
          <w:szCs w:val="20"/>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2021 and 2020, the Company paid Business Improvement Systems, Inc., $0.2 million.</w:t>
      </w:r>
    </w:p>
    <w:p>
      <w:pPr>
        <w:spacing w:after="0" w:line="200" w:lineRule="exact"/>
        <w:rPr>
          <w:sz w:val="20"/>
          <w:szCs w:val="20"/>
          <w:color w:val="auto"/>
        </w:rPr>
      </w:pPr>
    </w:p>
    <w:p>
      <w:pPr>
        <w:spacing w:after="0" w:line="35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December 31, 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1200" w:type="dxa"/>
            <w:vAlign w:val="bottom"/>
            <w:gridSpan w:val="3"/>
          </w:tcPr>
          <w:p>
            <w:pPr>
              <w:jc w:val="center"/>
              <w:ind w:right="40"/>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period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Amortizing intangible assets: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Developed Technology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380"/>
              <w:spacing w:after="0"/>
              <w:rPr>
                <w:sz w:val="20"/>
                <w:szCs w:val="20"/>
                <w:color w:val="auto"/>
              </w:rPr>
            </w:pPr>
            <w:r>
              <w:rPr>
                <w:rFonts w:ascii="Arial" w:cs="Arial" w:eastAsia="Arial" w:hAnsi="Arial"/>
                <w:sz w:val="18"/>
                <w:szCs w:val="18"/>
                <w:color w:val="auto"/>
              </w:rPr>
              <w:t>Vendor Relationships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Database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Patents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Subtotal intangible assets</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380"/>
              <w:spacing w:after="0"/>
              <w:rPr>
                <w:sz w:val="20"/>
                <w:szCs w:val="20"/>
                <w:color w:val="auto"/>
              </w:rPr>
            </w:pPr>
            <w:r>
              <w:rPr>
                <w:rFonts w:ascii="Arial" w:cs="Arial" w:eastAsia="Arial" w:hAnsi="Arial"/>
                <w:sz w:val="18"/>
                <w:szCs w:val="18"/>
                <w:color w:val="auto"/>
              </w:rPr>
              <w:t>In-place Lease Intangible Asset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Above Market Lease Intangible Asset</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left="188"/>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period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Amortizing intangible assets: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37,139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380"/>
              <w:spacing w:after="0"/>
              <w:rPr>
                <w:sz w:val="20"/>
                <w:szCs w:val="20"/>
                <w:color w:val="auto"/>
              </w:rPr>
            </w:pPr>
            <w:r>
              <w:rPr>
                <w:rFonts w:ascii="Arial" w:cs="Arial" w:eastAsia="Arial" w:hAnsi="Arial"/>
                <w:sz w:val="18"/>
                <w:szCs w:val="18"/>
                <w:color w:val="auto"/>
              </w:rPr>
              <w:t>Vendor Relationships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Database</w:t>
            </w: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43,418</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-2208530</wp:posOffset>
            </wp:positionV>
            <wp:extent cx="685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-2208530</wp:posOffset>
            </wp:positionV>
            <wp:extent cx="6858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-187960</wp:posOffset>
            </wp:positionV>
            <wp:extent cx="685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40" w:firstLine="644"/>
        <w:spacing w:after="0" w:line="254" w:lineRule="auto"/>
        <w:rPr>
          <w:sz w:val="20"/>
          <w:szCs w:val="20"/>
          <w:color w:val="auto"/>
        </w:rPr>
      </w:pPr>
      <w:r>
        <w:rPr>
          <w:rFonts w:ascii="Arial" w:cs="Arial" w:eastAsia="Arial" w:hAnsi="Arial"/>
          <w:sz w:val="18"/>
          <w:szCs w:val="18"/>
          <w:color w:val="auto"/>
        </w:rPr>
        <w:t>At least annually, we evaluate intangible long-lived assets for impairment. During 2022 and 2021, no impairments were recorded on our intangible long-lived assets. During 2020, we recognized $0.1 million of impairment related to an intangible asset (a tradename) that Xometry ceased using in our U.S. reporting unit and wrote down the tradename to zero, its estimated fair value. The Company’s estimate of fair value considered discounted future cash flows associated with future use of the tradename (Level 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The following tables provides a roll forward of the carrying amount of goodwill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Gross goodwill</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257,746</w:t>
            </w:r>
          </w:p>
        </w:tc>
        <w:tc>
          <w:tcPr>
            <w:tcW w:w="4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impairments</w:t>
            </w:r>
          </w:p>
        </w:tc>
        <w:tc>
          <w:tcPr>
            <w:tcW w:w="9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(3,074 )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(3,074 )</w:t>
            </w:r>
          </w:p>
        </w:tc>
        <w:tc>
          <w:tcPr>
            <w:tcW w:w="0" w:type="dxa"/>
            <w:vAlign w:val="bottom"/>
          </w:tcPr>
          <w:p>
            <w:pPr>
              <w:spacing w:after="0"/>
              <w:rPr>
                <w:sz w:val="1"/>
                <w:szCs w:val="1"/>
                <w:color w:val="auto"/>
              </w:rPr>
            </w:pPr>
          </w:p>
        </w:tc>
      </w:tr>
      <w:tr>
        <w:trPr>
          <w:trHeight w:val="236"/>
        </w:trPr>
        <w:tc>
          <w:tcPr>
            <w:tcW w:w="7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goodwill as of January 1</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254,672</w:t>
            </w:r>
          </w:p>
        </w:tc>
        <w:tc>
          <w:tcPr>
            <w:tcW w:w="4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Goodwill adjustment during the year</w:t>
            </w:r>
            <w:r>
              <w:rPr>
                <w:rFonts w:ascii="Arial" w:cs="Arial" w:eastAsia="Arial" w:hAnsi="Arial"/>
                <w:sz w:val="24"/>
                <w:szCs w:val="24"/>
                <w:color w:val="auto"/>
                <w:vertAlign w:val="superscript"/>
              </w:rPr>
              <w:t>(1)</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4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8"/>
                <w:szCs w:val="18"/>
                <w:color w:val="auto"/>
              </w:rPr>
              <w:t>Net goodwill as of December 31, 2022, and December 31, 2021</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258,036</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(1) See Note 13 - Acquisitions.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-641350</wp:posOffset>
            </wp:positionV>
            <wp:extent cx="6858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1" w:lineRule="exact"/>
        <w:rPr>
          <w:sz w:val="20"/>
          <w:szCs w:val="20"/>
          <w:color w:val="auto"/>
        </w:rPr>
      </w:pPr>
    </w:p>
    <w:p>
      <w:pPr>
        <w:ind w:right="40" w:firstLine="644"/>
        <w:spacing w:after="0" w:line="256" w:lineRule="auto"/>
        <w:rPr>
          <w:sz w:val="20"/>
          <w:szCs w:val="20"/>
          <w:color w:val="auto"/>
        </w:rPr>
      </w:pPr>
      <w:r>
        <w:rPr>
          <w:rFonts w:ascii="Arial" w:cs="Arial" w:eastAsia="Arial" w:hAnsi="Arial"/>
          <w:sz w:val="18"/>
          <w:szCs w:val="18"/>
          <w:color w:val="auto"/>
        </w:rPr>
        <w:t>During 2020 our goodwill impairment analysis indicated that our International reporting unit with goodwill attributed to it had a carrying amount which exceeded its fair value. The underperformance of the International reporting unit relative to its expected performance drove the decline in the fair value of the reporting unit. As a result, during the year ended December 31, 2020, Xometry recorded a pretax charge to reduce the carrying value of goodwill by $1.5 million. As of December 31, 2022 and 2021, Xometry’s goodwill of $258.0 million and $254.7 million, respectively, is part of Xometry’s U.S. operating segment.</w:t>
      </w:r>
    </w:p>
    <w:p>
      <w:pPr>
        <w:spacing w:after="0" w:line="164" w:lineRule="exact"/>
        <w:rPr>
          <w:sz w:val="20"/>
          <w:szCs w:val="20"/>
          <w:color w:val="auto"/>
        </w:rPr>
      </w:pPr>
    </w:p>
    <w:p>
      <w:pPr>
        <w:ind w:right="240" w:firstLine="644"/>
        <w:spacing w:after="0" w:line="259" w:lineRule="auto"/>
        <w:rPr>
          <w:sz w:val="20"/>
          <w:szCs w:val="20"/>
          <w:color w:val="auto"/>
        </w:rPr>
      </w:pPr>
      <w:r>
        <w:rPr>
          <w:rFonts w:ascii="Arial" w:cs="Arial" w:eastAsia="Arial" w:hAnsi="Arial"/>
          <w:sz w:val="18"/>
          <w:szCs w:val="18"/>
          <w:color w:val="auto"/>
        </w:rPr>
        <w:t>Aggregate amortization expense for amortizing intangibles assets was $3.4 million, $0.5 million and $</w:t>
      </w:r>
      <w:r>
        <w:rPr>
          <w:rFonts w:ascii="Arial" w:cs="Arial" w:eastAsia="Arial" w:hAnsi="Arial"/>
          <w:sz w:val="18"/>
          <w:szCs w:val="18"/>
          <w:color w:val="404040"/>
        </w:rPr>
        <w:t>0.8</w:t>
      </w:r>
      <w:r>
        <w:rPr>
          <w:rFonts w:ascii="Arial" w:cs="Arial" w:eastAsia="Arial" w:hAnsi="Arial"/>
          <w:sz w:val="18"/>
          <w:szCs w:val="18"/>
          <w:color w:val="auto"/>
        </w:rPr>
        <w:t xml:space="preserve"> million for the years ended December 31, 2022, 2021 and 2020, respectively. As of December 31, 2022, estimated amortization expense for intangible assets and lease intangible assets for the next five years is: $3.6 million in 2023, $3.6 million in 2024, $3.6 million in 2025, $3.2 million in 2026, and $2.6 million in 2027 and $22.8 million thereafter.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year ended December 31, 2022, 2021 and 2020 was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3,102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20"/>
                <w:szCs w:val="20"/>
                <w:color w:val="auto"/>
              </w:rPr>
            </w:pP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21"/>
                <w:szCs w:val="21"/>
                <w:color w:val="auto"/>
              </w:rPr>
            </w:pPr>
          </w:p>
        </w:tc>
      </w:tr>
      <w:tr>
        <w:trPr>
          <w:trHeight w:val="243"/>
        </w:trPr>
        <w:tc>
          <w:tcPr>
            <w:tcW w:w="68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4"/>
                <w:szCs w:val="24"/>
                <w:color w:val="auto"/>
                <w:vertAlign w:val="superscript"/>
              </w:rPr>
              <w:t>(1)</w:t>
            </w: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70"/>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3,436</w:t>
            </w:r>
          </w:p>
        </w:tc>
        <w:tc>
          <w:tcPr>
            <w:tcW w:w="2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Amortization of the lease related intangible assets is recorded as operating lease expense in general and administrative.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Joint Venture</w:t>
      </w:r>
    </w:p>
    <w:p>
      <w:pPr>
        <w:spacing w:after="0" w:line="229" w:lineRule="exact"/>
        <w:rPr>
          <w:sz w:val="20"/>
          <w:szCs w:val="20"/>
          <w:color w:val="auto"/>
        </w:rPr>
      </w:pPr>
    </w:p>
    <w:p>
      <w:pPr>
        <w:ind w:right="120" w:firstLine="644"/>
        <w:spacing w:after="0" w:line="293" w:lineRule="auto"/>
        <w:rPr>
          <w:sz w:val="20"/>
          <w:szCs w:val="20"/>
          <w:color w:val="auto"/>
        </w:rPr>
      </w:pPr>
      <w:r>
        <w:rPr>
          <w:rFonts w:ascii="Arial" w:cs="Arial" w:eastAsia="Arial" w:hAnsi="Arial"/>
          <w:sz w:val="16"/>
          <w:szCs w:val="16"/>
          <w:color w:val="auto"/>
        </w:rPr>
        <w:t>In connection with the Company's acquisition of Thomas on December 9, 2021, the Company assumed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163" w:lineRule="exact"/>
        <w:rPr>
          <w:sz w:val="20"/>
          <w:szCs w:val="20"/>
          <w:color w:val="auto"/>
        </w:rPr>
      </w:pPr>
    </w:p>
    <w:p>
      <w:pPr>
        <w:jc w:val="both"/>
        <w:ind w:right="40" w:firstLine="644"/>
        <w:spacing w:after="0" w:line="259" w:lineRule="auto"/>
        <w:rPr>
          <w:sz w:val="20"/>
          <w:szCs w:val="20"/>
          <w:color w:val="auto"/>
        </w:rPr>
      </w:pPr>
      <w:r>
        <w:rPr>
          <w:rFonts w:ascii="Arial" w:cs="Arial" w:eastAsia="Arial" w:hAnsi="Arial"/>
          <w:sz w:val="18"/>
          <w:szCs w:val="18"/>
          <w:color w:val="auto"/>
        </w:rPr>
        <w:t>During the year ended December 31, 2022, the Company received dividends from IM, LLC of $0.7 million which were recorded as a reduction to our investment in unconsolidated joint venture on our Consolidated Balance Sheets. No dividends were received during the year ended December 31, 2021. During the year ended December 31, 2022, the Company paid IM, LLC $0.2 million. During the year ended December 31, 2021, the Company did not pay material amounts to IM, LLC.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6" w:name="page97"/>
    <w:bookmarkEnd w:id="96"/>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firstLine="644"/>
        <w:spacing w:after="0" w:line="283" w:lineRule="auto"/>
        <w:rPr>
          <w:sz w:val="20"/>
          <w:szCs w:val="20"/>
          <w:color w:val="auto"/>
        </w:rPr>
      </w:pPr>
      <w:r>
        <w:rPr>
          <w:rFonts w:ascii="Arial" w:cs="Arial" w:eastAsia="Arial" w:hAnsi="Arial"/>
          <w:sz w:val="16"/>
          <w:szCs w:val="16"/>
          <w:color w:val="auto"/>
        </w:rPr>
        <w:t>On January 2, 2023, the Company acquired 100% of the equity of Tridi Teknoloj A.S. ("Tridi") located in Istanbul, Turkey subject to a Share Purchase Agreement. The acquisition of Tridi extended our marketplace capabilities in Europe by opening a vast array of affordable suppliers. Tridi operates an online marketplace for manufacturing with the ability to serve all of Europe within a 24-hour turn around period. The Company accounted for the acquisition as a business combination. The aggregate non-contingent portion of the purchase price was approximately $3.8 million. In addition, the purchase price includes a contingent consideration arrangement to the former owners of Tridi up to a maximum amount of $1.25 million (undiscounted) in Class A common shares in two installments on the first and second anniversary of the acquisition and is based on the achievement of certain revenue targets. During the year ended December 31, 2022, the Company recognized approximately $0.3 million of acquisition costs which are recorded in general and administrative expenses on our Consolidated Statements of Operations and Comprehensive Loss.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details the activity of the allowance for doubtful accounts, for the years ended December 31, 2022 2021, and 2020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Charged to</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Beginning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Provision</w:t>
            </w:r>
          </w:p>
        </w:tc>
        <w:tc>
          <w:tcPr>
            <w:tcW w:w="24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Deduction or</w:t>
            </w:r>
          </w:p>
        </w:tc>
        <w:tc>
          <w:tcPr>
            <w:tcW w:w="1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r>
      <w:tr>
        <w:trPr>
          <w:trHeight w:val="241"/>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Period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Accounts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End of Period</w:t>
            </w:r>
          </w:p>
        </w:tc>
        <w:tc>
          <w:tcPr>
            <w:tcW w:w="100" w:type="dxa"/>
            <w:vAlign w:val="bottom"/>
          </w:tcPr>
          <w:p>
            <w:pPr>
              <w:spacing w:after="0"/>
              <w:rPr>
                <w:sz w:val="20"/>
                <w:szCs w:val="20"/>
                <w:color w:val="auto"/>
              </w:rPr>
            </w:pPr>
          </w:p>
        </w:tc>
      </w:tr>
      <w:tr>
        <w:trPr>
          <w:trHeight w:val="236"/>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1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24"/>
                <w:szCs w:val="24"/>
                <w:color w:val="auto"/>
              </w:rPr>
            </w:pPr>
          </w:p>
        </w:tc>
      </w:tr>
      <w:tr>
        <w:trPr>
          <w:trHeight w:val="225"/>
        </w:trPr>
        <w:tc>
          <w:tcPr>
            <w:tcW w:w="39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5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doubtful accounts:</w:t>
            </w:r>
          </w:p>
        </w:tc>
        <w:tc>
          <w:tcPr>
            <w:tcW w:w="1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720" w:type="dxa"/>
            <w:vAlign w:val="bottom"/>
            <w:gridSpan w:val="2"/>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FF0FC"/>
          </w:tcPr>
          <w:p>
            <w:pPr>
              <w:spacing w:after="0"/>
              <w:rPr>
                <w:sz w:val="22"/>
                <w:szCs w:val="22"/>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8"/>
        </w:trPr>
        <w:tc>
          <w:tcPr>
            <w:tcW w:w="398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-1360805</wp:posOffset>
            </wp:positionV>
            <wp:extent cx="275717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2757170" cy="17970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-384810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-367665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-384810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-367665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-384810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-367665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0" w:lineRule="exact"/>
        <w:rPr>
          <w:sz w:val="20"/>
          <w:szCs w:val="20"/>
          <w:color w:val="auto"/>
        </w:rPr>
      </w:pPr>
    </w:p>
    <w:p>
      <w:pPr>
        <w:ind w:right="100" w:firstLine="644"/>
        <w:spacing w:after="0" w:line="254" w:lineRule="auto"/>
        <w:rPr>
          <w:sz w:val="20"/>
          <w:szCs w:val="20"/>
          <w:color w:val="auto"/>
        </w:rPr>
      </w:pPr>
      <w:r>
        <w:rPr>
          <w:rFonts w:ascii="Arial" w:cs="Arial" w:eastAsia="Arial" w:hAnsi="Arial"/>
          <w:sz w:val="18"/>
          <w:szCs w:val="18"/>
          <w:color w:val="2222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3" w:lineRule="exact"/>
        <w:rPr>
          <w:sz w:val="20"/>
          <w:szCs w:val="20"/>
          <w:color w:val="auto"/>
        </w:rPr>
      </w:pPr>
    </w:p>
    <w:p>
      <w:pPr>
        <w:ind w:right="280" w:firstLine="644"/>
        <w:spacing w:after="0" w:line="301" w:lineRule="auto"/>
        <w:rPr>
          <w:sz w:val="20"/>
          <w:szCs w:val="20"/>
          <w:color w:val="auto"/>
        </w:rPr>
      </w:pPr>
      <w:r>
        <w:rPr>
          <w:rFonts w:ascii="Arial" w:cs="Arial" w:eastAsia="Arial" w:hAnsi="Arial"/>
          <w:sz w:val="16"/>
          <w:szCs w:val="16"/>
          <w:color w:val="222222"/>
        </w:rPr>
        <w:t>Pursuant to Rules 13a-15(e) and 15d-15(e) under the Exchange Act, our management, with the participation of our Chief Executive Officer and Chief Financial Officer, performed an evaluation of the effectiveness of our disclosure controls and procedures as of December 31, 2022. Based on such evaluation, our Chief Executive Officer and Chief Financial Officer concluded that our disclosure controls and procedures were not effective at a reasonable assurance level as a result of a material weakness that existed in our internal control over financial reporting as described below.</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30" w:lineRule="exact"/>
        <w:rPr>
          <w:sz w:val="20"/>
          <w:szCs w:val="20"/>
          <w:color w:val="auto"/>
        </w:rPr>
      </w:pPr>
    </w:p>
    <w:p>
      <w:pPr>
        <w:ind w:firstLine="644"/>
        <w:spacing w:after="0" w:line="291" w:lineRule="auto"/>
        <w:rPr>
          <w:sz w:val="20"/>
          <w:szCs w:val="20"/>
          <w:color w:val="auto"/>
        </w:rPr>
      </w:pPr>
      <w:r>
        <w:rPr>
          <w:rFonts w:ascii="Arial" w:cs="Arial" w:eastAsia="Arial" w:hAnsi="Arial"/>
          <w:sz w:val="16"/>
          <w:szCs w:val="16"/>
          <w:color w:val="222222"/>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2022 based on the criteria established in Internal Control - Integrated Framework (2013) issued by the Committee of Sponsoring Organizations of the Treadway Commission, and has concluded that our internal control over financial reporting was not effective as of December 31, 2022 due to the material weakness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ind w:right="380" w:firstLine="644"/>
        <w:spacing w:after="0" w:line="277" w:lineRule="auto"/>
        <w:rPr>
          <w:sz w:val="20"/>
          <w:szCs w:val="20"/>
          <w:color w:val="auto"/>
        </w:rPr>
      </w:pPr>
      <w:r>
        <w:rPr>
          <w:rFonts w:ascii="Arial" w:cs="Arial" w:eastAsia="Arial" w:hAnsi="Arial"/>
          <w:sz w:val="18"/>
          <w:szCs w:val="18"/>
          <w:color w:val="auto"/>
        </w:rPr>
        <w:t>We did not identify any misstatements to the consolidated financial statements as of and for the year ended December 31, 2022 because of the material weakness described below.</w:t>
      </w:r>
    </w:p>
    <w:p>
      <w:pPr>
        <w:spacing w:after="0" w:line="169" w:lineRule="exact"/>
        <w:rPr>
          <w:sz w:val="20"/>
          <w:szCs w:val="20"/>
          <w:color w:val="auto"/>
        </w:rPr>
      </w:pPr>
    </w:p>
    <w:p>
      <w:pPr>
        <w:ind w:right="20" w:firstLine="644"/>
        <w:spacing w:after="0" w:line="259" w:lineRule="auto"/>
        <w:rPr>
          <w:sz w:val="20"/>
          <w:szCs w:val="20"/>
          <w:color w:val="auto"/>
        </w:rPr>
      </w:pPr>
      <w:r>
        <w:rPr>
          <w:rFonts w:ascii="Arial" w:cs="Arial" w:eastAsia="Arial" w:hAnsi="Arial"/>
          <w:sz w:val="18"/>
          <w:szCs w:val="18"/>
          <w:color w:val="222222"/>
        </w:rPr>
        <w:t>However, during our implementation of internal control over financial reporting (Sarbanes-Oxley Act of 2002, or “SOX”), we identified a material weakness in our internal control over financial reporting that existed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5" w:lineRule="exact"/>
        <w:rPr>
          <w:sz w:val="20"/>
          <w:szCs w:val="20"/>
          <w:color w:val="auto"/>
        </w:rPr>
      </w:pPr>
    </w:p>
    <w:p>
      <w:pPr>
        <w:ind w:right="80" w:firstLine="644"/>
        <w:spacing w:after="0" w:line="259" w:lineRule="auto"/>
        <w:rPr>
          <w:sz w:val="20"/>
          <w:szCs w:val="20"/>
          <w:color w:val="auto"/>
        </w:rPr>
      </w:pPr>
      <w:r>
        <w:rPr>
          <w:rFonts w:ascii="Arial" w:cs="Arial" w:eastAsia="Arial" w:hAnsi="Arial"/>
          <w:sz w:val="18"/>
          <w:szCs w:val="18"/>
          <w:color w:val="222222"/>
        </w:rPr>
        <w:t xml:space="preserve">On December 9, 2021, the Company completed its acquisition of Thomas Publishing, Inc. (“Thomas”). </w:t>
      </w:r>
      <w:r>
        <w:rPr>
          <w:rFonts w:ascii="Arial" w:cs="Arial" w:eastAsia="Arial" w:hAnsi="Arial"/>
          <w:sz w:val="18"/>
          <w:szCs w:val="18"/>
          <w:color w:val="000000"/>
        </w:rPr>
        <w:t>The additional workload on our resources</w:t>
      </w:r>
      <w:r>
        <w:rPr>
          <w:rFonts w:ascii="Arial" w:cs="Arial" w:eastAsia="Arial" w:hAnsi="Arial"/>
          <w:sz w:val="18"/>
          <w:szCs w:val="18"/>
          <w:color w:val="222222"/>
        </w:rPr>
        <w:t xml:space="preserve"> </w:t>
      </w:r>
      <w:r>
        <w:rPr>
          <w:rFonts w:ascii="Arial" w:cs="Arial" w:eastAsia="Arial" w:hAnsi="Arial"/>
          <w:sz w:val="18"/>
          <w:szCs w:val="18"/>
          <w:color w:val="000000"/>
        </w:rPr>
        <w:t>to integrate Thomas contributed to the Company’s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spacing w:after="0" w:line="185" w:lineRule="exact"/>
        <w:rPr>
          <w:sz w:val="20"/>
          <w:szCs w:val="20"/>
          <w:color w:val="auto"/>
        </w:rPr>
      </w:pPr>
    </w:p>
    <w:p>
      <w:pPr>
        <w:ind w:firstLine="644"/>
        <w:spacing w:after="0" w:line="277" w:lineRule="auto"/>
        <w:rPr>
          <w:sz w:val="20"/>
          <w:szCs w:val="20"/>
          <w:color w:val="auto"/>
        </w:rPr>
      </w:pPr>
      <w:r>
        <w:rPr>
          <w:rFonts w:ascii="Arial" w:cs="Arial" w:eastAsia="Arial" w:hAnsi="Arial"/>
          <w:sz w:val="18"/>
          <w:szCs w:val="18"/>
          <w:color w:val="auto"/>
        </w:rPr>
        <w:t>We did not identify any misstatements to the consolidated financial statements as of and for the year ended December 31, 2022 because of the material weakness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w:t>
      </w:r>
    </w:p>
    <w:p>
      <w:pPr>
        <w:spacing w:after="0" w:line="225"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Management has implemented remediation steps to address the material weakness and to improve our internal control over financial reporting. Specifically, now that Thomas has been fully integrated, we have improved our review processes over risk assessment, which also includes the documentation to support the operating effectiveness of our controls. While the Company has implemented remediation steps, the material weakness cannot be considered fully remediated until the improved controls have been in place and operate for a sufficient period of time. However, our management, including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right="60"/>
        <w:spacing w:after="0" w:line="263" w:lineRule="auto"/>
        <w:rPr>
          <w:sz w:val="20"/>
          <w:szCs w:val="20"/>
          <w:color w:val="auto"/>
        </w:rPr>
      </w:pPr>
      <w:r>
        <w:rPr>
          <w:rFonts w:ascii="Arial" w:cs="Arial" w:eastAsia="Arial" w:hAnsi="Arial"/>
          <w:sz w:val="18"/>
          <w:szCs w:val="18"/>
          <w:color w:val="auto"/>
        </w:rPr>
        <w:t xml:space="preserve">Chief Executive Officer and Chief Financial Officer, has concluded that, notwithstanding the identified material weakness in our internal control over financial reporting, the financial statements in </w:t>
      </w:r>
      <w:r>
        <w:rPr>
          <w:rFonts w:ascii="Arial" w:cs="Arial" w:eastAsia="Arial" w:hAnsi="Arial"/>
          <w:sz w:val="18"/>
          <w:szCs w:val="18"/>
          <w:color w:val="222222"/>
        </w:rPr>
        <w:t>this filing fairly present, in all material respects, our financial condition, results of operations and cash flows</w:t>
      </w:r>
      <w:r>
        <w:rPr>
          <w:rFonts w:ascii="Arial" w:cs="Arial" w:eastAsia="Arial" w:hAnsi="Arial"/>
          <w:sz w:val="18"/>
          <w:szCs w:val="18"/>
          <w:color w:val="auto"/>
        </w:rPr>
        <w:t xml:space="preserve"> </w:t>
      </w:r>
      <w:r>
        <w:rPr>
          <w:rFonts w:ascii="Arial" w:cs="Arial" w:eastAsia="Arial" w:hAnsi="Arial"/>
          <w:sz w:val="18"/>
          <w:szCs w:val="18"/>
          <w:color w:val="222222"/>
        </w:rPr>
        <w:t>for the periods presented in conformity with U.S. GAAP.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25" w:lineRule="exact"/>
        <w:rPr>
          <w:sz w:val="20"/>
          <w:szCs w:val="20"/>
          <w:color w:val="auto"/>
        </w:rPr>
      </w:pPr>
    </w:p>
    <w:p>
      <w:pPr>
        <w:ind w:right="460" w:firstLine="644"/>
        <w:spacing w:after="0" w:line="277" w:lineRule="auto"/>
        <w:rPr>
          <w:sz w:val="20"/>
          <w:szCs w:val="20"/>
          <w:color w:val="auto"/>
        </w:rPr>
      </w:pPr>
      <w:r>
        <w:rPr>
          <w:rFonts w:ascii="Arial" w:cs="Arial" w:eastAsia="Arial" w:hAnsi="Arial"/>
          <w:sz w:val="18"/>
          <w:szCs w:val="18"/>
          <w:color w:val="auto"/>
        </w:rPr>
        <w:t>Our independent registered public accounting firm, KPMG LLP, has issued an audit report with respect to our internal control over financial reporting, which appears in Part II, Item 8 of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0" w:lineRule="exact"/>
        <w:rPr>
          <w:sz w:val="20"/>
          <w:szCs w:val="20"/>
          <w:color w:val="auto"/>
        </w:rPr>
      </w:pPr>
    </w:p>
    <w:p>
      <w:pPr>
        <w:ind w:firstLine="644"/>
        <w:spacing w:after="0" w:line="259" w:lineRule="auto"/>
        <w:rPr>
          <w:sz w:val="20"/>
          <w:szCs w:val="20"/>
          <w:color w:val="auto"/>
        </w:rPr>
      </w:pPr>
      <w:r>
        <w:rPr>
          <w:rFonts w:ascii="Arial" w:cs="Arial" w:eastAsia="Arial" w:hAnsi="Arial"/>
          <w:sz w:val="18"/>
          <w:szCs w:val="18"/>
          <w:color w:val="auto"/>
        </w:rPr>
        <w:t>Other than as discussed above under “—Material Weakness in Internal Control Over Financial Reporting” and “—Management’s Plan to Remediate the Material Weakness,” there was no change in our internal control over financial reporting (as defined in Rules 13a-15(d) and 15d-15(d) under the Exchange Act) that occurred during the three months ended December 31, 2022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30"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300" w:firstLine="644"/>
        <w:spacing w:after="0" w:line="263" w:lineRule="auto"/>
        <w:rPr>
          <w:sz w:val="20"/>
          <w:szCs w:val="20"/>
          <w:color w:val="auto"/>
        </w:rPr>
      </w:pPr>
      <w:r>
        <w:rPr>
          <w:rFonts w:ascii="Arial" w:cs="Arial" w:eastAsia="Arial" w:hAnsi="Arial"/>
          <w:sz w:val="18"/>
          <w:szCs w:val="18"/>
          <w:color w:val="auto"/>
        </w:rPr>
        <w:t>The information required by this item, including information about our Directors, Executive Officers and Audit Committee, is incorporated by reference to the definitive Proxy Statement for our 2023 Annual Meeting of Stockholders, which will be filed with the SEC, no later than 120 days after December 31, 2022.</w:t>
      </w:r>
    </w:p>
    <w:p>
      <w:pPr>
        <w:spacing w:after="0" w:line="75" w:lineRule="exact"/>
        <w:rPr>
          <w:sz w:val="20"/>
          <w:szCs w:val="20"/>
          <w:color w:val="auto"/>
        </w:rPr>
      </w:pPr>
    </w:p>
    <w:p>
      <w:pPr>
        <w:ind w:firstLine="644"/>
        <w:spacing w:after="0" w:line="293" w:lineRule="auto"/>
        <w:rPr>
          <w:sz w:val="20"/>
          <w:szCs w:val="20"/>
          <w:color w:val="auto"/>
        </w:rPr>
      </w:pPr>
      <w:r>
        <w:rPr>
          <w:rFonts w:ascii="Arial" w:cs="Arial" w:eastAsia="Arial" w:hAnsi="Arial"/>
          <w:sz w:val="16"/>
          <w:szCs w:val="16"/>
          <w:color w:val="auto"/>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firstLine="64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64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64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 w:firstLine="644"/>
        <w:spacing w:after="0" w:line="258"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ind w:firstLine="644"/>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200" w:firstLine="644"/>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Exhibits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Annual Report on Form 10-K,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20" w:type="dxa"/>
            <w:vAlign w:val="bottom"/>
            <w:gridSpan w:val="26"/>
          </w:tcPr>
          <w:p>
            <w:pPr>
              <w:jc w:val="center"/>
              <w:ind w:right="490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68"/>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gridSpan w:val="24"/>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7"/>
          </w:tcPr>
          <w:p>
            <w:pPr>
              <w:spacing w:after="0"/>
              <w:rPr>
                <w:rFonts w:ascii="Arial" w:cs="Arial" w:eastAsia="Arial" w:hAnsi="Arial"/>
                <w:sz w:val="18"/>
                <w:szCs w:val="18"/>
                <w:color w:val="0000FF"/>
                <w:w w:val="91"/>
              </w:rPr>
            </w:pPr>
            <w:hyperlink r:id="rId383">
              <w:r>
                <w:rPr>
                  <w:rFonts w:ascii="Arial" w:cs="Arial" w:eastAsia="Arial" w:hAnsi="Arial"/>
                  <w:sz w:val="18"/>
                  <w:szCs w:val="18"/>
                  <w:color w:val="0000FF"/>
                  <w:w w:val="91"/>
                </w:rPr>
                <w:t>Amended and Restated Certificate of Incorporation of Xometry, Inc., (incorporated herein by reference to Exhibit 3.1 to the Company’s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12"/>
          </w:tcPr>
          <w:p>
            <w:pPr>
              <w:spacing w:after="0" w:line="195" w:lineRule="exact"/>
              <w:rPr>
                <w:rFonts w:ascii="Arial" w:cs="Arial" w:eastAsia="Arial" w:hAnsi="Arial"/>
                <w:sz w:val="18"/>
                <w:szCs w:val="18"/>
                <w:color w:val="0000FF"/>
                <w:w w:val="92"/>
              </w:rPr>
            </w:pPr>
            <w:hyperlink r:id="rId383">
              <w:r>
                <w:rPr>
                  <w:rFonts w:ascii="Arial" w:cs="Arial" w:eastAsia="Arial" w:hAnsi="Arial"/>
                  <w:sz w:val="18"/>
                  <w:szCs w:val="18"/>
                  <w:color w:val="0000FF"/>
                  <w:w w:val="92"/>
                </w:rPr>
                <w:t>Current Report on Form 8-K (File No. 001-40546), filed with the SEC on July 2, 2021).</w:t>
              </w:r>
            </w:hyperlink>
          </w:p>
        </w:tc>
        <w:tc>
          <w:tcPr>
            <w:tcW w:w="3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24"/>
          </w:tcPr>
          <w:p>
            <w:pPr>
              <w:spacing w:after="0"/>
              <w:rPr>
                <w:rFonts w:ascii="Arial" w:cs="Arial" w:eastAsia="Arial" w:hAnsi="Arial"/>
                <w:sz w:val="18"/>
                <w:szCs w:val="18"/>
                <w:color w:val="0000FF"/>
                <w:w w:val="91"/>
              </w:rPr>
            </w:pPr>
            <w:hyperlink r:id="rId384">
              <w:r>
                <w:rPr>
                  <w:rFonts w:ascii="Arial" w:cs="Arial" w:eastAsia="Arial" w:hAnsi="Arial"/>
                  <w:sz w:val="18"/>
                  <w:szCs w:val="18"/>
                  <w:color w:val="0000FF"/>
                  <w:w w:val="91"/>
                </w:rPr>
                <w:t>Amended and Restated Bylaws of Xometry, Inc., (incorporated herein by reference to Exhibit 3.2 to the Company’s Current Report on</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84">
              <w:r>
                <w:rPr>
                  <w:rFonts w:ascii="Arial" w:cs="Arial" w:eastAsia="Arial" w:hAnsi="Arial"/>
                  <w:sz w:val="18"/>
                  <w:szCs w:val="18"/>
                  <w:color w:val="0000FF"/>
                </w:rPr>
                <w:t>Form 8-K (File No. 001-40546), filed with the SEC on July 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tcBorders>
              <w:bottom w:val="single" w:sz="8" w:color="0000FF"/>
            </w:tcBorders>
            <w:gridSpan w:val="26"/>
          </w:tcPr>
          <w:p>
            <w:pPr>
              <w:spacing w:after="0"/>
              <w:rPr>
                <w:rFonts w:ascii="Arial" w:cs="Arial" w:eastAsia="Arial" w:hAnsi="Arial"/>
                <w:sz w:val="18"/>
                <w:szCs w:val="18"/>
                <w:color w:val="0000FF"/>
                <w:w w:val="90"/>
              </w:rPr>
            </w:pPr>
            <w:hyperlink r:id="rId385">
              <w:r>
                <w:rPr>
                  <w:rFonts w:ascii="Arial" w:cs="Arial" w:eastAsia="Arial" w:hAnsi="Arial"/>
                  <w:sz w:val="18"/>
                  <w:szCs w:val="18"/>
                  <w:color w:val="0000FF"/>
                  <w:w w:val="90"/>
                </w:rPr>
                <w:t>Indenture, dated as of February 4, 2022, by and between Xometry, Inc. and U.S. Bank Trust Company, National Association as Trustee</w:t>
              </w:r>
            </w:hyperlink>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385">
              <w:r>
                <w:rPr>
                  <w:rFonts w:ascii="Arial" w:cs="Arial" w:eastAsia="Arial" w:hAnsi="Arial"/>
                  <w:sz w:val="18"/>
                  <w:szCs w:val="18"/>
                  <w:color w:val="0000FF"/>
                  <w:w w:val="91"/>
                </w:rPr>
                <w:t>(incorporated herein by reference to Exhibit 4.1 to the Company’s Current Report on Form 8-K (File No. 001-40546),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5" w:lineRule="exact"/>
              <w:rPr>
                <w:rFonts w:ascii="Arial" w:cs="Arial" w:eastAsia="Arial" w:hAnsi="Arial"/>
                <w:sz w:val="18"/>
                <w:szCs w:val="18"/>
                <w:color w:val="0000FF"/>
                <w:w w:val="88"/>
              </w:rPr>
            </w:pPr>
            <w:hyperlink r:id="rId385">
              <w:r>
                <w:rPr>
                  <w:rFonts w:ascii="Arial" w:cs="Arial" w:eastAsia="Arial" w:hAnsi="Arial"/>
                  <w:sz w:val="18"/>
                  <w:szCs w:val="18"/>
                  <w:color w:val="0000FF"/>
                  <w:w w:val="88"/>
                </w:rPr>
                <w:t>on February 4, 2022).</w:t>
              </w:r>
            </w:hyperlink>
          </w:p>
        </w:tc>
        <w:tc>
          <w:tcPr>
            <w:tcW w:w="83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0"/>
          </w:tcPr>
          <w:p>
            <w:pPr>
              <w:spacing w:after="0"/>
              <w:rPr>
                <w:rFonts w:ascii="Arial" w:cs="Arial" w:eastAsia="Arial" w:hAnsi="Arial"/>
                <w:sz w:val="18"/>
                <w:szCs w:val="18"/>
                <w:color w:val="0000FF"/>
                <w:w w:val="91"/>
              </w:rPr>
            </w:pPr>
            <w:hyperlink r:id="rId386">
              <w:r>
                <w:rPr>
                  <w:rFonts w:ascii="Arial" w:cs="Arial" w:eastAsia="Arial" w:hAnsi="Arial"/>
                  <w:sz w:val="18"/>
                  <w:szCs w:val="18"/>
                  <w:color w:val="0000FF"/>
                  <w:w w:val="91"/>
                </w:rPr>
                <w:t>Form of Global Note representing Xometry, Inc.’s 1.00% Convertible Senior Notes due 2027 (included as Exhibit A to the Indenture</w:t>
              </w:r>
            </w:hyperlink>
          </w:p>
        </w:tc>
        <w:tc>
          <w:tcPr>
            <w:tcW w:w="2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6"/>
              </w:rPr>
            </w:pPr>
            <w:hyperlink r:id="rId386">
              <w:r>
                <w:rPr>
                  <w:rFonts w:ascii="Arial" w:cs="Arial" w:eastAsia="Arial" w:hAnsi="Arial"/>
                  <w:sz w:val="18"/>
                  <w:szCs w:val="18"/>
                  <w:color w:val="0000FF"/>
                  <w:w w:val="96"/>
                </w:rPr>
                <w:t>filed as Exhibit 4.1) (incorporated herein by reference to Exhibit 4.2 to the Company’s Current Report on Form 8-K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FF"/>
            </w:tcBorders>
            <w:gridSpan w:val="16"/>
          </w:tcPr>
          <w:p>
            <w:pPr>
              <w:spacing w:after="0" w:line="195" w:lineRule="exact"/>
              <w:rPr>
                <w:rFonts w:ascii="Arial" w:cs="Arial" w:eastAsia="Arial" w:hAnsi="Arial"/>
                <w:sz w:val="18"/>
                <w:szCs w:val="18"/>
                <w:color w:val="0000FF"/>
              </w:rPr>
            </w:pPr>
            <w:hyperlink r:id="rId386">
              <w:r>
                <w:rPr>
                  <w:rFonts w:ascii="Arial" w:cs="Arial" w:eastAsia="Arial" w:hAnsi="Arial"/>
                  <w:sz w:val="18"/>
                  <w:szCs w:val="18"/>
                  <w:color w:val="0000FF"/>
                </w:rPr>
                <w:t>40546)</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 on February 4, 2022).</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1"/>
          </w:tcPr>
          <w:p>
            <w:pPr>
              <w:spacing w:after="0"/>
              <w:rPr>
                <w:rFonts w:ascii="Arial" w:cs="Arial" w:eastAsia="Arial" w:hAnsi="Arial"/>
                <w:sz w:val="18"/>
                <w:szCs w:val="18"/>
                <w:color w:val="0000FF"/>
                <w:w w:val="91"/>
              </w:rPr>
            </w:pPr>
            <w:hyperlink r:id="rId387">
              <w:r>
                <w:rPr>
                  <w:rFonts w:ascii="Arial" w:cs="Arial" w:eastAsia="Arial" w:hAnsi="Arial"/>
                  <w:sz w:val="18"/>
                  <w:szCs w:val="18"/>
                  <w:color w:val="0000FF"/>
                  <w:w w:val="91"/>
                </w:rPr>
                <w:t>Description of Registered Securities (incorporated herein by reference to Exhibit 4.3 to the Company’s Annual Report on Form 10-K</w:t>
              </w:r>
            </w:hyperlink>
          </w:p>
        </w:tc>
        <w:tc>
          <w:tcPr>
            <w:tcW w:w="2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5" w:lineRule="exact"/>
              <w:rPr>
                <w:rFonts w:ascii="Arial" w:cs="Arial" w:eastAsia="Arial" w:hAnsi="Arial"/>
                <w:sz w:val="18"/>
                <w:szCs w:val="18"/>
                <w:color w:val="0000FF"/>
                <w:w w:val="92"/>
              </w:rPr>
            </w:pPr>
            <w:hyperlink r:id="rId387">
              <w:r>
                <w:rPr>
                  <w:rFonts w:ascii="Arial" w:cs="Arial" w:eastAsia="Arial" w:hAnsi="Arial"/>
                  <w:sz w:val="18"/>
                  <w:szCs w:val="18"/>
                  <w:color w:val="0000FF"/>
                  <w:w w:val="92"/>
                </w:rPr>
                <w:t>(File No. 001-40546), filed with the SEC on March 18, 2022).</w:t>
              </w:r>
            </w:hyperlink>
          </w:p>
        </w:tc>
        <w:tc>
          <w:tcPr>
            <w:tcW w:w="53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23"/>
          </w:tcPr>
          <w:p>
            <w:pPr>
              <w:spacing w:after="0"/>
              <w:rPr>
                <w:rFonts w:ascii="Arial" w:cs="Arial" w:eastAsia="Arial" w:hAnsi="Arial"/>
                <w:sz w:val="18"/>
                <w:szCs w:val="18"/>
                <w:color w:val="0000FF"/>
                <w:w w:val="91"/>
              </w:rPr>
            </w:pPr>
            <w:hyperlink r:id="rId388">
              <w:r>
                <w:rPr>
                  <w:rFonts w:ascii="Arial" w:cs="Arial" w:eastAsia="Arial" w:hAnsi="Arial"/>
                  <w:sz w:val="18"/>
                  <w:szCs w:val="18"/>
                  <w:color w:val="0000FF"/>
                  <w:w w:val="91"/>
                </w:rPr>
                <w:t>Form of Class A Common Stock Certificate (incorporated herein by reference to Exhibit 4.1 to the Company’s Registration Statement</w:t>
              </w:r>
            </w:hyperlink>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88">
              <w:r>
                <w:rPr>
                  <w:rFonts w:ascii="Arial" w:cs="Arial" w:eastAsia="Arial" w:hAnsi="Arial"/>
                  <w:sz w:val="18"/>
                  <w:szCs w:val="18"/>
                  <w:color w:val="0000FF"/>
                </w:rPr>
                <w:t>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bottom w:val="single" w:sz="8" w:color="0000FF"/>
            </w:tcBorders>
            <w:gridSpan w:val="28"/>
          </w:tcPr>
          <w:p>
            <w:pPr>
              <w:spacing w:after="0"/>
              <w:rPr>
                <w:rFonts w:ascii="Arial" w:cs="Arial" w:eastAsia="Arial" w:hAnsi="Arial"/>
                <w:sz w:val="18"/>
                <w:szCs w:val="18"/>
                <w:color w:val="0000FF"/>
                <w:w w:val="91"/>
              </w:rPr>
            </w:pPr>
            <w:hyperlink r:id="rId389">
              <w:r>
                <w:rPr>
                  <w:rFonts w:ascii="Arial" w:cs="Arial" w:eastAsia="Arial" w:hAnsi="Arial"/>
                  <w:sz w:val="18"/>
                  <w:szCs w:val="18"/>
                  <w:color w:val="0000FF"/>
                  <w:w w:val="91"/>
                </w:rPr>
                <w:t>Xometry, Inc. 2021 Equity Incentive Plan (incorporated herein by reference to Exhibit 10.9 to the Company’s Registration Statement on</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89">
              <w:r>
                <w:rPr>
                  <w:rFonts w:ascii="Arial" w:cs="Arial" w:eastAsia="Arial" w:hAnsi="Arial"/>
                  <w:sz w:val="18"/>
                  <w:szCs w:val="18"/>
                  <w:color w:val="0000FF"/>
                </w:rPr>
                <w:t>Form S-1/A (File No. 333-256769), filed with the SEC 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tcBorders>
              <w:bottom w:val="single" w:sz="8" w:color="0000FF"/>
            </w:tcBorders>
            <w:gridSpan w:val="26"/>
          </w:tcPr>
          <w:p>
            <w:pPr>
              <w:spacing w:after="0"/>
              <w:rPr>
                <w:rFonts w:ascii="Arial" w:cs="Arial" w:eastAsia="Arial" w:hAnsi="Arial"/>
                <w:sz w:val="18"/>
                <w:szCs w:val="18"/>
                <w:color w:val="0000FF"/>
                <w:w w:val="91"/>
              </w:rPr>
            </w:pPr>
            <w:hyperlink r:id="rId390">
              <w:r>
                <w:rPr>
                  <w:rFonts w:ascii="Arial" w:cs="Arial" w:eastAsia="Arial" w:hAnsi="Arial"/>
                  <w:sz w:val="18"/>
                  <w:szCs w:val="18"/>
                  <w:color w:val="0000FF"/>
                  <w:w w:val="91"/>
                </w:rPr>
                <w:t>Forms of grant notice, stock option agreement and notice of exercise under the Xometry, Inc. 2021 Equity Incentive Plan (incorporated</w:t>
              </w:r>
            </w:hyperlink>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390">
              <w:r>
                <w:rPr>
                  <w:rFonts w:ascii="Arial" w:cs="Arial" w:eastAsia="Arial" w:hAnsi="Arial"/>
                  <w:sz w:val="18"/>
                  <w:szCs w:val="18"/>
                  <w:color w:val="0000FF"/>
                  <w:w w:val="91"/>
                </w:rPr>
                <w:t>herein by reference to Exhibit 10.10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90">
              <w:r>
                <w:rPr>
                  <w:rFonts w:ascii="Arial" w:cs="Arial" w:eastAsia="Arial" w:hAnsi="Arial"/>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17"/>
          </w:tcPr>
          <w:p>
            <w:pPr>
              <w:spacing w:after="0"/>
              <w:rPr>
                <w:rFonts w:ascii="Arial" w:cs="Arial" w:eastAsia="Arial" w:hAnsi="Arial"/>
                <w:sz w:val="18"/>
                <w:szCs w:val="18"/>
                <w:color w:val="0000FF"/>
                <w:w w:val="90"/>
              </w:rPr>
            </w:pPr>
            <w:hyperlink r:id="rId391">
              <w:r>
                <w:rPr>
                  <w:rFonts w:ascii="Arial" w:cs="Arial" w:eastAsia="Arial" w:hAnsi="Arial"/>
                  <w:sz w:val="18"/>
                  <w:szCs w:val="18"/>
                  <w:color w:val="0000FF"/>
                  <w:w w:val="90"/>
                </w:rPr>
                <w:t>Forms of restricted stock unit grant notice and award agreement under the Xometry, Inc. 2021 Equity Incentive Plan (incorporated</w:t>
              </w:r>
            </w:hyperlink>
          </w:p>
        </w:tc>
        <w:tc>
          <w:tcPr>
            <w:tcW w:w="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391">
              <w:r>
                <w:rPr>
                  <w:rFonts w:ascii="Arial" w:cs="Arial" w:eastAsia="Arial" w:hAnsi="Arial"/>
                  <w:sz w:val="18"/>
                  <w:szCs w:val="18"/>
                  <w:color w:val="0000FF"/>
                  <w:w w:val="91"/>
                </w:rPr>
                <w:t>herein by reference to Exhibit 10.11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91">
              <w:r>
                <w:rPr>
                  <w:rFonts w:ascii="Arial" w:cs="Arial" w:eastAsia="Arial" w:hAnsi="Arial"/>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tcBorders>
              <w:bottom w:val="single" w:sz="8" w:color="0000FF"/>
            </w:tcBorders>
            <w:gridSpan w:val="15"/>
          </w:tcPr>
          <w:p>
            <w:pPr>
              <w:spacing w:after="0"/>
              <w:rPr>
                <w:rFonts w:ascii="Arial" w:cs="Arial" w:eastAsia="Arial" w:hAnsi="Arial"/>
                <w:sz w:val="18"/>
                <w:szCs w:val="18"/>
                <w:color w:val="0000FF"/>
                <w:w w:val="90"/>
              </w:rPr>
            </w:pPr>
            <w:hyperlink r:id="rId392">
              <w:r>
                <w:rPr>
                  <w:rFonts w:ascii="Arial" w:cs="Arial" w:eastAsia="Arial" w:hAnsi="Arial"/>
                  <w:sz w:val="18"/>
                  <w:szCs w:val="18"/>
                  <w:color w:val="0000FF"/>
                  <w:w w:val="90"/>
                </w:rPr>
                <w:t>Amended and Restated Employment Agreement by and between Xometry, Inc. and Randolph Altschuler, (incorporated herein by</w:t>
              </w:r>
            </w:hyperlink>
          </w:p>
        </w:tc>
        <w:tc>
          <w:tcPr>
            <w:tcW w:w="5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392">
              <w:r>
                <w:rPr>
                  <w:rFonts w:ascii="Arial" w:cs="Arial" w:eastAsia="Arial" w:hAnsi="Arial"/>
                  <w:sz w:val="18"/>
                  <w:szCs w:val="18"/>
                  <w:color w:val="0000FF"/>
                  <w:w w:val="91"/>
                </w:rPr>
                <w:t>reference to Exhibit 10.12 to the Company’s Registration Statement on Form S-1/A (File No. 333-256769), filed with the SEC on June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80" w:type="dxa"/>
            <w:vAlign w:val="bottom"/>
            <w:gridSpan w:val="4"/>
          </w:tcPr>
          <w:p>
            <w:pPr>
              <w:ind w:left="120"/>
              <w:spacing w:after="0" w:line="195" w:lineRule="exact"/>
              <w:rPr>
                <w:rFonts w:ascii="Arial" w:cs="Arial" w:eastAsia="Arial" w:hAnsi="Arial"/>
                <w:sz w:val="18"/>
                <w:szCs w:val="18"/>
                <w:color w:val="0000FF"/>
              </w:rPr>
            </w:pPr>
            <w:hyperlink r:id="rId392">
              <w:r>
                <w:rPr>
                  <w:rFonts w:ascii="Arial" w:cs="Arial" w:eastAsia="Arial" w:hAnsi="Arial"/>
                  <w:sz w:val="18"/>
                  <w:szCs w:val="18"/>
                  <w:color w:val="0000FF"/>
                </w:rPr>
                <w:t>25, 2021).</w:t>
              </w:r>
            </w:hyperlink>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2"/>
          </w:tcPr>
          <w:p>
            <w:pPr>
              <w:spacing w:after="0"/>
              <w:rPr>
                <w:rFonts w:ascii="Arial" w:cs="Arial" w:eastAsia="Arial" w:hAnsi="Arial"/>
                <w:sz w:val="18"/>
                <w:szCs w:val="18"/>
                <w:color w:val="0000FF"/>
                <w:w w:val="90"/>
              </w:rPr>
            </w:pPr>
            <w:hyperlink r:id="rId393">
              <w:r>
                <w:rPr>
                  <w:rFonts w:ascii="Arial" w:cs="Arial" w:eastAsia="Arial" w:hAnsi="Arial"/>
                  <w:sz w:val="18"/>
                  <w:szCs w:val="18"/>
                  <w:color w:val="0000FF"/>
                  <w:w w:val="90"/>
                </w:rPr>
                <w:t>Amended and Restated Employment Agreement by and between Xometry, Inc. and James Rallo, (incorporated herein by reference to</w:t>
              </w:r>
            </w:hyperlink>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4"/>
              </w:rPr>
            </w:pPr>
            <w:hyperlink r:id="rId393">
              <w:r>
                <w:rPr>
                  <w:rFonts w:ascii="Arial" w:cs="Arial" w:eastAsia="Arial" w:hAnsi="Arial"/>
                  <w:sz w:val="18"/>
                  <w:szCs w:val="18"/>
                  <w:color w:val="0000FF"/>
                  <w:w w:val="94"/>
                </w:rPr>
                <w:t>Exhibit 10.13 to the Company’s Registration Statement 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25"/>
          </w:tcPr>
          <w:p>
            <w:pPr>
              <w:spacing w:after="0"/>
              <w:rPr>
                <w:rFonts w:ascii="Arial" w:cs="Arial" w:eastAsia="Arial" w:hAnsi="Arial"/>
                <w:sz w:val="18"/>
                <w:szCs w:val="18"/>
                <w:color w:val="0000FF"/>
                <w:w w:val="90"/>
              </w:rPr>
            </w:pPr>
            <w:hyperlink r:id="rId394">
              <w:r>
                <w:rPr>
                  <w:rFonts w:ascii="Arial" w:cs="Arial" w:eastAsia="Arial" w:hAnsi="Arial"/>
                  <w:sz w:val="18"/>
                  <w:szCs w:val="18"/>
                  <w:color w:val="0000FF"/>
                  <w:w w:val="90"/>
                </w:rPr>
                <w:t>Amended and Restated Employment Agreement by and between Xometry, Inc. and Peter Goguen, (incorporated herein by reference to</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4"/>
              </w:rPr>
            </w:pPr>
            <w:hyperlink r:id="rId394">
              <w:r>
                <w:rPr>
                  <w:rFonts w:ascii="Arial" w:cs="Arial" w:eastAsia="Arial" w:hAnsi="Arial"/>
                  <w:sz w:val="18"/>
                  <w:szCs w:val="18"/>
                  <w:color w:val="0000FF"/>
                  <w:w w:val="94"/>
                </w:rPr>
                <w:t>Exhibit 10.14 to the Company’s Registration Statement 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1"/>
          </w:tcPr>
          <w:p>
            <w:pPr>
              <w:spacing w:after="0"/>
              <w:rPr>
                <w:rFonts w:ascii="Arial" w:cs="Arial" w:eastAsia="Arial" w:hAnsi="Arial"/>
                <w:sz w:val="18"/>
                <w:szCs w:val="18"/>
                <w:color w:val="0000FF"/>
                <w:w w:val="91"/>
              </w:rPr>
            </w:pPr>
            <w:hyperlink r:id="rId395">
              <w:r>
                <w:rPr>
                  <w:rFonts w:ascii="Arial" w:cs="Arial" w:eastAsia="Arial" w:hAnsi="Arial"/>
                  <w:sz w:val="18"/>
                  <w:szCs w:val="18"/>
                  <w:color w:val="0000FF"/>
                  <w:w w:val="91"/>
                </w:rPr>
                <w:t>Form of Indemnification Agreement entered into by and between Xometry, Inc. and each director and executive officer (incorporated</w:t>
              </w:r>
            </w:hyperlink>
          </w:p>
        </w:tc>
        <w:tc>
          <w:tcPr>
            <w:tcW w:w="2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395">
              <w:r>
                <w:rPr>
                  <w:rFonts w:ascii="Arial" w:cs="Arial" w:eastAsia="Arial" w:hAnsi="Arial"/>
                  <w:sz w:val="18"/>
                  <w:szCs w:val="18"/>
                  <w:color w:val="0000FF"/>
                  <w:w w:val="91"/>
                </w:rPr>
                <w:t>herein by reference to Exhibit 10.15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95">
              <w:r>
                <w:rPr>
                  <w:rFonts w:ascii="Arial" w:cs="Arial" w:eastAsia="Arial" w:hAnsi="Arial"/>
                  <w:sz w:val="18"/>
                  <w:szCs w:val="18"/>
                  <w:color w:val="0000FF"/>
                </w:rPr>
                <w:t>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tcBorders>
              <w:bottom w:val="single" w:sz="8" w:color="0000FF"/>
            </w:tcBorders>
            <w:gridSpan w:val="30"/>
          </w:tcPr>
          <w:p>
            <w:pPr>
              <w:spacing w:after="0"/>
              <w:rPr>
                <w:rFonts w:ascii="Arial" w:cs="Arial" w:eastAsia="Arial" w:hAnsi="Arial"/>
                <w:sz w:val="18"/>
                <w:szCs w:val="18"/>
                <w:color w:val="0000FF"/>
                <w:w w:val="91"/>
              </w:rPr>
            </w:pPr>
            <w:hyperlink r:id="rId396">
              <w:r>
                <w:rPr>
                  <w:rFonts w:ascii="Arial" w:cs="Arial" w:eastAsia="Arial" w:hAnsi="Arial"/>
                  <w:sz w:val="18"/>
                  <w:szCs w:val="18"/>
                  <w:color w:val="0000FF"/>
                  <w:w w:val="91"/>
                </w:rPr>
                <w:t>Form of Exchange Agreement by and among Xometry, Inc., Randolph Altschuler and Laurence Zuriff (incorporated herein by reference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5" w:lineRule="exact"/>
              <w:rPr>
                <w:rFonts w:ascii="Arial" w:cs="Arial" w:eastAsia="Arial" w:hAnsi="Arial"/>
                <w:sz w:val="18"/>
                <w:szCs w:val="18"/>
                <w:color w:val="0000FF"/>
                <w:w w:val="91"/>
              </w:rPr>
            </w:pPr>
            <w:hyperlink r:id="rId396">
              <w:r>
                <w:rPr>
                  <w:rFonts w:ascii="Arial" w:cs="Arial" w:eastAsia="Arial" w:hAnsi="Arial"/>
                  <w:sz w:val="18"/>
                  <w:szCs w:val="18"/>
                  <w:color w:val="0000FF"/>
                  <w:w w:val="91"/>
                </w:rPr>
                <w:t>to Exhibit 10.18 to the Company’s Registration Statement on Form S-1/A (File No. 333-256769), filed with the SEC on June 21, 2021).</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0"/>
          </w:tcPr>
          <w:p>
            <w:pPr>
              <w:spacing w:after="0"/>
              <w:rPr>
                <w:rFonts w:ascii="Arial" w:cs="Arial" w:eastAsia="Arial" w:hAnsi="Arial"/>
                <w:sz w:val="18"/>
                <w:szCs w:val="18"/>
                <w:color w:val="0000FF"/>
                <w:w w:val="91"/>
              </w:rPr>
            </w:pPr>
            <w:hyperlink r:id="rId397">
              <w:r>
                <w:rPr>
                  <w:rFonts w:ascii="Arial" w:cs="Arial" w:eastAsia="Arial" w:hAnsi="Arial"/>
                  <w:sz w:val="18"/>
                  <w:szCs w:val="18"/>
                  <w:color w:val="0000FF"/>
                  <w:w w:val="91"/>
                </w:rPr>
                <w:t>Agreement and Plan of Merger, dated December 7, 2021, by and among the Xometry, Inc., Thomas Publishing Company, NAASOM</w:t>
              </w:r>
            </w:hyperlink>
          </w:p>
        </w:tc>
        <w:tc>
          <w:tcPr>
            <w:tcW w:w="2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397">
              <w:r>
                <w:rPr>
                  <w:rFonts w:ascii="Arial" w:cs="Arial" w:eastAsia="Arial" w:hAnsi="Arial"/>
                  <w:sz w:val="18"/>
                  <w:szCs w:val="18"/>
                  <w:color w:val="0000FF"/>
                  <w:w w:val="91"/>
                </w:rPr>
                <w:t>Merger Sub Inc., and wholly owned subsidiary of the Company (“Merger Sub”), and Shareholder Representative Services LLC, as the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22"/>
          </w:tcPr>
          <w:p>
            <w:pPr>
              <w:spacing w:after="0" w:line="195" w:lineRule="exact"/>
              <w:rPr>
                <w:rFonts w:ascii="Arial" w:cs="Arial" w:eastAsia="Arial" w:hAnsi="Arial"/>
                <w:sz w:val="18"/>
                <w:szCs w:val="18"/>
                <w:color w:val="0000FF"/>
                <w:w w:val="91"/>
              </w:rPr>
            </w:pPr>
            <w:hyperlink r:id="rId397">
              <w:r>
                <w:rPr>
                  <w:rFonts w:ascii="Arial" w:cs="Arial" w:eastAsia="Arial" w:hAnsi="Arial"/>
                  <w:sz w:val="18"/>
                  <w:szCs w:val="18"/>
                  <w:color w:val="0000FF"/>
                  <w:w w:val="91"/>
                </w:rPr>
                <w:t>shareholders’ representative (incorporated herein by reference to Exhibit 2.1 to the Company’s Current Report on Form 8-K (File No.</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97">
              <w:r>
                <w:rPr>
                  <w:rFonts w:ascii="Arial" w:cs="Arial" w:eastAsia="Arial" w:hAnsi="Arial"/>
                  <w:sz w:val="18"/>
                  <w:szCs w:val="18"/>
                  <w:color w:val="0000FF"/>
                </w:rPr>
                <w:t>001-40546), filed with the SEC on December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Borders>
              <w:right w:val="single" w:sz="8" w:color="0000EE"/>
            </w:tcBorders>
            <w:gridSpan w:val="5"/>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tcBorders>
              <w:bottom w:val="single" w:sz="8" w:color="0000FF"/>
            </w:tcBorders>
            <w:gridSpan w:val="29"/>
          </w:tcPr>
          <w:p>
            <w:pPr>
              <w:spacing w:after="0"/>
              <w:rPr>
                <w:rFonts w:ascii="Arial" w:cs="Arial" w:eastAsia="Arial" w:hAnsi="Arial"/>
                <w:sz w:val="18"/>
                <w:szCs w:val="18"/>
                <w:color w:val="0000FF"/>
                <w:w w:val="90"/>
              </w:rPr>
            </w:pPr>
            <w:hyperlink r:id="rId398">
              <w:r>
                <w:rPr>
                  <w:rFonts w:ascii="Arial" w:cs="Arial" w:eastAsia="Arial" w:hAnsi="Arial"/>
                  <w:sz w:val="18"/>
                  <w:szCs w:val="18"/>
                  <w:color w:val="0000FF"/>
                  <w:w w:val="90"/>
                </w:rPr>
                <w:t>Seventh Amended and Restated Investor Rights Agreement, dated July 20, 2020 (incorporated herein by reference to Exhibit 10.1 to the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398">
              <w:r>
                <w:rPr>
                  <w:rFonts w:ascii="Arial" w:cs="Arial" w:eastAsia="Arial" w:hAnsi="Arial"/>
                  <w:sz w:val="18"/>
                  <w:szCs w:val="18"/>
                  <w:color w:val="0000FF"/>
                </w:rPr>
                <w:t>Company’s Registration Statement on Form S-1 (File No. 333-256769), filed with the SEC on June 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bottom w:val="single" w:sz="8" w:color="0000FF"/>
            </w:tcBorders>
            <w:gridSpan w:val="28"/>
          </w:tcPr>
          <w:p>
            <w:pPr>
              <w:spacing w:after="0"/>
              <w:rPr>
                <w:rFonts w:ascii="Arial" w:cs="Arial" w:eastAsia="Arial" w:hAnsi="Arial"/>
                <w:sz w:val="18"/>
                <w:szCs w:val="18"/>
                <w:color w:val="0000FF"/>
                <w:w w:val="91"/>
              </w:rPr>
            </w:pPr>
            <w:hyperlink r:id="rId399">
              <w:r>
                <w:rPr>
                  <w:rFonts w:ascii="Arial" w:cs="Arial" w:eastAsia="Arial" w:hAnsi="Arial"/>
                  <w:sz w:val="18"/>
                  <w:szCs w:val="18"/>
                  <w:color w:val="0000FF"/>
                  <w:w w:val="91"/>
                </w:rPr>
                <w:t>Xometry, Inc. 2016 Equity Incentive Plan (incorporated herein by reference to Exhibit 10.2 to the Company’s Registration Statement on</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8"/>
          </w:tcPr>
          <w:p>
            <w:pPr>
              <w:spacing w:after="0" w:line="195" w:lineRule="exact"/>
              <w:rPr>
                <w:rFonts w:ascii="Arial" w:cs="Arial" w:eastAsia="Arial" w:hAnsi="Arial"/>
                <w:sz w:val="18"/>
                <w:szCs w:val="18"/>
                <w:color w:val="0000FF"/>
                <w:w w:val="91"/>
              </w:rPr>
            </w:pPr>
            <w:hyperlink r:id="rId399">
              <w:r>
                <w:rPr>
                  <w:rFonts w:ascii="Arial" w:cs="Arial" w:eastAsia="Arial" w:hAnsi="Arial"/>
                  <w:sz w:val="18"/>
                  <w:szCs w:val="18"/>
                  <w:color w:val="0000FF"/>
                  <w:w w:val="91"/>
                </w:rPr>
                <w:t>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47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18"/>
          </w:tcPr>
          <w:p>
            <w:pPr>
              <w:spacing w:after="0"/>
              <w:rPr>
                <w:rFonts w:ascii="Arial" w:cs="Arial" w:eastAsia="Arial" w:hAnsi="Arial"/>
                <w:sz w:val="18"/>
                <w:szCs w:val="18"/>
                <w:color w:val="0000FF"/>
                <w:w w:val="91"/>
              </w:rPr>
            </w:pPr>
            <w:hyperlink r:id="rId400">
              <w:r>
                <w:rPr>
                  <w:rFonts w:ascii="Arial" w:cs="Arial" w:eastAsia="Arial" w:hAnsi="Arial"/>
                  <w:sz w:val="18"/>
                  <w:szCs w:val="18"/>
                  <w:color w:val="0000FF"/>
                  <w:w w:val="91"/>
                </w:rPr>
                <w:t>Xometry, Inc. Amendment No. 1 to 2016 Equity Incentive Plan (incorporated herein by reference to Exhibit 10.3 to the Company’s</w:t>
              </w:r>
            </w:hyperlink>
          </w:p>
        </w:tc>
        <w:tc>
          <w:tcPr>
            <w:tcW w:w="3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400">
              <w:r>
                <w:rPr>
                  <w:rFonts w:ascii="Arial" w:cs="Arial" w:eastAsia="Arial" w:hAnsi="Arial"/>
                  <w:sz w:val="18"/>
                  <w:szCs w:val="18"/>
                  <w:color w:val="0000FF"/>
                </w:rPr>
                <w:t>Registration Statement on Form S-1 (File No. 333-256769), filed with the SEC on June 4, 2021).</w:t>
              </w:r>
            </w:hyperlink>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500" w:type="dxa"/>
            <w:vAlign w:val="bottom"/>
            <w:tcBorders>
              <w:top w:val="single" w:sz="8" w:color="0000FF"/>
            </w:tcBorders>
            <w:gridSpan w:val="6"/>
          </w:tcPr>
          <w:p>
            <w:pPr>
              <w:jc w:val="right"/>
              <w:ind w:right="120"/>
              <w:spacing w:after="0"/>
              <w:rPr>
                <w:sz w:val="20"/>
                <w:szCs w:val="20"/>
                <w:color w:val="auto"/>
              </w:rPr>
            </w:pPr>
            <w:r>
              <w:rPr>
                <w:rFonts w:ascii="Arial" w:cs="Arial" w:eastAsia="Arial" w:hAnsi="Arial"/>
                <w:sz w:val="18"/>
                <w:szCs w:val="18"/>
                <w:color w:val="auto"/>
              </w:rPr>
              <w:t>100</w:t>
            </w:r>
          </w:p>
        </w:tc>
        <w:tc>
          <w:tcPr>
            <w:tcW w:w="4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10.13+</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403">
              <w:r>
                <w:rPr>
                  <w:rFonts w:ascii="Arial" w:cs="Arial" w:eastAsia="Arial" w:hAnsi="Arial"/>
                  <w:sz w:val="18"/>
                  <w:szCs w:val="18"/>
                  <w:color w:val="0000FF"/>
                  <w:w w:val="92"/>
                </w:rPr>
                <w:t>Xometry, Inc. Amendment No. 2 to 2016 Equity Incentive Plan (incorporated herein by reference to Exhibit 10.4 to the Company’s</w:t>
              </w:r>
            </w:hyperlink>
          </w:p>
        </w:tc>
        <w:tc>
          <w:tcPr>
            <w:tcW w:w="36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3">
              <w:r>
                <w:rPr>
                  <w:rFonts w:ascii="Arial" w:cs="Arial" w:eastAsia="Arial" w:hAnsi="Arial"/>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404">
              <w:r>
                <w:rPr>
                  <w:rFonts w:ascii="Arial" w:cs="Arial" w:eastAsia="Arial" w:hAnsi="Arial"/>
                  <w:sz w:val="18"/>
                  <w:szCs w:val="18"/>
                  <w:color w:val="0000FF"/>
                  <w:w w:val="92"/>
                </w:rPr>
                <w:t>Xometry, Inc. Amendment No. 3 to 2016 Equity Incentive Plan (incorporated herein by reference to Exhibit 10.5 to the Company’s</w:t>
              </w:r>
            </w:hyperlink>
          </w:p>
        </w:tc>
        <w:tc>
          <w:tcPr>
            <w:tcW w:w="360" w:type="dxa"/>
            <w:vAlign w:val="bottom"/>
            <w:gridSpan w:val="8"/>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4">
              <w:r>
                <w:rPr>
                  <w:rFonts w:ascii="Arial" w:cs="Arial" w:eastAsia="Arial" w:hAnsi="Arial"/>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405">
              <w:r>
                <w:rPr>
                  <w:rFonts w:ascii="Arial" w:cs="Arial" w:eastAsia="Arial" w:hAnsi="Arial"/>
                  <w:sz w:val="18"/>
                  <w:szCs w:val="18"/>
                  <w:color w:val="0000FF"/>
                  <w:w w:val="92"/>
                </w:rPr>
                <w:t>Xometry, Inc. Amendment No. 4 to 2016 Equity Incentive Plan (incorporated herein by reference to Exhibit 10.6 to the Company’s</w:t>
              </w:r>
            </w:hyperlink>
          </w:p>
        </w:tc>
        <w:tc>
          <w:tcPr>
            <w:tcW w:w="360" w:type="dxa"/>
            <w:vAlign w:val="bottom"/>
            <w:gridSpan w:val="8"/>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5">
              <w:r>
                <w:rPr>
                  <w:rFonts w:ascii="Arial" w:cs="Arial" w:eastAsia="Arial" w:hAnsi="Arial"/>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406">
              <w:r>
                <w:rPr>
                  <w:rFonts w:ascii="Arial" w:cs="Arial" w:eastAsia="Arial" w:hAnsi="Arial"/>
                  <w:sz w:val="18"/>
                  <w:szCs w:val="18"/>
                  <w:color w:val="0000FF"/>
                  <w:w w:val="92"/>
                </w:rPr>
                <w:t>Xometry, Inc. Amendment No. 5 to 2016 Equity Incentive Plan (incorporated herein by reference to Exhibit 10.7 to the Company’s</w:t>
              </w:r>
            </w:hyperlink>
          </w:p>
        </w:tc>
        <w:tc>
          <w:tcPr>
            <w:tcW w:w="360" w:type="dxa"/>
            <w:vAlign w:val="bottom"/>
            <w:gridSpan w:val="8"/>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6">
              <w:r>
                <w:rPr>
                  <w:rFonts w:ascii="Arial" w:cs="Arial" w:eastAsia="Arial" w:hAnsi="Arial"/>
                  <w:sz w:val="18"/>
                  <w:szCs w:val="18"/>
                  <w:color w:val="0000FF"/>
                </w:rPr>
                <w:t>Registration Statement on Form S-1 (File No. 333-256769), filed with the SEC on 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9800" w:type="dxa"/>
            <w:vAlign w:val="bottom"/>
            <w:tcBorders>
              <w:bottom w:val="single" w:sz="8" w:color="0000FF"/>
            </w:tcBorders>
            <w:gridSpan w:val="16"/>
          </w:tcPr>
          <w:p>
            <w:pPr>
              <w:spacing w:after="0"/>
              <w:rPr>
                <w:rFonts w:ascii="Arial" w:cs="Arial" w:eastAsia="Arial" w:hAnsi="Arial"/>
                <w:sz w:val="18"/>
                <w:szCs w:val="18"/>
                <w:color w:val="0000FF"/>
                <w:w w:val="91"/>
              </w:rPr>
            </w:pPr>
            <w:hyperlink r:id="rId407">
              <w:r>
                <w:rPr>
                  <w:rFonts w:ascii="Arial" w:cs="Arial" w:eastAsia="Arial" w:hAnsi="Arial"/>
                  <w:sz w:val="18"/>
                  <w:szCs w:val="18"/>
                  <w:color w:val="0000FF"/>
                  <w:w w:val="91"/>
                </w:rPr>
                <w:t>Forms of grant notice, stock option agreement, and notice of exercise under the Xometry, Inc. 2016 Equity Incentive Plan (incorporated</w:t>
              </w:r>
            </w:hyperlink>
          </w:p>
        </w:tc>
        <w:tc>
          <w:tcPr>
            <w:tcW w:w="60" w:type="dxa"/>
            <w:vAlign w:val="bottom"/>
            <w:gridSpan w:val="3"/>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40" w:type="dxa"/>
            <w:vAlign w:val="bottom"/>
            <w:tcBorders>
              <w:bottom w:val="single" w:sz="8" w:color="0000FF"/>
            </w:tcBorders>
            <w:gridSpan w:val="18"/>
          </w:tcPr>
          <w:p>
            <w:pPr>
              <w:spacing w:after="0" w:line="195" w:lineRule="exact"/>
              <w:rPr>
                <w:rFonts w:ascii="Arial" w:cs="Arial" w:eastAsia="Arial" w:hAnsi="Arial"/>
                <w:sz w:val="18"/>
                <w:szCs w:val="18"/>
                <w:color w:val="0000FF"/>
                <w:w w:val="91"/>
              </w:rPr>
            </w:pPr>
            <w:hyperlink r:id="rId407">
              <w:r>
                <w:rPr>
                  <w:rFonts w:ascii="Arial" w:cs="Arial" w:eastAsia="Arial" w:hAnsi="Arial"/>
                  <w:sz w:val="18"/>
                  <w:szCs w:val="18"/>
                  <w:color w:val="0000FF"/>
                  <w:w w:val="91"/>
                </w:rPr>
                <w:t>herein by reference to Exhibit 10.8 to the Company’s Registration Statement on Form S-1 (File No. 333-256769), filed with the SEC on</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7">
              <w:r>
                <w:rPr>
                  <w:rFonts w:ascii="Arial" w:cs="Arial" w:eastAsia="Arial" w:hAnsi="Arial"/>
                  <w:sz w:val="18"/>
                  <w:szCs w:val="18"/>
                  <w:color w:val="0000FF"/>
                </w:rPr>
                <w:t>June 4, 2021).</w:t>
              </w:r>
            </w:hyperlink>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9860" w:type="dxa"/>
            <w:vAlign w:val="bottom"/>
            <w:tcBorders>
              <w:bottom w:val="single" w:sz="8" w:color="0000FF"/>
            </w:tcBorders>
            <w:gridSpan w:val="19"/>
          </w:tcPr>
          <w:p>
            <w:pPr>
              <w:spacing w:after="0"/>
              <w:rPr>
                <w:rFonts w:ascii="Arial" w:cs="Arial" w:eastAsia="Arial" w:hAnsi="Arial"/>
                <w:sz w:val="18"/>
                <w:szCs w:val="18"/>
                <w:color w:val="0000FF"/>
                <w:w w:val="91"/>
              </w:rPr>
            </w:pPr>
            <w:hyperlink r:id="rId408">
              <w:r>
                <w:rPr>
                  <w:rFonts w:ascii="Arial" w:cs="Arial" w:eastAsia="Arial" w:hAnsi="Arial"/>
                  <w:sz w:val="18"/>
                  <w:szCs w:val="18"/>
                  <w:color w:val="0000FF"/>
                  <w:w w:val="91"/>
                </w:rPr>
                <w:t>Nextline Manufacturing Corp. 2014 Stock Option Plan (incorporated herein by reference to Exhibit 10.16 to the Company’s Registration</w:t>
              </w:r>
            </w:hyperlink>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rFonts w:ascii="Arial" w:cs="Arial" w:eastAsia="Arial" w:hAnsi="Arial"/>
                <w:sz w:val="18"/>
                <w:szCs w:val="18"/>
                <w:color w:val="0000FF"/>
              </w:rPr>
            </w:pPr>
            <w:hyperlink r:id="rId408">
              <w:r>
                <w:rPr>
                  <w:rFonts w:ascii="Arial" w:cs="Arial" w:eastAsia="Arial" w:hAnsi="Arial"/>
                  <w:sz w:val="18"/>
                  <w:szCs w:val="18"/>
                  <w:color w:val="0000FF"/>
                </w:rPr>
                <w:t>Statement on Form S-1/A (File No. 333-256769), filed with the SEC on June 21, 2021).</w:t>
              </w:r>
            </w:hyperlink>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9820" w:type="dxa"/>
            <w:vAlign w:val="bottom"/>
            <w:tcBorders>
              <w:bottom w:val="single" w:sz="8" w:color="0000FF"/>
            </w:tcBorders>
            <w:gridSpan w:val="17"/>
          </w:tcPr>
          <w:p>
            <w:pPr>
              <w:spacing w:after="0"/>
              <w:rPr>
                <w:rFonts w:ascii="Arial" w:cs="Arial" w:eastAsia="Arial" w:hAnsi="Arial"/>
                <w:sz w:val="18"/>
                <w:szCs w:val="18"/>
                <w:color w:val="0000FF"/>
                <w:w w:val="92"/>
              </w:rPr>
            </w:pPr>
            <w:hyperlink r:id="rId409">
              <w:r>
                <w:rPr>
                  <w:rFonts w:ascii="Arial" w:cs="Arial" w:eastAsia="Arial" w:hAnsi="Arial"/>
                  <w:sz w:val="18"/>
                  <w:szCs w:val="18"/>
                  <w:color w:val="0000FF"/>
                  <w:w w:val="92"/>
                </w:rPr>
                <w:t>Form of Stock Option Agreement to Nextline Manufacturing Corp 2014 Stock Option Plan (incorporated herein by reference to Exhibit</w:t>
              </w:r>
            </w:hyperlink>
          </w:p>
        </w:tc>
        <w:tc>
          <w:tcPr>
            <w:tcW w:w="40" w:type="dxa"/>
            <w:vAlign w:val="bottom"/>
            <w:gridSpan w:val="2"/>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020" w:type="dxa"/>
            <w:vAlign w:val="bottom"/>
            <w:tcBorders>
              <w:bottom w:val="single" w:sz="8" w:color="0000FF"/>
            </w:tcBorders>
            <w:gridSpan w:val="10"/>
          </w:tcPr>
          <w:p>
            <w:pPr>
              <w:spacing w:after="0" w:line="195" w:lineRule="exact"/>
              <w:rPr>
                <w:rFonts w:ascii="Arial" w:cs="Arial" w:eastAsia="Arial" w:hAnsi="Arial"/>
                <w:sz w:val="18"/>
                <w:szCs w:val="18"/>
                <w:color w:val="0000FF"/>
                <w:w w:val="91"/>
              </w:rPr>
            </w:pPr>
            <w:hyperlink r:id="rId40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17</w:t>
              </w:r>
              <w:r>
                <w:rPr>
                  <w:rFonts w:ascii="Arial" w:cs="Arial" w:eastAsia="Arial" w:hAnsi="Arial"/>
                  <w:sz w:val="18"/>
                  <w:szCs w:val="18"/>
                  <w:color w:val="0000FF"/>
                  <w:w w:val="91"/>
                </w:rPr>
                <w:t xml:space="preserve"> to the Company’s Registration Statement on Form S-1/A (File No. 333-256769), filed with the SEC on June 21, 2021).</w:t>
              </w:r>
            </w:hyperlink>
          </w:p>
        </w:tc>
        <w:tc>
          <w:tcPr>
            <w:tcW w:w="840" w:type="dxa"/>
            <w:vAlign w:val="bottom"/>
            <w:gridSpan w:val="9"/>
          </w:tcPr>
          <w:p>
            <w:pPr>
              <w:spacing w:after="0"/>
              <w:rPr>
                <w:sz w:val="17"/>
                <w:szCs w:val="17"/>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2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4"/>
              </w:rPr>
              <w:t>List of Subsidiaries of Xometry, Inc.</w:t>
            </w:r>
          </w:p>
        </w:tc>
        <w:tc>
          <w:tcPr>
            <w:tcW w:w="7180" w:type="dxa"/>
            <w:vAlign w:val="bottom"/>
            <w:gridSpan w:val="15"/>
          </w:tcPr>
          <w:p>
            <w:pPr>
              <w:spacing w:after="0"/>
              <w:rPr>
                <w:sz w:val="18"/>
                <w:szCs w:val="18"/>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5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Consent of KPMG LLP, independent registered public accounting firm.</w:t>
            </w:r>
          </w:p>
        </w:tc>
        <w:tc>
          <w:tcPr>
            <w:tcW w:w="20" w:type="dxa"/>
            <w:vAlign w:val="bottom"/>
            <w:tcBorders>
              <w:bottom w:val="single" w:sz="8" w:color="0000EE"/>
            </w:tcBorders>
          </w:tcPr>
          <w:p>
            <w:pPr>
              <w:spacing w:after="0"/>
              <w:rPr>
                <w:sz w:val="18"/>
                <w:szCs w:val="18"/>
                <w:color w:val="auto"/>
              </w:rPr>
            </w:pPr>
          </w:p>
        </w:tc>
        <w:tc>
          <w:tcPr>
            <w:tcW w:w="4680" w:type="dxa"/>
            <w:vAlign w:val="bottom"/>
            <w:gridSpan w:val="12"/>
          </w:tcPr>
          <w:p>
            <w:pPr>
              <w:spacing w:after="0"/>
              <w:rPr>
                <w:sz w:val="18"/>
                <w:szCs w:val="18"/>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200" w:type="dxa"/>
            <w:vAlign w:val="bottom"/>
            <w:gridSpan w:val="4"/>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6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240" w:type="dxa"/>
            <w:vAlign w:val="bottom"/>
            <w:gridSpan w:val="5"/>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860" w:type="dxa"/>
            <w:vAlign w:val="bottom"/>
            <w:gridSpan w:val="19"/>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19"/>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196"/>
        </w:trPr>
        <w:tc>
          <w:tcPr>
            <w:tcW w:w="134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c>
          <w:tcPr>
            <w:tcW w:w="300" w:type="dxa"/>
            <w:vAlign w:val="bottom"/>
            <w:gridSpan w:val="7"/>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bottom w:val="single" w:sz="8" w:color="0000EE"/>
            </w:tcBorders>
          </w:tcPr>
          <w:p>
            <w:pPr>
              <w:spacing w:after="0"/>
              <w:rPr>
                <w:sz w:val="17"/>
                <w:szCs w:val="17"/>
                <w:color w:val="auto"/>
              </w:rPr>
            </w:pPr>
          </w:p>
        </w:tc>
        <w:tc>
          <w:tcPr>
            <w:tcW w:w="8440" w:type="dxa"/>
            <w:vAlign w:val="bottom"/>
            <w:gridSpan w:val="16"/>
          </w:tcPr>
          <w:p>
            <w:pPr>
              <w:spacing w:after="0"/>
              <w:rPr>
                <w:sz w:val="17"/>
                <w:szCs w:val="17"/>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9"/>
        </w:trPr>
        <w:tc>
          <w:tcPr>
            <w:tcW w:w="1340" w:type="dxa"/>
            <w:vAlign w:val="bottom"/>
          </w:tcPr>
          <w:p>
            <w:pPr>
              <w:spacing w:after="0"/>
              <w:rPr>
                <w:sz w:val="19"/>
                <w:szCs w:val="19"/>
                <w:color w:val="auto"/>
              </w:rPr>
            </w:pPr>
          </w:p>
        </w:tc>
        <w:tc>
          <w:tcPr>
            <w:tcW w:w="986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360" w:hanging="1339"/>
        <w:spacing w:after="0"/>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6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firstLine="8"/>
        <w:spacing w:after="0" w:line="250" w:lineRule="auto"/>
        <w:tabs>
          <w:tab w:leader="none" w:pos="2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contract or arrangement.</w:t>
      </w:r>
    </w:p>
    <w:p>
      <w:pPr>
        <w:spacing w:after="0" w:line="8" w:lineRule="exact"/>
        <w:rPr>
          <w:rFonts w:ascii="Arial" w:cs="Arial" w:eastAsia="Arial" w:hAnsi="Arial"/>
          <w:sz w:val="18"/>
          <w:szCs w:val="18"/>
          <w:color w:val="auto"/>
        </w:rPr>
      </w:pPr>
    </w:p>
    <w:p>
      <w:pPr>
        <w:ind w:right="140"/>
        <w:spacing w:after="0" w:line="260" w:lineRule="auto"/>
        <w:rPr>
          <w:rFonts w:ascii="Arial" w:cs="Arial" w:eastAsia="Arial" w:hAnsi="Arial"/>
          <w:sz w:val="18"/>
          <w:szCs w:val="18"/>
          <w:color w:val="auto"/>
        </w:rPr>
      </w:pPr>
      <w:r>
        <w:rPr>
          <w:rFonts w:ascii="Arial" w:cs="Arial" w:eastAsia="Arial" w:hAnsi="Arial"/>
          <w:sz w:val="18"/>
          <w:szCs w:val="18"/>
          <w:color w:val="auto"/>
        </w:rPr>
        <w:t>† We have omitted the schedules to this Exhibit in accordance with Regulation S-K Item 601(b)(2). A copy of any omitted schedule and/or exhibit will be furnished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4300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37"/>
        <w:spacing w:after="0" w:line="263" w:lineRule="auto"/>
        <w:rPr>
          <w:sz w:val="20"/>
          <w:szCs w:val="20"/>
          <w:color w:val="auto"/>
        </w:rPr>
      </w:pPr>
      <w:r>
        <w:rPr>
          <w:rFonts w:ascii="Arial" w:cs="Arial" w:eastAsia="Arial" w:hAnsi="Arial"/>
          <w:sz w:val="18"/>
          <w:szCs w:val="18"/>
          <w:color w:val="auto"/>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March 16, 2023.</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60" w:type="dxa"/>
            <w:vAlign w:val="bottom"/>
            <w:gridSpan w:val="2"/>
          </w:tcPr>
          <w:p>
            <w:pPr>
              <w:ind w:left="1900"/>
              <w:spacing w:after="0"/>
              <w:rPr>
                <w:sz w:val="20"/>
                <w:szCs w:val="20"/>
                <w:color w:val="auto"/>
              </w:rPr>
            </w:pPr>
            <w:r>
              <w:rPr>
                <w:rFonts w:ascii="Arial" w:cs="Arial" w:eastAsia="Arial" w:hAnsi="Arial"/>
                <w:sz w:val="18"/>
                <w:szCs w:val="18"/>
                <w:b w:val="1"/>
                <w:bCs w:val="1"/>
                <w:color w:val="auto"/>
              </w:rPr>
              <w:t>Xometry, Inc.</w:t>
            </w:r>
          </w:p>
        </w:tc>
        <w:tc>
          <w:tcPr>
            <w:tcW w:w="4460" w:type="dxa"/>
            <w:vAlign w:val="bottom"/>
          </w:tcPr>
          <w:p>
            <w:pPr>
              <w:spacing w:after="0"/>
              <w:rPr>
                <w:sz w:val="20"/>
                <w:szCs w:val="20"/>
                <w:color w:val="auto"/>
              </w:rPr>
            </w:pPr>
          </w:p>
        </w:tc>
      </w:tr>
      <w:tr>
        <w:trPr>
          <w:trHeight w:val="472"/>
        </w:trPr>
        <w:tc>
          <w:tcPr>
            <w:tcW w:w="3500" w:type="dxa"/>
            <w:vAlign w:val="bottom"/>
          </w:tcPr>
          <w:p>
            <w:pPr>
              <w:spacing w:after="0"/>
              <w:rPr>
                <w:sz w:val="20"/>
                <w:szCs w:val="20"/>
                <w:color w:val="auto"/>
              </w:rPr>
            </w:pPr>
            <w:r>
              <w:rPr>
                <w:rFonts w:ascii="Arial" w:cs="Arial" w:eastAsia="Arial" w:hAnsi="Arial"/>
                <w:sz w:val="18"/>
                <w:szCs w:val="18"/>
                <w:color w:val="auto"/>
              </w:rPr>
              <w:t>Date: March 16, 2023</w:t>
            </w:r>
          </w:p>
        </w:tc>
        <w:tc>
          <w:tcPr>
            <w:tcW w:w="3260" w:type="dxa"/>
            <w:vAlign w:val="bottom"/>
            <w:gridSpan w:val="2"/>
          </w:tcPr>
          <w:p>
            <w:pPr>
              <w:ind w:left="1900"/>
              <w:spacing w:after="0"/>
              <w:rPr>
                <w:sz w:val="20"/>
                <w:szCs w:val="20"/>
                <w:color w:val="auto"/>
              </w:rPr>
            </w:pPr>
            <w:r>
              <w:rPr>
                <w:rFonts w:ascii="Arial" w:cs="Arial" w:eastAsia="Arial" w:hAnsi="Arial"/>
                <w:sz w:val="18"/>
                <w:szCs w:val="18"/>
                <w:color w:val="auto"/>
              </w:rPr>
              <w:t>By:</w:t>
            </w:r>
          </w:p>
        </w:tc>
        <w:tc>
          <w:tcPr>
            <w:tcW w:w="4460" w:type="dxa"/>
            <w:vAlign w:val="bottom"/>
          </w:tcPr>
          <w:p>
            <w:pPr>
              <w:jc w:val="center"/>
              <w:ind w:right="650"/>
              <w:spacing w:after="0"/>
              <w:rPr>
                <w:sz w:val="20"/>
                <w:szCs w:val="20"/>
                <w:color w:val="auto"/>
              </w:rPr>
            </w:pPr>
            <w:r>
              <w:rPr>
                <w:rFonts w:ascii="Arial" w:cs="Arial" w:eastAsia="Arial" w:hAnsi="Arial"/>
                <w:sz w:val="18"/>
                <w:szCs w:val="18"/>
                <w:color w:val="auto"/>
                <w:w w:val="92"/>
              </w:rPr>
              <w:t>/s/ Randolph Altschuler</w:t>
            </w:r>
          </w:p>
        </w:tc>
      </w:tr>
      <w:tr>
        <w:trPr>
          <w:trHeight w:val="204"/>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tcPr>
          <w:p>
            <w:pPr>
              <w:jc w:val="center"/>
              <w:ind w:right="650"/>
              <w:spacing w:after="0" w:line="204" w:lineRule="exact"/>
              <w:rPr>
                <w:sz w:val="20"/>
                <w:szCs w:val="20"/>
                <w:color w:val="auto"/>
              </w:rPr>
            </w:pPr>
            <w:r>
              <w:rPr>
                <w:rFonts w:ascii="Arial" w:cs="Arial" w:eastAsia="Arial" w:hAnsi="Arial"/>
                <w:sz w:val="18"/>
                <w:szCs w:val="18"/>
                <w:b w:val="1"/>
                <w:bCs w:val="1"/>
                <w:color w:val="auto"/>
                <w:w w:val="92"/>
              </w:rPr>
              <w:t xml:space="preserve">Name: </w:t>
            </w:r>
            <w:r>
              <w:rPr>
                <w:rFonts w:ascii="Arial" w:cs="Arial" w:eastAsia="Arial" w:hAnsi="Arial"/>
                <w:sz w:val="18"/>
                <w:szCs w:val="18"/>
                <w:color w:val="auto"/>
                <w:w w:val="92"/>
              </w:rPr>
              <w:t>Randolph Altschuler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6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 xml:space="preserve">Title: </w:t>
            </w:r>
            <w:r>
              <w:rPr>
                <w:rFonts w:ascii="Arial" w:cs="Arial" w:eastAsia="Arial" w:hAnsi="Arial"/>
                <w:sz w:val="18"/>
                <w:szCs w:val="18"/>
                <w:color w:val="auto"/>
                <w:w w:val="93"/>
              </w:rPr>
              <w:t>Chief Executive Officer and Director</w:t>
            </w:r>
          </w:p>
        </w:tc>
      </w:tr>
    </w:tbl>
    <w:p>
      <w:pPr>
        <w:spacing w:after="0" w:line="10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r>
      <w:tr>
        <w:trPr>
          <w:trHeight w:val="289"/>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Randolph Altschuler</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Randolph Altschuler</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95"/>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Rallo</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8"/>
              </w:rPr>
              <w:t>James Rallo</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95"/>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Co-Founder, Managing Director Donor Advised Fund and</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Laurence Zuriff</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4"/>
              </w:rPr>
              <w:t>Laurence Zuriff</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George Hornig</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Chairman of the Board and 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George Hornig</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Emily Rollins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7"/>
              </w:rPr>
              <w:t>Emily Rollins</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Deborah Bial</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2"/>
              </w:rPr>
              <w:t>Deborah Bial</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Fabio Rosati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Fabio Rosati</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Katharine Weymouth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Katharine Weymouth</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5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Ranjana Clark</w:t>
            </w:r>
          </w:p>
        </w:tc>
        <w:tc>
          <w:tcPr>
            <w:tcW w:w="12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Ranjana Clark</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5411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466" w:lineRule="exact"/>
        <w:rPr>
          <w:sz w:val="20"/>
          <w:szCs w:val="20"/>
          <w:color w:val="auto"/>
        </w:rPr>
      </w:pPr>
    </w:p>
    <w:p>
      <w:pPr>
        <w:sectPr>
          <w:pgSz w:w="11900" w:h="16838" w:orient="portrait"/>
          <w:cols w:equalWidth="0" w:num="2">
            <w:col w:w="8700" w:space="120"/>
            <w:col w:w="2420"/>
          </w:cols>
          <w:pgMar w:left="320" w:top="121" w:right="3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56"/>
        </w:trPr>
        <w:tc>
          <w:tcPr>
            <w:tcW w:w="5960" w:type="dxa"/>
            <w:vAlign w:val="bottom"/>
            <w:gridSpan w:val="3"/>
          </w:tcPr>
          <w:p>
            <w:pPr>
              <w:spacing w:after="0"/>
              <w:rPr>
                <w:sz w:val="20"/>
                <w:szCs w:val="20"/>
                <w:color w:val="auto"/>
              </w:rPr>
            </w:pPr>
            <w:r>
              <w:rPr>
                <w:rFonts w:ascii="Arial" w:cs="Arial" w:eastAsia="Arial" w:hAnsi="Arial"/>
                <w:sz w:val="20"/>
                <w:szCs w:val="20"/>
                <w:b w:val="1"/>
                <w:bCs w:val="1"/>
                <w:color w:val="auto"/>
              </w:rPr>
              <w:t>List of Subsidiaries</w:t>
            </w:r>
          </w:p>
        </w:tc>
        <w:tc>
          <w:tcPr>
            <w:tcW w:w="4740" w:type="dxa"/>
            <w:vAlign w:val="bottom"/>
            <w:gridSpan w:val="3"/>
          </w:tcPr>
          <w:p>
            <w:pPr>
              <w:ind w:left="1400"/>
              <w:spacing w:after="0"/>
              <w:rPr>
                <w:sz w:val="20"/>
                <w:szCs w:val="20"/>
                <w:color w:val="auto"/>
              </w:rPr>
            </w:pPr>
            <w:r>
              <w:rPr>
                <w:rFonts w:ascii="Arial" w:cs="Arial" w:eastAsia="Arial" w:hAnsi="Arial"/>
                <w:sz w:val="20"/>
                <w:szCs w:val="20"/>
                <w:b w:val="1"/>
                <w:bCs w:val="1"/>
                <w:color w:val="auto"/>
              </w:rPr>
              <w:t>Exhibit 21.1</w:t>
            </w:r>
          </w:p>
        </w:tc>
      </w:tr>
      <w:tr>
        <w:trPr>
          <w:trHeight w:val="347"/>
        </w:trPr>
        <w:tc>
          <w:tcPr>
            <w:tcW w:w="2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20"/>
                <w:szCs w:val="20"/>
                <w:color w:val="auto"/>
                <w:w w:val="86"/>
              </w:rPr>
              <w:t>Name</w:t>
            </w:r>
          </w:p>
        </w:tc>
        <w:tc>
          <w:tcPr>
            <w:tcW w:w="5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Jurisdiction</w:t>
            </w: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1"/>
        </w:trPr>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Publishing Company</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NY,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UK Ltd.</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94"/>
              </w:rPr>
              <w:t>United Kingdom</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Europe GmbH</w:t>
            </w:r>
          </w:p>
        </w:tc>
        <w:tc>
          <w:tcPr>
            <w:tcW w:w="356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Germany</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(Shanghai) Technology Co., Ltd.</w:t>
            </w:r>
          </w:p>
        </w:tc>
        <w:tc>
          <w:tcPr>
            <w:tcW w:w="356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China</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Publishing Company LLC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Industrial Network,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Marketing Services,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Global Register, LLC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Tarkmomas European Publishing Co,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Tarkpapas European Publishing Co,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 Europe – V.O.F.</w:t>
            </w:r>
          </w:p>
        </w:tc>
        <w:tc>
          <w:tcPr>
            <w:tcW w:w="35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Belgium</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 de Mexico – CV</w:t>
            </w:r>
          </w:p>
        </w:tc>
        <w:tc>
          <w:tcPr>
            <w:tcW w:w="35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Mexico</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Product Information Network,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ThomComp,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6"/>
        </w:trPr>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Company,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2"/>
        </w:trPr>
        <w:tc>
          <w:tcPr>
            <w:tcW w:w="24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TL Publicacoes Eletonicas Limitada</w:t>
            </w:r>
          </w:p>
        </w:tc>
        <w:tc>
          <w:tcPr>
            <w:tcW w:w="35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5"/>
              </w:rPr>
              <w:t>Brazil</w:t>
            </w:r>
          </w:p>
        </w:tc>
      </w:tr>
      <w:tr>
        <w:trPr>
          <w:trHeight w:val="286"/>
        </w:trPr>
        <w:tc>
          <w:tcPr>
            <w:tcW w:w="240" w:type="dxa"/>
            <w:vAlign w:val="bottom"/>
          </w:tcPr>
          <w:p>
            <w:pPr>
              <w:spacing w:after="0"/>
              <w:rPr>
                <w:sz w:val="24"/>
                <w:szCs w:val="24"/>
                <w:color w:val="auto"/>
              </w:rPr>
            </w:pPr>
          </w:p>
        </w:tc>
        <w:tc>
          <w:tcPr>
            <w:tcW w:w="5720" w:type="dxa"/>
            <w:vAlign w:val="bottom"/>
            <w:gridSpan w:val="2"/>
          </w:tcPr>
          <w:p>
            <w:pPr>
              <w:spacing w:after="0" w:line="286" w:lineRule="exact"/>
              <w:rPr>
                <w:sz w:val="20"/>
                <w:szCs w:val="20"/>
                <w:color w:val="auto"/>
              </w:rPr>
            </w:pPr>
            <w:r>
              <w:rPr>
                <w:rFonts w:ascii="Arial" w:cs="Arial" w:eastAsia="Arial" w:hAnsi="Arial"/>
                <w:sz w:val="20"/>
                <w:szCs w:val="20"/>
                <w:color w:val="auto"/>
              </w:rPr>
              <w:t>Incom Co., Ltd.</w:t>
            </w:r>
            <w:r>
              <w:rPr>
                <w:rFonts w:ascii="Arial" w:cs="Arial" w:eastAsia="Arial" w:hAnsi="Arial"/>
                <w:sz w:val="26"/>
                <w:szCs w:val="26"/>
                <w:color w:val="auto"/>
                <w:vertAlign w:val="superscript"/>
              </w:rPr>
              <w:t>(1)</w:t>
            </w:r>
          </w:p>
        </w:tc>
        <w:tc>
          <w:tcPr>
            <w:tcW w:w="35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4"/>
              </w:rPr>
              <w:t>Japan</w:t>
            </w:r>
          </w:p>
        </w:tc>
      </w:tr>
      <w:tr>
        <w:trPr>
          <w:trHeight w:val="226"/>
        </w:trPr>
        <w:tc>
          <w:tcPr>
            <w:tcW w:w="240" w:type="dxa"/>
            <w:vAlign w:val="bottom"/>
          </w:tcPr>
          <w:p>
            <w:pPr>
              <w:spacing w:after="0"/>
              <w:rPr>
                <w:sz w:val="19"/>
                <w:szCs w:val="19"/>
                <w:color w:val="auto"/>
              </w:rPr>
            </w:pPr>
          </w:p>
        </w:tc>
        <w:tc>
          <w:tcPr>
            <w:tcW w:w="5720" w:type="dxa"/>
            <w:vAlign w:val="bottom"/>
            <w:gridSpan w:val="2"/>
          </w:tcPr>
          <w:p>
            <w:pPr>
              <w:spacing w:after="0" w:line="226" w:lineRule="exact"/>
              <w:rPr>
                <w:sz w:val="20"/>
                <w:szCs w:val="20"/>
                <w:color w:val="auto"/>
              </w:rPr>
            </w:pPr>
            <w:r>
              <w:rPr>
                <w:rFonts w:ascii="Arial" w:cs="Arial" w:eastAsia="Arial" w:hAnsi="Arial"/>
                <w:sz w:val="20"/>
                <w:szCs w:val="20"/>
                <w:color w:val="auto"/>
              </w:rPr>
              <w:t>Incom/TIPCo Inc.</w:t>
            </w:r>
          </w:p>
        </w:tc>
        <w:tc>
          <w:tcPr>
            <w:tcW w:w="4740" w:type="dxa"/>
            <w:vAlign w:val="bottom"/>
            <w:gridSpan w:val="3"/>
          </w:tcPr>
          <w:p>
            <w:pPr>
              <w:jc w:val="center"/>
              <w:ind w:left="3221"/>
              <w:spacing w:after="0" w:line="226" w:lineRule="exact"/>
              <w:rPr>
                <w:sz w:val="20"/>
                <w:szCs w:val="20"/>
                <w:color w:val="auto"/>
              </w:rPr>
            </w:pPr>
            <w:r>
              <w:rPr>
                <w:rFonts w:ascii="Arial" w:cs="Arial" w:eastAsia="Arial" w:hAnsi="Arial"/>
                <w:sz w:val="20"/>
                <w:szCs w:val="20"/>
                <w:color w:val="auto"/>
                <w:w w:val="89"/>
              </w:rPr>
              <w:t>DE, United States</w:t>
            </w:r>
          </w:p>
        </w:tc>
      </w:tr>
      <w:tr>
        <w:trPr>
          <w:trHeight w:val="286"/>
        </w:trPr>
        <w:tc>
          <w:tcPr>
            <w:tcW w:w="240" w:type="dxa"/>
            <w:vAlign w:val="bottom"/>
          </w:tcPr>
          <w:p>
            <w:pPr>
              <w:spacing w:after="0"/>
              <w:rPr>
                <w:sz w:val="24"/>
                <w:szCs w:val="24"/>
                <w:color w:val="auto"/>
              </w:rPr>
            </w:pPr>
          </w:p>
        </w:tc>
        <w:tc>
          <w:tcPr>
            <w:tcW w:w="5720" w:type="dxa"/>
            <w:vAlign w:val="bottom"/>
            <w:gridSpan w:val="2"/>
          </w:tcPr>
          <w:p>
            <w:pPr>
              <w:spacing w:after="0" w:line="286" w:lineRule="exact"/>
              <w:rPr>
                <w:sz w:val="20"/>
                <w:szCs w:val="20"/>
                <w:color w:val="auto"/>
              </w:rPr>
            </w:pPr>
            <w:r>
              <w:rPr>
                <w:rFonts w:ascii="Arial" w:cs="Arial" w:eastAsia="Arial" w:hAnsi="Arial"/>
                <w:sz w:val="20"/>
                <w:szCs w:val="20"/>
                <w:color w:val="auto"/>
              </w:rPr>
              <w:t>Industrial Media, LLC</w:t>
            </w:r>
            <w:r>
              <w:rPr>
                <w:rFonts w:ascii="Arial" w:cs="Arial" w:eastAsia="Arial" w:hAnsi="Arial"/>
                <w:sz w:val="26"/>
                <w:szCs w:val="26"/>
                <w:color w:val="auto"/>
                <w:vertAlign w:val="superscript"/>
              </w:rPr>
              <w:t>(2)</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0"/>
        </w:trPr>
        <w:tc>
          <w:tcPr>
            <w:tcW w:w="24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Integrated Marketing Group</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holds a 66.67% ownership interest.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holds a 50%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32" w:right="8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333-257671, No. 333-258432 and No. 333-263716) on Form S-8 of our reports dated March 16, 2023, with respect to the consolidated financial statements of Xometry, Inc. and subsidiaries and the effectiveness of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Randolph Altschuler, certify that:</w:t>
      </w:r>
    </w:p>
    <w:p>
      <w:pPr>
        <w:spacing w:after="0" w:line="225"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Xometry,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80" w:hanging="479"/>
        <w:spacing w:after="0" w:line="263" w:lineRule="auto"/>
        <w:tabs>
          <w:tab w:leader="none" w:pos="8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307" w:lineRule="auto"/>
        <w:tabs>
          <w:tab w:leader="none" w:pos="894"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James Rallo, certify that:</w:t>
      </w:r>
    </w:p>
    <w:p>
      <w:pPr>
        <w:spacing w:after="0" w:line="225"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Xometry,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80" w:hanging="479"/>
        <w:spacing w:after="0" w:line="263"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307" w:lineRule="auto"/>
        <w:tabs>
          <w:tab w:leader="none" w:pos="89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In connection with the Annual Report of Xometry, Inc. (the “Company”) on Form 10-K for the year ending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760" w:hanging="479"/>
        <w:spacing w:after="0" w:line="277" w:lineRule="auto"/>
        <w:tabs>
          <w:tab w:leader="none" w:pos="8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In connection with the Annual Report of Xometry, Inc. (the “Company”) on Form 10-K for the year ending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760" w:hanging="479"/>
        <w:spacing w:after="0" w:line="277" w:lineRule="auto"/>
        <w:tabs>
          <w:tab w:leader="none" w:pos="8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decimal"/>
      <w:start w:val="2"/>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2"/>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2"/>
    </w:lvl>
  </w:abstractNum>
  <w:abstractNum w:abstractNumId="33">
    <w:nsid w:val="61574095"/>
    <w:multiLevelType w:val="hybridMultilevel"/>
    <w:lvl w:ilvl="0">
      <w:lvlJc w:val="left"/>
      <w:lvlText w:val="(%1)"/>
      <w:numFmt w:val="lowerLetter"/>
      <w:start w:val="3"/>
    </w:lvl>
  </w:abstractNum>
  <w:abstractNum w:abstractNumId="34">
    <w:nsid w:val="7E0C57B1"/>
    <w:multiLevelType w:val="hybridMultilevel"/>
    <w:lvl w:ilvl="0">
      <w:lvlJc w:val="left"/>
      <w:lvlText w:val="(%1)"/>
      <w:numFmt w:val="lowerLetter"/>
      <w:start w:val="4"/>
    </w:lvl>
  </w:abstractNum>
  <w:abstractNum w:abstractNumId="35">
    <w:nsid w:val="77AE35EB"/>
    <w:multiLevelType w:val="hybridMultilevel"/>
    <w:lvl w:ilvl="0">
      <w:lvlJc w:val="left"/>
      <w:lvlText w:val="(%1)"/>
      <w:numFmt w:val="lowerLetter"/>
      <w:start w:val="5"/>
    </w:lvl>
  </w:abstractNum>
  <w:abstractNum w:abstractNumId="36">
    <w:nsid w:val="579BE4F1"/>
    <w:multiLevelType w:val="hybridMultilevel"/>
    <w:lvl w:ilvl="0">
      <w:lvlJc w:val="left"/>
      <w:lvlText w:val="(%1)"/>
      <w:numFmt w:val="lowerLetter"/>
      <w:start w:val="6"/>
    </w:lvl>
  </w:abstractNum>
  <w:abstractNum w:abstractNumId="37">
    <w:nsid w:val="310C50B3"/>
    <w:multiLevelType w:val="hybridMultilevel"/>
    <w:lvl w:ilvl="0">
      <w:lvlJc w:val="left"/>
      <w:lvlText w:val="(%1)"/>
      <w:numFmt w:val="lowerLetter"/>
      <w:start w:val="7"/>
    </w:lvl>
  </w:abstractNum>
  <w:abstractNum w:abstractNumId="38">
    <w:nsid w:val="5FF87E05"/>
    <w:multiLevelType w:val="hybridMultilevel"/>
    <w:lvl w:ilvl="0">
      <w:lvlJc w:val="left"/>
      <w:lvlText w:val="(%1)"/>
      <w:numFmt w:val="lowerLetter"/>
      <w:start w:val="8"/>
    </w:lvl>
  </w:abstractNum>
  <w:abstractNum w:abstractNumId="39">
    <w:nsid w:val="2F305DEF"/>
    <w:multiLevelType w:val="hybridMultilevel"/>
    <w:lvl w:ilvl="0">
      <w:lvlJc w:val="left"/>
      <w:lvlText w:val="(%1)"/>
      <w:numFmt w:val="lowerRoman"/>
      <w:start w:val="1"/>
    </w:lvl>
  </w:abstractNum>
  <w:abstractNum w:abstractNumId="40">
    <w:nsid w:val="25A70BF7"/>
    <w:multiLevelType w:val="hybridMultilevel"/>
    <w:lvl w:ilvl="0">
      <w:lvlJc w:val="left"/>
      <w:lvlText w:val="(%1)"/>
      <w:numFmt w:val="lowerLetter"/>
      <w:start w:val="10"/>
    </w:lvl>
  </w:abstractNum>
  <w:abstractNum w:abstractNumId="41">
    <w:nsid w:val="1DBABF00"/>
    <w:multiLevelType w:val="hybridMultilevel"/>
    <w:lvl w:ilvl="0">
      <w:lvlJc w:val="left"/>
      <w:lvlText w:val="(%1)"/>
      <w:numFmt w:val="lowerLetter"/>
      <w:start w:val="11"/>
    </w:lvl>
  </w:abstractNum>
  <w:abstractNum w:abstractNumId="42">
    <w:nsid w:val="4AD084E9"/>
    <w:multiLevelType w:val="hybridMultilevel"/>
    <w:lvl w:ilvl="0">
      <w:lvlJc w:val="left"/>
      <w:lvlText w:val="(%1)"/>
      <w:numFmt w:val="lowerLetter"/>
      <w:start w:val="12"/>
    </w:lvl>
  </w:abstractNum>
  <w:abstractNum w:abstractNumId="43">
    <w:nsid w:val="1F48EAA1"/>
    <w:multiLevelType w:val="hybridMultilevel"/>
    <w:lvl w:ilvl="0">
      <w:lvlJc w:val="left"/>
      <w:lvlText w:val="(%1)"/>
      <w:numFmt w:val="lowerLetter"/>
      <w:start w:val="13"/>
    </w:lvl>
  </w:abstractNum>
  <w:abstractNum w:abstractNumId="44">
    <w:nsid w:val="1381823A"/>
    <w:multiLevelType w:val="hybridMultilevel"/>
    <w:lvl w:ilvl="0">
      <w:lvlJc w:val="left"/>
      <w:lvlText w:val="(%1)"/>
      <w:numFmt w:val="lowerLetter"/>
      <w:start w:val="14"/>
    </w:lvl>
  </w:abstractNum>
  <w:abstractNum w:abstractNumId="45">
    <w:nsid w:val="5DB70AE5"/>
    <w:multiLevelType w:val="hybridMultilevel"/>
    <w:lvl w:ilvl="0">
      <w:lvlJc w:val="left"/>
      <w:lvlText w:val="(%1)"/>
      <w:numFmt w:val="lowerLetter"/>
      <w:start w:val="15"/>
    </w:lvl>
  </w:abstractNum>
  <w:abstractNum w:abstractNumId="46">
    <w:nsid w:val="100F8FCA"/>
    <w:multiLevelType w:val="hybridMultilevel"/>
    <w:lvl w:ilvl="0">
      <w:lvlJc w:val="left"/>
      <w:lvlText w:val="(%1)"/>
      <w:numFmt w:val="lowerLetter"/>
      <w:start w:val="16"/>
    </w:lvl>
  </w:abstractNum>
  <w:abstractNum w:abstractNumId="47">
    <w:nsid w:val="6590700B"/>
    <w:multiLevelType w:val="hybridMultilevel"/>
    <w:lvl w:ilvl="0">
      <w:lvlJc w:val="left"/>
      <w:lvlText w:val="(%1)"/>
      <w:numFmt w:val="lowerLetter"/>
      <w:start w:val="17"/>
    </w:lvl>
  </w:abstractNum>
  <w:abstractNum w:abstractNumId="48">
    <w:nsid w:val="15014ACB"/>
    <w:multiLevelType w:val="hybridMultilevel"/>
    <w:lvl w:ilvl="0">
      <w:lvlJc w:val="left"/>
      <w:lvlText w:val="(%1)"/>
      <w:numFmt w:val="lowerLetter"/>
      <w:start w:val="18"/>
    </w:lvl>
  </w:abstractNum>
  <w:abstractNum w:abstractNumId="49">
    <w:nsid w:val="5F5E7FD0"/>
    <w:multiLevelType w:val="hybridMultilevel"/>
    <w:lvl w:ilvl="0">
      <w:lvlJc w:val="left"/>
      <w:lvlText w:val="(%1)"/>
      <w:numFmt w:val="lowerLetter"/>
      <w:start w:val="19"/>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lowerLetter"/>
      <w:start w:val="20"/>
    </w:lvl>
  </w:abstractNum>
  <w:abstractNum w:abstractNumId="52">
    <w:nsid w:val="6B94764"/>
    <w:multiLevelType w:val="hybridMultilevel"/>
    <w:lvl w:ilvl="0">
      <w:lvlJc w:val="left"/>
      <w:lvlText w:val="(%1)"/>
      <w:numFmt w:val="lowerLetter"/>
      <w:start w:val="21"/>
    </w:lvl>
  </w:abstractNum>
  <w:abstractNum w:abstractNumId="53">
    <w:nsid w:val="42C296BD"/>
    <w:multiLevelType w:val="hybridMultilevel"/>
    <w:lvl w:ilvl="0">
      <w:lvlJc w:val="left"/>
      <w:lvlText w:val="(%1)"/>
      <w:numFmt w:val="lowerRoman"/>
      <w:start w:val="5"/>
    </w:lvl>
  </w:abstractNum>
  <w:abstractNum w:abstractNumId="54">
    <w:nsid w:val="168E121F"/>
    <w:multiLevelType w:val="hybridMultilevel"/>
    <w:lvl w:ilvl="0">
      <w:lvlJc w:val="left"/>
      <w:lvlText w:val="(%1)"/>
      <w:numFmt w:val="lowerLetter"/>
      <w:start w:val="23"/>
    </w:lvl>
  </w:abstractNum>
  <w:abstractNum w:abstractNumId="55">
    <w:nsid w:val="1EBA5D23"/>
    <w:multiLevelType w:val="hybridMultilevel"/>
    <w:lvl w:ilvl="0">
      <w:lvlJc w:val="left"/>
      <w:lvlText w:val="(%1)"/>
      <w:numFmt w:val="lowerRoman"/>
      <w:start w:val="10"/>
    </w:lvl>
  </w:abstractNum>
  <w:abstractNum w:abstractNumId="56">
    <w:nsid w:val="661E3F1E"/>
    <w:multiLevelType w:val="hybridMultilevel"/>
    <w:lvl w:ilvl="0">
      <w:lvlJc w:val="left"/>
      <w:lvlText w:val="(%1)"/>
      <w:numFmt w:val="lowerLetter"/>
      <w:start w:val="25"/>
    </w:lvl>
  </w:abstractNum>
  <w:abstractNum w:abstractNumId="57">
    <w:nsid w:val="5DC79EA8"/>
    <w:multiLevelType w:val="hybridMultilevel"/>
    <w:lvl w:ilvl="0">
      <w:lvlJc w:val="left"/>
      <w:lvlText w:val="(%1)"/>
      <w:numFmt w:val="decimal"/>
      <w:start w:val="3"/>
    </w:lvl>
  </w:abstractNum>
  <w:abstractNum w:abstractNumId="58">
    <w:nsid w:val="540A471C"/>
    <w:multiLevelType w:val="hybridMultilevel"/>
    <w:lvl w:ilvl="0">
      <w:lvlJc w:val="left"/>
      <w:lvlText w:val="(%1)"/>
      <w:numFmt w:val="decimal"/>
      <w:start w:val="4"/>
    </w:lvl>
  </w:abstractNum>
  <w:abstractNum w:abstractNumId="59">
    <w:nsid w:val="7BD3EE7B"/>
    <w:multiLevelType w:val="hybridMultilevel"/>
    <w:lvl w:ilvl="0">
      <w:lvlJc w:val="left"/>
      <w:lvlText w:val="(%1)"/>
      <w:numFmt w:val="decimal"/>
      <w:start w:val="5"/>
    </w:lvl>
  </w:abstractNum>
  <w:abstractNum w:abstractNumId="60">
    <w:nsid w:val="51D9C564"/>
    <w:multiLevelType w:val="hybridMultilevel"/>
    <w:lvl w:ilvl="0">
      <w:lvlJc w:val="left"/>
      <w:lvlText w:val="(%1)"/>
      <w:numFmt w:val="decimal"/>
      <w:start w:val="6"/>
    </w:lvl>
  </w:abstractNum>
  <w:abstractNum w:abstractNumId="61">
    <w:nsid w:val="613EFDC5"/>
    <w:multiLevelType w:val="hybridMultilevel"/>
    <w:lvl w:ilvl="0">
      <w:lvlJc w:val="left"/>
      <w:lvlText w:val="(%1)"/>
      <w:numFmt w:val="decimal"/>
      <w:start w:val="7"/>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decimal"/>
      <w:start w:val="8"/>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2"/>
    </w:lvl>
  </w:abstractNum>
  <w:abstractNum w:abstractNumId="66">
    <w:nsid w:val="8F2B15E"/>
    <w:multiLevelType w:val="hybridMultilevel"/>
    <w:lvl w:ilvl="0">
      <w:lvlJc w:val="left"/>
      <w:lvlText w:val="(%1)"/>
      <w:numFmt w:val="lowerLetter"/>
      <w:start w:val="3"/>
    </w:lvl>
  </w:abstractNum>
  <w:abstractNum w:abstractNumId="67">
    <w:nsid w:val="1A32234B"/>
    <w:multiLevelType w:val="hybridMultilevel"/>
    <w:lvl w:ilvl="0">
      <w:lvlJc w:val="left"/>
      <w:lvlText w:val="(%1)"/>
      <w:numFmt w:val="lowerLetter"/>
      <w:start w:val="4"/>
    </w:lvl>
  </w:abstractNum>
  <w:abstractNum w:abstractNumId="68">
    <w:nsid w:val="3B0FD379"/>
    <w:multiLevelType w:val="hybridMultilevel"/>
    <w:lvl w:ilvl="0">
      <w:lvlJc w:val="left"/>
      <w:lvlText w:val="(%1)"/>
      <w:numFmt w:val="lowerLetter"/>
      <w:start w:val="5"/>
    </w:lvl>
  </w:abstractNum>
  <w:abstractNum w:abstractNumId="69">
    <w:nsid w:val="68EB2F63"/>
    <w:multiLevelType w:val="hybridMultilevel"/>
    <w:lvl w:ilvl="0">
      <w:lvlJc w:val="left"/>
      <w:lvlText w:val="(%1)"/>
      <w:numFmt w:val="decimal"/>
      <w:start w:val="9"/>
    </w:lvl>
  </w:abstractNum>
  <w:abstractNum w:abstractNumId="70">
    <w:nsid w:val="4962813B"/>
    <w:multiLevelType w:val="hybridMultilevel"/>
    <w:lvl w:ilvl="0">
      <w:lvlJc w:val="left"/>
      <w:lvlText w:val="(%1)"/>
      <w:numFmt w:val="decimal"/>
      <w:start w:val="10"/>
    </w:lvl>
  </w:abstractNum>
  <w:abstractNum w:abstractNumId="71">
    <w:nsid w:val="60B6DF70"/>
    <w:multiLevelType w:val="hybridMultilevel"/>
    <w:lvl w:ilvl="0">
      <w:lvlJc w:val="left"/>
      <w:lvlText w:val="(%1)"/>
      <w:numFmt w:val="decimal"/>
      <w:start w:val="11"/>
    </w:lvl>
  </w:abstractNum>
  <w:abstractNum w:abstractNumId="72">
    <w:nsid w:val="6A5EE64"/>
    <w:multiLevelType w:val="hybridMultilevel"/>
    <w:lvl w:ilvl="0">
      <w:lvlJc w:val="left"/>
      <w:lvlText w:val="(%1)"/>
      <w:numFmt w:val="decimal"/>
      <w:start w:val="12"/>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3"/>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4"/>
    </w:lvl>
  </w:abstractNum>
  <w:abstractNum w:abstractNumId="78">
    <w:nsid w:val="7FB7E0AA"/>
    <w:multiLevelType w:val="hybridMultilevel"/>
    <w:lvl w:ilvl="0">
      <w:lvlJc w:val="left"/>
      <w:lvlText w:val="(%1)"/>
      <w:numFmt w:val="decimal"/>
      <w:start w:val="15"/>
    </w:lvl>
  </w:abstractNum>
  <w:abstractNum w:abstractNumId="79">
    <w:nsid w:val="6EB5BD4"/>
    <w:multiLevelType w:val="hybridMultilevel"/>
    <w:lvl w:ilvl="0">
      <w:lvlJc w:val="left"/>
      <w:lvlText w:val="(%1)"/>
      <w:numFmt w:val="decimal"/>
      <w:start w:val="16"/>
    </w:lvl>
  </w:abstractNum>
  <w:abstractNum w:abstractNumId="80">
    <w:nsid w:val="6F6DD9AC"/>
    <w:multiLevelType w:val="hybridMultilevel"/>
    <w:lvl w:ilvl="0">
      <w:lvlJc w:val="left"/>
      <w:lvlText w:val="(%1)"/>
      <w:numFmt w:val="decimal"/>
      <w:start w:val="17"/>
    </w:lvl>
  </w:abstractNum>
  <w:abstractNum w:abstractNumId="81">
    <w:nsid w:val="94211F2"/>
    <w:multiLevelType w:val="hybridMultilevel"/>
    <w:lvl w:ilvl="0">
      <w:lvlJc w:val="left"/>
      <w:lvlText w:val="(%1)"/>
      <w:numFmt w:val="decimal"/>
      <w:start w:val="18"/>
    </w:lvl>
  </w:abstractNum>
  <w:abstractNum w:abstractNumId="82">
    <w:nsid w:val="885E1B"/>
    <w:multiLevelType w:val="hybridMultilevel"/>
    <w:lvl w:ilvl="0">
      <w:lvlJc w:val="left"/>
      <w:lvlText w:val="(%1)"/>
      <w:numFmt w:val="decimal"/>
      <w:start w:val="19"/>
    </w:lvl>
  </w:abstractNum>
  <w:abstractNum w:abstractNumId="83">
    <w:nsid w:val="76272110"/>
    <w:multiLevelType w:val="hybridMultilevel"/>
    <w:lvl w:ilvl="0">
      <w:lvlJc w:val="left"/>
      <w:lvlText w:val="*"/>
      <w:numFmt w:val="bullet"/>
      <w:start w:val="1"/>
    </w:lvl>
    <w:lvl w:ilvl="1">
      <w:lvlJc w:val="left"/>
      <w:lvlText w:val="%2"/>
      <w:numFmt w:val="decimal"/>
      <w:start w:val="104"/>
    </w:lvl>
  </w:abstractNum>
  <w:abstractNum w:abstractNumId="84">
    <w:nsid w:val="4C04A8AF"/>
    <w:multiLevelType w:val="hybridMultilevel"/>
    <w:lvl w:ilvl="0">
      <w:lvlJc w:val="left"/>
      <w:lvlText w:val="**"/>
      <w:numFmt w:val="bullet"/>
      <w:start w:val="1"/>
    </w:lvl>
    <w:lvl w:ilvl="1">
      <w:lvlJc w:val="left"/>
      <w:lvlText w:val="%2"/>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83" Type="http://schemas.openxmlformats.org/officeDocument/2006/relationships/hyperlink" Target="https://www.sec.gov/ix?doc=/Archives/edgar/data/1657573/000095017022004158/xmtr-20211231.htm" TargetMode="External"/><Relationship Id="rId383" Type="http://schemas.openxmlformats.org/officeDocument/2006/relationships/hyperlink" Target="https://www.sec.gov/Archives/edgar/data/0001657573/000119312521207643/d184650dex31.htm" TargetMode="External"/><Relationship Id="rId384" Type="http://schemas.openxmlformats.org/officeDocument/2006/relationships/hyperlink" Target="https://www.sec.gov/Archives/edgar/data/0001657573/000119312521207643/d184650dex32.htm" TargetMode="External"/><Relationship Id="rId385" Type="http://schemas.openxmlformats.org/officeDocument/2006/relationships/hyperlink" Target="https://www.sec.gov/Archives/edgar/data/0001657573/000119312522028542/d278632dex41.htm" TargetMode="External"/><Relationship Id="rId386" Type="http://schemas.openxmlformats.org/officeDocument/2006/relationships/hyperlink" Target="https://www.sec.gov/Archives/edgar/data/0001657573/000119312522028542/d278632dex41.htm#exa" TargetMode="External"/><Relationship Id="rId387" Type="http://schemas.openxmlformats.org/officeDocument/2006/relationships/hyperlink" Target="https://www.sec.gov/Archives/edgar/data/1657573/000095017022004158/xmtr-ex4_3.htm" TargetMode="External"/><Relationship Id="rId388" Type="http://schemas.openxmlformats.org/officeDocument/2006/relationships/hyperlink" Target="https://www.sec.gov/Archives/edgar/data/0001657573/000119312521200359/d120843dex41.htm" TargetMode="External"/><Relationship Id="rId389" Type="http://schemas.openxmlformats.org/officeDocument/2006/relationships/hyperlink" Target="https://www.sec.gov/Archives/edgar/data/0001657573/000119312521194064/d120843dex109.htm" TargetMode="External"/><Relationship Id="rId390" Type="http://schemas.openxmlformats.org/officeDocument/2006/relationships/hyperlink" Target="https://www.sec.gov/Archives/edgar/data/0001657573/000119312521200359/d120843dex1010.htm" TargetMode="External"/><Relationship Id="rId391" Type="http://schemas.openxmlformats.org/officeDocument/2006/relationships/hyperlink" Target="https://www.sec.gov/Archives/edgar/data/0001657573/000119312521200359/d120843dex1011.htm" TargetMode="External"/><Relationship Id="rId392" Type="http://schemas.openxmlformats.org/officeDocument/2006/relationships/hyperlink" Target="https://www.sec.gov/Archives/edgar/data/0001657573/000119312521200359/d120843dex1012.htm" TargetMode="External"/><Relationship Id="rId393" Type="http://schemas.openxmlformats.org/officeDocument/2006/relationships/hyperlink" Target="https://www.sec.gov/Archives/edgar/data/0001657573/000119312521200359/d120843dex1013.htm" TargetMode="External"/><Relationship Id="rId394" Type="http://schemas.openxmlformats.org/officeDocument/2006/relationships/hyperlink" Target="https://www.sec.gov/Archives/edgar/data/0001657573/000119312521200359/d120843dex1014.htm" TargetMode="External"/><Relationship Id="rId395" Type="http://schemas.openxmlformats.org/officeDocument/2006/relationships/hyperlink" Target="https://www.sec.gov/Archives/edgar/data/0001657573/000119312521194064/d120843dex1015.htm" TargetMode="External"/><Relationship Id="rId396" Type="http://schemas.openxmlformats.org/officeDocument/2006/relationships/hyperlink" Target="https://www.sec.gov/Archives/edgar/data/0001657573/000119312521194064/d120843dex1018.htm" TargetMode="External"/><Relationship Id="rId397" Type="http://schemas.openxmlformats.org/officeDocument/2006/relationships/hyperlink" Target="https://www.sec.gov/Archives/edgar/data/0001657573/000119312521350901/d254750dex21.htm" TargetMode="External"/><Relationship Id="rId398" Type="http://schemas.openxmlformats.org/officeDocument/2006/relationships/hyperlink" Target="https://www.sec.gov/Archives/edgar/data/0001657573/000119312521181945/d120843dex101.htm" TargetMode="External"/><Relationship Id="rId399" Type="http://schemas.openxmlformats.org/officeDocument/2006/relationships/hyperlink" Target="https://www.sec.gov/Archives/edgar/data/0001657573/000119312521181945/d120843dex102.htm" TargetMode="External"/><Relationship Id="rId400" Type="http://schemas.openxmlformats.org/officeDocument/2006/relationships/hyperlink" Target="https://www.sec.gov/Archives/edgar/data/0001657573/000119312521181945/d120843dex103.htm" TargetMode="External"/><Relationship Id="rId403" Type="http://schemas.openxmlformats.org/officeDocument/2006/relationships/hyperlink" Target="https://www.sec.gov/Archives/edgar/data/0001657573/000119312521181945/d120843dex104.htm" TargetMode="External"/><Relationship Id="rId404" Type="http://schemas.openxmlformats.org/officeDocument/2006/relationships/hyperlink" Target="https://www.sec.gov/Archives/edgar/data/0001657573/000119312521181945/d120843dex105.htm" TargetMode="External"/><Relationship Id="rId405" Type="http://schemas.openxmlformats.org/officeDocument/2006/relationships/hyperlink" Target="https://www.sec.gov/Archives/edgar/data/0001657573/000119312521181945/d120843dex106.htm" TargetMode="External"/><Relationship Id="rId406" Type="http://schemas.openxmlformats.org/officeDocument/2006/relationships/hyperlink" Target="https://www.sec.gov/Archives/edgar/data/0001657573/000119312521181945/d120843dex107.htm" TargetMode="External"/><Relationship Id="rId407" Type="http://schemas.openxmlformats.org/officeDocument/2006/relationships/hyperlink" Target="https://www.sec.gov/Archives/edgar/data/0001657573/000119312521181945/d120843dex108.htm" TargetMode="External"/><Relationship Id="rId408" Type="http://schemas.openxmlformats.org/officeDocument/2006/relationships/hyperlink" Target="https://www.sec.gov/Archives/edgar/data/0001657573/000119312521194064/d120843dex1016.htm" TargetMode="External"/><Relationship Id="rId409" Type="http://schemas.openxmlformats.org/officeDocument/2006/relationships/hyperlink" Target="https://www.sec.gov/Archives/edgar/data/0001657573/000119312521194064/d120843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2023-03-16T17:36:45Z</dcterms:created>
  <dcterms:modified xsi:type="dcterms:W3CDTF">2023-03-16T17:36:45Z</dcterms:modified>
</cp:coreProperties>
</file>