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40630.htm"/>
        <w:bookmarkStart w:id="1" w:name="ksxmtr20240630"/>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XMTR</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 2024, the registrant had 46,620,351</w:t>
      </w:r>
      <w:r>
        <w:rPr>
          <w:rFonts w:ascii="Times New Roman" w:hAnsi="Times New Roman"/>
          <w:color w:val="000000"/>
          <w:sz w:val="20"/>
        </w:rPr>
        <w:t xml:space="preserve"> </w:t>
      </w:r>
      <w:r>
        <w:rPr>
          <w:rFonts w:ascii="Times New Roman" w:hAnsi="Times New Roman"/>
          <w:color w:val="000000"/>
          <w:sz w:val="18"/>
        </w:rPr>
        <w:t>shares of Class A common stock, $0.000001 par value per share, and 2,676,154</w:t>
      </w:r>
      <w:r>
        <w:rPr>
          <w:rFonts w:ascii="Times New Roman" w:hAnsi="Times New Roman"/>
          <w:color w:val="000000"/>
          <w:sz w:val="20"/>
        </w:rPr>
        <w:t xml:space="preserve"> </w:t>
      </w:r>
      <w:r>
        <w:rPr>
          <w:rFonts w:ascii="Times New Roman" w:hAnsi="Times New Roman"/>
          <w:color w:val="000000"/>
          <w:sz w:val="18"/>
        </w:rPr>
        <w:t>shares of Class B common stock, $0.000001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_statement_new">
              <w:r>
                <w:rPr>
                  <w:rStyle w:val="InternetLink"/>
                  <w:rFonts w:ascii="Times New Roman" w:hAnsi="Times New Roman"/>
                  <w:color w:val="0000FF"/>
                  <w:sz w:val="20"/>
                  <w:u w:val="single"/>
                </w:rPr>
                <w:t>Condensed Consolidated Statements of Changes in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r>
              <w:rPr>
                <w:rFonts w:ascii="Times New Roman" w:hAnsi="Times New Roman"/>
                <w:color w:val="000000"/>
                <w:sz w:val="20"/>
              </w:rPr>
              <w:t xml:space="preserve"> </w:t>
            </w:r>
            <w:hyperlink w:anchor="balance_sheet">
              <w:r>
                <w:rPr>
                  <w:rStyle w:val="InternetLink"/>
                  <w:rFonts w:ascii="Times New Roman" w:hAnsi="Times New Roman"/>
                  <w:color w:val="0000FF"/>
                  <w:sz w:val="20"/>
                  <w:u w:val="single"/>
                </w:rPr>
                <w:t>(Unaudited)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61"/>
        <w:gridCol w:w="109"/>
        <w:gridCol w:w="146"/>
        <w:gridCol w:w="64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effects of public health crises or other macroeconomic factors and geopolitical tension, which may lead to periods of global economic uncertainty;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tc>
      </w:tr>
    </w:tbl>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tc>
      </w:tr>
    </w:tbl>
    <w:p>
      <w:pPr>
        <w:pStyle w:val="TextBody"/>
        <w:bidi w:val="0"/>
        <w:jc w:val="left"/>
        <w:rPr/>
      </w:pPr>
      <w:r>
        <w:rPr/>
        <w:t> </w:t>
      </w:r>
    </w:p>
    <w:tbl>
      <w:tblPr>
        <w:tblW w:w="8097" w:type="dxa"/>
        <w:jc w:val="left"/>
        <w:tblInd w:w="0" w:type="dxa"/>
        <w:tblLayout w:type="fixed"/>
        <w:tblCellMar>
          <w:top w:w="28" w:type="dxa"/>
          <w:left w:w="28" w:type="dxa"/>
          <w:bottom w:w="28" w:type="dxa"/>
          <w:right w:w="28" w:type="dxa"/>
        </w:tblCellMar>
      </w:tblPr>
      <w:tblGrid>
        <w:gridCol w:w="161"/>
        <w:gridCol w:w="109"/>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tc>
      </w:tr>
    </w:tbl>
    <w:p>
      <w:pPr>
        <w:pStyle w:val="TextBody"/>
        <w:bidi w:val="0"/>
        <w:jc w:val="left"/>
        <w:rPr/>
      </w:pPr>
      <w:r>
        <w:rPr/>
        <w:t> </w:t>
      </w:r>
    </w:p>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tc>
      </w:tr>
    </w:tbl>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161"/>
        <w:gridCol w:w="109"/>
        <w:gridCol w:w="146"/>
        <w:gridCol w:w="88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inflationary pressures; </w:t>
            </w:r>
          </w:p>
        </w:tc>
      </w:tr>
    </w:tbl>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161"/>
        <w:gridCol w:w="109"/>
        <w:gridCol w:w="146"/>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tc>
      </w:tr>
    </w:tbl>
    <w:p>
      <w:pPr>
        <w:pStyle w:val="TextBody"/>
        <w:bidi w:val="0"/>
        <w:jc w:val="left"/>
        <w:rPr/>
      </w:pPr>
      <w:r>
        <w:rPr/>
        <w:t> </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growth rates of the markets in which we compete.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_item1"/>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fin120843_2"/>
      <w:bookmarkEnd w:id="5"/>
      <w:r>
        <w:rPr>
          <w:rFonts w:ascii="Times New Roman" w:hAnsi="Times New Roman"/>
          <w:color w:val="000000"/>
          <w:sz w:val="20"/>
        </w:rPr>
        <w:t xml:space="preserve">Condensed Consolidated </w:t>
      </w:r>
      <w:bookmarkStart w:id="6" w:name="balance_sheet"/>
      <w:bookmarkEnd w:id="6"/>
      <w:r>
        <w:rPr>
          <w:rFonts w:ascii="Times New Roman" w:hAnsi="Times New Roman"/>
          <w:color w:val="000000"/>
          <w:sz w:val="20"/>
        </w:rPr>
        <w:t>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196"/>
        <w:gridCol w:w="751"/>
        <w:gridCol w:w="166"/>
        <w:gridCol w:w="146"/>
        <w:gridCol w:w="209"/>
        <w:gridCol w:w="802"/>
        <w:gridCol w:w="592"/>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0" w:type="dxa"/>
            <w:gridSpan w:val="6"/>
            <w:tcBorders/>
            <w:shd w:fill="FFFFFF" w:val="clear"/>
            <w:vAlign w:val="center"/>
          </w:tcPr>
          <w:p>
            <w:pPr>
              <w:pStyle w:val="TableContents"/>
              <w:bidi w:val="0"/>
              <w:spacing w:before="0" w:after="283"/>
              <w:jc w:val="center"/>
              <w:rPr/>
            </w:pPr>
            <w:r>
              <w:rPr/>
              <w:t> </w:t>
            </w:r>
          </w:p>
        </w:tc>
        <w:tc>
          <w:tcPr>
            <w:tcW w:w="592" w:type="dxa"/>
            <w:tcBorders/>
            <w:shd w:fill="FFFFFF" w:val="clear"/>
            <w:vAlign w:val="center"/>
          </w:tcPr>
          <w:p>
            <w:pPr>
              <w:pStyle w:val="TableContents"/>
              <w:bidi w:val="0"/>
              <w:spacing w:before="0" w:after="283"/>
              <w:jc w:val="center"/>
              <w:rPr/>
            </w:pPr>
            <w:r>
              <w:rPr/>
              <w:t> </w:t>
            </w:r>
          </w:p>
        </w:tc>
      </w:tr>
      <w:tr>
        <w:trPr/>
        <w:tc>
          <w:tcPr>
            <w:tcW w:w="71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1" w:type="dxa"/>
            <w:gridSpan w:val="2"/>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1" w:type="dxa"/>
            <w:gridSpan w:val="2"/>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ind w:left="0" w:right="0" w:firstLine="200"/>
              <w:jc w:val="righ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215,352</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Accounts receivable, less allowance for credit losses of $2.8</w:t>
            </w:r>
            <w:r>
              <w:rPr>
                <w:rFonts w:ascii="Times New Roman" w:hAnsi="Times New Roman"/>
                <w:color w:val="000000"/>
                <w:sz w:val="20"/>
              </w:rPr>
              <w:t> </w:t>
            </w:r>
            <w:r>
              <w:rPr>
                <w:rFonts w:ascii="Times New Roman" w:hAnsi="Times New Roman"/>
                <w:color w:val="000000"/>
                <w:sz w:val="16"/>
              </w:rPr>
              <w:t>million and $2.4</w:t>
            </w:r>
            <w:r>
              <w:rPr>
                <w:rFonts w:ascii="Times New Roman" w:hAnsi="Times New Roman"/>
                <w:color w:val="000000"/>
                <w:sz w:val="20"/>
              </w:rPr>
              <w:t> </w:t>
            </w:r>
            <w:r>
              <w:rPr>
                <w:rFonts w:ascii="Times New Roman" w:hAnsi="Times New Roman"/>
                <w:color w:val="000000"/>
                <w:sz w:val="16"/>
              </w:rPr>
              <w:t>million as of June 30, 2024 and December 31,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70,102</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356,231</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35,637</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12,251</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Investment in unconsolidated joint venture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35,768</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262,915</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707,387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1" w:type="dxa"/>
            <w:gridSpan w:val="2"/>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1" w:type="dxa"/>
            <w:gridSpan w:val="2"/>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ind w:left="0" w:right="0" w:firstLine="200"/>
              <w:jc w:val="righ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24,710</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41,845</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7,357</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83,195</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281,769</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10,951</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376,968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13)</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1" w:type="dxa"/>
            <w:gridSpan w:val="2"/>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r>
      <w:tr>
        <w:trPr/>
        <w:tc>
          <w:tcPr>
            <w:tcW w:w="71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1" w:type="dxa"/>
            <w:gridSpan w:val="2"/>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ind w:left="0" w:right="0" w:firstLine="200"/>
              <w:jc w:val="righ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46,322,810</w:t>
            </w:r>
            <w:r>
              <w:rPr>
                <w:rFonts w:ascii="Times New Roman" w:hAnsi="Times New Roman"/>
                <w:color w:val="000000"/>
                <w:sz w:val="20"/>
              </w:rPr>
              <w:t> </w:t>
            </w:r>
            <w:r>
              <w:rPr>
                <w:rFonts w:ascii="Times New Roman" w:hAnsi="Times New Roman"/>
                <w:color w:val="000000"/>
                <w:sz w:val="16"/>
              </w:rPr>
              <w:t>shares and 45,489,379</w:t>
            </w:r>
            <w:r>
              <w:rPr>
                <w:rFonts w:ascii="Times New Roman" w:hAnsi="Times New Roman"/>
                <w:color w:val="000000"/>
                <w:sz w:val="20"/>
              </w:rPr>
              <w:t> </w:t>
            </w:r>
            <w:r>
              <w:rPr>
                <w:rFonts w:ascii="Times New Roman" w:hAnsi="Times New Roman"/>
                <w:color w:val="000000"/>
                <w:sz w:val="16"/>
              </w:rPr>
              <w:t>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2,676,154</w:t>
            </w:r>
            <w:r>
              <w:rPr>
                <w:rFonts w:ascii="Times New Roman" w:hAnsi="Times New Roman"/>
                <w:color w:val="000000"/>
                <w:sz w:val="20"/>
              </w:rPr>
              <w:t> </w:t>
            </w:r>
            <w:r>
              <w:rPr>
                <w:rFonts w:ascii="Times New Roman" w:hAnsi="Times New Roman"/>
                <w:color w:val="000000"/>
                <w:sz w:val="16"/>
              </w:rPr>
              <w:t>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592" w:type="dxa"/>
            <w:tcBorders/>
            <w:shd w:fill="CFF0FC"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592"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9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592" w:type="dxa"/>
            <w:tcBorders/>
            <w:shd w:fill="FFFFFF" w:val="clear"/>
            <w:vAlign w:val="center"/>
          </w:tcPr>
          <w:p>
            <w:pPr>
              <w:pStyle w:val="TableContents"/>
              <w:bidi w:val="0"/>
              <w:spacing w:before="0" w:after="283"/>
              <w:ind w:left="0" w:right="0" w:firstLine="400"/>
              <w:jc w:val="left"/>
              <w:rPr/>
            </w:pPr>
            <w:r>
              <w:rPr/>
              <w:t> </w:t>
            </w:r>
          </w:p>
        </w:tc>
      </w:tr>
      <w:tr>
        <w:trPr/>
        <w:tc>
          <w:tcPr>
            <w:tcW w:w="7197"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707,387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in120843_3"/>
      <w:bookmarkEnd w:id="7"/>
      <w:r>
        <w:rPr>
          <w:rFonts w:ascii="Times New Roman" w:hAnsi="Times New Roman"/>
          <w:color w:val="000000"/>
          <w:sz w:val="20"/>
        </w:rPr>
        <w:t>Condensed Consolidated St</w:t>
      </w:r>
      <w:bookmarkStart w:id="8" w:name="statement_of_operations"/>
      <w:bookmarkEnd w:id="8"/>
      <w:r>
        <w:rPr>
          <w:rFonts w:ascii="Times New Roman" w:hAnsi="Times New Roman"/>
          <w:color w:val="000000"/>
          <w:sz w:val="20"/>
        </w:rPr>
        <w:t xml:space="preserve">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216,334</w:t>
            </w:r>
          </w:p>
        </w:tc>
        <w:tc>
          <w:tcPr>
            <w:tcW w:w="591" w:type="dxa"/>
            <w:tcBorders/>
            <w:shd w:fill="CFF0FC" w:val="cle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45,105</w:t>
            </w:r>
          </w:p>
        </w:tc>
        <w:tc>
          <w:tcPr>
            <w:tcW w:w="591" w:type="dxa"/>
            <w:tcBorders/>
            <w:shd w:fill="FFFFFF" w:val="clear"/>
            <w:vAlign w:val="center"/>
          </w:tcPr>
          <w:p>
            <w:pPr>
              <w:pStyle w:val="TableContents"/>
              <w:bidi w:val="0"/>
              <w:spacing w:before="0" w:after="283"/>
              <w:jc w:val="left"/>
              <w:rPr/>
            </w:pPr>
            <w:r>
              <w:rPr/>
              <w:t> </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Operations and support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26,828</w:t>
            </w:r>
          </w:p>
        </w:tc>
        <w:tc>
          <w:tcPr>
            <w:tcW w:w="591" w:type="dxa"/>
            <w:tcBorders/>
            <w:shd w:fill="CFF0FC" w:val="cle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17,047</w:t>
            </w:r>
          </w:p>
        </w:tc>
        <w:tc>
          <w:tcPr>
            <w:tcW w:w="591" w:type="dxa"/>
            <w:tcBorders/>
            <w:shd w:fill="FFFFFF" w:val="clear"/>
            <w:vAlign w:val="center"/>
          </w:tcPr>
          <w:p>
            <w:pPr>
              <w:pStyle w:val="TableContents"/>
              <w:bidi w:val="0"/>
              <w:spacing w:before="0" w:after="283"/>
              <w:jc w:val="left"/>
              <w:rPr/>
            </w:pPr>
            <w:r>
              <w:rPr/>
              <w:t> </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41,539</w:t>
            </w:r>
          </w:p>
        </w:tc>
        <w:tc>
          <w:tcPr>
            <w:tcW w:w="591" w:type="dxa"/>
            <w:tcBorders/>
            <w:shd w:fill="CFF0FC" w:val="cle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of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(47,840</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5,654</w:t>
            </w:r>
          </w:p>
        </w:tc>
        <w:tc>
          <w:tcPr>
            <w:tcW w:w="591" w:type="dxa"/>
            <w:tcBorders/>
            <w:shd w:fill="CFF0FC" w:val="cle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unconsolidated joint venture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Benefit (provision)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(44,902</w:t>
            </w:r>
          </w:p>
        </w:tc>
        <w:tc>
          <w:tcPr>
            <w:tcW w:w="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Weighted-average number of shares outstanding used to compute </w:t>
              <w:br/>
              <w:t>   net loss per share,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48,840,100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47,865,990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48,709,040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47,783,235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0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(44,902</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other comprehensive income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(44,543</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bookmarkStart w:id="9" w:name="equity_statement_new"/>
      <w:bookmarkEnd w:id="9"/>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months ended June 30, 2024 and 2023</w:t>
      </w:r>
    </w:p>
    <w:p>
      <w:pPr>
        <w:pStyle w:val="TextBody"/>
        <w:bidi w:val="0"/>
        <w:jc w:val="center"/>
        <w:rPr>
          <w:rFonts w:ascii="Times New Roman" w:hAnsi="Times New Roman"/>
          <w:color w:val="000000"/>
          <w:sz w:val="20"/>
        </w:rPr>
      </w:pPr>
      <w:bookmarkStart w:id="10" w:name="equity_statement"/>
      <w:bookmarkEnd w:id="10"/>
      <w:r>
        <w:rPr>
          <w:rFonts w:ascii="Times New Roman" w:hAnsi="Times New Roman"/>
          <w:color w:val="000000"/>
          <w:sz w:val="20"/>
        </w:rPr>
        <w:t>(In thousands, except share and per share data)</w:t>
      </w:r>
    </w:p>
    <w:tbl>
      <w:tblPr>
        <w:tblW w:w="11792" w:type="dxa"/>
        <w:jc w:val="left"/>
        <w:tblInd w:w="0" w:type="dxa"/>
        <w:tblLayout w:type="fixed"/>
        <w:tblCellMar>
          <w:top w:w="28" w:type="dxa"/>
          <w:left w:w="28" w:type="dxa"/>
          <w:bottom w:w="28" w:type="dxa"/>
          <w:right w:w="28" w:type="dxa"/>
        </w:tblCellMar>
      </w:tblPr>
      <w:tblGrid>
        <w:gridCol w:w="1201"/>
        <w:gridCol w:w="146"/>
        <w:gridCol w:w="916"/>
        <w:gridCol w:w="146"/>
        <w:gridCol w:w="206"/>
        <w:gridCol w:w="365"/>
        <w:gridCol w:w="146"/>
        <w:gridCol w:w="146"/>
        <w:gridCol w:w="826"/>
        <w:gridCol w:w="146"/>
        <w:gridCol w:w="206"/>
        <w:gridCol w:w="365"/>
        <w:gridCol w:w="146"/>
        <w:gridCol w:w="196"/>
        <w:gridCol w:w="691"/>
        <w:gridCol w:w="146"/>
        <w:gridCol w:w="349"/>
        <w:gridCol w:w="672"/>
        <w:gridCol w:w="146"/>
        <w:gridCol w:w="196"/>
        <w:gridCol w:w="751"/>
        <w:gridCol w:w="166"/>
        <w:gridCol w:w="196"/>
        <w:gridCol w:w="691"/>
        <w:gridCol w:w="166"/>
        <w:gridCol w:w="283"/>
        <w:gridCol w:w="738"/>
        <w:gridCol w:w="166"/>
        <w:gridCol w:w="196"/>
        <w:gridCol w:w="691"/>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46,010,987</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656,554</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320,447</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321,595</w:t>
            </w:r>
          </w:p>
        </w:tc>
        <w:tc>
          <w:tcPr>
            <w:tcW w:w="3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104,671</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3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134,893</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3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3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46,322,810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45,098,314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628,808</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361,257</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362,352</w:t>
            </w:r>
          </w:p>
        </w:tc>
        <w:tc>
          <w:tcPr>
            <w:tcW w:w="3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85,998</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3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59,135</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3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45,243,447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Six months ended June 30, 2024 and 2023</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11832" w:type="dxa"/>
        <w:jc w:val="left"/>
        <w:tblInd w:w="0" w:type="dxa"/>
        <w:tblLayout w:type="fixed"/>
        <w:tblCellMar>
          <w:top w:w="28" w:type="dxa"/>
          <w:left w:w="28" w:type="dxa"/>
          <w:bottom w:w="28" w:type="dxa"/>
          <w:right w:w="28" w:type="dxa"/>
        </w:tblCellMar>
      </w:tblPr>
      <w:tblGrid>
        <w:gridCol w:w="1201"/>
        <w:gridCol w:w="146"/>
        <w:gridCol w:w="916"/>
        <w:gridCol w:w="146"/>
        <w:gridCol w:w="206"/>
        <w:gridCol w:w="365"/>
        <w:gridCol w:w="146"/>
        <w:gridCol w:w="146"/>
        <w:gridCol w:w="826"/>
        <w:gridCol w:w="146"/>
        <w:gridCol w:w="206"/>
        <w:gridCol w:w="365"/>
        <w:gridCol w:w="146"/>
        <w:gridCol w:w="196"/>
        <w:gridCol w:w="691"/>
        <w:gridCol w:w="146"/>
        <w:gridCol w:w="316"/>
        <w:gridCol w:w="705"/>
        <w:gridCol w:w="166"/>
        <w:gridCol w:w="196"/>
        <w:gridCol w:w="751"/>
        <w:gridCol w:w="166"/>
        <w:gridCol w:w="196"/>
        <w:gridCol w:w="691"/>
        <w:gridCol w:w="166"/>
        <w:gridCol w:w="283"/>
        <w:gridCol w:w="738"/>
        <w:gridCol w:w="16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45,489,379</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225,152</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494,804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Shared issued in business combination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21,083</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40,266</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44,822,264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623,081</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373,743</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374,833</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168,907</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228,581</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Shared issued in business combination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10,492</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10,492</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45,243,447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fin120843_4"/>
      <w:bookmarkEnd w:id="11"/>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2" w:name="fin120843_5"/>
      <w:bookmarkEnd w:id="12"/>
      <w:r>
        <w:rPr>
          <w:rFonts w:ascii="Times New Roman" w:hAnsi="Times New Roman"/>
          <w:color w:val="000000"/>
          <w:sz w:val="20"/>
        </w:rPr>
        <w:t xml:space="preserve">Condensed Consolidated Statements of </w:t>
      </w:r>
      <w:bookmarkStart w:id="13" w:name="cash_flows"/>
      <w:bookmarkEnd w:id="13"/>
      <w:r>
        <w:rPr>
          <w:rFonts w:ascii="Times New Roman" w:hAnsi="Times New Roman"/>
          <w:color w:val="000000"/>
          <w:sz w:val="20"/>
        </w:rPr>
        <w:t xml:space="preserve">Cash Flows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4731"/>
        <w:gridCol w:w="546"/>
        <w:gridCol w:w="194"/>
        <w:gridCol w:w="613"/>
        <w:gridCol w:w="162"/>
        <w:gridCol w:w="156"/>
        <w:gridCol w:w="194"/>
        <w:gridCol w:w="613"/>
        <w:gridCol w:w="796"/>
      </w:tblGrid>
      <w:tr>
        <w:trPr/>
        <w:tc>
          <w:tcPr>
            <w:tcW w:w="47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5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loss</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(30,308</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(44,902</w:t>
            </w:r>
          </w:p>
        </w:tc>
        <w:tc>
          <w:tcPr>
            <w:tcW w:w="7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6,409</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5,461</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Impairment of assets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color w:val="000000"/>
              </w:rPr>
            </w:pPr>
            <w:r>
              <w:rPr>
                <w:color w:val="000000"/>
              </w:rPr>
              <w:t>—</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Reduction in carrying amount of right-of-use asset</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12,179</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Stock based compensation</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14,161</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10,492</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Revaluation of contingent consideration</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Income from unconsolidated joint venture</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Donation of common stock</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(Gain) loss on sale of property and equipment</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Inventory write-off</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Amortization of deferred costs on convertible notes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Deferred taxes benefit</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Changes in other assets and liabilities:</w:t>
            </w:r>
          </w:p>
        </w:tc>
        <w:tc>
          <w:tcPr>
            <w:tcW w:w="5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600"/>
              <w:jc w:val="righ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Accounts receivable, net</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(1,293</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(8,308</w:t>
            </w:r>
          </w:p>
        </w:tc>
        <w:tc>
          <w:tcPr>
            <w:tcW w:w="7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Inventory</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796" w:type="dxa"/>
            <w:tcBorders/>
            <w:shd w:fill="CFF0FC"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Prepaid expenses</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1,417</w:t>
            </w:r>
          </w:p>
        </w:tc>
        <w:tc>
          <w:tcPr>
            <w:tcW w:w="796"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Other assets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2,593</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(2,546</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Accounts payable</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(14,428</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7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Accrued expenses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2,743</w:t>
            </w:r>
          </w:p>
        </w:tc>
        <w:tc>
          <w:tcPr>
            <w:tcW w:w="796" w:type="dxa"/>
            <w:tcBorders/>
            <w:shd w:fill="CFF0FC"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Contract liabilities</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1,719</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w:t>
            </w:r>
          </w:p>
        </w:tc>
        <w:tc>
          <w:tcPr>
            <w:tcW w:w="796"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Lease liabilities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(3,371</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(2,369</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Income taxes payable</w:t>
            </w:r>
          </w:p>
        </w:tc>
        <w:tc>
          <w:tcPr>
            <w:tcW w:w="5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(20,835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(22,607</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5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Purchases of marketable securities</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(13,481</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(5,641</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sale of marketable securities</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(8,750</w:t>
            </w:r>
          </w:p>
        </w:tc>
        <w:tc>
          <w:tcPr>
            <w:tcW w:w="162"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(8,492</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Distributions in excess of earnings</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sale of property and equipment</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business combination, net of cash acquired</w:t>
            </w:r>
          </w:p>
        </w:tc>
        <w:tc>
          <w:tcPr>
            <w:tcW w:w="5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(used in) provided by investing activities</w:t>
            </w:r>
          </w:p>
        </w:tc>
        <w:tc>
          <w:tcPr>
            <w:tcW w:w="5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(12,140</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12,741</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5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stock options exercised</w:t>
            </w:r>
          </w:p>
        </w:tc>
        <w:tc>
          <w:tcPr>
            <w:tcW w:w="5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provided by financing activities</w:t>
            </w:r>
          </w:p>
        </w:tc>
        <w:tc>
          <w:tcPr>
            <w:tcW w:w="5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Effect of foreign currency translation on cash and cash equivalents</w:t>
            </w:r>
          </w:p>
        </w:tc>
        <w:tc>
          <w:tcPr>
            <w:tcW w:w="5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decrease in cash and cash equivalents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(31,353</w:t>
            </w:r>
          </w:p>
        </w:tc>
        <w:tc>
          <w:tcPr>
            <w:tcW w:w="16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(8,924</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beginning of the period</w:t>
            </w:r>
          </w:p>
        </w:tc>
        <w:tc>
          <w:tcPr>
            <w:tcW w:w="5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53,424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65,662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end of the period</w:t>
            </w:r>
          </w:p>
        </w:tc>
        <w:tc>
          <w:tcPr>
            <w:tcW w:w="546"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22,071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56,738</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cash flow information:</w:t>
            </w:r>
          </w:p>
        </w:tc>
        <w:tc>
          <w:tcPr>
            <w:tcW w:w="5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interest</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w:t>
            </w:r>
          </w:p>
        </w:tc>
        <w:tc>
          <w:tcPr>
            <w:tcW w:w="796"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5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purchase of property and equipment</w:t>
            </w:r>
          </w:p>
        </w:tc>
        <w:tc>
          <w:tcPr>
            <w:tcW w:w="5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6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consideration in connection with business combination</w:t>
            </w:r>
          </w:p>
        </w:tc>
        <w:tc>
          <w:tcPr>
            <w:tcW w:w="5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color w:val="000000"/>
              </w:rPr>
            </w:pPr>
            <w:r>
              <w:rPr>
                <w:color w:val="000000"/>
              </w:rPr>
              <w:t>—</w:t>
            </w:r>
          </w:p>
        </w:tc>
        <w:tc>
          <w:tcPr>
            <w:tcW w:w="16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1,593</w:t>
            </w:r>
          </w:p>
        </w:tc>
        <w:tc>
          <w:tcPr>
            <w:tcW w:w="796"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notes_to_financial_statements"/>
      <w:bookmarkEnd w:id="14"/>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5" w:name="fin120843_6"/>
      <w:bookmarkEnd w:id="15"/>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 Inc. (“Xometry”, the “Company”, “we”, or “our”)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 </w:t>
      </w:r>
    </w:p>
    <w:p>
      <w:pPr>
        <w:pStyle w:val="TextBody"/>
        <w:bidi w:val="0"/>
        <w:jc w:val="left"/>
        <w:rPr>
          <w:rFonts w:ascii="Times New Roman" w:hAnsi="Times New Roman"/>
          <w:color w:val="000000"/>
          <w:sz w:val="20"/>
        </w:rPr>
      </w:pPr>
      <w:r>
        <w:rPr>
          <w:rFonts w:ascii="Times New Roman" w:hAnsi="Times New Roman"/>
          <w:color w:val="000000"/>
          <w:sz w:val="20"/>
        </w:rPr>
        <w:t xml:space="preserve">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t>
      </w:r>
    </w:p>
    <w:p>
      <w:pPr>
        <w:pStyle w:val="TextBody"/>
        <w:bidi w:val="0"/>
        <w:jc w:val="left"/>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In addition, our suite of supplier services includes financial service products to stabilize and enhance cash flow and a cloud-based manufacturing execution system to help suppliers optimize their productivity.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December 31, 2023,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2024 or any future period. The Company has two reporting segments which are referred to as: (1) the United States (“U.S.”) and (2) International.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as a separate component of equity.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 of cash held in checking accounts. These investments are stated at cost, which approximates fair value.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its marketable securities at fair value. The Company's marketable securities represent our investments in a short term money market fund. These marketable securities have maturities of three months or less. As of June 30, 2024 and December 31, 2023, the Company's marketable securities of $218.8 million and $215.4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p>
      <w:pPr>
        <w:pStyle w:val="TextBody"/>
        <w:bidi w:val="0"/>
        <w:spacing w:before="120" w:after="283"/>
        <w:jc w:val="left"/>
        <w:rPr/>
      </w:pPr>
      <w:r>
        <w:rPr/>
        <w:t> </w:t>
      </w:r>
    </w:p>
    <w:tbl>
      <w:tblPr>
        <w:tblW w:w="7439" w:type="dxa"/>
        <w:jc w:val="left"/>
        <w:tblInd w:w="0" w:type="dxa"/>
        <w:tblLayout w:type="fixed"/>
        <w:tblCellMar>
          <w:top w:w="28" w:type="dxa"/>
          <w:left w:w="28" w:type="dxa"/>
          <w:bottom w:w="28" w:type="dxa"/>
          <w:right w:w="28" w:type="dxa"/>
        </w:tblCellMar>
      </w:tblPr>
      <w:tblGrid>
        <w:gridCol w:w="5146"/>
        <w:gridCol w:w="146"/>
        <w:gridCol w:w="211"/>
        <w:gridCol w:w="571"/>
        <w:gridCol w:w="166"/>
        <w:gridCol w:w="146"/>
        <w:gridCol w:w="211"/>
        <w:gridCol w:w="631"/>
        <w:gridCol w:w="2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FFFFFF" w:val="cle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21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June 30 and December 31,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Depreciation is calculated on the straight-line method over the estimated useful life of the assets, which range from two to nine years, or in the case of leasehold improvements, over the shorter of the remaining lease term or the useful life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$8.2 million for the six months ended June 30, 2024 and $19.7 million for the year ended December 31, 2023.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Goodwill represents the excess purchase price over the estimated fair value of net assets acquired in a business combination. As of June 30, 2024 and December 31, 2023,</w:t>
      </w:r>
      <w:r>
        <w:rPr>
          <w:rFonts w:ascii="Times New Roman" w:hAnsi="Times New Roman"/>
          <w:color w:val="CC0000"/>
          <w:sz w:val="20"/>
        </w:rPr>
        <w:t xml:space="preserve"> </w:t>
      </w:r>
      <w:r>
        <w:rPr>
          <w:rFonts w:ascii="Times New Roman" w:hAnsi="Times New Roman"/>
          <w:color w:val="000000"/>
          <w:sz w:val="20"/>
        </w:rPr>
        <w:t xml:space="preserve">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shown net of estimated returns, refunds, and allowances. At each of June 30, 2024 and December 31, 2023, the Company has a provision for estimated returns, refunds or allowances of $0.1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tax and, if applicable, duties and/or tariffs collected from customers and remitted to governmental authorities is excluded from revenue.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contract liabilities as of December 31, 2023 and June 30, 2024 (in thousands): </w:t>
      </w:r>
    </w:p>
    <w:p>
      <w:pPr>
        <w:pStyle w:val="TextBody"/>
        <w:bidi w:val="0"/>
        <w:spacing w:before="120" w:after="283"/>
        <w:jc w:val="left"/>
        <w:rPr/>
      </w:pPr>
      <w:r>
        <w:rPr/>
        <w:t> </w:t>
      </w:r>
    </w:p>
    <w:tbl>
      <w:tblPr>
        <w:tblW w:w="4815" w:type="dxa"/>
        <w:jc w:val="left"/>
        <w:tblInd w:w="0" w:type="dxa"/>
        <w:tblLayout w:type="fixed"/>
        <w:tblCellMar>
          <w:top w:w="28" w:type="dxa"/>
          <w:left w:w="28" w:type="dxa"/>
          <w:bottom w:w="28" w:type="dxa"/>
          <w:right w:w="28" w:type="dxa"/>
        </w:tblCellMar>
      </w:tblPr>
      <w:tblGrid>
        <w:gridCol w:w="34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(98,390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in advance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the Company recognized approximately $6.1 million of revenue related to its contract liabilities as of December 31, 2023. </w:t>
      </w:r>
    </w:p>
    <w:p>
      <w:pPr>
        <w:pStyle w:val="TextBody"/>
        <w:bidi w:val="0"/>
        <w:spacing w:before="120" w:after="283"/>
        <w:jc w:val="left"/>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incremental costs to obtain a contract may include a sales commission which is generally determined on a per order basis. For marketplace contracts, the Company recognizes costs over a period of one year or less.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and six months ended June 30, 2024, the Company recognized approximately $1.8 million and $4.3 million, respectively, of amortization related to deferred sales commissions. For the three and six months ended June 30, 2023 the Company recognized approximately $2.0 million and $4.0 million, respectively, of amortization related to deferred sales commissions. As of June 30, 2024 and December 31, 2023, the Company had deferred sales contract acquisition costs of $1.0 million and $3.1 million, respectively, which is classified in other current assets on the Condensed Consolidated Balance Sheets.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is recognized on a straight-line basis over the term of the lease.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six months ended June 30, 2024 the Company's advertising cost were $8.8 million and $17.1 million, respectively. For the three and six months ended June 30, 2023 the Company's advertising cost were $7.5 million and $15.7 million,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which are not eligible for capitalization are expensed as incurred. This account also includes compensation expenses, including stock-based compensation to the Company’s employees performing these functions and certain depreciation and amortization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and certain depreciation and amortization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and performance restricted stock units (“PRSUs”), are measured at the grant date fair value of the award.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The fair value of the restricted stock units and PRSUs is determined using the fair value of the Company's Class A common stock on the date of grant. Forfeitures are recorded in the period in which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variables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entities,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cash flows upon adoption. </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Credit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concentrations of credit risk consist primarily of cash and cash equivalents, marketable securities and accounts receivable. The Company maintains its cash and cash equivalents and marketable securities which at times may exceed federally insured limits, in deposit accounts at major financial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and 2023, no single buyer accounted for more than 10% of the Company's revenue. As of June 30, 2024, and December 31, 2023, no single buyer accounted for more than 10% of the Company’s accounts receivable. A majority of the Company’s buyers are located in the United States. </w:t>
      </w:r>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consists of raw materials, work-in-process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June 30, 2024 and December 31, 2023 (in thousands):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1531"/>
        <w:gridCol w:w="146"/>
        <w:gridCol w:w="211"/>
        <w:gridCol w:w="571"/>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 of the following as of June 30, 2024 and December 31, 2023 (in thousands): </w:t>
      </w:r>
    </w:p>
    <w:p>
      <w:pPr>
        <w:pStyle w:val="TextBody"/>
        <w:bidi w:val="0"/>
        <w:spacing w:before="120" w:after="283"/>
        <w:jc w:val="left"/>
        <w:rPr/>
      </w:pPr>
      <w:r>
        <w:rPr/>
        <w:t> </w:t>
      </w:r>
    </w:p>
    <w:tbl>
      <w:tblPr>
        <w:tblW w:w="7194" w:type="dxa"/>
        <w:jc w:val="left"/>
        <w:tblInd w:w="0" w:type="dxa"/>
        <w:tblLayout w:type="fixed"/>
        <w:tblCellMar>
          <w:top w:w="28" w:type="dxa"/>
          <w:left w:w="28" w:type="dxa"/>
          <w:bottom w:w="28" w:type="dxa"/>
          <w:right w:w="28" w:type="dxa"/>
        </w:tblCellMar>
      </w:tblPr>
      <w:tblGrid>
        <w:gridCol w:w="2896"/>
        <w:gridCol w:w="146"/>
        <w:gridCol w:w="1441"/>
        <w:gridCol w:w="146"/>
        <w:gridCol w:w="211"/>
        <w:gridCol w:w="736"/>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2 - 9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44,004</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w:t>
              <w:br/>
              <w:t>life or lease 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righ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56,836</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and six months ended June 30, 2024 and 2023 was as follows (in thousands): </w:t>
      </w:r>
    </w:p>
    <w:p>
      <w:pPr>
        <w:pStyle w:val="TextBody"/>
        <w:bidi w:val="0"/>
        <w:jc w:val="left"/>
        <w:rPr/>
      </w:pPr>
      <w:r>
        <w:rPr/>
        <w:t> </w:t>
      </w:r>
    </w:p>
    <w:tbl>
      <w:tblPr>
        <w:tblW w:w="7141" w:type="dxa"/>
        <w:jc w:val="left"/>
        <w:tblInd w:w="0" w:type="dxa"/>
        <w:tblLayout w:type="fixed"/>
        <w:tblCellMar>
          <w:top w:w="28" w:type="dxa"/>
          <w:left w:w="28" w:type="dxa"/>
          <w:bottom w:w="28" w:type="dxa"/>
          <w:right w:w="28" w:type="dxa"/>
        </w:tblCellMar>
      </w:tblPr>
      <w:tblGrid>
        <w:gridCol w:w="2326"/>
        <w:gridCol w:w="257"/>
        <w:gridCol w:w="697"/>
        <w:gridCol w:w="178"/>
        <w:gridCol w:w="178"/>
        <w:gridCol w:w="257"/>
        <w:gridCol w:w="697"/>
        <w:gridCol w:w="146"/>
        <w:gridCol w:w="146"/>
        <w:gridCol w:w="235"/>
        <w:gridCol w:w="637"/>
        <w:gridCol w:w="162"/>
        <w:gridCol w:w="162"/>
        <w:gridCol w:w="235"/>
        <w:gridCol w:w="637"/>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expense</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expense for the three and six months ended June 30, 2024 and 2023 was as follows (in thousands): </w:t>
      </w:r>
    </w:p>
    <w:tbl>
      <w:tblPr>
        <w:tblW w:w="7495" w:type="dxa"/>
        <w:jc w:val="left"/>
        <w:tblInd w:w="0" w:type="dxa"/>
        <w:tblLayout w:type="fixed"/>
        <w:tblCellMar>
          <w:top w:w="28" w:type="dxa"/>
          <w:left w:w="28" w:type="dxa"/>
          <w:bottom w:w="28" w:type="dxa"/>
          <w:right w:w="28" w:type="dxa"/>
        </w:tblCellMar>
      </w:tblPr>
      <w:tblGrid>
        <w:gridCol w:w="2536"/>
        <w:gridCol w:w="146"/>
        <w:gridCol w:w="243"/>
        <w:gridCol w:w="659"/>
        <w:gridCol w:w="168"/>
        <w:gridCol w:w="168"/>
        <w:gridCol w:w="243"/>
        <w:gridCol w:w="781"/>
        <w:gridCol w:w="146"/>
        <w:gridCol w:w="146"/>
        <w:gridCol w:w="222"/>
        <w:gridCol w:w="603"/>
        <w:gridCol w:w="154"/>
        <w:gridCol w:w="154"/>
        <w:gridCol w:w="222"/>
        <w:gridCol w:w="71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2" w:type="dxa"/>
            <w:gridSpan w:val="14"/>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2023, following an assessment of its lease portfolio, the Company abandoned certain leases and/or portions of its leases in New York, NY, Horsham, PA, Culver City, CA, Doraville, GA and Gaithersburg, MD. As s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the second quarter of 2023 in general and administrative on our Condensed Consolidated Statements of Operations and Comprehensive Loss. The Company will continue to pay the rent owed under the existing lease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Acquisition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Tridi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paid during the first quarter of 2024. In addition, the purchase price included a contingent consideration arrangement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June 30, 2024 and December 31, 2023, the total contingent consideration had a fair value of $0.6 million and $1.1 million, respectively. During the quarter ended March 31, 2024, the Company recorded an approximate $0.1 million increase to the contingent consideration liability with a corresponding expense recognized in general and administrative expense on our Condensed Consolidated Statements of Operations and Comprehensive Loss. In February 2024, the Company issued 21,083 shares of Class A common stock with a value of $0.6 million to the former owners of Tridi with respect to the first installment.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(in thousands) summarizes the consideration paid for Tridi and the final fair value of the assets acquired and liabilities assumed on the acquisition date: </w:t>
      </w:r>
    </w:p>
    <w:tbl>
      <w:tblPr>
        <w:tblW w:w="7795" w:type="dxa"/>
        <w:jc w:val="left"/>
        <w:tblInd w:w="0" w:type="dxa"/>
        <w:tblLayout w:type="fixed"/>
        <w:tblCellMar>
          <w:top w:w="28" w:type="dxa"/>
          <w:left w:w="28" w:type="dxa"/>
          <w:bottom w:w="28" w:type="dxa"/>
          <w:right w:w="28" w:type="dxa"/>
        </w:tblCellMar>
      </w:tblPr>
      <w:tblGrid>
        <w:gridCol w:w="6256"/>
        <w:gridCol w:w="146"/>
        <w:gridCol w:w="211"/>
        <w:gridCol w:w="571"/>
        <w:gridCol w:w="6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 of preexisting relationship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identifiable net assets assumed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intangible asset acquired was determined by the Company. The Company engaged a third</w:t>
        <w:noBreakHyphen/>
        <w:t xml:space="preserve">party expert to assist with the valuation analysis. The Company used a cost method to estimate the fair value of the vendor relationship using Level 3 inputs. The useful life of the vendor relationship is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Tridi’s results of operations were included in the Company's consolidated financial statements from the date of acquisition, January 2, 2023. </w:t>
      </w:r>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our revenue and cost of revenue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tools and materials (“our tools and materials business, which we previously referred to as our supplies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and six months ended June 30, 2024 and 2023, respectively (in thousands):</w:t>
      </w:r>
    </w:p>
    <w:p>
      <w:pPr>
        <w:pStyle w:val="TextBody"/>
        <w:bidi w:val="0"/>
        <w:spacing w:before="120" w:after="283"/>
        <w:jc w:val="left"/>
        <w:rPr/>
      </w:pPr>
      <w:r>
        <w:rPr/>
        <w:t> </w:t>
      </w:r>
    </w:p>
    <w:tbl>
      <w:tblPr>
        <w:tblW w:w="7227" w:type="dxa"/>
        <w:jc w:val="left"/>
        <w:tblInd w:w="0" w:type="dxa"/>
        <w:tblLayout w:type="fixed"/>
        <w:tblCellMar>
          <w:top w:w="28" w:type="dxa"/>
          <w:left w:w="28" w:type="dxa"/>
          <w:bottom w:w="28" w:type="dxa"/>
          <w:right w:w="28" w:type="dxa"/>
        </w:tblCellMar>
      </w:tblPr>
      <w:tblGrid>
        <w:gridCol w:w="1591"/>
        <w:gridCol w:w="146"/>
        <w:gridCol w:w="255"/>
        <w:gridCol w:w="944"/>
        <w:gridCol w:w="176"/>
        <w:gridCol w:w="176"/>
        <w:gridCol w:w="255"/>
        <w:gridCol w:w="817"/>
        <w:gridCol w:w="146"/>
        <w:gridCol w:w="146"/>
        <w:gridCol w:w="221"/>
        <w:gridCol w:w="818"/>
        <w:gridCol w:w="153"/>
        <w:gridCol w:w="153"/>
        <w:gridCol w:w="221"/>
        <w:gridCol w:w="818"/>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117,287</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224,473</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180,191</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73,542</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36,143</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Investment in Unconsolidated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2024 and June 30, 2023 the Company received dividends from IM, LLC of $0.3 million and $0.1 million, respectively, which were recorded as a reduction to the Company's investment in unconsolidated joint venture on our Condensed Consolidated Balance Sheets.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there were 6,528,753 shares available for the Company to grant under the 2021 Equity Incentive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six months ended June 30, 2024, are as follows (in millions, except share and per share amounts): </w:t>
      </w:r>
    </w:p>
    <w:p>
      <w:pPr>
        <w:pStyle w:val="TextBody"/>
        <w:bidi w:val="0"/>
        <w:jc w:val="left"/>
        <w:rPr/>
      </w:pPr>
      <w:r>
        <w:rPr/>
        <w:t> </w:t>
      </w:r>
    </w:p>
    <w:tbl>
      <w:tblPr>
        <w:tblW w:w="8618" w:type="dxa"/>
        <w:jc w:val="left"/>
        <w:tblInd w:w="0" w:type="dxa"/>
        <w:tblLayout w:type="fixed"/>
        <w:tblCellMar>
          <w:top w:w="28" w:type="dxa"/>
          <w:left w:w="28" w:type="dxa"/>
          <w:bottom w:w="28" w:type="dxa"/>
          <w:right w:w="28" w:type="dxa"/>
        </w:tblCellMar>
      </w:tblPr>
      <w:tblGrid>
        <w:gridCol w:w="3121"/>
        <w:gridCol w:w="146"/>
        <w:gridCol w:w="146"/>
        <w:gridCol w:w="931"/>
        <w:gridCol w:w="166"/>
        <w:gridCol w:w="146"/>
        <w:gridCol w:w="229"/>
        <w:gridCol w:w="896"/>
        <w:gridCol w:w="146"/>
        <w:gridCol w:w="146"/>
        <w:gridCol w:w="285"/>
        <w:gridCol w:w="706"/>
        <w:gridCol w:w="146"/>
        <w:gridCol w:w="146"/>
        <w:gridCol w:w="207"/>
        <w:gridCol w:w="664"/>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options were granted during the six months ended June 30, 2024. The total intrinsic value of options exercised during the six months ended June 30, 2024 and 2023, was $3.1 million and $2.1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2024, there was approximately $8.7 million of total unrecognized compensation cost related to unvested stock options. That cost is expected to be recognized over a weighted average period of approximately two years as of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status of the Company’s restricted stock unit activity and the changes during the six months ended June 30, 2024 are as follows (in millions, except share and per share amounts): </w:t>
      </w:r>
    </w:p>
    <w:p>
      <w:pPr>
        <w:pStyle w:val="TextBody"/>
        <w:bidi w:val="0"/>
        <w:spacing w:before="120" w:after="283"/>
        <w:jc w:val="left"/>
        <w:rPr/>
      </w:pPr>
      <w:r>
        <w:rPr/>
        <w:t>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516"/>
        <w:gridCol w:w="2019"/>
        <w:gridCol w:w="146"/>
        <w:gridCol w:w="146"/>
        <w:gridCol w:w="207"/>
        <w:gridCol w:w="664"/>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2024, there was approximately $49.0 million of total unrecognized compensation cost related to unvested restricted stock units granted under the 2021 Equity Incentive Plan. That cost is expected to be recognized over a weighted average period of approximately three years as of June 30, 2024.</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status of the Company's performance restricted stock unit activity and the changes during the six months ended June 30, 2024 are as follows (in millions, except share and per share amounts):</w:t>
      </w:r>
    </w:p>
    <w:tbl>
      <w:tblPr>
        <w:tblW w:w="8780" w:type="dxa"/>
        <w:jc w:val="left"/>
        <w:tblInd w:w="0" w:type="dxa"/>
        <w:tblLayout w:type="fixed"/>
        <w:tblCellMar>
          <w:top w:w="28" w:type="dxa"/>
          <w:left w:w="28" w:type="dxa"/>
          <w:bottom w:w="28" w:type="dxa"/>
          <w:right w:w="28" w:type="dxa"/>
        </w:tblCellMar>
      </w:tblPr>
      <w:tblGrid>
        <w:gridCol w:w="3526"/>
        <w:gridCol w:w="146"/>
        <w:gridCol w:w="146"/>
        <w:gridCol w:w="781"/>
        <w:gridCol w:w="146"/>
        <w:gridCol w:w="146"/>
        <w:gridCol w:w="516"/>
        <w:gridCol w:w="2019"/>
        <w:gridCol w:w="146"/>
        <w:gridCol w:w="146"/>
        <w:gridCol w:w="250"/>
        <w:gridCol w:w="62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2024, there was approximately $5.3 million of total unrecognized compensation cost related to unvested performance restricted stock units granted under the 2021 Equity Incentive Plan. That cost is expected to be recognized over a weighted average period of approximately three years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cost for the three and six months ended June 30, 2024 and 2023 were as follows (in thousands): </w:t>
      </w:r>
    </w:p>
    <w:tbl>
      <w:tblPr>
        <w:tblW w:w="7887" w:type="dxa"/>
        <w:jc w:val="left"/>
        <w:tblInd w:w="0" w:type="dxa"/>
        <w:tblLayout w:type="fixed"/>
        <w:tblCellMar>
          <w:top w:w="28" w:type="dxa"/>
          <w:left w:w="28" w:type="dxa"/>
          <w:bottom w:w="28" w:type="dxa"/>
          <w:right w:w="28" w:type="dxa"/>
        </w:tblCellMar>
      </w:tblPr>
      <w:tblGrid>
        <w:gridCol w:w="2926"/>
        <w:gridCol w:w="146"/>
        <w:gridCol w:w="257"/>
        <w:gridCol w:w="697"/>
        <w:gridCol w:w="178"/>
        <w:gridCol w:w="178"/>
        <w:gridCol w:w="257"/>
        <w:gridCol w:w="697"/>
        <w:gridCol w:w="146"/>
        <w:gridCol w:w="146"/>
        <w:gridCol w:w="211"/>
        <w:gridCol w:w="677"/>
        <w:gridCol w:w="146"/>
        <w:gridCol w:w="146"/>
        <w:gridCol w:w="211"/>
        <w:gridCol w:w="677"/>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less than $0.1 million of benefit (provision) for income taxes for the three and six months ended June 30, 2024 and 2023. This estimated annual effective tax rate of (0.1%), differs from the U.S. federal statutory rate primarily due to the effects of certain permanent items, foreign tax rate differences, and increases in the valuation allowance against deferred tax assets.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attributable to common stockholders,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48,840,100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48,709,040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47,783,235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pStyle w:val="TextBody"/>
        <w:bidi w:val="0"/>
        <w:jc w:val="left"/>
        <w:rPr/>
      </w:pPr>
      <w:r>
        <w:rPr/>
        <w:t> </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2,999,731</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1,666,455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87,784</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281,860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10,159,454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Debt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outstanding principal amount and carrying value of the 2027 Notes as of the dates indicated (in thousands):</w:t>
      </w:r>
    </w:p>
    <w:p>
      <w:pPr>
        <w:pStyle w:val="TextBody"/>
        <w:bidi w:val="0"/>
        <w:spacing w:before="120" w:after="283"/>
        <w:jc w:val="left"/>
        <w:rPr/>
      </w:pPr>
      <w:r>
        <w:rPr/>
        <w:t> </w:t>
      </w:r>
    </w:p>
    <w:tbl>
      <w:tblPr>
        <w:tblW w:w="5517" w:type="dxa"/>
        <w:jc w:val="left"/>
        <w:tblInd w:w="0" w:type="dxa"/>
        <w:tblLayout w:type="fixed"/>
        <w:tblCellMar>
          <w:top w:w="28" w:type="dxa"/>
          <w:left w:w="28" w:type="dxa"/>
          <w:bottom w:w="28" w:type="dxa"/>
          <w:right w:w="28" w:type="dxa"/>
        </w:tblCellMar>
      </w:tblPr>
      <w:tblGrid>
        <w:gridCol w:w="2761"/>
        <w:gridCol w:w="146"/>
        <w:gridCol w:w="211"/>
        <w:gridCol w:w="781"/>
        <w:gridCol w:w="166"/>
        <w:gridCol w:w="146"/>
        <w:gridCol w:w="172"/>
        <w:gridCol w:w="92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effective interest rate for the 2027 Notes was approximately 1.6%. Interest expense related to the 2027 Notes for the periods presented below was as follows (in thousands):</w:t>
      </w:r>
    </w:p>
    <w:p>
      <w:pPr>
        <w:pStyle w:val="TextBody"/>
        <w:bidi w:val="0"/>
        <w:spacing w:before="120" w:after="283"/>
        <w:jc w:val="left"/>
        <w:rPr/>
      </w:pPr>
      <w:r>
        <w:rPr/>
        <w:t> </w:t>
      </w:r>
    </w:p>
    <w:tbl>
      <w:tblPr>
        <w:tblW w:w="10049" w:type="dxa"/>
        <w:jc w:val="left"/>
        <w:tblInd w:w="0" w:type="dxa"/>
        <w:tblLayout w:type="fixed"/>
        <w:tblCellMar>
          <w:top w:w="28" w:type="dxa"/>
          <w:left w:w="28" w:type="dxa"/>
          <w:bottom w:w="28" w:type="dxa"/>
          <w:right w:w="28" w:type="dxa"/>
        </w:tblCellMar>
      </w:tblPr>
      <w:tblGrid>
        <w:gridCol w:w="2806"/>
        <w:gridCol w:w="146"/>
        <w:gridCol w:w="433"/>
        <w:gridCol w:w="1172"/>
        <w:gridCol w:w="146"/>
        <w:gridCol w:w="146"/>
        <w:gridCol w:w="433"/>
        <w:gridCol w:w="1172"/>
        <w:gridCol w:w="146"/>
        <w:gridCol w:w="146"/>
        <w:gridCol w:w="380"/>
        <w:gridCol w:w="1030"/>
        <w:gridCol w:w="146"/>
        <w:gridCol w:w="146"/>
        <w:gridCol w:w="380"/>
        <w:gridCol w:w="1030"/>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carrying value and estimated fair value of the 2027 Notes as of the date indicated (in thousands):</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121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268,554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As of June 30, 2024 and December 31, 2023, the fair value of the 2027 Notes was measured using Level 2 inputs based on the frequency of trading on our debt at the end of the year. </w:t>
      </w:r>
    </w:p>
    <w:p>
      <w:pPr>
        <w:pStyle w:val="TextBody"/>
        <w:bidi w:val="0"/>
        <w:spacing w:before="12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reduced its workforce to help manage its operating expenses. During the three months ended June 30, 2023, the Company incurred $0.7 million for employee termination costs related to the May 2023 restructuring.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Exit from the Tools and Materials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provided suppliers with access to competitively priced tools, materials and supplies in the U.S. As a result of the exit from the tools and materials business during the second quarter of 2023, the Company recognized $0.6 million of costs associated with its closure, of which $0.2 million is recognized in cost of revenue and $0.4 million is recognized in operations and support on the Condensed Consolidated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$0.5 million and $0.6 million for the three months ended June 30, 2024 and 2023, respectively, and was $1.2 million for both the six month periods ended June 30, 2024 and 2023.</w:t>
      </w:r>
    </w:p>
    <w:p>
      <w:pPr>
        <w:pStyle w:val="TextBody"/>
        <w:bidi w:val="0"/>
        <w:spacing w:before="120" w:after="283"/>
        <w:jc w:val="left"/>
        <w:rPr>
          <w:rFonts w:ascii="Times New Roman" w:hAnsi="Times New Roman"/>
          <w:sz w:val="20"/>
        </w:rPr>
      </w:pPr>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reflect certain segment information for the three and six months ended June 30, 2024 and 2023 (in thousands): </w:t>
      </w:r>
    </w:p>
    <w:p>
      <w:pPr>
        <w:pStyle w:val="TextBody"/>
        <w:bidi w:val="0"/>
        <w:jc w:val="left"/>
        <w:rPr/>
      </w:pPr>
      <w:r>
        <w:rPr/>
        <w:t> </w:t>
      </w:r>
    </w:p>
    <w:tbl>
      <w:tblPr>
        <w:tblW w:w="6772" w:type="dxa"/>
        <w:jc w:val="left"/>
        <w:tblInd w:w="0" w:type="dxa"/>
        <w:tblLayout w:type="fixed"/>
        <w:tblCellMar>
          <w:top w:w="28" w:type="dxa"/>
          <w:left w:w="28" w:type="dxa"/>
          <w:bottom w:w="28" w:type="dxa"/>
          <w:right w:w="28" w:type="dxa"/>
        </w:tblCellMar>
      </w:tblPr>
      <w:tblGrid>
        <w:gridCol w:w="1591"/>
        <w:gridCol w:w="146"/>
        <w:gridCol w:w="211"/>
        <w:gridCol w:w="781"/>
        <w:gridCol w:w="146"/>
        <w:gridCol w:w="146"/>
        <w:gridCol w:w="211"/>
        <w:gridCol w:w="781"/>
        <w:gridCol w:w="146"/>
        <w:gridCol w:w="146"/>
        <w:gridCol w:w="211"/>
        <w:gridCol w:w="781"/>
        <w:gridCol w:w="146"/>
        <w:gridCol w:w="146"/>
        <w:gridCol w:w="211"/>
        <w:gridCol w:w="78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189,336</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6549" w:type="dxa"/>
        <w:jc w:val="left"/>
        <w:tblInd w:w="0" w:type="dxa"/>
        <w:tblLayout w:type="fixed"/>
        <w:tblCellMar>
          <w:top w:w="28" w:type="dxa"/>
          <w:left w:w="28" w:type="dxa"/>
          <w:bottom w:w="28" w:type="dxa"/>
          <w:right w:w="28" w:type="dxa"/>
        </w:tblCellMar>
      </w:tblPr>
      <w:tblGrid>
        <w:gridCol w:w="1411"/>
        <w:gridCol w:w="146"/>
        <w:gridCol w:w="216"/>
        <w:gridCol w:w="756"/>
        <w:gridCol w:w="170"/>
        <w:gridCol w:w="149"/>
        <w:gridCol w:w="216"/>
        <w:gridCol w:w="756"/>
        <w:gridCol w:w="166"/>
        <w:gridCol w:w="146"/>
        <w:gridCol w:w="211"/>
        <w:gridCol w:w="736"/>
        <w:gridCol w:w="166"/>
        <w:gridCol w:w="146"/>
        <w:gridCol w:w="211"/>
        <w:gridCol w:w="736"/>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Losses</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center"/>
              <w:rPr/>
            </w:pPr>
            <w:r>
              <w:rPr/>
              <w:t> </w:t>
            </w:r>
          </w:p>
        </w:tc>
        <w:tc>
          <w:tcPr>
            <w:tcW w:w="170" w:type="dxa"/>
            <w:tcBorders/>
            <w:shd w:fill="CFF0FC" w:val="clear"/>
            <w:vAlign w:val="center"/>
          </w:tcPr>
          <w:p>
            <w:pPr>
              <w:pStyle w:val="TableContents"/>
              <w:bidi w:val="0"/>
              <w:spacing w:before="0" w:after="283"/>
              <w:jc w:val="center"/>
              <w:rPr/>
            </w:pPr>
            <w:r>
              <w:rPr/>
              <w:t> </w:t>
            </w:r>
          </w:p>
        </w:tc>
        <w:tc>
          <w:tcPr>
            <w:tcW w:w="149"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(15)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33,411</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roll forward of the carrying amount of goodwill (in thousands): </w:t>
      </w:r>
    </w:p>
    <w:tbl>
      <w:tblPr>
        <w:tblW w:w="7869" w:type="dxa"/>
        <w:jc w:val="left"/>
        <w:tblInd w:w="0" w:type="dxa"/>
        <w:tblLayout w:type="fixed"/>
        <w:tblCellMar>
          <w:top w:w="28" w:type="dxa"/>
          <w:left w:w="28" w:type="dxa"/>
          <w:bottom w:w="28" w:type="dxa"/>
          <w:right w:w="28" w:type="dxa"/>
        </w:tblCellMar>
      </w:tblPr>
      <w:tblGrid>
        <w:gridCol w:w="5016"/>
        <w:gridCol w:w="146"/>
        <w:gridCol w:w="211"/>
        <w:gridCol w:w="781"/>
        <w:gridCol w:w="166"/>
        <w:gridCol w:w="146"/>
        <w:gridCol w:w="211"/>
        <w:gridCol w:w="781"/>
        <w:gridCol w:w="411"/>
      </w:tblGrid>
      <w:tr>
        <w:trPr/>
        <w:tc>
          <w:tcPr>
            <w:tcW w:w="5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261,110</w:t>
            </w:r>
          </w:p>
        </w:tc>
        <w:tc>
          <w:tcPr>
            <w:tcW w:w="411" w:type="dxa"/>
            <w:tcBorders/>
            <w:shd w:fill="FFFFFF" w:val="clear"/>
            <w:vAlign w:val="center"/>
          </w:tcPr>
          <w:p>
            <w:pPr>
              <w:pStyle w:val="TableContents"/>
              <w:bidi w:val="0"/>
              <w:spacing w:before="0" w:after="283"/>
              <w:jc w:val="left"/>
              <w:rPr/>
            </w:pPr>
            <w:r>
              <w:rPr/>
              <w:t> </w:t>
            </w:r>
          </w:p>
        </w:tc>
      </w:tr>
      <w:tr>
        <w:trPr/>
        <w:tc>
          <w:tcPr>
            <w:tcW w:w="5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258,036</w:t>
            </w:r>
          </w:p>
        </w:tc>
        <w:tc>
          <w:tcPr>
            <w:tcW w:w="411" w:type="dxa"/>
            <w:tcBorders/>
            <w:shd w:fill="FFFFFF" w:val="clear"/>
            <w:vAlign w:val="center"/>
          </w:tcPr>
          <w:p>
            <w:pPr>
              <w:pStyle w:val="TableContents"/>
              <w:bidi w:val="0"/>
              <w:spacing w:before="0" w:after="283"/>
              <w:jc w:val="left"/>
              <w:rPr/>
            </w:pPr>
            <w:r>
              <w:rPr/>
              <w:t> </w:t>
            </w:r>
          </w:p>
        </w:tc>
      </w:tr>
      <w:tr>
        <w:trPr/>
        <w:tc>
          <w:tcPr>
            <w:tcW w:w="50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acquired during the year</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11" w:type="dxa"/>
            <w:tcBorders/>
            <w:shd w:fill="CFF0FC" w:val="clear"/>
            <w:vAlign w:val="center"/>
          </w:tcPr>
          <w:p>
            <w:pPr>
              <w:pStyle w:val="TableContents"/>
              <w:bidi w:val="0"/>
              <w:spacing w:before="0" w:after="283"/>
              <w:jc w:val="left"/>
              <w:rPr/>
            </w:pPr>
            <w:r>
              <w:rPr/>
              <w:t> </w:t>
            </w:r>
          </w:p>
        </w:tc>
      </w:tr>
      <w:tr>
        <w:trPr/>
        <w:tc>
          <w:tcPr>
            <w:tcW w:w="5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goodwill as of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See Note 7 -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and December 31, 2023, Xometry had $262.8 million and $262.9 million, respectively of goodwill. As of June 30, 2024, $258.0 million is part of Xometry’s U.S. operating segment and $4.8 million is part of Xometry’s International operating segment. As of December 31, 2023, $258.0 million is part of Xometry's U.S. operating segment and $4.9 million is part of Xometry's International operating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estimated amortization expense for intangible assets for the remainder of 2024 and the next five years is: $1.8 million in 2024, $3.6 million in 2025, $3.2 million in 2026, $2.6 million in 2027, $2.6 million in 2028, $2.6 million in 2029 and $17.5 million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for the three and six months ended June 30, 2024 and 2023 was as follows (in thousands): </w:t>
      </w:r>
    </w:p>
    <w:tbl>
      <w:tblPr>
        <w:tblW w:w="7482" w:type="dxa"/>
        <w:jc w:val="left"/>
        <w:tblInd w:w="0" w:type="dxa"/>
        <w:tblLayout w:type="fixed"/>
        <w:tblCellMar>
          <w:top w:w="28" w:type="dxa"/>
          <w:left w:w="28" w:type="dxa"/>
          <w:bottom w:w="28" w:type="dxa"/>
          <w:right w:w="28" w:type="dxa"/>
        </w:tblCellMar>
      </w:tblPr>
      <w:tblGrid>
        <w:gridCol w:w="2521"/>
        <w:gridCol w:w="146"/>
        <w:gridCol w:w="307"/>
        <w:gridCol w:w="613"/>
        <w:gridCol w:w="212"/>
        <w:gridCol w:w="212"/>
        <w:gridCol w:w="307"/>
        <w:gridCol w:w="613"/>
        <w:gridCol w:w="146"/>
        <w:gridCol w:w="146"/>
        <w:gridCol w:w="235"/>
        <w:gridCol w:w="637"/>
        <w:gridCol w:w="162"/>
        <w:gridCol w:w="162"/>
        <w:gridCol w:w="235"/>
        <w:gridCol w:w="63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Amortization of the lease related intangible assets is recorded as operating lease expense in general and administrative.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6" w:name="i_item2"/>
      <w:bookmarkEnd w:id="16"/>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2023.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300" w:after="283"/>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Xometry Inc. (“Xometry”, “Company”, “our” or “we”)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accelerate innovation by providing real time, equitable access to global manufacturing capacity and demand. Our vision is to drive efficiency, sustainability and innovation for industries worldwide by lowering the barriers to entry to the manufacturing ecosystem.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tools and materials (“our tools and materials business, which we previously referred to as our supplies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Industrial, Defense, Energy, Automotive, Government, Education and Consumer Goods.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and data solutions. In addition, our suite of supplier services includes financial service products to stabilize and enhance cash flow and a cloud-based manufacturing execution system (“Workcenter”) to help suppliers optimize their productivity.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we acquired Thomas Publishing Company and its subsidiaries (collectively, “Thomas”) and Fusiform, Inc. (d/b/a FactoryFour), expanding our basket of supplier services to include advertising and marketing services and Workcenter to help suppliers optimize their productivity. Our revenue from Thomas is primarily advertising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 2023, the Company acquired Tridi Teknoloj A.S. (“Tridi”) located in Istanbul, Türkiye pursuant to a Share Purchase Agreement. The acquisition of Tridi extends our marketplace capabilities in Europe and provides us access to the Turkish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61,530 as of June 30, 2024, up 27% from 48,340 as of June 30, 2023. The key drivers of Active Buyer growth are continued account and buyer engagement and the success of our strategy to attract new buyers. </w:t>
      </w:r>
    </w:p>
    <w:p>
      <w:pPr>
        <w:pStyle w:val="TextBody"/>
        <w:bidi w:val="0"/>
        <w:jc w:val="center"/>
        <w:rPr/>
      </w:pPr>
      <w:r>
        <w:rPr/>
        <w:t> </w:t>
      </w:r>
    </w:p>
    <w:p>
      <w:pPr>
        <w:pStyle w:val="TextBody"/>
        <w:bidi w:val="0"/>
        <w:jc w:val="center"/>
        <w:rPr/>
      </w:pPr>
      <w:r>
        <w:rPr/>
        <w:drawing>
          <wp:inline distT="0" distB="0" distL="0" distR="0">
            <wp:extent cx="4124325" cy="424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24325" cy="424815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quarter ended June 30, 2024, 96% of our revenue was generated from existing accounts. We believe the repeat purchase activity from existing accounts reflects the underlying strength of our business and provides us with substantial revenue visibility and predictability. </w:t>
      </w:r>
    </w:p>
    <w:p>
      <w:pPr>
        <w:pStyle w:val="TextBody"/>
        <w:bidi w:val="0"/>
        <w:spacing w:before="240" w:after="283"/>
        <w:jc w:val="left"/>
        <w:rPr/>
      </w:pPr>
      <w:r>
        <w:rPr/>
        <w:t> </w:t>
      </w:r>
    </w:p>
    <w:p>
      <w:pPr>
        <w:pStyle w:val="TextBody"/>
        <w:bidi w:val="0"/>
        <w:jc w:val="center"/>
        <w:rPr/>
      </w:pPr>
      <w:r>
        <w:rPr/>
        <w:drawing>
          <wp:inline distT="0" distB="0" distL="0" distR="0">
            <wp:extent cx="6038850" cy="3209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38850" cy="3209925"/>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1,436 as of June 30, 2024, up 24%</w:t>
      </w:r>
      <w:r>
        <w:rPr>
          <w:rFonts w:ascii="Times New Roman" w:hAnsi="Times New Roman"/>
          <w:color w:val="FF0000"/>
          <w:sz w:val="20"/>
        </w:rPr>
        <w:t xml:space="preserve"> </w:t>
      </w:r>
      <w:r>
        <w:rPr>
          <w:rFonts w:ascii="Times New Roman" w:hAnsi="Times New Roman"/>
          <w:color w:val="000000"/>
          <w:sz w:val="20"/>
        </w:rPr>
        <w:t>from 1,159 as of June 30,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3848100" cy="5276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48100" cy="5276850"/>
                    </a:xfrm>
                    <a:prstGeom prst="rect">
                      <a:avLst/>
                    </a:prstGeom>
                  </pic:spPr>
                </pic:pic>
              </a:graphicData>
            </a:graphic>
          </wp:inline>
        </w:drawing>
      </w:r>
      <w:r>
        <w:rPr/>
        <w:t> </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Active Paying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Active Paying Suppliers has changed over time. The number of Active Paying Suppliers on our platform was 6,992 as of June 30, 2024, down 7% from 7,553 as of June 30, 2023. The decline during the quarter ended June 30, 2024 is primarily due to our exit from the tools and materials business and the wind down of Thomas non-core services.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EBITDA as net loss, adjusted for interest expense, interest and dividend income, other expenses, provision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2024, Adjusted EBITDA loss was $(2.6) million, as compared to Adjusted EBITDA loss of $(8.7) million for the same quarter in 2023. For the quarter ended June 30, 2024, Adjusted EBITDA Margin was (2.0)% of revenue, as compared to (7.8)% of revenue for the same quarter in 2023, driven primarily by increased operating efficiencies as we continue to grow our revenue and margins faster than our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Adjusted EBITDA loss was $(10.1) million, as compared to Adjusted EBITDA loss of $(20.4) million for the same period in 2023. For the six months ended June 30, 2024, Adjusted EBITDA Margin was (4.0)% of revenue, as compared to (9.4)% of revenue for the same period in 2023, driven primarily by increased operating efficiencies as we continue to grow our revenue and margins faster than our expenses.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72"/>
        <w:gridCol w:w="146"/>
        <w:gridCol w:w="215"/>
        <w:gridCol w:w="754"/>
        <w:gridCol w:w="169"/>
        <w:gridCol w:w="148"/>
        <w:gridCol w:w="215"/>
        <w:gridCol w:w="754"/>
        <w:gridCol w:w="166"/>
        <w:gridCol w:w="146"/>
        <w:gridCol w:w="211"/>
        <w:gridCol w:w="736"/>
        <w:gridCol w:w="166"/>
        <w:gridCol w:w="146"/>
        <w:gridCol w:w="211"/>
        <w:gridCol w:w="736"/>
        <w:gridCol w:w="214"/>
      </w:tblGrid>
      <w:tr>
        <w:trPr/>
        <w:tc>
          <w:tcPr>
            <w:tcW w:w="5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(44,902</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14" w:type="dxa"/>
            <w:tcBorders/>
            <w:shd w:fill="FFFFFF" w:val="cle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4" w:type="dxa"/>
            <w:tcBorders/>
            <w:shd w:fill="CFF0FC"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4" w:type="dxa"/>
            <w:tcBorders/>
            <w:shd w:fill="FFFFFF" w:val="cle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w:t>
            </w:r>
          </w:p>
        </w:tc>
        <w:tc>
          <w:tcPr>
            <w:tcW w:w="214" w:type="dxa"/>
            <w:tcBorders/>
            <w:shd w:fill="CFF0FC"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Payroll tax expense related to stock-based compensation</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abandonment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214" w:type="dxa"/>
            <w:tcBorders/>
            <w:shd w:fill="CFF0FC"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4" w:type="dxa"/>
            <w:tcBorders/>
            <w:shd w:fill="FFFFFF" w:val="cle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4" w:type="dxa"/>
            <w:tcBorders/>
            <w:shd w:fill="CFF0FC"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4" w:type="dxa"/>
            <w:tcBorders/>
            <w:shd w:fill="CFF0FC"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14" w:type="dxa"/>
            <w:tcBorders/>
            <w:shd w:fill="FFFFFF" w:val="cle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exit the tools and materials business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color w:val="000000"/>
          <w:sz w:val="17"/>
        </w:rPr>
      </w:pPr>
      <w:r>
        <w:rPr>
          <w:rFonts w:ascii="Times New Roman" w:hAnsi="Times New Roman"/>
          <w:color w:val="000000"/>
          <w:sz w:val="17"/>
        </w:rPr>
        <w:t>(1) In the second quarter of 2024, we changed the definition of Adjusted EBITDA to exclude payroll tax expense related to stock-based compensation. For prior periods, this amount was considered de minimis and, accordingly, we have not adjusted the Adjusted EBITDA amounts for such periods.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Non-GAAP Net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Non-GAAP net loss, as net loss adjusted for depreciation and amortization, stock-based compensation, payroll tax expense related to stock-based compensation, amortization of lease intangible, amortization of deferred costs on convertible notes, loss (gain) on sale of property and equipment, charitable contributions of common stock, lease abandonment and termination,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w:t>
      </w:r>
    </w:p>
    <w:tbl>
      <w:tblPr>
        <w:tblW w:w="9957" w:type="dxa"/>
        <w:jc w:val="left"/>
        <w:tblInd w:w="0" w:type="dxa"/>
        <w:tblLayout w:type="fixed"/>
        <w:tblCellMar>
          <w:top w:w="28" w:type="dxa"/>
          <w:left w:w="28" w:type="dxa"/>
          <w:bottom w:w="28" w:type="dxa"/>
          <w:right w:w="28" w:type="dxa"/>
        </w:tblCellMar>
      </w:tblPr>
      <w:tblGrid>
        <w:gridCol w:w="4876"/>
        <w:gridCol w:w="146"/>
        <w:gridCol w:w="211"/>
        <w:gridCol w:w="736"/>
        <w:gridCol w:w="166"/>
        <w:gridCol w:w="146"/>
        <w:gridCol w:w="211"/>
        <w:gridCol w:w="736"/>
        <w:gridCol w:w="166"/>
        <w:gridCol w:w="146"/>
        <w:gridCol w:w="211"/>
        <w:gridCol w:w="736"/>
        <w:gridCol w:w="166"/>
        <w:gridCol w:w="146"/>
        <w:gridCol w:w="211"/>
        <w:gridCol w:w="736"/>
        <w:gridCol w:w="21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w:t>
            </w:r>
          </w:p>
        </w:tc>
        <w:tc>
          <w:tcPr>
            <w:tcW w:w="21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Payroll tax expense related to stock-based compensation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abandonment and termination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1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exit the tools and materials business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color w:val="000000"/>
          <w:sz w:val="17"/>
        </w:rPr>
      </w:pPr>
      <w:r>
        <w:rPr>
          <w:rFonts w:ascii="Times New Roman" w:hAnsi="Times New Roman"/>
          <w:color w:val="000000"/>
          <w:sz w:val="17"/>
        </w:rPr>
        <w:t>(1) In the second quarter of 2024, we changed the definition of Non-GAAP Net Loss to exclude payroll tax expense related to stock-based compensation. For prior periods, this amount was considered de minimis and, accordingly, we have not adjusted the Non-GAAP Net Loss amounts for such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2024, Non-GAAP net loss was $(0.6) million, as compared to Non-GAAP net loss of $(6.6) million for the same quarter in 2023. For the quarter ended June 30, 2024, Non-GAAP net loss was (0.5)% of revenue, as compared to (6.0)% of revenue for the same quarter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2024, Non-GAAP net loss was $(6.3) million, as compared to Non-GAAP net loss of $(16.4) million for the same period in 2023. For the six months ended June 30, 2024, Non-GAAP net loss was (2.5)% of revenue, as compared to (7.6)% of revenue for the same period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 </w:t>
      </w:r>
    </w:p>
    <w:p>
      <w:pPr>
        <w:pStyle w:val="TextBody"/>
        <w:bidi w:val="0"/>
        <w:spacing w:before="360" w:after="283"/>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Supplier services revenue includes the sale of marketing and advertising services, and to a lesser extent financial service products, SaaS-based solutions and the sale of tools and materials, which was discontinued during the second quarter of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sales and marketing, operations and support, product development and general and administrative functions.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 </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that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and certain depreciation and amortization expense. We expect general and administrative expenses to fluctuate as a result of operating as a public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Expenses</w:t>
      </w:r>
    </w:p>
    <w:p>
      <w:pPr>
        <w:pStyle w:val="TextBody"/>
        <w:bidi w:val="0"/>
        <w:spacing w:before="120" w:after="283"/>
        <w:jc w:val="left"/>
        <w:rPr>
          <w:rFonts w:ascii="Times New Roman" w:hAnsi="Times New Roman"/>
          <w:sz w:val="20"/>
        </w:rPr>
      </w:pPr>
      <w:r>
        <w:rPr>
          <w:rFonts w:ascii="Times New Roman" w:hAnsi="Times New Roman"/>
          <w:color w:val="000000"/>
          <w:sz w:val="20"/>
        </w:rPr>
        <w:t>Other expenses consist primarily of realized foreign exchange gains and/or losses and other expenses.</w:t>
      </w:r>
      <w:r>
        <w:rPr>
          <w:rFonts w:ascii="Times New Roman" w:hAnsi="Times New Roman"/>
          <w:color w:val="FF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Three Months Ended June 30, 2024 and 2023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7424" w:type="dxa"/>
        <w:jc w:val="left"/>
        <w:tblInd w:w="0" w:type="dxa"/>
        <w:tblLayout w:type="fixed"/>
        <w:tblCellMar>
          <w:top w:w="28" w:type="dxa"/>
          <w:left w:w="28" w:type="dxa"/>
          <w:bottom w:w="28" w:type="dxa"/>
          <w:right w:w="28" w:type="dxa"/>
        </w:tblCellMar>
      </w:tblPr>
      <w:tblGrid>
        <w:gridCol w:w="4371"/>
        <w:gridCol w:w="146"/>
        <w:gridCol w:w="211"/>
        <w:gridCol w:w="781"/>
        <w:gridCol w:w="166"/>
        <w:gridCol w:w="146"/>
        <w:gridCol w:w="211"/>
        <w:gridCol w:w="781"/>
        <w:gridCol w:w="6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111,008</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43,556</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expressed as a percentage of total revenue for the periods indicated: </w:t>
      </w:r>
    </w:p>
    <w:tbl>
      <w:tblPr>
        <w:tblW w:w="7558" w:type="dxa"/>
        <w:jc w:val="left"/>
        <w:tblInd w:w="0" w:type="dxa"/>
        <w:tblLayout w:type="fixed"/>
        <w:tblCellMar>
          <w:top w:w="28" w:type="dxa"/>
          <w:left w:w="28" w:type="dxa"/>
          <w:bottom w:w="28" w:type="dxa"/>
          <w:right w:w="28" w:type="dxa"/>
        </w:tblCellMar>
      </w:tblPr>
      <w:tblGrid>
        <w:gridCol w:w="4371"/>
        <w:gridCol w:w="146"/>
        <w:gridCol w:w="173"/>
        <w:gridCol w:w="677"/>
        <w:gridCol w:w="392"/>
        <w:gridCol w:w="173"/>
        <w:gridCol w:w="173"/>
        <w:gridCol w:w="677"/>
        <w:gridCol w:w="77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June 30, 2024 and 2023 (in thousands):</w:t>
      </w:r>
    </w:p>
    <w:tbl>
      <w:tblPr>
        <w:tblW w:w="4319"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676"/>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93,511</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revenue increased $21.6 million, or 19%, from $111.0 million for the three months ended June 30, 2023 to $132.6 million for the three months ended June 30, 2024. This growth was a result of an increase in marketplace revenue, partially offset by a decrease in supplier services revenue. Marketplace revenue increased $23.8 million, or 25%, from $93.5 million for the three months ended June 30, 2023 to $117.3 million for the three months ended June 30, 2024. The increase in marketplace revenue was primarily due to increased buyer activity on the platform for the three months ended June 30, 2024 as compared to the prior 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Supplier services revenue decreased $2.2 million, or 13% from $17.5 million for the three months ended June 30, 2023 to $15.3 million for the three months ended June 30, 2024. The decrease in revenue was due to our exit from the tools and materials business in the U.S. during the second quarter of 2023, a decrease in Thomas non-core services and to a lesser extent a decrease in Thomas advertising and marketing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for the three months ended June 30, 2024 and 2023, was $112.2 million and $95.4 million, respectively, for the U.S. operating segment, and $20.4 million and $15.6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cost of revenue increased $12.3 million, or 18%, from $67.5 million for the three months ended June 30, 2023 to $79.7 million for the three months ended June 30, 2024. This increase was the result of an increase in marketplace cost of revenue offset by a decrease in supplier services costs of revenue. Total cost of revenue from marketplace and supplier services for the three months ended June 30, 2024 was $78.0 million and $1.7 million, respectively, as compared to $63.9 million and $3.5 million, respectively for the three months ended June 30,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Marketplace cost of revenue was driven by order growth and increased activity on our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increased $9.3 million, or 21%, from $43.6 million for the three months ended June 30, 2023 to $52.9 million for the three months ended June 30, 2024. The increase in gross profit was primarily due to increases in revenue from marketplace and improved marketplace gross margins as compared to the prior 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for marketplace was 33.5% for the three months ended June 30, 2024, as compared to 31.7% for the three months ended June 30, 2023. The improvement over the prior year period was due largely to our AI-driven platform and expanding supplier network which optimizes pricing to buyers and suppliers. Gross margin for our supplier services was 88.9% for the three months ended June 30, 2024, as compared to 79.8% for the three months ended June 30, 2023. The increase in gross margin for supplier services is primarily due to a higher mix of marketing services revenue and the exit from the lower margin tools and materials business. As marketplace revenue continues to grow faster than supplier services, our aggregate gross margin will fluctuate.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 increased $4.8 million, or 21%, from $22.7 million for the three months ended June 30, 2023 to $27.5 million for the three months ended June 30, 2024, primarily due to additional sales and marketing employees and their compensation costs, including stock-based compensation and marketing and advertising expense. As a percent of total revenue, sales and marketing expenses increased to 20.7% for the three months ended June 30, 2024 from 20.4% for the three months ended June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expense increased 17%, from $7.5 million for the three months ended June 30, 2023 to $8.8 million for the three months ended June 30, 2024 due to increased marketplace and supplier services advertising. </w:t>
      </w:r>
    </w:p>
    <w:p>
      <w:pPr>
        <w:pStyle w:val="TextBody"/>
        <w:bidi w:val="0"/>
        <w:spacing w:before="120" w:after="283"/>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 remained flat at $14.2 million for the three months ended June 30, 2023 and 2024. As a percent of total revenue, operations and support expenses decreased to 10.7% for the three months ended June 30, 2024 from 12.8% for the three months ended June 30, 2023.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expense increased $1.1 million, or 12%, from $8.9 million for the three months ended June 30, 2023 to $10.0 million for the three months ended June 30, 2024, primarily as result of increases in amortization expense related to capitalized internal-use software development costs and increases in software costs. As a percent of total revenue, product development expenses decreased to 7.6% for the three months ended June 30, 2024 as compared to 8.0% for the three months ended June 30, 2023.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 decreased $9.1 million, or 36% from $25.6 million for the three months ended June 30, 2023 to $16.5 million for the three months ended June 30, 2024. The decrease is due to a lower facility cost due to the abandonment of leased offices in the second quarter of 2023 and decreases in depreciation and amortization expense offset by an increase in general and administrative employees and their compensation costs, including stock-based compensation, and non-cash charitable contributions. As a percent of total revenue, general and administrative expenses decreased to 12.4% for the for the three months ended June 30, 2024 from 23.0% for the three months ended June 30,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expense decreased $0.2 million, or 100%, from $0.2 million for the three months ended June 30, 2023 to zero for the three months ended June 30,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at $1.2 million for the three months ended June 30, 2024 and 2023. Interest expense is primarily due to the interest on the 2027 convertible notes issued in February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color w:val="000000"/>
          <w:sz w:val="20"/>
        </w:rPr>
        <w:t>Interest and dividend income decreased $0.2 million, or 7% from $3.0 million for the three months ended June 30, 2023 to $2.8 million for the three months ended June 30, 204. Interest and dividend income is primarily due to dividend income from our marketable securities</w:t>
      </w:r>
      <w:r>
        <w:rPr>
          <w:rFonts w:ascii="Times New Roman" w:hAnsi="Times New Roman"/>
          <w:color w:val="FF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expenses decreased by $0.3 million, primarily due to foreign exchange losses.</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remained flat at $0.2 million for the three months ended June 30, 2024 and 2023.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segment loss from our U.S. operating segment for the three months ended June 30, 2024 and 2023 was $7.1 million and $22.9 million, respectively. Total segment loss from our International operating segment for the three months ended June 30, 2024 and 2023 was $6.6 million and $3.6 million, respectively.</w:t>
      </w:r>
    </w:p>
    <w:p>
      <w:pPr>
        <w:pStyle w:val="TextBody"/>
        <w:bidi w:val="0"/>
        <w:spacing w:before="12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Six Months Ended June 30, 2024 and 2023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7424" w:type="dxa"/>
        <w:jc w:val="left"/>
        <w:tblInd w:w="0" w:type="dxa"/>
        <w:tblLayout w:type="fixed"/>
        <w:tblCellMar>
          <w:top w:w="28" w:type="dxa"/>
          <w:left w:w="28" w:type="dxa"/>
          <w:bottom w:w="28" w:type="dxa"/>
          <w:right w:w="28" w:type="dxa"/>
        </w:tblCellMar>
      </w:tblPr>
      <w:tblGrid>
        <w:gridCol w:w="4371"/>
        <w:gridCol w:w="146"/>
        <w:gridCol w:w="211"/>
        <w:gridCol w:w="781"/>
        <w:gridCol w:w="166"/>
        <w:gridCol w:w="146"/>
        <w:gridCol w:w="211"/>
        <w:gridCol w:w="781"/>
        <w:gridCol w:w="6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216,334</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82,925</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our unaudited statements of operations data expressed as a percentage of total revenue for the periods indicated:</w:t>
      </w:r>
    </w:p>
    <w:tbl>
      <w:tblPr>
        <w:tblW w:w="7361" w:type="dxa"/>
        <w:jc w:val="left"/>
        <w:tblInd w:w="0" w:type="dxa"/>
        <w:tblLayout w:type="fixed"/>
        <w:tblCellMar>
          <w:top w:w="28" w:type="dxa"/>
          <w:left w:w="28" w:type="dxa"/>
          <w:bottom w:w="28" w:type="dxa"/>
          <w:right w:w="28" w:type="dxa"/>
        </w:tblCellMar>
      </w:tblPr>
      <w:tblGrid>
        <w:gridCol w:w="4371"/>
        <w:gridCol w:w="146"/>
        <w:gridCol w:w="158"/>
        <w:gridCol w:w="618"/>
        <w:gridCol w:w="358"/>
        <w:gridCol w:w="158"/>
        <w:gridCol w:w="158"/>
        <w:gridCol w:w="618"/>
        <w:gridCol w:w="77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358"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358"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six months ended June 30, 2024 and 2023 (in thousands):</w:t>
      </w:r>
    </w:p>
    <w:tbl>
      <w:tblPr>
        <w:tblW w:w="4424"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781"/>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180,191</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36,143</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revenue increased $39.0 million, or 18%, from $216.3 million for the six months ended June 30, 2023 to $255.3 million for the six months ended June 30, 2024. This growth was a result of an increase in marketplace revenue, partially offset by a decrease in supplier services revenue. Marketplace revenue increased $44.3 million, or 25%, from $180.2 million for the six months ended June 30, 2023 to $224.5 million for the six months ended June 30, 2024. The increase in marketplace revenue was primarily due to increased buyers activity on the platform for the six months ended June 30, 2024, as compared to the prior 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Supplier services revenue decreased $5.3 million, or 15%, from $36.1 million for the six months ended June 30, 2023 to $30.8 million for the six months ended June 30, 2024. The decrease in revenue was primarily due to our exit from the tools and materials business in the U.S. during the second quarter of 2023, a decrease in Thomas non-core services and to a lesser extent a decrease in Thomas advertising and marketing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for the six months ended June 30, 2024 and 2023, was $215.5 million and $189.3 million, respectively, for the U.S. operating segment, and $39.8 million and $27.0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cost of revenue increased $21.1 million, or 16%, from $133.4 million for the six months ended June 30, 2023 to $154.5 million for the six months ended June 30, 2024. This increase was primarily the result of an increase in marketplace cost of revenue offset by a decrease in supplier services costs of revenue. Total cost of revenue from marketplace and supplier services for the six months ended June 30, 2024 was $150.9 million and $3.6 million, respectively, as compared to $125.7 million and $7.7 million, respectively, for the six months ended June 30,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Marketplace cost of revenue was driven by increased payments to suppliers on our platform due to order growth and increased activity on our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increased $17.9 million, or 22%, from $82.9 million for the six months ended June 30, 2023 to $100.8 million for the six months ended June 30, 2024. The increase in gross profit was primarily due to increases in revenue from marketplace and improved marketplace gross margins as compared to the prior 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for marketplace was 32.8% for the six months ended June 30, 2024, as compared to 30.3% for the six months ended June 30, 2023. The improvement over the prior year period was due largely to our AI-driven platform and expanding supplier network which optimizes pricing to buyers and suppliers. Gross margin for our supplier services increased to 88.4% for the six months ended June 30, 2024 from 78.6% for the six months ended June 30, 2023. The increase in gross margin for supplier services is primarily due to a higher mix of marketing services revenue and the exit from the lower margin tools and materials business. As marketplace revenue continues to grow, our aggregate gross margin will change.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 increased $9.6 million, or 21%, from $45.1 million for the six months ended June 30, 2023 to $54.7 million for the six months ended June 30, 2024, primarily due to additional sales and marketing employees and their compensation costs, including stock-based compensation, along with marketing and advertising expense. As a percent of total revenue, sales and marketing expenses increased to 21.4% for the six months ended June 30, 2024 from 20.8% for the six months ended June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expense increased 9%, from $15.7 million for the six months ended June 30, 2023 to $17.1 million for the six months ended June 30, 2024 due to increased marketplace and supplier services advertising. </w:t>
      </w:r>
    </w:p>
    <w:p>
      <w:pPr>
        <w:pStyle w:val="TextBody"/>
        <w:bidi w:val="0"/>
        <w:spacing w:before="120" w:after="283"/>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 increased $1.4 million, or 5%, from $26.8 million for the six months ended June 30, 2023 to $28.2 million for the six months ended June 30, 2024, primarily due to hiring of additional operations and support employees and their compensation costs including stock-based compensation. As a percent of total revenue, operations and support expenses decreased to 11.1% for the six months ended June 30, 2024 from 12.4% for the six months ended June 30, 2023.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expense increased $2.6 million, or 15%, from $17.0 million for the six months ended June 30, 2023 to $19.6 million for the six months ended June 30, 2024, primarily as result of increases in amortization expense related to developed software assets, and additional software costs. As a percent of total revenue, product development expenses decreased to 7.7% for the six months ended June 30, 2024 from 7.9% for the six months ended June 30, 2023.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 decreased $10.1 million, or 24%, from $41.5 million for the six months ended June 30, 2023 to $31.4 million for the six months ended June 30, 2024. The primary driver of the decrease was due to the abandonment of multiple company leases resulting in a one-time $8.7 million charge in operating lease expense in the second quarter of 2023 and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in the facilities cost for the abandoned locations. As a percent of total revenue, general and administrative expenses decreased to 12.3% for the six months ended June 30, 2024 from 19.2% for the six months ended June 30, 2023.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expense decreased $0.2 million, or 100%, from $0.2 million for the six months ended June 30, 2023 to zero for the six months ended June 30, 2024.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at $2.4 million for the six months ended June 30, 2024 and 2023. Interest expense is primarily due to the interest on the 2027 convertible notes issued in February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color w:val="000000"/>
          <w:sz w:val="20"/>
        </w:rPr>
        <w:t>Interest and dividend income decreased by $0.2 million, or 3%, from $5.7 million for the six months ended June 30, 2023 to $5.5 million for the six months ended June 30, 2024. Interest and dividend income is primarily due to dividend income from our marketable securities</w:t>
      </w:r>
      <w:r>
        <w:rPr>
          <w:rFonts w:ascii="Times New Roman" w:hAnsi="Times New Roman"/>
          <w:color w:val="FF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remained flat at $0.6 million for the six months ended June 30, 2024 and 2023.</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remained flat at $0.3 million for the six months ended June 30, 2024 and 2023.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segment loss from our U.S. operating segment for the six months ended June 30, 2024 and 2023, was $18.9 million and $35.8 million, respectively. Total segment loss from our International operating segment for the six months ended June 30, 2023 and 2022, was $11.4 million and $9.0 million, respectively.</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June 30, 2024, our cash and cash equivalents and marketable securities totaled $240.9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2027 Notes have a carrying value of $282.7 million with an effective annual interest rate of 1.6%.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cash flows from operating, investing, and financing activities for the six months ended June 30, 2024 and 2023. </w:t>
      </w:r>
    </w:p>
    <w:tbl>
      <w:tblPr>
        <w:tblW w:w="6764"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12,741</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used in operating activities was $20.8 million, primarily due to a net loss of $(30.3) million adjusted for non-cash charges of $24.4 million and a net decrease in our operating assets and liabilities of $(14.9) million. The non-cash adjustments primarily relate to stock-based compensation of $14.2 million, depreciation and amortization of $6.4 million, and a $2.2 million of reduction to our right of use lease assets. The net decrease in operating assets and liabilities is primarily driven by changes in accounts payable of $14.4 million due to the timing of payments and reductions in lease liabilities of $3.4 million, offset by changes in other assets of $2.6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2023, net cash used in operating activities was $22.6 million, primarily due to a net loss of $(44.9) million adjusted for non-cash charges of $29.9 million and a net decrease in our operating assets and liabilities of $(7.6) million. The non-cash adjustments primarily relate to $12.2 million of reduction to our right of use lease assets, stock-based compensation of $10.5 million, and depreciation and amortization of $5.5 million. The net decrease in operating assets and liabilities is primarily driven by an increase in accounts receivable of $8.3 million, an increase in other assets of $2.5 million, and a decrease in lease liabilities of $2.4 million. These decreases were offset by an increase in accrued expenses of $2.7 million and contract liabilities of $1.5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used by investing activities was $12.1 million, primarily due to the purchase of marketable securities $13.5 million and purchase of property and equipment (which includes the internal-use software development costs) of $8.8 million offset from the sale of marketable securities of $10.0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2023, net cash provided by investing activities was $12.7 million, primarily due to the proceeds from the sale of marketable securities of $30.0 million offset by the purchase of property and equipment (which includes internal-use software development costs) of $8.5 million, $5.6 million for the purchase of marketable securities, and $3.3 million for the acquisition of Tridi. </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provided by financing activities was $1.8 million, relating to proceeds from the exercise of stock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2023, net cash provided by financing activities was $1.1 million, relating to proceeds from the exercise of stock options.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2023 as well as Note 2 – Basis of Presentation and Summary of Significant Accounting Policies in the notes to the condensed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consolidated financial statements included in Part I, Item 1, of this Quarterly Report on Form 10-Q. There have been no material changes to our critical accounting policies and accounting estimates as compared to those disclosed in our </w:t>
      </w:r>
      <w:r>
        <w:rPr>
          <w:rFonts w:ascii="Times New Roman" w:hAnsi="Times New Roman"/>
          <w:color w:val="0000FF"/>
          <w:sz w:val="20"/>
          <w:u w:val="single"/>
        </w:rPr>
        <w:t>Annual Report on Form 10-K</w:t>
      </w:r>
      <w:r>
        <w:rPr>
          <w:rFonts w:ascii="Times New Roman" w:hAnsi="Times New Roman"/>
          <w:color w:val="000000"/>
          <w:sz w:val="20"/>
        </w:rPr>
        <w:t xml:space="preserve"> for the year ended December 31, 2023.</w:t>
      </w:r>
    </w:p>
    <w:p>
      <w:pPr>
        <w:pStyle w:val="TextBody"/>
        <w:bidi w:val="0"/>
        <w:spacing w:before="120" w:after="283"/>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pStyle w:val="TextBody"/>
        <w:bidi w:val="0"/>
        <w:spacing w:before="240" w:after="283"/>
        <w:jc w:val="left"/>
        <w:rPr>
          <w:rFonts w:ascii="Times New Roman" w:hAnsi="Times New Roman"/>
          <w:b/>
          <w:color w:val="000000"/>
          <w:sz w:val="20"/>
        </w:rPr>
      </w:pPr>
      <w:bookmarkStart w:id="17" w:name="i_item3"/>
      <w:bookmarkEnd w:id="17"/>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six months ended June 30, 2024 would have decreased by 1.3%. During the six months ended June 30, 2024, our revenues were not materially impacted as the average exchange rate remained consistent between the six month period ending June 30, 2023 and June 30, 2024. </w:t>
      </w:r>
    </w:p>
    <w:p>
      <w:pPr>
        <w:pStyle w:val="TextBody"/>
        <w:bidi w:val="0"/>
        <w:spacing w:before="12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spacing w:before="240" w:after="283"/>
        <w:jc w:val="left"/>
        <w:rPr>
          <w:rFonts w:ascii="Times New Roman" w:hAnsi="Times New Roman"/>
          <w:b/>
          <w:color w:val="000000"/>
          <w:sz w:val="20"/>
        </w:rPr>
      </w:pPr>
      <w:bookmarkStart w:id="18" w:name="i_item4"/>
      <w:bookmarkEnd w:id="18"/>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Rules 13a-15(e) and 15d-15(e) under the Exchange Act, our management, with the participation of our Chief Executive Officer and Chief Financial Officer, performed an evaluation of the effectiveness of our disclosure controls and procedures as of June 30, 2024. Based on such evaluation, our Chief Executive Officer and Chief Financial Officer concluded that our disclosure controls and procedures were effective at a reasonable assurance level as of June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identified in connection with the evaluation required by Rule 13a-15(d) and 15d-15(d) of the Exchange Act that occurred during the quarter ended June 30, 2024,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9" w:name="part_ii"/>
      <w:bookmarkEnd w:id="19"/>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20" w:name="ii_item1"/>
      <w:bookmarkEnd w:id="2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period ending June 30, 2024, there were no material legal proceedings brought against us nor were there any material developments to any ongoing legal proceedings which constituted reportable events.</w:t>
      </w:r>
    </w:p>
    <w:p>
      <w:pPr>
        <w:pStyle w:val="TextBody"/>
        <w:bidi w:val="0"/>
        <w:spacing w:before="360" w:after="283"/>
        <w:jc w:val="left"/>
        <w:rPr>
          <w:rFonts w:ascii="Times New Roman" w:hAnsi="Times New Roman"/>
          <w:b/>
          <w:color w:val="000000"/>
          <w:sz w:val="20"/>
        </w:rPr>
      </w:pPr>
      <w:bookmarkStart w:id="21" w:name="ii_item1a"/>
      <w:bookmarkEnd w:id="21"/>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Investing in our Class A common stock involves a high degree of risk. You should carefully consider the risks and uncertainties described in our Annual Report on Form 10</w:t>
        <w:noBreakHyphen/>
        <w:t>K for the year ended December 31, 2023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our risk factors as previously disclosed in Item 1A. contained in Part I of our Annual Report on Form 10</w:t>
        <w:noBreakHyphen/>
        <w:t>K for the year ended December 31, 2023.</w:t>
      </w:r>
    </w:p>
    <w:p>
      <w:pPr>
        <w:pStyle w:val="TextBody"/>
        <w:bidi w:val="0"/>
        <w:spacing w:before="360" w:after="283"/>
        <w:jc w:val="left"/>
        <w:rPr>
          <w:rFonts w:ascii="Times New Roman" w:hAnsi="Times New Roman"/>
          <w:b/>
          <w:color w:val="000000"/>
          <w:sz w:val="20"/>
        </w:rPr>
      </w:pPr>
      <w:bookmarkStart w:id="22" w:name="ii_item2"/>
      <w:bookmarkEnd w:id="22"/>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2024, we issued an aggregate of 52,126 shares of our Class A common stock to a warrant holder upon the cashless net exercise of an aggregate of 87,784 Class A common stock warrants, each with an exercise price per share of $5.13.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issuance of these shares was exempt from registration under the Securities Act in reliance on Section 4(a)(2) of the Securities Act (and Regulation D or Regulation S promulgated thereunder) as a transaction by an issuer not involving any public offering. The recipient of the securities represented their intention to acquire the securities for investment only and not with a view to, or for sale in connection with, any distribution thereof, and appropriate legends were placed on the share certificates issued. The foregoing did not involve any underwriters, underwriting discounts or commissions, or any public offering.</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3" w:name="ii_item3"/>
      <w:bookmarkEnd w:id="23"/>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4" w:name="ii_item4"/>
      <w:bookmarkEnd w:id="24"/>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5" w:name="ii_item5"/>
      <w:bookmarkEnd w:id="25"/>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4"/>
        <w:gridCol w:w="146"/>
        <w:gridCol w:w="706"/>
        <w:gridCol w:w="146"/>
        <w:gridCol w:w="1254"/>
        <w:gridCol w:w="146"/>
        <w:gridCol w:w="997"/>
        <w:gridCol w:w="448"/>
        <w:gridCol w:w="511"/>
        <w:gridCol w:w="146"/>
        <w:gridCol w:w="146"/>
        <w:gridCol w:w="316"/>
        <w:gridCol w:w="1110"/>
        <w:gridCol w:w="146"/>
        <w:gridCol w:w="146"/>
        <w:gridCol w:w="744"/>
        <w:gridCol w:w="848"/>
        <w:gridCol w:w="146"/>
        <w:gridCol w:w="146"/>
        <w:gridCol w:w="1023"/>
      </w:tblGrid>
      <w:tr>
        <w:trPr/>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Adoption/Termination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Rule 10b5-1*</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Expiration Date</w:t>
            </w:r>
          </w:p>
        </w:tc>
      </w:tr>
      <w:tr>
        <w:trPr/>
        <w:tc>
          <w:tcPr>
            <w:tcW w:w="9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 xml:space="preserve">Emily Rollins, </w:t>
            </w:r>
            <w:r>
              <w:rPr>
                <w:rFonts w:ascii="Times New Roman" w:hAnsi="Times New Roman"/>
                <w:i/>
                <w:color w:val="000000"/>
                <w:sz w:val="17"/>
              </w:rPr>
              <w:t>Director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Adopted</w:t>
            </w:r>
          </w:p>
        </w:tc>
        <w:tc>
          <w:tcPr>
            <w:tcW w:w="146" w:type="dxa"/>
            <w:tcBorders/>
            <w:shd w:fill="CFF0FC" w:val="clear"/>
            <w:vAlign w:val="center"/>
          </w:tcPr>
          <w:p>
            <w:pPr>
              <w:pStyle w:val="TableContents"/>
              <w:bidi w:val="0"/>
              <w:spacing w:before="0" w:after="283"/>
              <w:jc w:val="center"/>
              <w:rPr/>
            </w:pPr>
            <w:r>
              <w:rPr/>
              <w:t> </w:t>
            </w:r>
          </w:p>
        </w:tc>
        <w:tc>
          <w:tcPr>
            <w:tcW w:w="1254"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6/11/2024</w:t>
            </w:r>
          </w:p>
        </w:tc>
        <w:tc>
          <w:tcPr>
            <w:tcW w:w="146" w:type="dxa"/>
            <w:tcBorders/>
            <w:shd w:fill="CFF0FC" w:val="clear"/>
            <w:vAlign w:val="center"/>
          </w:tcPr>
          <w:p>
            <w:pPr>
              <w:pStyle w:val="TableContents"/>
              <w:bidi w:val="0"/>
              <w:spacing w:before="0" w:after="283"/>
              <w:jc w:val="center"/>
              <w:rPr/>
            </w:pPr>
            <w:r>
              <w:rPr/>
              <w:t> </w:t>
            </w:r>
          </w:p>
        </w:tc>
        <w:tc>
          <w:tcPr>
            <w:tcW w:w="997"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c>
          <w:tcPr>
            <w:tcW w:w="448"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4/8/2025</w:t>
            </w:r>
          </w:p>
        </w:tc>
      </w:tr>
    </w:tbl>
    <w:p>
      <w:pPr>
        <w:pStyle w:val="TextBody"/>
        <w:bidi w:val="0"/>
        <w:jc w:val="left"/>
        <w:rPr>
          <w:rFonts w:ascii="Times New Roman" w:hAnsi="Times New Roman"/>
          <w:color w:val="000000"/>
          <w:sz w:val="18"/>
        </w:rPr>
      </w:pPr>
      <w:r>
        <w:rPr>
          <w:rFonts w:ascii="Times New Roman" w:hAnsi="Times New Roman"/>
          <w:color w:val="000000"/>
          <w:sz w:val="18"/>
        </w:rPr>
        <w:t>* Contract, instruction or written plan intended to satisfy the affirmative defense conditions of Rule 10b5-1(c) under the Exchange Act.</w:t>
      </w:r>
    </w:p>
    <w:p>
      <w:pPr>
        <w:pStyle w:val="TextBody"/>
        <w:bidi w:val="0"/>
        <w:jc w:val="left"/>
        <w:rPr>
          <w:rFonts w:ascii="Times New Roman" w:hAnsi="Times New Roman"/>
          <w:color w:val="000000"/>
          <w:sz w:val="18"/>
        </w:rPr>
      </w:pPr>
      <w:r>
        <w:rPr>
          <w:rFonts w:ascii="Times New Roman" w:hAnsi="Times New Roman"/>
          <w:color w:val="000000"/>
          <w:sz w:val="18"/>
        </w:rPr>
        <w:t>** “Non-Rule 10b5-1 trading arrangement” as defined in Item 408(c) of Regulation S-K under the Exchange Act.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6" w:name="ii_item6"/>
      <w:bookmarkEnd w:id="26"/>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documents listed in the Exhibit Index of this Quarterly Report on Form 10-Q are herein incorporated by reference or are filed with this Quarterly Report on Form 10-Q, in each case as indicated therein (numbered in accordance with Item 601 of Regulation S-K).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1.htm">
              <w:r>
                <w:rPr>
                  <w:rStyle w:val="InternetLink"/>
                  <w:rFonts w:ascii="Times New Roman" w:hAnsi="Times New Roman"/>
                  <w:color w:val="0000FF"/>
                  <w:sz w:val="20"/>
                  <w:u w:val="single"/>
                </w:rPr>
                <w:t>Amendment to Employment Agreement by and between Xometry, Inc. and Randolph Altschuler.</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2.htm">
              <w:r>
                <w:rPr>
                  <w:rStyle w:val="InternetLink"/>
                  <w:rFonts w:ascii="Times New Roman" w:hAnsi="Times New Roman"/>
                  <w:color w:val="0000FF"/>
                  <w:sz w:val="20"/>
                  <w:u w:val="single"/>
                </w:rPr>
                <w:t>Amendment to Employment Agreement by and between Xometry, Inc. and Peter Goguen.</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3.htm">
              <w:r>
                <w:rPr>
                  <w:rStyle w:val="InternetLink"/>
                  <w:rFonts w:ascii="Times New Roman" w:hAnsi="Times New Roman"/>
                  <w:color w:val="0000FF"/>
                  <w:sz w:val="20"/>
                  <w:u w:val="single"/>
                </w:rPr>
                <w:t>Amended and Restated Employment Agreement by and between Xometry, Inc. and Matthew Leibel</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4.htm">
              <w:r>
                <w:rPr>
                  <w:rStyle w:val="InternetLink"/>
                  <w:rFonts w:ascii="Times New Roman" w:hAnsi="Times New Roman"/>
                  <w:color w:val="0000FF"/>
                  <w:sz w:val="20"/>
                  <w:u w:val="single"/>
                </w:rPr>
                <w:t>Employment Agreement by and between Xometry, Inc. and Subir Dutt</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XOMETRY,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xmtr-ex10_1.htm"/>
      <w:bookmarkStart w:id="29" w:name="ksxmtrex10_1"/>
      <w:bookmarkEnd w:id="28"/>
      <w:bookmarkEnd w:id="29"/>
      <w:r>
        <w:rPr>
          <w:rFonts w:ascii="Times New Roman" w:hAnsi="Times New Roman"/>
          <w:b/>
          <w:color w:val="000000"/>
          <w:sz w:val="24"/>
        </w:rPr>
        <w:t>Exhibit 10.1</w:t>
      </w:r>
      <w:r>
        <w:br w:type="page"/>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AMENDMENT TO EMPLOYMENT AGREEMENT</w:t>
      </w:r>
    </w:p>
    <w:p>
      <w:pPr>
        <w:pStyle w:val="TextBody"/>
        <w:bidi w:val="0"/>
        <w:jc w:val="both"/>
        <w:rPr>
          <w:rFonts w:ascii="Times New Roman" w:hAnsi="Times New Roman"/>
          <w:sz w:val="20"/>
        </w:rPr>
      </w:pPr>
      <w:r>
        <w:rPr>
          <w:rFonts w:ascii="Times New Roman" w:hAnsi="Times New Roman"/>
          <w:b/>
          <w:color w:val="000000"/>
          <w:sz w:val="22"/>
        </w:rPr>
        <w:t>THIS AMENDMENT TO AMENDED AND RESTATED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is entered into as of June 14, 2024,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by and between Xometry,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Randolph Altschuler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(collectively referred to as the “</w:t>
      </w:r>
      <w:r>
        <w:rPr>
          <w:rFonts w:ascii="Times New Roman" w:hAnsi="Times New Roman"/>
          <w:color w:val="000000"/>
          <w:sz w:val="22"/>
          <w:u w:val="single"/>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color w:val="000000"/>
          <w:sz w:val="22"/>
          <w:u w:val="single"/>
        </w:rPr>
        <w:t>Party</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previously entered into that certain Amended and Restated Employment Agreement, effective as of July 2, 2021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wish to amend the Employment Agreement as set forth herein.</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premises and mutual covenants herein and for other good and valuable consideration, the Parties agree as follows: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w:t>
      </w:r>
    </w:p>
    <w:p>
      <w:pPr>
        <w:pStyle w:val="TextBody"/>
        <w:bidi w:val="0"/>
        <w:spacing w:before="120" w:after="283"/>
        <w:jc w:val="both"/>
        <w:rPr/>
      </w:pPr>
      <w:r>
        <w:rPr>
          <w:rFonts w:ascii="Times New Roman" w:hAnsi="Times New Roman"/>
          <w:color w:val="000000"/>
          <w:sz w:val="22"/>
          <w:u w:val="single"/>
        </w:rPr>
        <w:t>Amendments to Employment Agreement</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Notwithstanding anything to the contrary in the Employment Agreement, Section 6.2(a)(v) of the Employment Agreement shall be struck and replaced with the following: “(v) 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100%.”Executive hereby expressly consents to this Amendment of the Employment Agreement. All other terms and provisions of the Employment Agreement shall remain in full force and effect.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spacing w:before="120" w:after="283"/>
        <w:jc w:val="both"/>
        <w:rPr/>
      </w:pPr>
      <w:r>
        <w:rPr>
          <w:rFonts w:ascii="Times New Roman" w:hAnsi="Times New Roman"/>
          <w:color w:val="000000"/>
          <w:sz w:val="22"/>
          <w:u w:val="single"/>
        </w:rPr>
        <w:t>Amendments and Waivers</w:t>
      </w:r>
      <w:r>
        <w:rPr>
          <w:rFonts w:ascii="Times New Roman" w:hAnsi="Times New Roman"/>
          <w:color w:val="000000"/>
          <w:sz w:val="22"/>
        </w:rPr>
        <w:t>. Any term hereof may be amended, and the observance of any term hereof may be waived only with the written consent of each Party hereto. Any amendment or waiver so effected shall be binding upon the Parties.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spacing w:before="120" w:after="283"/>
        <w:jc w:val="both"/>
        <w:rPr/>
      </w:pPr>
      <w:r>
        <w:rPr>
          <w:rFonts w:ascii="Times New Roman" w:hAnsi="Times New Roman"/>
          <w:color w:val="000000"/>
          <w:sz w:val="22"/>
          <w:u w:val="single"/>
        </w:rPr>
        <w:t>Severability</w:t>
      </w:r>
      <w:r>
        <w:rPr>
          <w:rFonts w:ascii="Times New Roman" w:hAnsi="Times New Roman"/>
          <w:color w:val="000000"/>
          <w:sz w:val="22"/>
        </w:rPr>
        <w:t>. Whenever possible, each provision of this Amendment shall be interpreted in such manner as to be effective and valid under applicable law, but if any provision of this Amendment shall be held to be prohibited by or invalid under applicable law, such provision shall be ineffective only to the extent of such prohibition or invalidity, without invalidating the remainder of such provision or the remaining provisions of this Amendment.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4.</w:t>
      </w:r>
    </w:p>
    <w:p>
      <w:pPr>
        <w:pStyle w:val="TextBody"/>
        <w:bidi w:val="0"/>
        <w:spacing w:before="120" w:after="283"/>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two or more counterparts, each of which shall be deemed an original, but all of which together shall constitute one and the same instrument.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5.</w:t>
      </w:r>
    </w:p>
    <w:p>
      <w:pPr>
        <w:pStyle w:val="TextBody"/>
        <w:bidi w:val="0"/>
        <w:spacing w:before="120" w:after="283"/>
        <w:jc w:val="both"/>
        <w:rPr/>
      </w:pPr>
      <w:r>
        <w:rPr>
          <w:rFonts w:ascii="Times New Roman" w:hAnsi="Times New Roman"/>
          <w:color w:val="000000"/>
          <w:sz w:val="22"/>
          <w:u w:val="single"/>
        </w:rPr>
        <w:t>Entire Agreement</w:t>
      </w:r>
      <w:r>
        <w:rPr>
          <w:rFonts w:ascii="Times New Roman" w:hAnsi="Times New Roman"/>
          <w:color w:val="000000"/>
          <w:sz w:val="22"/>
        </w:rPr>
        <w:t>. This Amendment contains the entire understanding of the parties hereto with respect to the subject matter hereof and supersedes all other agreements between or among any of the parties with respect to the subject matter hereof; provided, however, that this Amendment modifies but does not supersede the Employment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each of the Parties has executed this Amendment as of the date written above.</w:t>
      </w:r>
    </w:p>
    <w:tbl>
      <w:tblPr>
        <w:tblW w:w="8912" w:type="dxa"/>
        <w:jc w:val="left"/>
        <w:tblInd w:w="0" w:type="dxa"/>
        <w:tblLayout w:type="fixed"/>
        <w:tblCellMar>
          <w:top w:w="28" w:type="dxa"/>
          <w:left w:w="28" w:type="dxa"/>
          <w:bottom w:w="28" w:type="dxa"/>
          <w:right w:w="28" w:type="dxa"/>
        </w:tblCellMar>
      </w:tblPr>
      <w:tblGrid>
        <w:gridCol w:w="4441"/>
        <w:gridCol w:w="4471"/>
      </w:tblGrid>
      <w:tr>
        <w:trPr/>
        <w:tc>
          <w:tcPr>
            <w:tcW w:w="444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2"/>
              </w:rPr>
            </w:pPr>
            <w:r>
              <w:rPr>
                <w:rFonts w:ascii="Times New Roman" w:hAnsi="Times New Roman"/>
                <w:b/>
                <w:smallCaps/>
                <w:color w:val="000000"/>
                <w:sz w:val="22"/>
              </w:rPr>
              <w:t>Xometry, Inc.</w:t>
            </w:r>
          </w:p>
        </w:tc>
        <w:tc>
          <w:tcPr>
            <w:tcW w:w="44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2"/>
              </w:rPr>
            </w:pPr>
            <w:r>
              <w:rPr>
                <w:rFonts w:ascii="Times New Roman" w:hAnsi="Times New Roman"/>
                <w:b/>
                <w:smallCaps/>
                <w:color w:val="000000"/>
                <w:sz w:val="22"/>
              </w:rPr>
              <w:t>Executive</w:t>
            </w:r>
          </w:p>
        </w:tc>
      </w:tr>
      <w:tr>
        <w:trPr/>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Sophia MacDonald, Chief People Officer</w:t>
            </w:r>
          </w:p>
        </w:tc>
        <w:tc>
          <w:tcPr>
            <w:tcW w:w="44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Randolph Altschuler</w:t>
            </w:r>
          </w:p>
        </w:tc>
      </w:tr>
    </w:tbl>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30" w:name="xmtr-ex10_2.htm"/>
      <w:bookmarkStart w:id="31" w:name="ksxmtrex10_2"/>
      <w:bookmarkEnd w:id="30"/>
      <w:bookmarkEnd w:id="3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w:t>
      </w:r>
    </w:p>
    <w:p>
      <w:pPr>
        <w:pStyle w:val="TextBody"/>
        <w:bidi w:val="0"/>
        <w:jc w:val="center"/>
        <w:rPr>
          <w:rFonts w:ascii="Times New Roman" w:hAnsi="Times New Roman"/>
          <w:b/>
          <w:color w:val="000000"/>
          <w:sz w:val="22"/>
        </w:rPr>
      </w:pPr>
      <w:r>
        <w:rPr>
          <w:rFonts w:ascii="Times New Roman" w:hAnsi="Times New Roman"/>
          <w:b/>
          <w:color w:val="000000"/>
          <w:sz w:val="22"/>
        </w:rPr>
        <w:t>AMENDMENT TO EMPLOYMENT AGREEMENT</w:t>
      </w:r>
    </w:p>
    <w:p>
      <w:pPr>
        <w:pStyle w:val="TextBody"/>
        <w:bidi w:val="0"/>
        <w:jc w:val="both"/>
        <w:rPr>
          <w:rFonts w:ascii="Times New Roman" w:hAnsi="Times New Roman"/>
          <w:sz w:val="20"/>
        </w:rPr>
      </w:pPr>
      <w:r>
        <w:rPr>
          <w:rFonts w:ascii="Times New Roman" w:hAnsi="Times New Roman"/>
          <w:b/>
          <w:color w:val="000000"/>
          <w:sz w:val="22"/>
        </w:rPr>
        <w:t>THIS AMENDMENT TO AMENDED AND RESTATED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is entered into as of June 14, 2024,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by and between Xometry,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Peter Goguen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(collectively referred to as the “</w:t>
      </w:r>
      <w:r>
        <w:rPr>
          <w:rFonts w:ascii="Times New Roman" w:hAnsi="Times New Roman"/>
          <w:color w:val="000000"/>
          <w:sz w:val="22"/>
          <w:u w:val="single"/>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color w:val="000000"/>
          <w:sz w:val="22"/>
          <w:u w:val="single"/>
        </w:rPr>
        <w:t>Party</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previously entered into that certain Amended and Restated Employment Agreement, effective as of July 2, 2021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wish to amend the Employment Agreement as set forth herein.</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premises and mutual covenants herein and for other good and valuable consideration, the Parties agree as follows: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w:t>
      </w:r>
    </w:p>
    <w:p>
      <w:pPr>
        <w:pStyle w:val="TextBody"/>
        <w:bidi w:val="0"/>
        <w:spacing w:before="120" w:after="283"/>
        <w:jc w:val="both"/>
        <w:rPr/>
      </w:pPr>
      <w:r>
        <w:rPr>
          <w:rFonts w:ascii="Times New Roman" w:hAnsi="Times New Roman"/>
          <w:color w:val="000000"/>
          <w:sz w:val="22"/>
          <w:u w:val="single"/>
        </w:rPr>
        <w:t>Amendments to Employment Agreement</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Notwithstanding anything to the contrary in the Employment Agreement, Section 6.2(a)(v) of the Employment Agreement shall be struck and replaced with the following: “(v) 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100%.”Executive hereby expressly consents to this Amendment of the Employment Agreement. All other terms and provisions of the Employment Agreement shall remain in full force and effect.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spacing w:before="120" w:after="283"/>
        <w:jc w:val="both"/>
        <w:rPr/>
      </w:pPr>
      <w:r>
        <w:rPr>
          <w:rFonts w:ascii="Times New Roman" w:hAnsi="Times New Roman"/>
          <w:color w:val="000000"/>
          <w:sz w:val="22"/>
          <w:u w:val="single"/>
        </w:rPr>
        <w:t>Amendments and Waivers</w:t>
      </w:r>
      <w:r>
        <w:rPr>
          <w:rFonts w:ascii="Times New Roman" w:hAnsi="Times New Roman"/>
          <w:color w:val="000000"/>
          <w:sz w:val="22"/>
        </w:rPr>
        <w:t>. Any term hereof may be amended, and the observance of any term hereof may be waived only with the written consent of each Party hereto. Any amendment or waiver so effected shall be binding upon the Parties.</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spacing w:before="120" w:after="283"/>
        <w:jc w:val="both"/>
        <w:rPr/>
      </w:pPr>
      <w:r>
        <w:rPr>
          <w:rFonts w:ascii="Times New Roman" w:hAnsi="Times New Roman"/>
          <w:color w:val="000000"/>
          <w:sz w:val="22"/>
          <w:u w:val="single"/>
        </w:rPr>
        <w:t>Severability</w:t>
      </w:r>
      <w:r>
        <w:rPr>
          <w:rFonts w:ascii="Times New Roman" w:hAnsi="Times New Roman"/>
          <w:color w:val="000000"/>
          <w:sz w:val="22"/>
        </w:rPr>
        <w:t>. Whenever possible, each provision of this Amendment shall be interpreted in such manner as to be effective and valid under applicable law, but if any provision of this Amendment shall be held to be prohibited by or invalid under applicable law, such provision shall be ineffective only to the extent of such prohibition or invalidity, without invalidating the remainder of such provision or the remaining provisions of this Amendment.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4.</w:t>
      </w:r>
    </w:p>
    <w:p>
      <w:pPr>
        <w:pStyle w:val="TextBody"/>
        <w:bidi w:val="0"/>
        <w:spacing w:before="120" w:after="283"/>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two or more counterparts, each of which shall be deemed an original, but all of which together shall constitute one and the same instrument.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5.</w:t>
      </w:r>
    </w:p>
    <w:p>
      <w:pPr>
        <w:pStyle w:val="TextBody"/>
        <w:bidi w:val="0"/>
        <w:spacing w:before="120" w:after="283"/>
        <w:jc w:val="both"/>
        <w:rPr/>
      </w:pPr>
      <w:r>
        <w:rPr>
          <w:rFonts w:ascii="Times New Roman" w:hAnsi="Times New Roman"/>
          <w:color w:val="000000"/>
          <w:sz w:val="22"/>
          <w:u w:val="single"/>
        </w:rPr>
        <w:t>Entire Agreement</w:t>
      </w:r>
      <w:r>
        <w:rPr>
          <w:rFonts w:ascii="Times New Roman" w:hAnsi="Times New Roman"/>
          <w:color w:val="000000"/>
          <w:sz w:val="22"/>
        </w:rPr>
        <w:t>. This Amendment contains the entire understanding of the parties hereto with respect to the subject matter hereof and supersedes all other agreements between or among any of the parties with respect to the subject matter hereof; provided, however, that this Amendment modifies but does not supersede the Employment Agreement.</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each of the Parties has executed this Amendment as of the date written above.</w:t>
      </w:r>
    </w:p>
    <w:tbl>
      <w:tblPr>
        <w:tblW w:w="8912" w:type="dxa"/>
        <w:jc w:val="left"/>
        <w:tblInd w:w="0" w:type="dxa"/>
        <w:tblLayout w:type="fixed"/>
        <w:tblCellMar>
          <w:top w:w="28" w:type="dxa"/>
          <w:left w:w="28" w:type="dxa"/>
          <w:bottom w:w="28" w:type="dxa"/>
          <w:right w:w="28" w:type="dxa"/>
        </w:tblCellMar>
      </w:tblPr>
      <w:tblGrid>
        <w:gridCol w:w="4441"/>
        <w:gridCol w:w="4471"/>
      </w:tblGrid>
      <w:tr>
        <w:trPr/>
        <w:tc>
          <w:tcPr>
            <w:tcW w:w="444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2"/>
              </w:rPr>
            </w:pPr>
            <w:r>
              <w:rPr>
                <w:rFonts w:ascii="Times New Roman" w:hAnsi="Times New Roman"/>
                <w:b/>
                <w:smallCaps/>
                <w:color w:val="000000"/>
                <w:sz w:val="22"/>
              </w:rPr>
              <w:t>Xometry, Inc.</w:t>
            </w:r>
          </w:p>
        </w:tc>
        <w:tc>
          <w:tcPr>
            <w:tcW w:w="44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2"/>
              </w:rPr>
            </w:pPr>
            <w:r>
              <w:rPr>
                <w:rFonts w:ascii="Times New Roman" w:hAnsi="Times New Roman"/>
                <w:b/>
                <w:smallCaps/>
                <w:color w:val="000000"/>
                <w:sz w:val="22"/>
              </w:rPr>
              <w:t>Executive</w:t>
            </w:r>
          </w:p>
        </w:tc>
      </w:tr>
      <w:tr>
        <w:trPr/>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Sophia MacDonald, Chief People Officer</w:t>
            </w:r>
          </w:p>
        </w:tc>
        <w:tc>
          <w:tcPr>
            <w:tcW w:w="44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____________________________________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Peter Goguen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32" w:name="xmtr-ex10_3.htm"/>
      <w:bookmarkStart w:id="33" w:name="ksxmtrex10_3"/>
      <w:bookmarkEnd w:id="32"/>
      <w:bookmarkEnd w:id="3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10.3</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EMPLOYMENT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Amended And Restated Employment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effective as of May 13,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Xometry,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Matthew Leibel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This Agreement amends, restates, and supersedes in its entirety any agreement between the Company and Executive that existed with regard to the employment terms detailed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desires to continue to employ Executive, in the capacity of full-time Chief Technology Officer pursuant to the terms of this Agreement and, in connection therewith, to compensate Executive for Executive’s personal services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wishes to continue to be employed by the Company and provide personal services to the Company in return for certain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1.</w:t>
      </w:r>
    </w:p>
    <w:p>
      <w:pPr>
        <w:pStyle w:val="TextBody"/>
        <w:bidi w:val="0"/>
        <w:spacing w:before="0" w:after="240"/>
        <w:jc w:val="both"/>
        <w:rPr/>
      </w:pPr>
      <w:r>
        <w:rPr>
          <w:rFonts w:ascii="Times New Roman" w:hAnsi="Times New Roman"/>
          <w:b/>
          <w:smallCaps/>
          <w:color w:val="000000"/>
          <w:sz w:val="24"/>
          <w:u w:val="single"/>
        </w:rPr>
        <w:t>Employment by the Company</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1.1</w:t>
      </w:r>
    </w:p>
    <w:p>
      <w:pPr>
        <w:pStyle w:val="TextBody"/>
        <w:bidi w:val="0"/>
        <w:spacing w:before="0" w:after="240"/>
        <w:jc w:val="both"/>
        <w:rPr/>
      </w:pPr>
      <w:r>
        <w:rPr>
          <w:rFonts w:ascii="Times New Roman" w:hAnsi="Times New Roman"/>
          <w:b/>
          <w:color w:val="000000"/>
          <w:sz w:val="24"/>
          <w:u w:val="single"/>
        </w:rPr>
        <w:t>At-Will Employment</w:t>
      </w:r>
      <w:r>
        <w:rPr>
          <w:rFonts w:ascii="Times New Roman" w:hAnsi="Times New Roman"/>
          <w:color w:val="000000"/>
          <w:sz w:val="24"/>
        </w:rPr>
        <w:t xml:space="preserve">. Executive shall continue to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1.2</w:t>
      </w:r>
    </w:p>
    <w:p>
      <w:pPr>
        <w:pStyle w:val="TextBody"/>
        <w:bidi w:val="0"/>
        <w:spacing w:before="0" w:after="240"/>
        <w:jc w:val="both"/>
        <w:rPr/>
      </w:pPr>
      <w:r>
        <w:rPr>
          <w:rFonts w:ascii="Times New Roman" w:hAnsi="Times New Roman"/>
          <w:b/>
          <w:color w:val="000000"/>
          <w:sz w:val="24"/>
          <w:u w:val="single"/>
        </w:rPr>
        <w:t>Position</w:t>
      </w:r>
      <w:r>
        <w:rPr>
          <w:rFonts w:ascii="Times New Roman" w:hAnsi="Times New Roman"/>
          <w:color w:val="000000"/>
          <w:sz w:val="24"/>
        </w:rPr>
        <w:t>. Subject to the terms set forth herein, the Company agrees to continue to employ Executive in the position of Chief Technology Officer, and Executive hereby accepts such continued employment. During the term of Executive’s employment with the Company, Executive will devote Executive’s best efforts and substantially all of Executive’s business time and attention to the business of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1.3</w:t>
      </w:r>
    </w:p>
    <w:p>
      <w:pPr>
        <w:pStyle w:val="TextBody"/>
        <w:bidi w:val="0"/>
        <w:spacing w:before="0" w:after="240"/>
        <w:jc w:val="both"/>
        <w:rPr/>
      </w:pPr>
      <w:r>
        <w:rPr>
          <w:rFonts w:ascii="Times New Roman" w:hAnsi="Times New Roman"/>
          <w:b/>
          <w:color w:val="000000"/>
          <w:sz w:val="24"/>
          <w:u w:val="single"/>
        </w:rPr>
        <w:t>Duties</w:t>
      </w:r>
      <w:r>
        <w:rPr>
          <w:rFonts w:ascii="Times New Roman" w:hAnsi="Times New Roman"/>
          <w:color w:val="000000"/>
          <w:sz w:val="24"/>
        </w:rPr>
        <w:t>. Executive will report to the Chief Executive Officer</w:t>
      </w:r>
      <w:r>
        <w:rPr>
          <w:color w:val="000000"/>
        </w:rPr>
        <w:t xml:space="preserve"> </w:t>
      </w:r>
      <w:r>
        <w:rPr>
          <w:rFonts w:ascii="Times New Roman" w:hAnsi="Times New Roman"/>
          <w:color w:val="000000"/>
          <w:sz w:val="24"/>
        </w:rPr>
        <w:t>performing such duties as are normally associated with Executive’s then-current position and such duties as are assigned to Executive from time to time, subject to the oversight and direction of the Chief Executive Officer. Executive shall perform Executive’s duties under this Agreement principally out of the Company’s office in the Bethesda, Maryland area</w:t>
      </w:r>
      <w:r>
        <w:rPr>
          <w:color w:val="000000"/>
        </w:rPr>
        <w:t xml:space="preserve"> </w:t>
      </w:r>
      <w:r>
        <w:rPr>
          <w:rFonts w:ascii="Times New Roman" w:hAnsi="Times New Roman"/>
          <w:color w:val="000000"/>
          <w:sz w:val="24"/>
        </w:rPr>
        <w:t xml:space="preserve">or such other location as assigned. In addition, Executive shall make such business trips to such places as may be necessary or advisable for the efficient operations of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1.4</w:t>
      </w:r>
    </w:p>
    <w:p>
      <w:pPr>
        <w:pStyle w:val="TextBody"/>
        <w:bidi w:val="0"/>
        <w:spacing w:before="0" w:after="240"/>
        <w:jc w:val="both"/>
        <w:rPr/>
      </w:pPr>
      <w:r>
        <w:rPr>
          <w:rFonts w:ascii="Times New Roman" w:hAnsi="Times New Roman"/>
          <w:b/>
          <w:color w:val="000000"/>
          <w:sz w:val="24"/>
          <w:u w:val="single"/>
        </w:rPr>
        <w:t>Company Policies and Benefits</w:t>
      </w:r>
      <w:r>
        <w:rPr>
          <w:rFonts w:ascii="Times New Roman" w:hAnsi="Times New Roman"/>
          <w:color w:val="000000"/>
          <w:sz w:val="24"/>
        </w:rPr>
        <w:t>. The employment relationship between the parties shall also continue to be subject to the Company’s personnel policies and procedures 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2.</w:t>
      </w:r>
    </w:p>
    <w:p>
      <w:pPr>
        <w:pStyle w:val="TextBody"/>
        <w:bidi w:val="0"/>
        <w:spacing w:before="0" w:after="240"/>
        <w:jc w:val="both"/>
        <w:rPr/>
      </w:pPr>
      <w:r>
        <w:rPr>
          <w:rFonts w:ascii="Times New Roman" w:hAnsi="Times New Roman"/>
          <w:b/>
          <w:smallCaps/>
          <w:color w:val="000000"/>
          <w:sz w:val="24"/>
          <w:u w:val="single"/>
        </w:rPr>
        <w:t>Compensation</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2.1</w:t>
      </w:r>
    </w:p>
    <w:p>
      <w:pPr>
        <w:pStyle w:val="TextBody"/>
        <w:bidi w:val="0"/>
        <w:spacing w:before="0" w:after="240"/>
        <w:jc w:val="both"/>
        <w:rPr/>
      </w:pPr>
      <w:r>
        <w:rPr>
          <w:rFonts w:ascii="Times New Roman" w:hAnsi="Times New Roman"/>
          <w:b/>
          <w:color w:val="000000"/>
          <w:sz w:val="24"/>
          <w:u w:val="single"/>
        </w:rPr>
        <w:t>Salary</w:t>
      </w:r>
      <w:r>
        <w:rPr>
          <w:rFonts w:ascii="Times New Roman" w:hAnsi="Times New Roman"/>
          <w:color w:val="000000"/>
          <w:sz w:val="24"/>
        </w:rPr>
        <w:t>. Commencing on April 1, 2024, Executive shall receive for Executive’s services to be rendered hereunder an initial annualized base salary of $400,000, subject to review and adjustment from time to time by the Company in its sole discretion</w:t>
      </w:r>
      <w:r>
        <w:rPr>
          <w:color w:val="000000"/>
        </w:rPr>
        <w:t xml:space="preserve"> </w:t>
      </w:r>
      <w:r>
        <w:rPr>
          <w:rFonts w:ascii="Times New Roman" w:hAnsi="Times New Roman"/>
          <w:color w:val="000000"/>
          <w:sz w:val="24"/>
        </w:rPr>
        <w:t>(“</w:t>
      </w:r>
      <w:r>
        <w:rPr>
          <w:rFonts w:ascii="Times New Roman" w:hAnsi="Times New Roman"/>
          <w:b/>
          <w:i/>
          <w:color w:val="000000"/>
          <w:sz w:val="24"/>
        </w:rPr>
        <w:t>Base Salary</w:t>
      </w:r>
      <w:r>
        <w:rPr>
          <w:color w:val="000000"/>
        </w:rPr>
        <w:t>”</w:t>
      </w:r>
      <w:r>
        <w:rPr>
          <w:rFonts w:ascii="Times New Roman" w:hAnsi="Times New Roman"/>
          <w:color w:val="000000"/>
          <w:sz w:val="24"/>
        </w:rPr>
        <w:t>). The Base Salary is payable subject to standard federal and state payroll withholding requirements in accordance with the Company’s standard payroll practices.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2.2</w:t>
      </w:r>
    </w:p>
    <w:p>
      <w:pPr>
        <w:pStyle w:val="TextBody"/>
        <w:bidi w:val="0"/>
        <w:spacing w:before="0" w:after="240"/>
        <w:jc w:val="both"/>
        <w:rPr/>
      </w:pPr>
      <w:r>
        <w:rPr>
          <w:rFonts w:ascii="Times New Roman" w:hAnsi="Times New Roman"/>
          <w:b/>
          <w:color w:val="000000"/>
          <w:sz w:val="24"/>
          <w:u w:val="single"/>
        </w:rPr>
        <w:t>Annual Bonus</w:t>
      </w:r>
      <w:r>
        <w:rPr>
          <w:rFonts w:ascii="Times New Roman" w:hAnsi="Times New Roman"/>
          <w:color w:val="000000"/>
          <w:sz w:val="24"/>
        </w:rPr>
        <w:t>. Commencing as of the Effective Date, Executive shall be eligible to receive an annual performance bonus under this Section 2.2 of up to 50% (the “</w:t>
      </w:r>
      <w:r>
        <w:rPr>
          <w:rFonts w:ascii="Times New Roman" w:hAnsi="Times New Roman"/>
          <w:b/>
          <w:i/>
          <w:color w:val="000000"/>
          <w:sz w:val="24"/>
        </w:rPr>
        <w:t>Target Percentage</w:t>
      </w:r>
      <w:r>
        <w:rPr>
          <w:color w:val="000000"/>
        </w:rPr>
        <w:t>”</w:t>
      </w:r>
      <w:r>
        <w:rPr>
          <w:rFonts w:ascii="Times New Roman" w:hAnsi="Times New Roman"/>
          <w:color w:val="000000"/>
          <w:sz w:val="24"/>
        </w:rPr>
        <w:t>) of Executive’s then-current Base Salary (“</w:t>
      </w:r>
      <w:r>
        <w:rPr>
          <w:rFonts w:ascii="Times New Roman" w:hAnsi="Times New Roman"/>
          <w:b/>
          <w:i/>
          <w:color w:val="000000"/>
          <w:sz w:val="24"/>
        </w:rPr>
        <w:t>Annual Bonus</w:t>
      </w:r>
      <w:r>
        <w:rPr>
          <w:color w:val="000000"/>
        </w:rPr>
        <w:t>”</w:t>
      </w:r>
      <w:r>
        <w:rPr>
          <w:rFonts w:ascii="Times New Roman" w:hAnsi="Times New Roman"/>
          <w:color w:val="000000"/>
          <w:sz w:val="24"/>
        </w:rPr>
        <w:t>) at 100% of targeted goals, with a maximum potential of 150% or such other percentage as determined by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xml:space="preserve">)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 Annual Bonus is January 1 through December 31. For the 2024 Annual Bonus, the period over which performance is measured will be January 1 through December 31, 2024. Following the close of each calendar year, the Company will determine whether Executive has earned the Annual Bonus, and the amount of any Annual Bonus (which can be less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2.3</w:t>
      </w:r>
    </w:p>
    <w:p>
      <w:pPr>
        <w:pStyle w:val="TextBody"/>
        <w:bidi w:val="0"/>
        <w:spacing w:before="0" w:after="240"/>
        <w:jc w:val="both"/>
        <w:rPr/>
      </w:pPr>
      <w:r>
        <w:rPr>
          <w:rFonts w:ascii="Times New Roman" w:hAnsi="Times New Roman"/>
          <w:b/>
          <w:color w:val="000000"/>
          <w:sz w:val="24"/>
          <w:u w:val="single"/>
        </w:rPr>
        <w:t>Future Equity Awards</w:t>
      </w:r>
      <w:r>
        <w:rPr>
          <w:rFonts w:ascii="Times New Roman" w:hAnsi="Times New Roman"/>
          <w:color w:val="000000"/>
          <w:sz w:val="24"/>
        </w:rPr>
        <w:t xml:space="preserve">. Executive remains eligible to be considered for future equity awards as may be determined by the Board or a committee of the Board in its discretion in accordance with the terms of any applicable equity plan or arrangement that may be in effect from time to time.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2.4</w:t>
      </w:r>
    </w:p>
    <w:p>
      <w:pPr>
        <w:pStyle w:val="TextBody"/>
        <w:bidi w:val="0"/>
        <w:spacing w:before="0" w:after="240"/>
        <w:jc w:val="both"/>
        <w:rPr/>
      </w:pPr>
      <w:r>
        <w:rPr>
          <w:rFonts w:ascii="Times New Roman" w:hAnsi="Times New Roman"/>
          <w:b/>
          <w:color w:val="000000"/>
          <w:sz w:val="24"/>
          <w:u w:val="single"/>
        </w:rPr>
        <w:t>Expense Reimbursement</w:t>
      </w:r>
      <w:r>
        <w:rPr>
          <w:rFonts w:ascii="Times New Roman" w:hAnsi="Times New Roman"/>
          <w:color w:val="000000"/>
          <w:sz w:val="24"/>
        </w:rPr>
        <w:t xml:space="preserve">. The Company will reimburse Executive for all reasonable, documented business expenses incurred in connection with Executive’s services hereunder, in accordance with the Company’s business expense reimbursement policies and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3.</w:t>
      </w:r>
    </w:p>
    <w:p>
      <w:pPr>
        <w:pStyle w:val="TextBody"/>
        <w:bidi w:val="0"/>
        <w:jc w:val="both"/>
        <w:rPr/>
      </w:pPr>
      <w:r>
        <w:rPr>
          <w:rFonts w:ascii="Times New Roman" w:hAnsi="Times New Roman"/>
          <w:b/>
          <w:smallCaps/>
          <w:color w:val="000000"/>
          <w:sz w:val="24"/>
          <w:u w:val="single"/>
        </w:rPr>
        <w:t>Confidential Information, Inventions, Non-Solicitation, and Non-Competition Obligations</w:t>
      </w:r>
      <w:r>
        <w:rPr>
          <w:rFonts w:ascii="Times New Roman" w:hAnsi="Times New Roman"/>
          <w:b/>
          <w:smallCaps/>
          <w:color w:val="000000"/>
          <w:sz w:val="24"/>
        </w:rPr>
        <w:t>.</w:t>
      </w:r>
      <w:r>
        <w:rPr>
          <w:smallCaps/>
          <w:color w:val="000000"/>
        </w:rPr>
        <w:t xml:space="preserve"> </w:t>
      </w:r>
      <w:r>
        <w:rPr>
          <w:rFonts w:ascii="Times New Roman" w:hAnsi="Times New Roman"/>
          <w:color w:val="000000"/>
          <w:sz w:val="24"/>
        </w:rPr>
        <w:t>In connection with Executive’s continued employment with the Company, Executive will continue to receive and continue to have access to the Company’s confidential information and trade secrets. Accordingly, and in consideration of the benefits that Executive is eligible to receive under this Agreement, the Executive agrees to continue to adhere to the obligations in the Company’s Employee Confidential Information, Inventions, Non-Solicitation and Non-Competition Agreement (the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that Executive signed on April 5, 2021, attached hereto as </w:t>
      </w:r>
      <w:r>
        <w:rPr>
          <w:rFonts w:ascii="Times New Roman" w:hAnsi="Times New Roman"/>
          <w:b/>
          <w:color w:val="000000"/>
          <w:sz w:val="24"/>
          <w:u w:val="single"/>
        </w:rPr>
        <w:t>Exhibit A</w:t>
      </w:r>
      <w:r>
        <w:rPr>
          <w:rFonts w:ascii="Times New Roman" w:hAnsi="Times New Roman"/>
          <w:color w:val="000000"/>
          <w:sz w:val="24"/>
        </w:rPr>
        <w:t>. The Confidential Information Agreement may be amended by the parties from time to time without regard to this Agreement. The Confidential Information</w:t>
      </w:r>
      <w:r>
        <w:rPr>
          <w:color w:val="000000"/>
        </w:rPr>
        <w:t xml:space="preserve"> </w:t>
      </w:r>
      <w:r>
        <w:rPr>
          <w:rFonts w:ascii="Times New Roman" w:hAnsi="Times New Roman"/>
          <w:color w:val="000000"/>
          <w:sz w:val="24"/>
        </w:rPr>
        <w:t xml:space="preserve">Agreement contains provisions that are intended by the parties to survive and do survive termination or expiration of this Agreement. Nothing in this Agreement or the Confidential Information Agreement prevents you from discussing or disclosing information about unlawful acts in the workplace, such as harassment or discrimination or any other conduct that you have reason to believe is unlawful. </w:t>
      </w:r>
    </w:p>
    <w:p>
      <w:pPr>
        <w:pStyle w:val="TextBody"/>
        <w:bidi w:val="0"/>
        <w:jc w:val="both"/>
        <w:rPr/>
      </w:pPr>
      <w:r>
        <w:rPr/>
        <w:t> </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4.</w:t>
      </w:r>
    </w:p>
    <w:p>
      <w:pPr>
        <w:pStyle w:val="TextBody"/>
        <w:bidi w:val="0"/>
        <w:spacing w:before="0" w:after="240"/>
        <w:jc w:val="both"/>
        <w:rPr/>
      </w:pPr>
      <w:r>
        <w:rPr>
          <w:rFonts w:ascii="Times New Roman" w:hAnsi="Times New Roman"/>
          <w:b/>
          <w:smallCaps/>
          <w:color w:val="000000"/>
          <w:sz w:val="24"/>
          <w:u w:val="single"/>
        </w:rPr>
        <w:t>Outside Activities</w:t>
      </w:r>
      <w:r>
        <w:rPr>
          <w:rFonts w:ascii="Times New Roman" w:hAnsi="Times New Roman"/>
          <w:b/>
          <w:smallCaps/>
          <w:color w:val="000000"/>
          <w:sz w:val="24"/>
        </w:rPr>
        <w:t>.</w:t>
      </w:r>
      <w:r>
        <w:rPr>
          <w:color w:val="000000"/>
        </w:rPr>
        <w:t xml:space="preserve"> </w:t>
      </w:r>
      <w:r>
        <w:rPr>
          <w:rFonts w:ascii="Times New Roman" w:hAnsi="Times New Roman"/>
          <w:color w:val="000000"/>
          <w:sz w:val="24"/>
        </w:rPr>
        <w:t>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5.</w:t>
      </w:r>
    </w:p>
    <w:p>
      <w:pPr>
        <w:pStyle w:val="TextBody"/>
        <w:bidi w:val="0"/>
        <w:jc w:val="both"/>
        <w:rPr/>
      </w:pPr>
      <w:r>
        <w:rPr>
          <w:rFonts w:ascii="Times New Roman" w:hAnsi="Times New Roman"/>
          <w:b/>
          <w:smallCaps/>
          <w:color w:val="000000"/>
          <w:sz w:val="24"/>
          <w:u w:val="single"/>
        </w:rPr>
        <w:t>No Conflict with Existing Obligations</w:t>
      </w:r>
      <w:r>
        <w:rPr>
          <w:rFonts w:ascii="Times New Roman" w:hAnsi="Times New Roman"/>
          <w:b/>
          <w:color w:val="000000"/>
          <w:sz w:val="24"/>
        </w:rPr>
        <w:t>.</w:t>
      </w:r>
      <w:r>
        <w:rPr>
          <w:color w:val="000000"/>
        </w:rPr>
        <w:t xml:space="preserve"> </w:t>
      </w:r>
      <w:r>
        <w:rPr>
          <w:rFonts w:ascii="Times New Roman" w:hAnsi="Times New Roman"/>
          <w:color w:val="000000"/>
          <w:sz w:val="24"/>
        </w:rPr>
        <w:t>Executive represents that Executive’s continued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jc w:val="both"/>
        <w:rPr/>
      </w:pPr>
      <w:r>
        <w:rPr/>
        <w:t> </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6.</w:t>
      </w:r>
    </w:p>
    <w:p>
      <w:pPr>
        <w:pStyle w:val="TextBody"/>
        <w:bidi w:val="0"/>
        <w:jc w:val="both"/>
        <w:rPr/>
      </w:pPr>
      <w:r>
        <w:rPr>
          <w:rFonts w:ascii="Times New Roman" w:hAnsi="Times New Roman"/>
          <w:b/>
          <w:smallCaps/>
          <w:color w:val="000000"/>
          <w:sz w:val="24"/>
          <w:u w:val="single"/>
        </w:rPr>
        <w:t>Termination Of Employment</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parties acknowledge that Executive’s employment relationship with the Company continues to be at-will. Either Executive or the Company may terminate the employment relationship at any time, with or without Cause. The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provisions in this Section govern the amount of compensation, if any, to be provided to Executive upon termination of employment and do not alter this at-will status.</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6.1</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(not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the right to terminate Executive’s employment with the Company pursuant to this Section 6.1 at any time without “Cause” (as defined in Section 6.3(a) below) by giving notice as described in Section 6.6 of this Agreement. A termination pursuant to Section 6.4 or 6.5 below is not a termination without “Cause” for purposes of receiving the Non-CIC Severance Benefits described in (and as defined in) this Section 6.1 or the CIC Severance Benefits described in (and as defined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Executive complies with the obligations in Section 6.1(c) below, Executive shall also be eligible to receive the following “</w:t>
      </w:r>
      <w:r>
        <w:rPr>
          <w:rFonts w:ascii="Times New Roman" w:hAnsi="Times New Roman"/>
          <w:b/>
          <w:i/>
          <w:color w:val="000000"/>
          <w:sz w:val="24"/>
        </w:rPr>
        <w:t>Non-CIC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Non-CIC Severance</w:t>
      </w:r>
      <w:r>
        <w:rPr>
          <w:color w:val="000000"/>
        </w:rPr>
        <w:t>”</w:t>
      </w:r>
      <w:r>
        <w:rPr>
          <w:rFonts w:ascii="Times New Roman" w:hAnsi="Times New Roman"/>
          <w:color w:val="000000"/>
          <w:sz w:val="24"/>
        </w:rPr>
        <w:t xml:space="preserve">). The Non-CIC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 xml:space="preserve">Non-CIC COBRA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i/>
          <w:color w:val="000000"/>
          <w:sz w:val="24"/>
        </w:rPr>
        <w:t>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4"/>
        </w:rPr>
        <w:t>Release</w:t>
      </w:r>
      <w:r>
        <w:rPr>
          <w:color w:val="000000"/>
        </w:rPr>
        <w:t>”</w:t>
      </w:r>
      <w:r>
        <w:rPr>
          <w:rFonts w:ascii="Times New Roman" w:hAnsi="Times New Roman"/>
          <w:color w:val="000000"/>
          <w:sz w:val="24"/>
        </w:rPr>
        <w:t>), which cannot be revoked in whole or part by such date (the date that the Release can no longer be revoked is referred to as the “</w:t>
      </w:r>
      <w:r>
        <w:rPr>
          <w:rFonts w:ascii="Times New Roman" w:hAnsi="Times New Roman"/>
          <w:b/>
          <w:i/>
          <w:color w:val="000000"/>
          <w:sz w:val="24"/>
        </w:rPr>
        <w:t>Release Effective Date</w:t>
      </w:r>
      <w:r>
        <w:rPr>
          <w:color w:val="000000"/>
        </w:rPr>
        <w:t>”</w:t>
      </w:r>
      <w:r>
        <w:rPr>
          <w:rFonts w:ascii="Times New Roman" w:hAnsi="Times New Roman"/>
          <w:color w:val="000000"/>
          <w:sz w:val="24"/>
        </w:rPr>
        <w:t xml:space="preserve">);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10%; or (ii) a material reduction in Executive’s duties, authority and responsibilities relative to Executive’s duties, authority, and responsibilities in effect immediately prior to such reduction, </w:t>
      </w:r>
      <w:r>
        <w:rPr>
          <w:rFonts w:ascii="Times New Roman" w:hAnsi="Times New Roman"/>
          <w:i/>
          <w:color w:val="000000"/>
          <w:sz w:val="24"/>
        </w:rPr>
        <w:t>provided, however</w:t>
      </w:r>
      <w:r>
        <w:rPr>
          <w:rFonts w:ascii="Times New Roman" w:hAnsi="Times New Roman"/>
          <w:color w:val="000000"/>
          <w:sz w:val="24"/>
        </w:rPr>
        <w:t xml:space="preserve">, that neither the conversion of the Company to a subsidiary, division or unit of an acquiring entity in connection with a change in control, nor a change in title or Executive’s reporting relationships will be deemed a “material reduction” in and of itself; </w:t>
      </w:r>
      <w:r>
        <w:rPr>
          <w:rFonts w:ascii="Times New Roman" w:hAnsi="Times New Roman"/>
          <w:i/>
          <w:color w:val="000000"/>
          <w:sz w:val="24"/>
        </w:rPr>
        <w:t xml:space="preserve">provided, however, </w:t>
      </w:r>
      <w:r>
        <w:rPr>
          <w:rFonts w:ascii="Times New Roman" w:hAnsi="Times New Roman"/>
          <w:color w:val="000000"/>
          <w:sz w:val="24"/>
        </w:rPr>
        <w:t>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6.2</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In the event that Executive’s employment is terminated without Cause or Executive resigns for Good Reason, in either case, within three (3) months preceding and twelve (12) months following the effective date of a Change in Control (the “</w:t>
      </w:r>
      <w:r>
        <w:rPr>
          <w:rFonts w:ascii="Times New Roman" w:hAnsi="Times New Roman"/>
          <w:b/>
          <w:i/>
          <w:color w:val="000000"/>
          <w:sz w:val="24"/>
        </w:rPr>
        <w:t>Change in Control Measurement Period</w:t>
      </w:r>
      <w:r>
        <w:rPr>
          <w:color w:val="000000"/>
        </w:rPr>
        <w:t>”</w:t>
      </w:r>
      <w:r>
        <w:rPr>
          <w:rFonts w:ascii="Times New Roman" w:hAnsi="Times New Roman"/>
          <w:color w:val="000000"/>
          <w:sz w:val="24"/>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hAnsi="Times New Roman"/>
          <w:b/>
          <w:i/>
          <w:color w:val="000000"/>
          <w:sz w:val="24"/>
        </w:rPr>
        <w:t>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CIC Severance</w:t>
      </w:r>
      <w:r>
        <w:rPr>
          <w:color w:val="000000"/>
        </w:rPr>
        <w:t>”</w:t>
      </w:r>
      <w:r>
        <w:rPr>
          <w:rFonts w:ascii="Times New Roman" w:hAnsi="Times New Roman"/>
          <w:color w:val="000000"/>
          <w:sz w:val="24"/>
        </w:rPr>
        <w:t xml:space="preserve">). The 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CIC Severance will be paid prior to the Release Effective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Date, and any such payments that are otherwise scheduled to be made prior to the Release Effective Date shall instead accrue and be made on the first administratively feasible payroll date following the Release Effective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make a cash payment to Executive in an amount equal to 50% of the Target Percentage for the year in which the termination occurs, subject to standard deductions and withholdings, which will be paid in a lump sum on the sixtieth (60th) day following Executive’s date of Separation from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For purposes of this Agreement,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have the meaning set forth in the Company’s 2021 Equity Incentive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CIC Severance Benefits provided to Executive pursuant to this Section 6.2 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pStyle w:val="TextBody"/>
        <w:bidi w:val="0"/>
        <w:spacing w:before="0" w:after="0"/>
        <w:jc w:val="both"/>
        <w:rPr>
          <w:rFonts w:ascii="Times New Roman" w:hAnsi="Times New Roman"/>
          <w:b/>
          <w:color w:val="000000"/>
          <w:sz w:val="24"/>
          <w:u w:val="single"/>
        </w:rPr>
      </w:pPr>
      <w:r>
        <w:rPr>
          <w:rFonts w:ascii="Times New Roman" w:hAnsi="Times New Roman"/>
          <w:b/>
          <w:color w:val="000000"/>
          <w:sz w:val="24"/>
          <w:u w:val="single"/>
        </w:rPr>
        <w:t>6.3</w:t>
      </w:r>
    </w:p>
    <w:p>
      <w:pPr>
        <w:pStyle w:val="TextBody"/>
        <w:bidi w:val="0"/>
        <w:jc w:val="both"/>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6.3(b) below, the Company shall have the right to terminate Executive’s employment with the Company at any time for Cause by giving notice as described in Section 6.6 of this Agreement.</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6.4</w:t>
      </w:r>
    </w:p>
    <w:p>
      <w:pPr>
        <w:pStyle w:val="TextBody"/>
        <w:bidi w:val="0"/>
        <w:spacing w:before="0" w:after="240"/>
        <w:jc w:val="both"/>
        <w:rPr/>
      </w:pPr>
      <w:r>
        <w:rPr>
          <w:rFonts w:ascii="Times New Roman" w:hAnsi="Times New Roman"/>
          <w:b/>
          <w:color w:val="000000"/>
          <w:sz w:val="24"/>
          <w:u w:val="single"/>
        </w:rPr>
        <w:t>Resignation by Executive (other than for Good Reason)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may resign for any reason from Executive’s employment with the Company at any time by giving notice as described in Section 6.6.</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6.5</w:t>
      </w:r>
    </w:p>
    <w:p>
      <w:pPr>
        <w:pStyle w:val="TextBody"/>
        <w:bidi w:val="0"/>
        <w:spacing w:before="0" w:after="240"/>
        <w:jc w:val="both"/>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color w:val="000000"/>
        </w:rPr>
        <w:t xml:space="preserve">” </w:t>
      </w:r>
      <w:r>
        <w:rPr>
          <w:rFonts w:ascii="Times New Roman" w:hAnsi="Times New Roman"/>
          <w:color w:val="000000"/>
          <w:sz w:val="24"/>
        </w:rPr>
        <w:t xml:space="preserve">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6.6</w:t>
      </w:r>
    </w:p>
    <w:p>
      <w:pPr>
        <w:pStyle w:val="TextBody"/>
        <w:bidi w:val="0"/>
        <w:spacing w:before="0" w:after="240"/>
        <w:jc w:val="both"/>
        <w:rPr/>
      </w:pPr>
      <w:r>
        <w:rPr>
          <w:rFonts w:ascii="Times New Roman" w:hAnsi="Times New Roman"/>
          <w:b/>
          <w:color w:val="000000"/>
          <w:sz w:val="24"/>
          <w:u w:val="single"/>
        </w:rPr>
        <w:t>Notice; Effective Date of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Executive’s death;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Executive has not returned to the full-time performance of Executive’s duties prior to such date; </w:t>
      </w: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except as addressed by Section 6.6(a)(v), thirty (30) days after Executive gives written notice to the Company of Executive’s resignation for any reason, </w:t>
      </w:r>
      <w:r>
        <w:rPr>
          <w:rFonts w:ascii="Times New Roman" w:hAnsi="Times New Roman"/>
          <w:i/>
          <w:color w:val="000000"/>
          <w:sz w:val="24"/>
        </w:rPr>
        <w:t xml:space="preserve">provided </w:t>
      </w:r>
      <w:r>
        <w:rPr>
          <w:rFonts w:ascii="Times New Roman" w:hAnsi="Times New Roman"/>
          <w:color w:val="000000"/>
          <w:sz w:val="24"/>
        </w:rPr>
        <w:t>that the Company may set a 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termination for Good Reason, immediately upon Executive’s full satisfaction of the requirements of Section 6.1(g).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6.7</w:t>
      </w:r>
    </w:p>
    <w:p>
      <w:pPr>
        <w:pStyle w:val="TextBody"/>
        <w:bidi w:val="0"/>
        <w:spacing w:before="0" w:after="240"/>
        <w:jc w:val="both"/>
        <w:rPr/>
      </w:pPr>
      <w:r>
        <w:rPr>
          <w:rFonts w:ascii="Times New Roman" w:hAnsi="Times New Roman"/>
          <w:b/>
          <w:color w:val="000000"/>
          <w:sz w:val="24"/>
          <w:u w:val="single"/>
        </w:rPr>
        <w:t>Cooperation With Company After Termination of Employment</w:t>
      </w:r>
      <w:r>
        <w:rPr>
          <w:rFonts w:ascii="Times New Roman" w:hAnsi="Times New Roman"/>
          <w:color w:val="000000"/>
          <w:sz w:val="24"/>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6.8</w:t>
      </w:r>
    </w:p>
    <w:p>
      <w:pPr>
        <w:pStyle w:val="TextBody"/>
        <w:bidi w:val="0"/>
        <w:spacing w:before="0" w:after="240"/>
        <w:jc w:val="both"/>
        <w:rPr/>
      </w:pPr>
      <w:r>
        <w:rPr>
          <w:rFonts w:ascii="Times New Roman" w:hAnsi="Times New Roman"/>
          <w:b/>
          <w:color w:val="000000"/>
          <w:sz w:val="24"/>
          <w:u w:val="single"/>
        </w:rPr>
        <w:t>Effect of Termination</w:t>
      </w:r>
      <w:r>
        <w:rPr>
          <w:rFonts w:ascii="Times New Roman" w:hAnsi="Times New Roman"/>
          <w:color w:val="000000"/>
          <w:sz w:val="24"/>
        </w:rPr>
        <w:t>. Executive agrees that should Executive’s employment be terminated for any reason, Executive shall be deemed to have resigned from any and all positions with the Company and its subsidiaries.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6.9</w:t>
      </w:r>
    </w:p>
    <w:p>
      <w:pPr>
        <w:pStyle w:val="TextBody"/>
        <w:bidi w:val="0"/>
        <w:spacing w:before="0" w:after="240"/>
        <w:jc w:val="both"/>
        <w:rPr/>
      </w:pPr>
      <w:r>
        <w:rPr>
          <w:rFonts w:ascii="Times New Roman" w:hAnsi="Times New Roman"/>
          <w:b/>
          <w:color w:val="000000"/>
          <w:sz w:val="24"/>
          <w:u w:val="single"/>
        </w:rPr>
        <w:t>Application of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4"/>
        </w:rPr>
        <w:t>Code</w:t>
      </w:r>
      <w:r>
        <w:rPr>
          <w:color w:val="000000"/>
        </w:rPr>
        <w:t>”</w:t>
      </w:r>
      <w:r>
        <w:rPr>
          <w:rFonts w:ascii="Times New Roman" w:hAnsi="Times New Roman"/>
          <w:color w:val="000000"/>
          <w:sz w:val="24"/>
        </w:rPr>
        <w:t>)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xml:space="preserve">) or satisfies one or more of the exemptions from the application of Section 409A, and this Agreement will be construed in a manner consistent with such intention, incorporating by reference all required definitions and payment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6.9(c); and (ii) commence paying the balance of the severance benefits in accordance with the applicable payment schedule set forth in Sections 6.1 and 6.2. No interest shall be due on any amounts deferred pursuant to this Section 6.9(c).</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6.10</w:t>
      </w:r>
    </w:p>
    <w:p>
      <w:pPr>
        <w:pStyle w:val="TextBody"/>
        <w:bidi w:val="0"/>
        <w:spacing w:before="0" w:after="240"/>
        <w:jc w:val="both"/>
        <w:rPr/>
      </w:pPr>
      <w:r>
        <w:rPr>
          <w:rFonts w:ascii="Times New Roman" w:hAnsi="Times New Roman"/>
          <w:b/>
          <w:color w:val="000000"/>
          <w:sz w:val="24"/>
          <w:u w:val="single"/>
        </w:rPr>
        <w:t>Excise Tax Adjustment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If any payment or benefit Executive will or may receive from the Company or otherwise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provided pursuant to this Agreement (a “</w:t>
      </w:r>
      <w:r>
        <w:rPr>
          <w:rFonts w:ascii="Times New Roman" w:hAnsi="Times New Roman"/>
          <w:b/>
          <w:i/>
          <w:color w:val="000000"/>
          <w:sz w:val="24"/>
        </w:rPr>
        <w:t>Payment</w:t>
      </w:r>
      <w:r>
        <w:rPr>
          <w:color w:val="000000"/>
        </w:rPr>
        <w: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Notwithstanding any provision of this Section 6.10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6.10.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receives a Payment for which the Reduced Amount was determined pursuant to clause (x) of Section 6.10(a) and the Internal Revenue Service determines thereafter that some portion of the Payment is subject to the Excise Tax, Executive agrees to promptly return to the Company a sufficient amount of the Payment (after reduction pursuant to clause (x) of Section 6.10(a)) so that no portion of the remaining Payment is subject to the Excise Tax. For the avoidance of doubt, if the Reduced Amount was determined pursuant to clause (y) of Section 6.10(a), Executive shall have no obligation to return any portion of the Payment pursuant to the preceding sentence. </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7.</w:t>
      </w:r>
    </w:p>
    <w:p>
      <w:pPr>
        <w:pStyle w:val="TextBody"/>
        <w:bidi w:val="0"/>
        <w:spacing w:before="0" w:after="240"/>
        <w:jc w:val="both"/>
        <w:rPr/>
      </w:pPr>
      <w:r>
        <w:rPr>
          <w:rFonts w:ascii="Times New Roman" w:hAnsi="Times New Roman"/>
          <w:b/>
          <w:smallCaps/>
          <w:color w:val="000000"/>
          <w:sz w:val="24"/>
          <w:u w:val="single"/>
        </w:rPr>
        <w:t>General Provisions</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7.1</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xml:space="preserve">. Any notices required hereunder to be in writing shall be deemed effectively given: (a) upon personal 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7.2</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7.3</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Executive or it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7.4</w:t>
      </w:r>
    </w:p>
    <w:p>
      <w:pPr>
        <w:pStyle w:val="TextBody"/>
        <w:bidi w:val="0"/>
        <w:spacing w:before="0" w:after="240"/>
        <w:jc w:val="both"/>
        <w:rPr/>
      </w:pPr>
      <w:r>
        <w:rPr>
          <w:rFonts w:ascii="Times New Roman" w:hAnsi="Times New Roman"/>
          <w:b/>
          <w:color w:val="000000"/>
          <w:sz w:val="24"/>
          <w:u w:val="single"/>
        </w:rPr>
        <w:t>Complete Agreement</w:t>
      </w:r>
      <w:r>
        <w:rPr>
          <w:rFonts w:ascii="Times New Roman" w:hAnsi="Times New Roman"/>
          <w:color w:val="000000"/>
          <w:sz w:val="24"/>
        </w:rPr>
        <w:t>.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7.5</w:t>
      </w:r>
    </w:p>
    <w:p>
      <w:pPr>
        <w:pStyle w:val="TextBody"/>
        <w:bidi w:val="0"/>
        <w:spacing w:before="0" w:after="240"/>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7.6</w:t>
      </w:r>
    </w:p>
    <w:p>
      <w:pPr>
        <w:pStyle w:val="TextBody"/>
        <w:bidi w:val="0"/>
        <w:spacing w:before="0" w:after="240"/>
        <w:jc w:val="both"/>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7.7</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 </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7.8</w:t>
      </w:r>
    </w:p>
    <w:p>
      <w:pPr>
        <w:pStyle w:val="TextBody"/>
        <w:bidi w:val="0"/>
        <w:spacing w:before="0" w:after="240"/>
        <w:jc w:val="both"/>
        <w:rPr/>
      </w:pPr>
      <w:r>
        <w:rPr>
          <w:rFonts w:ascii="Times New Roman" w:hAnsi="Times New Roman"/>
          <w:b/>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 of the State of Maryland.</w:t>
      </w:r>
    </w:p>
    <w:p>
      <w:pPr>
        <w:pStyle w:val="TextBody"/>
        <w:bidi w:val="0"/>
        <w:spacing w:before="0" w:after="12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Amended and Restated Employment Agreement on the day and year first written above.</w:t>
      </w:r>
    </w:p>
    <w:p>
      <w:pPr>
        <w:pStyle w:val="TextBody"/>
        <w:bidi w:val="0"/>
        <w:jc w:val="both"/>
        <w:rPr>
          <w:rFonts w:ascii="Times New Roman" w:hAnsi="Times New Roman"/>
          <w:sz w:val="20"/>
        </w:rPr>
      </w:pPr>
      <w:r>
        <w:rPr>
          <w:rFonts w:ascii="Times New Roman" w:hAnsi="Times New Roman"/>
          <w:b/>
          <w:smallCaps/>
          <w:color w:val="000000"/>
          <w:sz w:val="24"/>
        </w:rPr>
        <w:t>Xometry, Inc.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Sophia MacDonald</w:t>
      </w:r>
    </w:p>
    <w:p>
      <w:pPr>
        <w:pStyle w:val="TextBody"/>
        <w:bidi w:val="0"/>
        <w:jc w:val="both"/>
        <w:rPr>
          <w:rFonts w:ascii="Times New Roman" w:hAnsi="Times New Roman"/>
          <w:color w:val="000000"/>
          <w:sz w:val="24"/>
        </w:rPr>
      </w:pPr>
      <w:r>
        <w:rPr>
          <w:rFonts w:ascii="Times New Roman" w:hAnsi="Times New Roman"/>
          <w:color w:val="000000"/>
          <w:sz w:val="24"/>
        </w:rPr>
        <w:t>Title: Chief People Officer</w:t>
      </w:r>
    </w:p>
    <w:p>
      <w:pPr>
        <w:pStyle w:val="TextBody"/>
        <w:bidi w:val="0"/>
        <w:spacing w:before="0" w:after="36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Matthew Leibel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spacing w:before="0" w:after="240"/>
        <w:jc w:val="both"/>
        <w:rPr/>
      </w:pPr>
      <w:r>
        <w:rPr/>
        <w:t> </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aps/>
          <w:color w:val="000000"/>
          <w:sz w:val="24"/>
        </w:rPr>
      </w:pPr>
      <w:r>
        <w:rPr>
          <w:rFonts w:ascii="Times New Roman" w:hAnsi="Times New Roman"/>
          <w:b/>
          <w:caps/>
          <w:color w:val="000000"/>
          <w:sz w:val="24"/>
        </w:rPr>
        <w:t>Employee Confidential Information, Inventions, Non-Solicitation and Non-Competition Agreement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both"/>
        <w:rPr/>
      </w:pPr>
      <w:bookmarkStart w:id="34" w:name="xmtr-ex10_4.htm"/>
      <w:bookmarkStart w:id="35" w:name="ksxmtrex10_4"/>
      <w:bookmarkEnd w:id="34"/>
      <w:bookmarkEnd w:id="35"/>
      <w:r>
        <w:rPr/>
        <w:t> </w:t>
      </w:r>
      <w:r>
        <w:br w:type="page"/>
      </w:r>
    </w:p>
    <w:p>
      <w:pPr>
        <w:pStyle w:val="TextBody"/>
        <w:bidi w:val="0"/>
        <w:jc w:val="center"/>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Employment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effective as of May 13,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Xometry,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Subir Dutt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desires to employ Executive, in the capacity of full-time Chief Sales Officer with an anticipated start date of May 15, 2024 (the “</w:t>
      </w:r>
      <w:r>
        <w:rPr>
          <w:rFonts w:ascii="Times New Roman" w:hAnsi="Times New Roman"/>
          <w:b/>
          <w:i/>
          <w:color w:val="000000"/>
          <w:sz w:val="24"/>
        </w:rPr>
        <w:t>Start Date</w:t>
      </w:r>
      <w:r>
        <w:rPr>
          <w:rFonts w:ascii="Times New Roman" w:hAnsi="Times New Roman"/>
          <w:color w:val="000000"/>
          <w:sz w:val="20"/>
        </w:rPr>
        <w:t>”</w:t>
      </w:r>
      <w:r>
        <w:rPr>
          <w:rFonts w:ascii="Times New Roman" w:hAnsi="Times New Roman"/>
          <w:color w:val="000000"/>
          <w:sz w:val="24"/>
        </w:rPr>
        <w:t>), pursuant to the terms of this Agreement and, in connection therewith, to compensate Executive for Executive’s personal services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wishes to be employed by the Company and provide personal services to the Company in return for certain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1.</w:t>
      </w:r>
    </w:p>
    <w:p>
      <w:pPr>
        <w:pStyle w:val="TextBody"/>
        <w:bidi w:val="0"/>
        <w:spacing w:before="0" w:after="240"/>
        <w:jc w:val="both"/>
        <w:rPr/>
      </w:pPr>
      <w:r>
        <w:rPr>
          <w:rFonts w:ascii="Times New Roman" w:hAnsi="Times New Roman"/>
          <w:b/>
          <w:smallCaps/>
          <w:color w:val="000000"/>
          <w:sz w:val="24"/>
          <w:u w:val="single"/>
        </w:rPr>
        <w:t>Employment by the Company</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1.1</w:t>
      </w:r>
    </w:p>
    <w:p>
      <w:pPr>
        <w:pStyle w:val="TextBody"/>
        <w:bidi w:val="0"/>
        <w:spacing w:before="0" w:after="240"/>
        <w:jc w:val="both"/>
        <w:rPr/>
      </w:pPr>
      <w:r>
        <w:rPr>
          <w:rFonts w:ascii="Times New Roman" w:hAnsi="Times New Roman"/>
          <w:b/>
          <w:color w:val="000000"/>
          <w:sz w:val="24"/>
          <w:u w:val="single"/>
        </w:rPr>
        <w:t>At-Will Employment</w:t>
      </w:r>
      <w:r>
        <w:rPr>
          <w:rFonts w:ascii="Times New Roman" w:hAnsi="Times New Roman"/>
          <w:color w:val="000000"/>
          <w:sz w:val="24"/>
        </w:rPr>
        <w:t xml:space="preserve">. Executive shall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1.2</w:t>
      </w:r>
    </w:p>
    <w:p>
      <w:pPr>
        <w:pStyle w:val="TextBody"/>
        <w:bidi w:val="0"/>
        <w:spacing w:before="0" w:after="240"/>
        <w:jc w:val="both"/>
        <w:rPr/>
      </w:pPr>
      <w:r>
        <w:rPr>
          <w:rFonts w:ascii="Times New Roman" w:hAnsi="Times New Roman"/>
          <w:b/>
          <w:color w:val="000000"/>
          <w:sz w:val="24"/>
          <w:u w:val="single"/>
        </w:rPr>
        <w:t>Position</w:t>
      </w:r>
      <w:r>
        <w:rPr>
          <w:rFonts w:ascii="Times New Roman" w:hAnsi="Times New Roman"/>
          <w:color w:val="000000"/>
          <w:sz w:val="24"/>
        </w:rPr>
        <w:t>. Subject to the terms set forth herein, the Company agrees to employ Executive in the position of Chief Sales Officer, and Executive hereby accepts such employment. During the term of Executive’s employment with the Company, Executive will devote Executive’s best efforts and substantially all of Executive’s business time and attention to the business of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1.3</w:t>
      </w:r>
    </w:p>
    <w:p>
      <w:pPr>
        <w:pStyle w:val="TextBody"/>
        <w:bidi w:val="0"/>
        <w:spacing w:before="0" w:after="240"/>
        <w:jc w:val="both"/>
        <w:rPr/>
      </w:pPr>
      <w:r>
        <w:rPr>
          <w:rFonts w:ascii="Times New Roman" w:hAnsi="Times New Roman"/>
          <w:b/>
          <w:color w:val="000000"/>
          <w:sz w:val="24"/>
          <w:u w:val="single"/>
        </w:rPr>
        <w:t>Duties</w:t>
      </w:r>
      <w:r>
        <w:rPr>
          <w:rFonts w:ascii="Times New Roman" w:hAnsi="Times New Roman"/>
          <w:color w:val="000000"/>
          <w:sz w:val="24"/>
        </w:rPr>
        <w:t xml:space="preserve">. Executive will report to the Chief Executive Officer performing such duties as are normally associated with Executive’s then-current position and such duties as are assigned to Executive from time to time, subject to the oversight and direction of the Chief Executive Officer. Executive shall perform Executive’s duties under this Agreement principally out of the Company’s office in the Bethesda, Maryland area or such other location as assigned. In addition, Executive shall make such business trips to such places as may be necessary or advisable for the efficient operations of the Company.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1.4</w:t>
      </w:r>
    </w:p>
    <w:p>
      <w:pPr>
        <w:pStyle w:val="TextBody"/>
        <w:bidi w:val="0"/>
        <w:spacing w:before="0" w:after="240"/>
        <w:jc w:val="both"/>
        <w:rPr/>
      </w:pPr>
      <w:r>
        <w:rPr>
          <w:rFonts w:ascii="Times New Roman" w:hAnsi="Times New Roman"/>
          <w:b/>
          <w:color w:val="000000"/>
          <w:sz w:val="24"/>
          <w:u w:val="single"/>
        </w:rPr>
        <w:t>Company Policies and Benefits</w:t>
      </w:r>
      <w:r>
        <w:rPr>
          <w:rFonts w:ascii="Times New Roman" w:hAnsi="Times New Roman"/>
          <w:color w:val="000000"/>
          <w:sz w:val="24"/>
        </w:rPr>
        <w:t xml:space="preserve">. The employment relationship between the parties shall be subject to the Company’s personnel policies and procedures as they may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2.</w:t>
      </w:r>
    </w:p>
    <w:p>
      <w:pPr>
        <w:pStyle w:val="TextBody"/>
        <w:bidi w:val="0"/>
        <w:spacing w:before="0" w:after="240"/>
        <w:jc w:val="both"/>
        <w:rPr/>
      </w:pPr>
      <w:r>
        <w:rPr>
          <w:rFonts w:ascii="Times New Roman" w:hAnsi="Times New Roman"/>
          <w:b/>
          <w:smallCaps/>
          <w:color w:val="000000"/>
          <w:sz w:val="24"/>
          <w:u w:val="single"/>
        </w:rPr>
        <w:t>Compensation</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2.1</w:t>
      </w:r>
    </w:p>
    <w:p>
      <w:pPr>
        <w:pStyle w:val="TextBody"/>
        <w:bidi w:val="0"/>
        <w:spacing w:before="0" w:after="240"/>
        <w:jc w:val="both"/>
        <w:rPr/>
      </w:pPr>
      <w:r>
        <w:rPr>
          <w:rFonts w:ascii="Times New Roman" w:hAnsi="Times New Roman"/>
          <w:b/>
          <w:color w:val="000000"/>
          <w:sz w:val="24"/>
          <w:u w:val="single"/>
        </w:rPr>
        <w:t>Salary</w:t>
      </w:r>
      <w:r>
        <w:rPr>
          <w:rFonts w:ascii="Times New Roman" w:hAnsi="Times New Roman"/>
          <w:color w:val="000000"/>
          <w:sz w:val="24"/>
        </w:rPr>
        <w:t>. Commencing on the Start Date, Executive shall receive for Executive’s services to be rendered hereunder an initial annualized base salary of $400,000, subject to review and adjustment from time to time by the Company in its sole discretion</w:t>
      </w:r>
      <w:r>
        <w:rPr>
          <w:color w:val="000000"/>
        </w:rPr>
        <w:t xml:space="preserve"> </w:t>
      </w:r>
      <w:r>
        <w:rPr>
          <w:rFonts w:ascii="Times New Roman" w:hAnsi="Times New Roman"/>
          <w:color w:val="000000"/>
          <w:sz w:val="24"/>
        </w:rPr>
        <w:t>(“</w:t>
      </w:r>
      <w:r>
        <w:rPr>
          <w:rFonts w:ascii="Times New Roman" w:hAnsi="Times New Roman"/>
          <w:b/>
          <w:i/>
          <w:color w:val="000000"/>
          <w:sz w:val="24"/>
        </w:rPr>
        <w:t>Base Salary</w:t>
      </w:r>
      <w:r>
        <w:rPr>
          <w:color w:val="000000"/>
        </w:rPr>
        <w:t>”</w:t>
      </w:r>
      <w:r>
        <w:rPr>
          <w:rFonts w:ascii="Times New Roman" w:hAnsi="Times New Roman"/>
          <w:color w:val="000000"/>
          <w:sz w:val="24"/>
        </w:rPr>
        <w:t>). The Base Salary is payable subject to standard federal and state payroll withholding requirements in accordance with the Company’s standard payroll practices.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2.2</w:t>
      </w:r>
    </w:p>
    <w:p>
      <w:pPr>
        <w:pStyle w:val="TextBody"/>
        <w:bidi w:val="0"/>
        <w:spacing w:before="0" w:after="240"/>
        <w:jc w:val="both"/>
        <w:rPr/>
      </w:pPr>
      <w:r>
        <w:rPr>
          <w:rFonts w:ascii="Times New Roman" w:hAnsi="Times New Roman"/>
          <w:b/>
          <w:color w:val="000000"/>
          <w:sz w:val="24"/>
          <w:u w:val="single"/>
        </w:rPr>
        <w:t>Annual Bonus</w:t>
      </w:r>
      <w:r>
        <w:rPr>
          <w:rFonts w:ascii="Times New Roman" w:hAnsi="Times New Roman"/>
          <w:color w:val="000000"/>
          <w:sz w:val="24"/>
        </w:rPr>
        <w:t>. Executive shall be eligible to receive an annual performance bonus of up to 100% (the “</w:t>
      </w:r>
      <w:r>
        <w:rPr>
          <w:rFonts w:ascii="Times New Roman" w:hAnsi="Times New Roman"/>
          <w:b/>
          <w:i/>
          <w:color w:val="000000"/>
          <w:sz w:val="24"/>
        </w:rPr>
        <w:t>Target Percentage</w:t>
      </w:r>
      <w:r>
        <w:rPr>
          <w:color w:val="000000"/>
        </w:rPr>
        <w:t>”</w:t>
      </w:r>
      <w:r>
        <w:rPr>
          <w:rFonts w:ascii="Times New Roman" w:hAnsi="Times New Roman"/>
          <w:color w:val="000000"/>
          <w:sz w:val="24"/>
        </w:rPr>
        <w:t>) of Executive’s then-current Base Salary (“</w:t>
      </w:r>
      <w:r>
        <w:rPr>
          <w:rFonts w:ascii="Times New Roman" w:hAnsi="Times New Roman"/>
          <w:b/>
          <w:i/>
          <w:color w:val="000000"/>
          <w:sz w:val="24"/>
        </w:rPr>
        <w:t>Annual Bonus</w:t>
      </w:r>
      <w:r>
        <w:rPr>
          <w:color w:val="000000"/>
        </w:rPr>
        <w:t>”</w:t>
      </w:r>
      <w:r>
        <w:rPr>
          <w:rFonts w:ascii="Times New Roman" w:hAnsi="Times New Roman"/>
          <w:color w:val="000000"/>
          <w:sz w:val="24"/>
        </w:rPr>
        <w:t>) at 100% of targeted goals, with a maximum potential of 150% or such other percentage as determined by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2024 shall be prorated for the number of days between the Start Date and December 31, 2024.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2.3</w:t>
      </w:r>
    </w:p>
    <w:p>
      <w:pPr>
        <w:pStyle w:val="TextBody"/>
        <w:bidi w:val="0"/>
        <w:spacing w:before="0" w:after="240"/>
        <w:jc w:val="both"/>
        <w:rPr/>
      </w:pPr>
      <w:r>
        <w:rPr>
          <w:rFonts w:ascii="Times New Roman" w:hAnsi="Times New Roman"/>
          <w:b/>
          <w:color w:val="000000"/>
          <w:sz w:val="24"/>
          <w:u w:val="single"/>
        </w:rPr>
        <w:t>Initial Equity Awards</w:t>
      </w:r>
      <w:r>
        <w:rPr>
          <w:rFonts w:ascii="Times New Roman" w:hAnsi="Times New Roman"/>
          <w:color w:val="000000"/>
          <w:sz w:val="24"/>
        </w:rPr>
        <w:t xml:space="preserve">. Within 30 days of Executive’s Start Date and subject to the approval of the Board, or a committee of the Board, the Company will grant Executive the equity awards listed below. Any equity award will be subject to the terms, definitions, and provisions of any applicable equity plan or arrangement that may be in effect from time to time and any award grant notice or agreement by and between Executive and the Company. </w:t>
      </w:r>
    </w:p>
    <w:p>
      <w:pPr>
        <w:pStyle w:val="TextBody"/>
        <w:bidi w:val="0"/>
        <w:spacing w:before="0" w:after="240"/>
        <w:jc w:val="both"/>
        <w:rPr>
          <w:rFonts w:ascii="Times New Roman" w:hAnsi="Times New Roman"/>
          <w:sz w:val="20"/>
        </w:rPr>
      </w:pPr>
      <w:r>
        <w:rPr>
          <w:rFonts w:ascii="Times New Roman" w:hAnsi="Times New Roman"/>
          <w:color w:val="000000"/>
          <w:sz w:val="24"/>
        </w:rPr>
        <w:t>A combination of restricted stock units and/or performance stock units (“RSU/PSU”) of the Company’s Class A common stock with a total value of $1,200,000 as of the grant date and consistent with vesting and other terms for annual equity grants made to other executive officers of the Company. The actual number of RSUs and PSUs granted to Executive will be determined by the Board or a committee of the Board by dividing the value by the average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closing price of the Company's Class A common stock over the 20 trading days prior to the grant date, rounded to the nearest whole number of shares.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2.4</w:t>
      </w:r>
    </w:p>
    <w:p>
      <w:pPr>
        <w:pStyle w:val="TextBody"/>
        <w:bidi w:val="0"/>
        <w:spacing w:before="0" w:after="240"/>
        <w:jc w:val="both"/>
        <w:rPr/>
      </w:pPr>
      <w:r>
        <w:rPr>
          <w:rFonts w:ascii="Times New Roman" w:hAnsi="Times New Roman"/>
          <w:b/>
          <w:color w:val="000000"/>
          <w:sz w:val="24"/>
          <w:u w:val="single"/>
        </w:rPr>
        <w:t>Future Equity Awards</w:t>
      </w:r>
      <w:r>
        <w:rPr>
          <w:rFonts w:ascii="Times New Roman" w:hAnsi="Times New Roman"/>
          <w:color w:val="000000"/>
          <w:sz w:val="24"/>
        </w:rPr>
        <w:t xml:space="preserve">. Executive remains eligible to be considered for future equity awards as may be determined by the Board or a committee of the Board in its discretion in accordance with the terms of any applicable equity plan or arrangement that may be in effect from time to time.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2.5</w:t>
      </w:r>
    </w:p>
    <w:p>
      <w:pPr>
        <w:pStyle w:val="TextBody"/>
        <w:bidi w:val="0"/>
        <w:spacing w:before="0" w:after="240"/>
        <w:jc w:val="both"/>
        <w:rPr/>
      </w:pPr>
      <w:r>
        <w:rPr>
          <w:rFonts w:ascii="Times New Roman" w:hAnsi="Times New Roman"/>
          <w:b/>
          <w:color w:val="000000"/>
          <w:sz w:val="24"/>
          <w:u w:val="single"/>
        </w:rPr>
        <w:t>Expense Reimbursement</w:t>
      </w:r>
      <w:r>
        <w:rPr>
          <w:rFonts w:ascii="Times New Roman" w:hAnsi="Times New Roman"/>
          <w:color w:val="000000"/>
          <w:sz w:val="24"/>
        </w:rPr>
        <w:t>. The Company will reimburse Executive for all reasonable, documented 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3.</w:t>
      </w:r>
    </w:p>
    <w:p>
      <w:pPr>
        <w:pStyle w:val="TextBody"/>
        <w:bidi w:val="0"/>
        <w:jc w:val="both"/>
        <w:rPr/>
      </w:pPr>
      <w:r>
        <w:rPr>
          <w:rFonts w:ascii="Times New Roman" w:hAnsi="Times New Roman"/>
          <w:b/>
          <w:smallCaps/>
          <w:color w:val="000000"/>
          <w:sz w:val="24"/>
          <w:u w:val="single"/>
        </w:rPr>
        <w:t>Confidential Information, Inventions, Non-Solicitation, and Non-Competition Obligations</w:t>
      </w:r>
      <w:r>
        <w:rPr>
          <w:rFonts w:ascii="Times New Roman" w:hAnsi="Times New Roman"/>
          <w:b/>
          <w:smallCaps/>
          <w:color w:val="000000"/>
          <w:sz w:val="24"/>
        </w:rPr>
        <w:t>.</w:t>
      </w:r>
      <w:r>
        <w:rPr>
          <w:smallCaps/>
          <w:color w:val="000000"/>
        </w:rPr>
        <w:t xml:space="preserve"> </w:t>
      </w:r>
      <w:r>
        <w:rPr>
          <w:rFonts w:ascii="Times New Roman" w:hAnsi="Times New Roman"/>
          <w:color w:val="000000"/>
          <w:sz w:val="24"/>
        </w:rPr>
        <w:t>In connection with Executive’s continued employment with the Company, Executive will continue to receive and continue to have access to the Company’s confidential information and trade secrets. Accordingly, and in consideration of the benefits that Executive is eligible to receive under this Agreement, the Executive agrees to sign the Company’s Employee Confidential Information, Inventions, Non-Solicitation and Non-Competition Agreement (the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attached hereto as </w:t>
      </w:r>
      <w:r>
        <w:rPr>
          <w:rFonts w:ascii="Times New Roman" w:hAnsi="Times New Roman"/>
          <w:b/>
          <w:color w:val="000000"/>
          <w:sz w:val="24"/>
          <w:u w:val="single"/>
        </w:rPr>
        <w:t>Exhibit A</w:t>
      </w:r>
      <w:r>
        <w:rPr>
          <w:rFonts w:ascii="Times New Roman" w:hAnsi="Times New Roman"/>
          <w:color w:val="000000"/>
          <w:sz w:val="24"/>
        </w:rPr>
        <w:t>. The Confidential Information Agreement may be amended by the parties from time to time without regard to this Agreement. The Confidential Information</w:t>
      </w:r>
      <w:r>
        <w:rPr>
          <w:color w:val="000000"/>
        </w:rPr>
        <w:t xml:space="preserve"> </w:t>
      </w:r>
      <w:r>
        <w:rPr>
          <w:rFonts w:ascii="Times New Roman" w:hAnsi="Times New Roman"/>
          <w:color w:val="000000"/>
          <w:sz w:val="24"/>
        </w:rPr>
        <w:t xml:space="preserve">Agreement contains provisions that are intended by the parties to survive and do survive termination or expiration of this Agreement. Nothing in this Agreement or the Confidential Information Agreement prevents you from discussing or disclosing information about unlawful acts in the workplace, such as harassment or discrimination or any other conduct that you have reason to believe is unlawful. </w:t>
      </w:r>
    </w:p>
    <w:p>
      <w:pPr>
        <w:pStyle w:val="TextBody"/>
        <w:bidi w:val="0"/>
        <w:jc w:val="both"/>
        <w:rPr/>
      </w:pPr>
      <w:r>
        <w:rPr/>
        <w:t> </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4.</w:t>
      </w:r>
    </w:p>
    <w:p>
      <w:pPr>
        <w:pStyle w:val="TextBody"/>
        <w:bidi w:val="0"/>
        <w:spacing w:before="0" w:after="240"/>
        <w:jc w:val="both"/>
        <w:rPr/>
      </w:pPr>
      <w:r>
        <w:rPr>
          <w:rFonts w:ascii="Times New Roman" w:hAnsi="Times New Roman"/>
          <w:b/>
          <w:smallCaps/>
          <w:color w:val="000000"/>
          <w:sz w:val="24"/>
          <w:u w:val="single"/>
        </w:rPr>
        <w:t>Outside Activities</w:t>
      </w:r>
      <w:r>
        <w:rPr>
          <w:rFonts w:ascii="Times New Roman" w:hAnsi="Times New Roman"/>
          <w:b/>
          <w:smallCaps/>
          <w:color w:val="000000"/>
          <w:sz w:val="24"/>
        </w:rPr>
        <w:t>.</w:t>
      </w:r>
      <w:r>
        <w:rPr>
          <w:color w:val="000000"/>
        </w:rPr>
        <w:t xml:space="preserve"> </w:t>
      </w:r>
      <w:r>
        <w:rPr>
          <w:rFonts w:ascii="Times New Roman" w:hAnsi="Times New Roman"/>
          <w:color w:val="000000"/>
          <w:sz w:val="24"/>
        </w:rPr>
        <w:t>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5.</w:t>
      </w:r>
    </w:p>
    <w:p>
      <w:pPr>
        <w:pStyle w:val="TextBody"/>
        <w:bidi w:val="0"/>
        <w:jc w:val="both"/>
        <w:rPr/>
      </w:pPr>
      <w:r>
        <w:rPr>
          <w:rFonts w:ascii="Times New Roman" w:hAnsi="Times New Roman"/>
          <w:b/>
          <w:smallCaps/>
          <w:color w:val="000000"/>
          <w:sz w:val="24"/>
          <w:u w:val="single"/>
        </w:rPr>
        <w:t>No Conflict with Existing Obligations</w:t>
      </w:r>
      <w:r>
        <w:rPr>
          <w:rFonts w:ascii="Times New Roman" w:hAnsi="Times New Roman"/>
          <w:b/>
          <w:color w:val="000000"/>
          <w:sz w:val="24"/>
        </w:rPr>
        <w:t>.</w:t>
      </w:r>
      <w:r>
        <w:rPr>
          <w:color w:val="000000"/>
        </w:rPr>
        <w:t xml:space="preserve"> </w:t>
      </w:r>
      <w:r>
        <w:rPr>
          <w:rFonts w:ascii="Times New Roman" w:hAnsi="Times New Roman"/>
          <w:color w:val="000000"/>
          <w:sz w:val="24"/>
        </w:rPr>
        <w:t>Executive represents that Executive’s continued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jc w:val="both"/>
        <w:rPr/>
      </w:pPr>
      <w:r>
        <w:rPr/>
        <w:t> </w:t>
      </w:r>
    </w:p>
    <w:p>
      <w:pPr>
        <w:pStyle w:val="TextBody"/>
        <w:bidi w:val="0"/>
        <w:spacing w:before="0" w:after="0"/>
        <w:jc w:val="both"/>
        <w:rPr>
          <w:rFonts w:ascii="Times New Roman" w:hAnsi="Times New Roman"/>
          <w:b/>
          <w:caps/>
          <w:color w:val="000000"/>
          <w:sz w:val="24"/>
          <w:u w:val="single"/>
        </w:rPr>
      </w:pPr>
      <w:r>
        <w:rPr>
          <w:rFonts w:ascii="Times New Roman" w:hAnsi="Times New Roman"/>
          <w:b/>
          <w:caps/>
          <w:color w:val="000000"/>
          <w:sz w:val="24"/>
          <w:u w:val="single"/>
        </w:rPr>
        <w:t>6.</w:t>
      </w:r>
    </w:p>
    <w:p>
      <w:pPr>
        <w:pStyle w:val="TextBody"/>
        <w:bidi w:val="0"/>
        <w:jc w:val="both"/>
        <w:rPr/>
      </w:pPr>
      <w:r>
        <w:rPr>
          <w:rFonts w:ascii="Times New Roman" w:hAnsi="Times New Roman"/>
          <w:b/>
          <w:smallCaps/>
          <w:color w:val="000000"/>
          <w:sz w:val="24"/>
          <w:u w:val="single"/>
        </w:rPr>
        <w:t>Termination Of Employment</w:t>
      </w:r>
      <w:r>
        <w:rPr>
          <w:rFonts w:ascii="Times New Roman" w:hAnsi="Times New Roman"/>
          <w:b/>
          <w:color w:val="000000"/>
          <w:sz w:val="24"/>
        </w:rPr>
        <w:t>.</w:t>
      </w:r>
      <w:r>
        <w:rPr>
          <w:color w:val="000000"/>
        </w:rPr>
        <w:t xml:space="preserve"> </w:t>
      </w:r>
      <w:r>
        <w:rPr>
          <w:rFonts w:ascii="Times New Roman" w:hAnsi="Times New Roman"/>
          <w:color w:val="000000"/>
          <w:sz w:val="24"/>
        </w:rPr>
        <w:t>The parties acknowledge that Executive’s employment relationship with the Company continues to be 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6.1</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(not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the right to terminate Executive’s employment with the Company pursuant to this Section 6.1 at any time without “Cause” (as defined in Section 6.3(a) below) by giving notice as described in Section 6.6 of this Agreement. A termination pursuant to Section 6.4 or 6.5 below is not a termination without “Cause” for purposes of receiving the Non-CIC Severance Benefits described in (and as defined in) this Section 6.1 or the CIC Severance Benefits described in (and as defined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Executive complies with the obligations in Section 6.1(c) below, Executive shall also be eligible to receive the following “</w:t>
      </w:r>
      <w:r>
        <w:rPr>
          <w:rFonts w:ascii="Times New Roman" w:hAnsi="Times New Roman"/>
          <w:b/>
          <w:i/>
          <w:color w:val="000000"/>
          <w:sz w:val="24"/>
        </w:rPr>
        <w:t>Non-CIC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Non-CIC Severance</w:t>
      </w:r>
      <w:r>
        <w:rPr>
          <w:color w:val="000000"/>
        </w:rPr>
        <w:t>”</w:t>
      </w:r>
      <w:r>
        <w:rPr>
          <w:rFonts w:ascii="Times New Roman" w:hAnsi="Times New Roman"/>
          <w:color w:val="000000"/>
          <w:sz w:val="24"/>
        </w:rPr>
        <w:t xml:space="preserve">). The Non-CIC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Non-CIC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4"/>
        </w:rPr>
        <w:t>Release</w:t>
      </w:r>
      <w:r>
        <w:rPr>
          <w:color w:val="000000"/>
        </w:rPr>
        <w:t>”</w:t>
      </w:r>
      <w:r>
        <w:rPr>
          <w:rFonts w:ascii="Times New Roman" w:hAnsi="Times New Roman"/>
          <w:color w:val="000000"/>
          <w:sz w:val="24"/>
        </w:rPr>
        <w:t>), which cannot be revoked in whole or part by such date (the date that the Release can no longer be revoked is referred to as the “</w:t>
      </w:r>
      <w:r>
        <w:rPr>
          <w:rFonts w:ascii="Times New Roman" w:hAnsi="Times New Roman"/>
          <w:b/>
          <w:i/>
          <w:color w:val="000000"/>
          <w:sz w:val="24"/>
        </w:rPr>
        <w:t>Release Effective Date</w:t>
      </w:r>
      <w:r>
        <w:rPr>
          <w:color w:val="000000"/>
        </w:rPr>
        <w:t>”</w:t>
      </w:r>
      <w:r>
        <w:rPr>
          <w:rFonts w:ascii="Times New Roman" w:hAnsi="Times New Roman"/>
          <w:color w:val="000000"/>
          <w:sz w:val="24"/>
        </w:rPr>
        <w:t xml:space="preserve">);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obligations under this Agreement and the Confidential Information Agreement; and (v) Executive complies with the terms of the Release, including without limitation any non-disparagement and confidentiality provisions contained in the Release.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10%; or (ii) a material reduction in Executive’s duties, authority and responsibilities relative to Executive’s duties, authority, and responsibilities in effect immediately prior to such reduction, </w:t>
      </w:r>
      <w:r>
        <w:rPr>
          <w:rFonts w:ascii="Times New Roman" w:hAnsi="Times New Roman"/>
          <w:i/>
          <w:color w:val="000000"/>
          <w:sz w:val="24"/>
        </w:rPr>
        <w:t>provided, however</w:t>
      </w:r>
      <w:r>
        <w:rPr>
          <w:rFonts w:ascii="Times New Roman" w:hAnsi="Times New Roman"/>
          <w:color w:val="000000"/>
          <w:sz w:val="24"/>
        </w:rPr>
        <w:t xml:space="preserve">, that neither the conversion of the Company to a subsidiary, division or unit of an acquiring entity in connection with a change in control, nor a change in title or Executive’s reporting relationships will be deemed a “material reduction” in and of itself; </w:t>
      </w:r>
      <w:r>
        <w:rPr>
          <w:rFonts w:ascii="Times New Roman" w:hAnsi="Times New Roman"/>
          <w:i/>
          <w:color w:val="000000"/>
          <w:sz w:val="24"/>
        </w:rPr>
        <w:t xml:space="preserve">provided, however, </w:t>
      </w:r>
      <w:r>
        <w:rPr>
          <w:rFonts w:ascii="Times New Roman" w:hAnsi="Times New Roman"/>
          <w:color w:val="000000"/>
          <w:sz w:val="24"/>
        </w:rPr>
        <w:t>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6.2</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In the event that Executive’s employment is terminated without Cause or Executive resigns for Good Reason, in either case, within three (3) months preceding and twelve (12) months following the effective date of a Change in Control (the “</w:t>
      </w:r>
      <w:r>
        <w:rPr>
          <w:rFonts w:ascii="Times New Roman" w:hAnsi="Times New Roman"/>
          <w:b/>
          <w:i/>
          <w:color w:val="000000"/>
          <w:sz w:val="24"/>
        </w:rPr>
        <w:t xml:space="preserve">Change in Control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i/>
          <w:color w:val="000000"/>
          <w:sz w:val="24"/>
        </w:rPr>
        <w:t>Measurement Period</w:t>
      </w:r>
      <w:r>
        <w:rPr>
          <w:color w:val="000000"/>
        </w:rPr>
        <w:t>”</w:t>
      </w:r>
      <w:r>
        <w:rPr>
          <w:rFonts w:ascii="Times New Roman" w:hAnsi="Times New Roman"/>
          <w:color w:val="000000"/>
          <w:sz w:val="24"/>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hAnsi="Times New Roman"/>
          <w:b/>
          <w:i/>
          <w:color w:val="000000"/>
          <w:sz w:val="24"/>
        </w:rPr>
        <w:t>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CIC Severance</w:t>
      </w:r>
      <w:r>
        <w:rPr>
          <w:color w:val="000000"/>
        </w:rPr>
        <w:t>”</w:t>
      </w:r>
      <w:r>
        <w:rPr>
          <w:rFonts w:ascii="Times New Roman" w:hAnsi="Times New Roman"/>
          <w:color w:val="000000"/>
          <w:sz w:val="24"/>
        </w:rPr>
        <w:t xml:space="preserve">). The 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make a cash payment to Executive in an amount equal to 50% of the Target Percentage for the year in which the termination occurs, subject to standard deductions and withholdings, which will be paid in a lump sum on the sixtieth (60th) day following Executive’s date of Separation from Service;</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For purposes of this Agreement,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have the meaning set forth in the Company’s 2021 Equity Incentive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CIC Severance Benefits provided to Executive pursuant to this Section 6.2 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pStyle w:val="TextBody"/>
        <w:bidi w:val="0"/>
        <w:spacing w:before="0" w:after="0"/>
        <w:jc w:val="both"/>
        <w:rPr>
          <w:rFonts w:ascii="Times New Roman" w:hAnsi="Times New Roman"/>
          <w:b/>
          <w:color w:val="000000"/>
          <w:sz w:val="24"/>
          <w:u w:val="single"/>
        </w:rPr>
      </w:pPr>
      <w:r>
        <w:rPr>
          <w:rFonts w:ascii="Times New Roman" w:hAnsi="Times New Roman"/>
          <w:b/>
          <w:color w:val="000000"/>
          <w:sz w:val="24"/>
          <w:u w:val="single"/>
        </w:rPr>
        <w:t>6.3</w:t>
      </w:r>
    </w:p>
    <w:p>
      <w:pPr>
        <w:pStyle w:val="TextBody"/>
        <w:bidi w:val="0"/>
        <w:jc w:val="both"/>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6.3(b) below, the Company shall have the right to terminate Executive’s employment with the Company at any time for Cause by giving notice as described in Section 6.6 of this Agreement.</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 xml:space="preserve">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notice from the Company (net of tax), to be repaid by Executive within thirty (30) days of demand by the Company.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6.4</w:t>
      </w:r>
    </w:p>
    <w:p>
      <w:pPr>
        <w:pStyle w:val="TextBody"/>
        <w:bidi w:val="0"/>
        <w:spacing w:before="0" w:after="240"/>
        <w:jc w:val="both"/>
        <w:rPr/>
      </w:pPr>
      <w:r>
        <w:rPr>
          <w:rFonts w:ascii="Times New Roman" w:hAnsi="Times New Roman"/>
          <w:b/>
          <w:color w:val="000000"/>
          <w:sz w:val="24"/>
          <w:u w:val="single"/>
        </w:rPr>
        <w:t>Resignation by Executive (other than for Good Reason)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may resign for any reason from Executive’s employment with the Company at any time by giving notice as described in Section 6.6.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6.5</w:t>
      </w:r>
    </w:p>
    <w:p>
      <w:pPr>
        <w:pStyle w:val="TextBody"/>
        <w:bidi w:val="0"/>
        <w:spacing w:before="0" w:after="240"/>
        <w:jc w:val="both"/>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color w:val="000000"/>
        </w:rPr>
        <w:t xml:space="preserve">” </w:t>
      </w:r>
      <w:r>
        <w:rPr>
          <w:rFonts w:ascii="Times New Roman" w:hAnsi="Times New Roman"/>
          <w:color w:val="000000"/>
          <w:sz w:val="24"/>
        </w:rPr>
        <w:t xml:space="preserve">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6.6</w:t>
      </w:r>
    </w:p>
    <w:p>
      <w:pPr>
        <w:pStyle w:val="TextBody"/>
        <w:bidi w:val="0"/>
        <w:spacing w:before="0" w:after="240"/>
        <w:jc w:val="both"/>
        <w:rPr/>
      </w:pPr>
      <w:r>
        <w:rPr>
          <w:rFonts w:ascii="Times New Roman" w:hAnsi="Times New Roman"/>
          <w:b/>
          <w:color w:val="000000"/>
          <w:sz w:val="24"/>
          <w:u w:val="single"/>
        </w:rPr>
        <w:t>Notice; Effective Date of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Executive’s death;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Executive has not returned to the full-time performance of Executive’s duties prior to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except as addressed by Section 6.7(a)(v), thirty (30) days after Executive gives written notice to the Company of Executive’s resignation for any reason, </w:t>
      </w:r>
      <w:r>
        <w:rPr>
          <w:rFonts w:ascii="Times New Roman" w:hAnsi="Times New Roman"/>
          <w:i/>
          <w:color w:val="000000"/>
          <w:sz w:val="24"/>
        </w:rPr>
        <w:t xml:space="preserve">provided </w:t>
      </w:r>
      <w:r>
        <w:rPr>
          <w:rFonts w:ascii="Times New Roman" w:hAnsi="Times New Roman"/>
          <w:color w:val="000000"/>
          <w:sz w:val="24"/>
        </w:rPr>
        <w:t>that the Company may set a 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termination for Good Reason, immediately upon Executive’s full satisfaction of the requirements of Section 6.1(g).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6.7</w:t>
      </w:r>
    </w:p>
    <w:p>
      <w:pPr>
        <w:pStyle w:val="TextBody"/>
        <w:bidi w:val="0"/>
        <w:spacing w:before="0" w:after="240"/>
        <w:jc w:val="both"/>
        <w:rPr/>
      </w:pPr>
      <w:r>
        <w:rPr>
          <w:rFonts w:ascii="Times New Roman" w:hAnsi="Times New Roman"/>
          <w:b/>
          <w:color w:val="000000"/>
          <w:sz w:val="24"/>
          <w:u w:val="single"/>
        </w:rPr>
        <w:t>Cooperation With Company After Termination of Employment</w:t>
      </w:r>
      <w:r>
        <w:rPr>
          <w:rFonts w:ascii="Times New Roman" w:hAnsi="Times New Roman"/>
          <w:color w:val="000000"/>
          <w:sz w:val="24"/>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6.8</w:t>
      </w:r>
    </w:p>
    <w:p>
      <w:pPr>
        <w:pStyle w:val="TextBody"/>
        <w:bidi w:val="0"/>
        <w:spacing w:before="0" w:after="240"/>
        <w:jc w:val="both"/>
        <w:rPr/>
      </w:pPr>
      <w:r>
        <w:rPr>
          <w:rFonts w:ascii="Times New Roman" w:hAnsi="Times New Roman"/>
          <w:b/>
          <w:color w:val="000000"/>
          <w:sz w:val="24"/>
          <w:u w:val="single"/>
        </w:rPr>
        <w:t>Effect of Termination</w:t>
      </w:r>
      <w:r>
        <w:rPr>
          <w:rFonts w:ascii="Times New Roman" w:hAnsi="Times New Roman"/>
          <w:color w:val="000000"/>
          <w:sz w:val="24"/>
        </w:rPr>
        <w:t>. Executive agrees that should Executive’s employment be terminated for any reason, Executive shall be deemed to have resigned from any and all positions with the Company and its subsidiaries.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6.9</w:t>
      </w:r>
    </w:p>
    <w:p>
      <w:pPr>
        <w:pStyle w:val="TextBody"/>
        <w:bidi w:val="0"/>
        <w:spacing w:before="0" w:after="240"/>
        <w:jc w:val="both"/>
        <w:rPr/>
      </w:pPr>
      <w:r>
        <w:rPr>
          <w:rFonts w:ascii="Times New Roman" w:hAnsi="Times New Roman"/>
          <w:b/>
          <w:color w:val="000000"/>
          <w:sz w:val="24"/>
          <w:u w:val="single"/>
        </w:rPr>
        <w:t>Application of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4"/>
        </w:rPr>
        <w:t>Code</w:t>
      </w:r>
      <w:r>
        <w:rPr>
          <w:color w:val="000000"/>
        </w:rPr>
        <w:t>”</w:t>
      </w:r>
      <w:r>
        <w:rPr>
          <w:rFonts w:ascii="Times New Roman" w:hAnsi="Times New Roman"/>
          <w:color w:val="000000"/>
          <w:sz w:val="24"/>
        </w:rPr>
        <w:t>)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xml:space="preserve">) or satisfies one or more of the exemptions from the application of Section 409A, and this Agreement will be construed in a manner consistent with such intention, incorporating by reference all required definitions and payment terms.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6.9(c); and (ii) commence paying the balance of the severance benefits in accordance with the applicable payment schedule set forth in Sections 6.1 and 6.2. No interest shall be due on any amounts deferred pursuant to this Section 6.9(c).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6.10</w:t>
      </w:r>
    </w:p>
    <w:p>
      <w:pPr>
        <w:pStyle w:val="TextBody"/>
        <w:bidi w:val="0"/>
        <w:spacing w:before="0" w:after="240"/>
        <w:jc w:val="both"/>
        <w:rPr/>
      </w:pPr>
      <w:r>
        <w:rPr>
          <w:rFonts w:ascii="Times New Roman" w:hAnsi="Times New Roman"/>
          <w:b/>
          <w:color w:val="000000"/>
          <w:sz w:val="24"/>
          <w:u w:val="single"/>
        </w:rPr>
        <w:t>Excise Tax Adjustment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If any payment or benefit Executive will or may receive from the Company or otherwise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provided pursuant to this Agreement (a “</w:t>
      </w:r>
      <w:r>
        <w:rPr>
          <w:rFonts w:ascii="Times New Roman" w:hAnsi="Times New Roman"/>
          <w:b/>
          <w:i/>
          <w:color w:val="000000"/>
          <w:sz w:val="24"/>
        </w:rPr>
        <w:t>Payment</w:t>
      </w:r>
      <w:r>
        <w:rPr>
          <w:color w:val="000000"/>
        </w:rPr>
        <w:t>”</w:t>
      </w:r>
      <w:r>
        <w:rPr>
          <w:rFonts w:ascii="Times New Roman" w:hAnsi="Times New Roman"/>
          <w:color w:val="000000"/>
          <w:sz w:val="24"/>
        </w:rPr>
        <w:t>) shall be equal to the Reduced Amount. The “</w:t>
      </w:r>
      <w:r>
        <w:rPr>
          <w:rFonts w:ascii="Times New Roman" w:hAnsi="Times New Roman"/>
          <w:b/>
          <w:i/>
          <w:color w:val="000000"/>
          <w:sz w:val="24"/>
        </w:rPr>
        <w:t xml:space="preserve">Reduced </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b/>
          <w:i/>
          <w:color w:val="000000"/>
          <w:sz w:val="24"/>
        </w:rPr>
        <w:t>Amount</w:t>
      </w:r>
      <w:r>
        <w:rPr>
          <w:color w:val="000000"/>
        </w:rPr>
        <w:t xml:space="preserve">” </w:t>
      </w:r>
      <w:r>
        <w:rPr>
          <w:rFonts w:ascii="Times New Roman" w:hAnsi="Times New Roman"/>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Notwithstanding any provision of this Section 6.10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6.10.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receives a Payment for which the Reduced Amount was determined pursuant to clause (x) of Section 6.10(a) and the Internal Revenue Service determines thereafter that some portion of the Payment is subject to the Excise Tax, Executive agrees to promptly return to the Company a sufficient amount of the Payment (after reduction pursuant to clause (x) of Section 6.10(a)) so that no portion of the remaining Payment is subject to the Excise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Tax. For the avoidance of doubt, if the Reduced Amount was determined pursuant to clause (y) of Section 6.10(a), Executive shall have no obligation to return any portion of the Payment pursuant to the preceding sentence.</w:t>
      </w:r>
      <w:r>
        <w:rPr>
          <w:color w:val="000000"/>
        </w:rPr>
        <w:t xml:space="preserve"> </w:t>
      </w:r>
    </w:p>
    <w:p>
      <w:pPr>
        <w:pStyle w:val="TextBody"/>
        <w:bidi w:val="0"/>
        <w:spacing w:before="0" w:after="240"/>
        <w:jc w:val="both"/>
        <w:rPr>
          <w:rFonts w:ascii="Times New Roman" w:hAnsi="Times New Roman"/>
          <w:b/>
          <w:caps/>
          <w:color w:val="000000"/>
          <w:sz w:val="24"/>
          <w:u w:val="single"/>
        </w:rPr>
      </w:pPr>
      <w:r>
        <w:rPr>
          <w:rFonts w:ascii="Times New Roman" w:hAnsi="Times New Roman"/>
          <w:b/>
          <w:caps/>
          <w:color w:val="000000"/>
          <w:sz w:val="24"/>
          <w:u w:val="single"/>
        </w:rPr>
        <w:t>7.</w:t>
      </w:r>
    </w:p>
    <w:p>
      <w:pPr>
        <w:pStyle w:val="TextBody"/>
        <w:bidi w:val="0"/>
        <w:spacing w:before="0" w:after="240"/>
        <w:jc w:val="both"/>
        <w:rPr/>
      </w:pPr>
      <w:r>
        <w:rPr>
          <w:rFonts w:ascii="Times New Roman" w:hAnsi="Times New Roman"/>
          <w:b/>
          <w:smallCaps/>
          <w:color w:val="000000"/>
          <w:sz w:val="24"/>
          <w:u w:val="single"/>
        </w:rPr>
        <w:t>General Provisions</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7.1</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Any notices required hereunder to be in writing shall be deemed effectively given: (a) upon personal 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7.2</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7.3</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Executive or it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7.4</w:t>
      </w:r>
    </w:p>
    <w:p>
      <w:pPr>
        <w:pStyle w:val="TextBody"/>
        <w:bidi w:val="0"/>
        <w:spacing w:before="0" w:after="240"/>
        <w:jc w:val="both"/>
        <w:rPr/>
      </w:pPr>
      <w:r>
        <w:rPr>
          <w:rFonts w:ascii="Times New Roman" w:hAnsi="Times New Roman"/>
          <w:b/>
          <w:color w:val="000000"/>
          <w:sz w:val="24"/>
          <w:u w:val="single"/>
        </w:rPr>
        <w:t>Complete Agreement</w:t>
      </w:r>
      <w:r>
        <w:rPr>
          <w:rFonts w:ascii="Times New Roman" w:hAnsi="Times New Roman"/>
          <w:color w:val="000000"/>
          <w:sz w:val="24"/>
        </w:rPr>
        <w:t>.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7.5</w:t>
      </w:r>
    </w:p>
    <w:p>
      <w:pPr>
        <w:pStyle w:val="TextBody"/>
        <w:bidi w:val="0"/>
        <w:spacing w:before="0" w:after="240"/>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7.6</w:t>
      </w:r>
    </w:p>
    <w:p>
      <w:pPr>
        <w:pStyle w:val="TextBody"/>
        <w:bidi w:val="0"/>
        <w:spacing w:before="0" w:after="240"/>
        <w:jc w:val="both"/>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7.7</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7.8</w:t>
      </w:r>
    </w:p>
    <w:p>
      <w:pPr>
        <w:pStyle w:val="TextBody"/>
        <w:bidi w:val="0"/>
        <w:spacing w:before="0" w:after="240"/>
        <w:jc w:val="both"/>
        <w:rPr/>
      </w:pPr>
      <w:r>
        <w:rPr>
          <w:rFonts w:ascii="Times New Roman" w:hAnsi="Times New Roman"/>
          <w:b/>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 of the State of Maryland.</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Employment Agreement on the day and year first written above.</w:t>
      </w:r>
    </w:p>
    <w:p>
      <w:pPr>
        <w:pStyle w:val="TextBody"/>
        <w:bidi w:val="0"/>
        <w:jc w:val="both"/>
        <w:rPr>
          <w:rFonts w:ascii="Times New Roman" w:hAnsi="Times New Roman"/>
          <w:sz w:val="20"/>
        </w:rPr>
      </w:pPr>
      <w:r>
        <w:rPr>
          <w:rFonts w:ascii="Times New Roman" w:hAnsi="Times New Roman"/>
          <w:b/>
          <w:smallCaps/>
          <w:color w:val="000000"/>
          <w:sz w:val="24"/>
        </w:rPr>
        <w:t>Xometry, Inc.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Sophia MacDonald</w:t>
      </w:r>
    </w:p>
    <w:p>
      <w:pPr>
        <w:pStyle w:val="TextBody"/>
        <w:bidi w:val="0"/>
        <w:jc w:val="both"/>
        <w:rPr>
          <w:rFonts w:ascii="Times New Roman" w:hAnsi="Times New Roman"/>
          <w:color w:val="000000"/>
          <w:sz w:val="24"/>
        </w:rPr>
      </w:pPr>
      <w:r>
        <w:rPr>
          <w:rFonts w:ascii="Times New Roman" w:hAnsi="Times New Roman"/>
          <w:color w:val="000000"/>
          <w:sz w:val="24"/>
        </w:rPr>
        <w:t>Title: Chief People Officer</w:t>
      </w:r>
    </w:p>
    <w:p>
      <w:pPr>
        <w:pStyle w:val="TextBody"/>
        <w:bidi w:val="0"/>
        <w:spacing w:before="0" w:after="36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Subir Dutt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spacing w:before="0" w:after="240"/>
        <w:jc w:val="both"/>
        <w:rPr/>
      </w:pPr>
      <w:r>
        <w:rPr/>
        <w:t> </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aps/>
          <w:color w:val="000000"/>
          <w:sz w:val="24"/>
        </w:rPr>
      </w:pPr>
      <w:r>
        <w:rPr>
          <w:rFonts w:ascii="Times New Roman" w:hAnsi="Times New Roman"/>
          <w:b/>
          <w:caps/>
          <w:color w:val="000000"/>
          <w:sz w:val="24"/>
        </w:rPr>
        <w:t>Employee Confidential Information, Inventions, Non-Solicitation and Non-Competition Agreement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bookmarkStart w:id="36" w:name="xmtr-ex31_1.htm"/>
      <w:bookmarkStart w:id="37" w:name="ksxmtrex3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Randolph Altschuler,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xmtr-ex31_2.htm"/>
      <w:bookmarkStart w:id="39" w:name="ksxmtrex31_2"/>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xmtr-ex32_1.htm"/>
      <w:bookmarkStart w:id="41" w:name="ksxmtrex32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ending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xmtr-ex32_2.htm"/>
      <w:bookmarkStart w:id="43" w:name="ksxmtrex32_2"/>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ending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657573/000119312521207643/d184650dex31.htm" TargetMode="External"/><Relationship Id="rId6" Type="http://schemas.openxmlformats.org/officeDocument/2006/relationships/hyperlink" Target="https://www.sec.gov/Archives/edgar/data/0001657573/000119312521207643/d184650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38731</Words>
  <Characters>210762</Characters>
  <CharactersWithSpaces>250915</CharactersWithSpaces>
  <Paragraphs>8316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