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Rollins Emily</w:t>
              </w:r>
            </w:hyperlink>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Xometry,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XMTR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140" w:type="dxa"/>
            <w:vAlign w:val="bottom"/>
          </w:tcPr>
          <w:p>
            <w:pPr>
              <w:spacing w:after="0"/>
              <w:rPr>
                <w:sz w:val="18"/>
                <w:szCs w:val="18"/>
                <w:color w:val="auto"/>
              </w:rPr>
            </w:pPr>
          </w:p>
        </w:tc>
        <w:tc>
          <w:tcPr>
            <w:tcW w:w="13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11/25/2022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80" w:type="dxa"/>
            <w:vAlign w:val="bottom"/>
            <w:gridSpan w:val="7"/>
            <w:vMerge w:val="continue"/>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DERWOOD</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20855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jc w:val="center"/>
              <w:ind w:left="69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11/25/2022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9"/>
              </w:rPr>
              <w:t>2,000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5,729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11/25/2022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9"/>
              </w:rPr>
              <w:t>1,859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42.361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3,870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11/25/2022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rPr>
              <w:t>141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3,729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2,000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11/25/2022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2,000</w:t>
            </w:r>
          </w:p>
        </w:tc>
        <w:tc>
          <w:tcPr>
            <w:tcW w:w="760" w:type="dxa"/>
            <w:vAlign w:val="bottom"/>
            <w:vMerge w:val="continue"/>
          </w:tcPr>
          <w:p>
            <w:pPr>
              <w:spacing w:after="0"/>
              <w:rPr>
                <w:sz w:val="6"/>
                <w:szCs w:val="6"/>
                <w:color w:val="auto"/>
              </w:rPr>
            </w:pPr>
          </w:p>
        </w:tc>
        <w:tc>
          <w:tcPr>
            <w:tcW w:w="72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$41.76 to $42.74,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vest in 48 monthly installments beginning on April 2, 2021, subject to the Reporting Person's continuous service.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11/28/2022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2022-11-28T16:18:22Z</dcterms:created>
  <dcterms:modified xsi:type="dcterms:W3CDTF">2022-11-28T16:18:22Z</dcterms:modified>
</cp:coreProperties>
</file>