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6903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690372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33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Rallo James 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7529 STANDISH PLACE,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03/28/2022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87" w:lineRule="exact"/>
        <w:rPr>
          <w:sz w:val="24"/>
          <w:szCs w:val="24"/>
          <w:color w:val="auto"/>
        </w:rPr>
      </w:pPr>
    </w:p>
    <w:p>
      <w:pPr>
        <w:sectPr>
          <w:pgSz w:w="11900" w:h="16838" w:orient="portrait"/>
          <w:cols w:equalWidth="0" w:num="3">
            <w:col w:w="3200" w:space="720"/>
            <w:col w:w="3100" w:space="720"/>
            <w:col w:w="3340"/>
          </w:cols>
          <w:pgMar w:left="460" w:top="217" w:right="359" w:bottom="33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60" w:type="dxa"/>
            <w:vAlign w:val="bottom"/>
            <w:gridSpan w:val="6"/>
          </w:tcPr>
          <w:p>
            <w:pPr>
              <w:jc w:val="center"/>
              <w:spacing w:after="0" w:line="146" w:lineRule="exact"/>
              <w:rPr>
                <w:sz w:val="20"/>
                <w:szCs w:val="20"/>
                <w:color w:val="auto"/>
              </w:rPr>
            </w:pPr>
            <w:r>
              <w:rPr>
                <w:rFonts w:ascii="Arial" w:cs="Arial" w:eastAsia="Arial" w:hAnsi="Arial"/>
                <w:sz w:val="13"/>
                <w:szCs w:val="13"/>
                <w:color w:val="auto"/>
                <w:w w:val="98"/>
              </w:rPr>
              <w:t>4. If Amendment, Date of Original Filed (Month/Day/Year)</w:t>
            </w:r>
          </w:p>
        </w:tc>
        <w:tc>
          <w:tcPr>
            <w:tcW w:w="3760" w:type="dxa"/>
            <w:vAlign w:val="bottom"/>
            <w:gridSpan w:val="10"/>
          </w:tcPr>
          <w:p>
            <w:pPr>
              <w:ind w:left="420"/>
              <w:spacing w:after="0" w:line="14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160" w:type="dxa"/>
            <w:vAlign w:val="bottom"/>
            <w:gridSpan w:val="9"/>
            <w:vMerge w:val="restart"/>
          </w:tcPr>
          <w:p>
            <w:pPr>
              <w:ind w:left="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DERWOOD</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MD</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20855</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1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8"/>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jc w:val="center"/>
              <w:ind w:left="448"/>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jc w:val="center"/>
              <w:ind w:left="468"/>
              <w:spacing w:after="0"/>
              <w:rPr>
                <w:sz w:val="20"/>
                <w:szCs w:val="20"/>
                <w:color w:val="auto"/>
              </w:rPr>
            </w:pPr>
            <w:r>
              <w:rPr>
                <w:rFonts w:ascii="Times New Roman" w:cs="Times New Roman" w:eastAsia="Times New Roman" w:hAnsi="Times New Roman"/>
                <w:sz w:val="17"/>
                <w:szCs w:val="17"/>
                <w:color w:val="0000FF"/>
                <w:w w:val="98"/>
              </w:rPr>
              <w:t>03/28/2022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3,434</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tcPr>
          <w:p>
            <w:pPr>
              <w:jc w:val="center"/>
              <w:ind w:left="8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3.65</w:t>
            </w:r>
          </w:p>
        </w:tc>
        <w:tc>
          <w:tcPr>
            <w:tcW w:w="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25,121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jc w:val="center"/>
              <w:ind w:left="468"/>
              <w:spacing w:after="0"/>
              <w:rPr>
                <w:sz w:val="20"/>
                <w:szCs w:val="20"/>
                <w:color w:val="auto"/>
              </w:rPr>
            </w:pPr>
            <w:r>
              <w:rPr>
                <w:rFonts w:ascii="Times New Roman" w:cs="Times New Roman" w:eastAsia="Times New Roman" w:hAnsi="Times New Roman"/>
                <w:sz w:val="17"/>
                <w:szCs w:val="17"/>
                <w:color w:val="0000FF"/>
                <w:w w:val="98"/>
              </w:rPr>
              <w:t>03/28/2022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2,283</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tcPr>
          <w:p>
            <w:pPr>
              <w:jc w:val="center"/>
              <w:ind w:left="8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3.65</w:t>
            </w:r>
          </w:p>
        </w:tc>
        <w:tc>
          <w:tcPr>
            <w:tcW w:w="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27,404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jc w:val="center"/>
              <w:ind w:left="468"/>
              <w:spacing w:after="0"/>
              <w:rPr>
                <w:sz w:val="20"/>
                <w:szCs w:val="20"/>
                <w:color w:val="auto"/>
              </w:rPr>
            </w:pPr>
            <w:r>
              <w:rPr>
                <w:rFonts w:ascii="Times New Roman" w:cs="Times New Roman" w:eastAsia="Times New Roman" w:hAnsi="Times New Roman"/>
                <w:sz w:val="17"/>
                <w:szCs w:val="17"/>
                <w:color w:val="0000FF"/>
                <w:w w:val="98"/>
              </w:rPr>
              <w:t>03/28/2022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2,283</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35.0586</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25,121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jc w:val="center"/>
              <w:ind w:left="468"/>
              <w:spacing w:after="0"/>
              <w:rPr>
                <w:sz w:val="20"/>
                <w:szCs w:val="20"/>
                <w:color w:val="auto"/>
              </w:rPr>
            </w:pPr>
            <w:r>
              <w:rPr>
                <w:rFonts w:ascii="Times New Roman" w:cs="Times New Roman" w:eastAsia="Times New Roman" w:hAnsi="Times New Roman"/>
                <w:sz w:val="17"/>
                <w:szCs w:val="17"/>
                <w:color w:val="0000FF"/>
                <w:w w:val="98"/>
              </w:rPr>
              <w:t>03/28/2022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3,434</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35.0586</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21,687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jc w:val="center"/>
              <w:ind w:left="468"/>
              <w:spacing w:after="0"/>
              <w:rPr>
                <w:sz w:val="20"/>
                <w:szCs w:val="20"/>
                <w:color w:val="auto"/>
              </w:rPr>
            </w:pPr>
            <w:r>
              <w:rPr>
                <w:rFonts w:ascii="Times New Roman" w:cs="Times New Roman" w:eastAsia="Times New Roman" w:hAnsi="Times New Roman"/>
                <w:sz w:val="17"/>
                <w:szCs w:val="17"/>
                <w:color w:val="0000FF"/>
                <w:w w:val="98"/>
              </w:rPr>
              <w:t>03/29/2022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17,812</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tcPr>
          <w:p>
            <w:pPr>
              <w:jc w:val="center"/>
              <w:ind w:left="8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3.65</w:t>
            </w:r>
          </w:p>
        </w:tc>
        <w:tc>
          <w:tcPr>
            <w:tcW w:w="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39,499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jc w:val="center"/>
              <w:ind w:left="468"/>
              <w:spacing w:after="0"/>
              <w:rPr>
                <w:sz w:val="20"/>
                <w:szCs w:val="20"/>
                <w:color w:val="auto"/>
              </w:rPr>
            </w:pPr>
            <w:r>
              <w:rPr>
                <w:rFonts w:ascii="Times New Roman" w:cs="Times New Roman" w:eastAsia="Times New Roman" w:hAnsi="Times New Roman"/>
                <w:sz w:val="17"/>
                <w:szCs w:val="17"/>
                <w:color w:val="0000FF"/>
                <w:w w:val="98"/>
              </w:rPr>
              <w:t>03/29/2022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17,812</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tcPr>
          <w:p>
            <w:pPr>
              <w:jc w:val="center"/>
              <w:ind w:left="108"/>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35</w:t>
            </w:r>
          </w:p>
        </w:tc>
        <w:tc>
          <w:tcPr>
            <w:tcW w:w="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21,687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3"/>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9"/>
          </w:tcPr>
          <w:p>
            <w:pPr>
              <w:jc w:val="center"/>
              <w:ind w:left="588"/>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7. Title and Amount</w:t>
            </w:r>
          </w:p>
        </w:tc>
        <w:tc>
          <w:tcPr>
            <w:tcW w:w="6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jc w:val="center"/>
              <w:ind w:right="31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4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7"/>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9"/>
              </w:rPr>
              <w:t>Derivative Security</w:t>
            </w: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vMerge w:val="restart"/>
          </w:tcPr>
          <w:p>
            <w:pPr>
              <w:jc w:val="center"/>
              <w:ind w:left="28"/>
              <w:spacing w:after="0"/>
              <w:rPr>
                <w:sz w:val="20"/>
                <w:szCs w:val="20"/>
                <w:color w:val="auto"/>
              </w:rPr>
            </w:pPr>
            <w:r>
              <w:rPr>
                <w:rFonts w:ascii="Times New Roman" w:cs="Times New Roman" w:eastAsia="Times New Roman" w:hAnsi="Times New Roman"/>
                <w:sz w:val="17"/>
                <w:szCs w:val="17"/>
                <w:color w:val="0000FF"/>
                <w:w w:val="99"/>
              </w:rPr>
              <w:t>2,283</w:t>
            </w: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3.65</w:t>
            </w:r>
          </w:p>
        </w:tc>
        <w:tc>
          <w:tcPr>
            <w:tcW w:w="140" w:type="dxa"/>
            <w:vAlign w:val="bottom"/>
          </w:tcPr>
          <w:p>
            <w:pPr>
              <w:spacing w:after="0"/>
              <w:rPr>
                <w:sz w:val="6"/>
                <w:szCs w:val="6"/>
                <w:color w:val="auto"/>
              </w:rPr>
            </w:pPr>
          </w:p>
        </w:tc>
        <w:tc>
          <w:tcPr>
            <w:tcW w:w="10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03/28/2022</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6"/>
                <w:szCs w:val="6"/>
                <w:color w:val="auto"/>
              </w:rPr>
            </w:pPr>
          </w:p>
        </w:tc>
        <w:tc>
          <w:tcPr>
            <w:tcW w:w="700" w:type="dxa"/>
            <w:vAlign w:val="bottom"/>
            <w:vMerge w:val="restart"/>
          </w:tcPr>
          <w:p>
            <w:pPr>
              <w:jc w:val="center"/>
              <w:ind w:left="260"/>
              <w:spacing w:after="0" w:line="142" w:lineRule="exact"/>
              <w:rPr>
                <w:sz w:val="20"/>
                <w:szCs w:val="20"/>
                <w:color w:val="auto"/>
              </w:rPr>
            </w:pPr>
            <w:r>
              <w:rPr>
                <w:rFonts w:ascii="Times New Roman" w:cs="Times New Roman" w:eastAsia="Times New Roman" w:hAnsi="Times New Roman"/>
                <w:sz w:val="13"/>
                <w:szCs w:val="13"/>
                <w:color w:val="0000FF"/>
              </w:rPr>
              <w:t>2,283</w:t>
            </w:r>
          </w:p>
        </w:tc>
        <w:tc>
          <w:tcPr>
            <w:tcW w:w="800" w:type="dxa"/>
            <w:vAlign w:val="bottom"/>
            <w:vMerge w:val="continue"/>
          </w:tcPr>
          <w:p>
            <w:pPr>
              <w:spacing w:after="0"/>
              <w:rPr>
                <w:sz w:val="6"/>
                <w:szCs w:val="6"/>
                <w:color w:val="auto"/>
              </w:rPr>
            </w:pPr>
          </w:p>
        </w:tc>
        <w:tc>
          <w:tcPr>
            <w:tcW w:w="76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05/05/2030</w:t>
            </w:r>
          </w:p>
        </w:tc>
        <w:tc>
          <w:tcPr>
            <w:tcW w:w="56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restart"/>
          </w:tcPr>
          <w:p>
            <w:pPr>
              <w:jc w:val="center"/>
              <w:ind w:right="17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vMerge w:val="restart"/>
          </w:tcPr>
          <w:p>
            <w:pPr>
              <w:ind w:left="200"/>
              <w:spacing w:after="0" w:line="142" w:lineRule="exact"/>
              <w:rPr>
                <w:sz w:val="20"/>
                <w:szCs w:val="20"/>
                <w:color w:val="auto"/>
              </w:rPr>
            </w:pPr>
            <w:r>
              <w:rPr>
                <w:rFonts w:ascii="Times New Roman" w:cs="Times New Roman" w:eastAsia="Times New Roman" w:hAnsi="Times New Roman"/>
                <w:sz w:val="13"/>
                <w:szCs w:val="13"/>
                <w:color w:val="0000FF"/>
                <w:w w:val="94"/>
              </w:rPr>
              <w:t>385,952</w:t>
            </w:r>
          </w:p>
        </w:tc>
        <w:tc>
          <w:tcPr>
            <w:tcW w:w="26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vMerge w:val="restart"/>
          </w:tcPr>
          <w:p>
            <w:pPr>
              <w:jc w:val="center"/>
              <w:ind w:left="28"/>
              <w:spacing w:after="0"/>
              <w:rPr>
                <w:sz w:val="20"/>
                <w:szCs w:val="20"/>
                <w:color w:val="auto"/>
              </w:rPr>
            </w:pPr>
            <w:r>
              <w:rPr>
                <w:rFonts w:ascii="Times New Roman" w:cs="Times New Roman" w:eastAsia="Times New Roman" w:hAnsi="Times New Roman"/>
                <w:sz w:val="17"/>
                <w:szCs w:val="17"/>
                <w:color w:val="0000FF"/>
                <w:w w:val="99"/>
              </w:rPr>
              <w:t>3,434</w:t>
            </w: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3.65</w:t>
            </w:r>
          </w:p>
        </w:tc>
        <w:tc>
          <w:tcPr>
            <w:tcW w:w="140" w:type="dxa"/>
            <w:vAlign w:val="bottom"/>
          </w:tcPr>
          <w:p>
            <w:pPr>
              <w:spacing w:after="0"/>
              <w:rPr>
                <w:sz w:val="6"/>
                <w:szCs w:val="6"/>
                <w:color w:val="auto"/>
              </w:rPr>
            </w:pPr>
          </w:p>
        </w:tc>
        <w:tc>
          <w:tcPr>
            <w:tcW w:w="10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03/28/2022</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6"/>
                <w:szCs w:val="6"/>
                <w:color w:val="auto"/>
              </w:rPr>
            </w:pPr>
          </w:p>
        </w:tc>
        <w:tc>
          <w:tcPr>
            <w:tcW w:w="700" w:type="dxa"/>
            <w:vAlign w:val="bottom"/>
            <w:vMerge w:val="restart"/>
          </w:tcPr>
          <w:p>
            <w:pPr>
              <w:jc w:val="center"/>
              <w:ind w:left="260"/>
              <w:spacing w:after="0" w:line="142" w:lineRule="exact"/>
              <w:rPr>
                <w:sz w:val="20"/>
                <w:szCs w:val="20"/>
                <w:color w:val="auto"/>
              </w:rPr>
            </w:pPr>
            <w:r>
              <w:rPr>
                <w:rFonts w:ascii="Times New Roman" w:cs="Times New Roman" w:eastAsia="Times New Roman" w:hAnsi="Times New Roman"/>
                <w:sz w:val="13"/>
                <w:szCs w:val="13"/>
                <w:color w:val="0000FF"/>
              </w:rPr>
              <w:t>3,434</w:t>
            </w:r>
          </w:p>
        </w:tc>
        <w:tc>
          <w:tcPr>
            <w:tcW w:w="800" w:type="dxa"/>
            <w:vAlign w:val="bottom"/>
            <w:vMerge w:val="continue"/>
          </w:tcPr>
          <w:p>
            <w:pPr>
              <w:spacing w:after="0"/>
              <w:rPr>
                <w:sz w:val="6"/>
                <w:szCs w:val="6"/>
                <w:color w:val="auto"/>
              </w:rPr>
            </w:pPr>
          </w:p>
        </w:tc>
        <w:tc>
          <w:tcPr>
            <w:tcW w:w="76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05/05/2030</w:t>
            </w:r>
          </w:p>
        </w:tc>
        <w:tc>
          <w:tcPr>
            <w:tcW w:w="56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restart"/>
          </w:tcPr>
          <w:p>
            <w:pPr>
              <w:jc w:val="center"/>
              <w:ind w:right="17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vMerge w:val="restart"/>
          </w:tcPr>
          <w:p>
            <w:pPr>
              <w:ind w:left="200"/>
              <w:spacing w:after="0" w:line="142" w:lineRule="exact"/>
              <w:rPr>
                <w:sz w:val="20"/>
                <w:szCs w:val="20"/>
                <w:color w:val="auto"/>
              </w:rPr>
            </w:pPr>
            <w:r>
              <w:rPr>
                <w:rFonts w:ascii="Times New Roman" w:cs="Times New Roman" w:eastAsia="Times New Roman" w:hAnsi="Times New Roman"/>
                <w:sz w:val="13"/>
                <w:szCs w:val="13"/>
                <w:color w:val="0000FF"/>
                <w:w w:val="94"/>
              </w:rPr>
              <w:t>382,518</w:t>
            </w:r>
          </w:p>
        </w:tc>
        <w:tc>
          <w:tcPr>
            <w:tcW w:w="26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vMerge w:val="restart"/>
          </w:tcPr>
          <w:p>
            <w:pPr>
              <w:jc w:val="center"/>
              <w:ind w:left="28"/>
              <w:spacing w:after="0"/>
              <w:rPr>
                <w:sz w:val="20"/>
                <w:szCs w:val="20"/>
                <w:color w:val="auto"/>
              </w:rPr>
            </w:pPr>
            <w:r>
              <w:rPr>
                <w:rFonts w:ascii="Times New Roman" w:cs="Times New Roman" w:eastAsia="Times New Roman" w:hAnsi="Times New Roman"/>
                <w:sz w:val="17"/>
                <w:szCs w:val="17"/>
                <w:color w:val="0000FF"/>
                <w:w w:val="98"/>
              </w:rPr>
              <w:t>17,812</w:t>
            </w: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3.65</w:t>
            </w:r>
          </w:p>
        </w:tc>
        <w:tc>
          <w:tcPr>
            <w:tcW w:w="140" w:type="dxa"/>
            <w:vAlign w:val="bottom"/>
          </w:tcPr>
          <w:p>
            <w:pPr>
              <w:spacing w:after="0"/>
              <w:rPr>
                <w:sz w:val="6"/>
                <w:szCs w:val="6"/>
                <w:color w:val="auto"/>
              </w:rPr>
            </w:pPr>
          </w:p>
        </w:tc>
        <w:tc>
          <w:tcPr>
            <w:tcW w:w="10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03/29/2022</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6"/>
                <w:szCs w:val="6"/>
                <w:color w:val="auto"/>
              </w:rPr>
            </w:pPr>
          </w:p>
        </w:tc>
        <w:tc>
          <w:tcPr>
            <w:tcW w:w="700" w:type="dxa"/>
            <w:vAlign w:val="bottom"/>
            <w:vMerge w:val="restart"/>
          </w:tcPr>
          <w:p>
            <w:pPr>
              <w:jc w:val="center"/>
              <w:ind w:left="240"/>
              <w:spacing w:after="0" w:line="142" w:lineRule="exact"/>
              <w:rPr>
                <w:sz w:val="20"/>
                <w:szCs w:val="20"/>
                <w:color w:val="auto"/>
              </w:rPr>
            </w:pPr>
            <w:r>
              <w:rPr>
                <w:rFonts w:ascii="Times New Roman" w:cs="Times New Roman" w:eastAsia="Times New Roman" w:hAnsi="Times New Roman"/>
                <w:sz w:val="13"/>
                <w:szCs w:val="13"/>
                <w:color w:val="0000FF"/>
              </w:rPr>
              <w:t>17,812</w:t>
            </w:r>
          </w:p>
        </w:tc>
        <w:tc>
          <w:tcPr>
            <w:tcW w:w="800" w:type="dxa"/>
            <w:vAlign w:val="bottom"/>
            <w:vMerge w:val="continue"/>
          </w:tcPr>
          <w:p>
            <w:pPr>
              <w:spacing w:after="0"/>
              <w:rPr>
                <w:sz w:val="6"/>
                <w:szCs w:val="6"/>
                <w:color w:val="auto"/>
              </w:rPr>
            </w:pPr>
          </w:p>
        </w:tc>
        <w:tc>
          <w:tcPr>
            <w:tcW w:w="76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05/05/2030</w:t>
            </w:r>
          </w:p>
        </w:tc>
        <w:tc>
          <w:tcPr>
            <w:tcW w:w="56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restart"/>
          </w:tcPr>
          <w:p>
            <w:pPr>
              <w:jc w:val="center"/>
              <w:ind w:right="17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vMerge w:val="restart"/>
          </w:tcPr>
          <w:p>
            <w:pPr>
              <w:ind w:left="200"/>
              <w:spacing w:after="0" w:line="142" w:lineRule="exact"/>
              <w:rPr>
                <w:sz w:val="20"/>
                <w:szCs w:val="20"/>
                <w:color w:val="auto"/>
              </w:rPr>
            </w:pPr>
            <w:r>
              <w:rPr>
                <w:rFonts w:ascii="Times New Roman" w:cs="Times New Roman" w:eastAsia="Times New Roman" w:hAnsi="Times New Roman"/>
                <w:sz w:val="13"/>
                <w:szCs w:val="13"/>
                <w:color w:val="0000FF"/>
                <w:w w:val="94"/>
              </w:rPr>
              <w:t>364,706</w:t>
            </w:r>
          </w:p>
        </w:tc>
        <w:tc>
          <w:tcPr>
            <w:tcW w:w="26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-2984500</wp:posOffset>
            </wp:positionV>
            <wp:extent cx="29210" cy="2989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9895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in this Form 4 was effected automatically pursuant to a Rule 10b5-1 trading plan adopted by the reporting person at least 30 days prior to the trading date.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by the reporting person at least 30 days prior to the trading date.</w:t>
      </w:r>
    </w:p>
    <w:p>
      <w:pPr>
        <w:spacing w:after="0" w:line="43" w:lineRule="exact"/>
        <w:rPr>
          <w:rFonts w:ascii="Times New Roman" w:cs="Times New Roman" w:eastAsia="Times New Roman" w:hAnsi="Times New Roman"/>
          <w:sz w:val="13"/>
          <w:szCs w:val="13"/>
          <w:color w:val="008000"/>
        </w:rPr>
      </w:pPr>
    </w:p>
    <w:p>
      <w:pPr>
        <w:jc w:val="both"/>
        <w:ind w:left="40" w:right="2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$35.00 to $35.80, inclusive. The reporting person undertakes to provide to Xometry, Inc., any security holder of Xometry, Inc. or the staff of the Securities and Exchange Commission, upon request, full information regarding the number of shares sold at each separate price within this price range.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quarter (1/4) of the shares vested on April 13, 2021, and thereafter, the remainder of the shares vest in 36 monthly installments, subject to the Reporting Person's continuous service.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Kristie Scott, Attorney-in-</w:t>
            </w:r>
          </w:p>
        </w:tc>
        <w:tc>
          <w:tcPr>
            <w:tcW w:w="2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03/30/2022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33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52659"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2022-03-30T17:50:04Z</dcterms:created>
  <dcterms:modified xsi:type="dcterms:W3CDTF">2022-03-30T17:50:04Z</dcterms:modified>
</cp:coreProperties>
</file>