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xmtr-20240331.htm"/>
        <w:bookmarkStart w:id="1" w:name="ksxmtr20240331"/>
        <w:bookmarkEnd w:id="0"/>
        <w:bookmarkEnd w:id="1"/>
        <w:r>
          <w:rPr>
            <w:rStyle w:val="InternetLink"/>
            <w:rFonts w:ascii="Times New Roman" w:hAnsi="Times New Roman"/>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__________ to __________</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001-40546</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XOMETRY,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32-0415449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6116 Executive Blvd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18"/>
              </w:rPr>
              <w:t>Suite 800</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18"/>
              </w:rPr>
              <w:t>North Bethesda, MD</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20852</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(240) 335-7914</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440" w:type="dxa"/>
        <w:jc w:val="left"/>
        <w:tblInd w:w="0" w:type="dxa"/>
        <w:tblLayout w:type="fixed"/>
        <w:tblCellMar>
          <w:top w:w="28" w:type="dxa"/>
          <w:left w:w="28" w:type="dxa"/>
          <w:bottom w:w="28" w:type="dxa"/>
          <w:right w:w="28" w:type="dxa"/>
        </w:tblCellMar>
      </w:tblPr>
      <w:tblGrid>
        <w:gridCol w:w="4006"/>
        <w:gridCol w:w="146"/>
        <w:gridCol w:w="826"/>
        <w:gridCol w:w="146"/>
        <w:gridCol w:w="3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0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XMTR</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April 30, 2024, the registrant had 46,123,556</w:t>
      </w:r>
      <w:r>
        <w:rPr>
          <w:rFonts w:ascii="Times New Roman" w:hAnsi="Times New Roman"/>
          <w:color w:val="000000"/>
          <w:sz w:val="20"/>
        </w:rPr>
        <w:t xml:space="preserve"> </w:t>
      </w:r>
      <w:r>
        <w:rPr>
          <w:rFonts w:ascii="Times New Roman" w:hAnsi="Times New Roman"/>
          <w:color w:val="000000"/>
          <w:sz w:val="18"/>
        </w:rPr>
        <w:t>shares of Class A common stock, $0.000001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spacing w:before="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Condensed Consolidated Statements of Operations and Comprehensive Loss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_statement_new">
              <w:r>
                <w:rPr>
                  <w:rStyle w:val="InternetLink"/>
                  <w:rFonts w:ascii="Times New Roman" w:hAnsi="Times New Roman"/>
                  <w:color w:val="0000FF"/>
                  <w:sz w:val="20"/>
                  <w:u w:val="single"/>
                </w:rPr>
                <w:t>Condensed Consolidated Statements of Changes in Stockholders' Equity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r>
              <w:rPr>
                <w:rFonts w:ascii="Times New Roman" w:hAnsi="Times New Roman"/>
                <w:color w:val="000000"/>
                <w:sz w:val="20"/>
              </w:rPr>
              <w:t xml:space="preserve"> </w:t>
            </w:r>
            <w:hyperlink w:anchor="balance_sheet">
              <w:r>
                <w:rPr>
                  <w:rStyle w:val="InternetLink"/>
                  <w:rFonts w:ascii="Times New Roman" w:hAnsi="Times New Roman"/>
                  <w:color w:val="0000FF"/>
                  <w:sz w:val="20"/>
                  <w:u w:val="single"/>
                </w:rPr>
                <w:t>(Unaudited)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jc w:val="left"/>
        <w:rPr/>
      </w:pPr>
      <w:r>
        <w:rPr/>
        <w:t> </w:t>
      </w:r>
    </w:p>
    <w:tbl>
      <w:tblPr>
        <w:tblW w:w="6837" w:type="dxa"/>
        <w:jc w:val="left"/>
        <w:tblInd w:w="0" w:type="dxa"/>
        <w:tblLayout w:type="fixed"/>
        <w:tblCellMar>
          <w:top w:w="28" w:type="dxa"/>
          <w:left w:w="28" w:type="dxa"/>
          <w:bottom w:w="28" w:type="dxa"/>
          <w:right w:w="28" w:type="dxa"/>
        </w:tblCellMar>
      </w:tblPr>
      <w:tblGrid>
        <w:gridCol w:w="161"/>
        <w:gridCol w:w="109"/>
        <w:gridCol w:w="146"/>
        <w:gridCol w:w="642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expectations regarding our revenue, expenses and other operating results;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anticipated growth of our business, including our ability to effectively manage or sustain our growth and to achieve or sustain profitability;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effects of public health crises or other macroeconomic factors and geopolitical tension, which may lead to periods of global economic uncertainty;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tc>
      </w:tr>
    </w:tbl>
    <w:p>
      <w:pPr>
        <w:pStyle w:val="TextBody"/>
        <w:bidi w:val="0"/>
        <w:jc w:val="left"/>
        <w:rPr/>
      </w:pPr>
      <w:r>
        <w:rPr/>
        <w:t> </w:t>
      </w:r>
    </w:p>
    <w:tbl>
      <w:tblPr>
        <w:tblW w:w="9477" w:type="dxa"/>
        <w:jc w:val="left"/>
        <w:tblInd w:w="0" w:type="dxa"/>
        <w:tblLayout w:type="fixed"/>
        <w:tblCellMar>
          <w:top w:w="28" w:type="dxa"/>
          <w:left w:w="28" w:type="dxa"/>
          <w:bottom w:w="28" w:type="dxa"/>
          <w:right w:w="28" w:type="dxa"/>
        </w:tblCellMar>
      </w:tblPr>
      <w:tblGrid>
        <w:gridCol w:w="161"/>
        <w:gridCol w:w="109"/>
        <w:gridCol w:w="146"/>
        <w:gridCol w:w="90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attract new buyers and suppliers and successfully engage new and existing buyers and suppliers;</w:t>
            </w:r>
          </w:p>
        </w:tc>
      </w:tr>
    </w:tbl>
    <w:p>
      <w:pPr>
        <w:pStyle w:val="TextBody"/>
        <w:bidi w:val="0"/>
        <w:jc w:val="left"/>
        <w:rPr/>
      </w:pPr>
      <w:r>
        <w:rPr/>
        <w:t> </w:t>
      </w:r>
    </w:p>
    <w:tbl>
      <w:tblPr>
        <w:tblW w:w="8097" w:type="dxa"/>
        <w:jc w:val="left"/>
        <w:tblInd w:w="0" w:type="dxa"/>
        <w:tblLayout w:type="fixed"/>
        <w:tblCellMar>
          <w:top w:w="28" w:type="dxa"/>
          <w:left w:w="28" w:type="dxa"/>
          <w:bottom w:w="28" w:type="dxa"/>
          <w:right w:w="28" w:type="dxa"/>
        </w:tblCellMar>
      </w:tblPr>
      <w:tblGrid>
        <w:gridCol w:w="161"/>
        <w:gridCol w:w="109"/>
        <w:gridCol w:w="146"/>
        <w:gridCol w:w="76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costs and success of our sales and marketing efforts, and our ability to promote our brand;</w:t>
            </w:r>
          </w:p>
        </w:tc>
      </w:tr>
    </w:tbl>
    <w:p>
      <w:pPr>
        <w:pStyle w:val="TextBody"/>
        <w:bidi w:val="0"/>
        <w:jc w:val="left"/>
        <w:rPr/>
      </w:pPr>
      <w:r>
        <w:rPr/>
        <w:t> </w:t>
      </w:r>
    </w:p>
    <w:tbl>
      <w:tblPr>
        <w:tblW w:w="8082" w:type="dxa"/>
        <w:jc w:val="left"/>
        <w:tblInd w:w="0" w:type="dxa"/>
        <w:tblLayout w:type="fixed"/>
        <w:tblCellMar>
          <w:top w:w="28" w:type="dxa"/>
          <w:left w:w="28" w:type="dxa"/>
          <w:bottom w:w="28" w:type="dxa"/>
          <w:right w:w="28" w:type="dxa"/>
        </w:tblCellMar>
      </w:tblPr>
      <w:tblGrid>
        <w:gridCol w:w="161"/>
        <w:gridCol w:w="109"/>
        <w:gridCol w:w="146"/>
        <w:gridCol w:w="76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tc>
      </w:tr>
    </w:tbl>
    <w:p>
      <w:pPr>
        <w:pStyle w:val="TextBody"/>
        <w:bidi w:val="0"/>
        <w:jc w:val="left"/>
        <w:rPr/>
      </w:pPr>
      <w:r>
        <w:rPr/>
        <w:t> </w:t>
      </w:r>
    </w:p>
    <w:tbl>
      <w:tblPr>
        <w:tblW w:w="7422" w:type="dxa"/>
        <w:jc w:val="left"/>
        <w:tblInd w:w="0" w:type="dxa"/>
        <w:tblLayout w:type="fixed"/>
        <w:tblCellMar>
          <w:top w:w="28" w:type="dxa"/>
          <w:left w:w="28" w:type="dxa"/>
          <w:bottom w:w="28" w:type="dxa"/>
          <w:right w:w="28" w:type="dxa"/>
        </w:tblCellMar>
      </w:tblPr>
      <w:tblGrid>
        <w:gridCol w:w="161"/>
        <w:gridCol w:w="109"/>
        <w:gridCol w:w="146"/>
        <w:gridCol w:w="70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or other proprietary rights and any costs associated therewith;</w:t>
            </w:r>
          </w:p>
        </w:tc>
      </w:tr>
    </w:tbl>
    <w:p>
      <w:pPr>
        <w:pStyle w:val="TextBody"/>
        <w:bidi w:val="0"/>
        <w:jc w:val="left"/>
        <w:rPr/>
      </w:pPr>
      <w:r>
        <w:rPr/>
        <w:t> </w:t>
      </w:r>
    </w:p>
    <w:tbl>
      <w:tblPr>
        <w:tblW w:w="9267" w:type="dxa"/>
        <w:jc w:val="left"/>
        <w:tblInd w:w="0" w:type="dxa"/>
        <w:tblLayout w:type="fixed"/>
        <w:tblCellMar>
          <w:top w:w="28" w:type="dxa"/>
          <w:left w:w="28" w:type="dxa"/>
          <w:bottom w:w="28" w:type="dxa"/>
          <w:right w:w="28" w:type="dxa"/>
        </w:tblCellMar>
      </w:tblPr>
      <w:tblGrid>
        <w:gridCol w:w="161"/>
        <w:gridCol w:w="109"/>
        <w:gridCol w:w="146"/>
        <w:gridCol w:w="88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ability to effectively manage our costs and expenses, which may be impacted by inflationary pressures; </w:t>
            </w:r>
          </w:p>
        </w:tc>
      </w:tr>
    </w:tbl>
    <w:p>
      <w:pPr>
        <w:pStyle w:val="TextBody"/>
        <w:bidi w:val="0"/>
        <w:jc w:val="left"/>
        <w:rPr/>
      </w:pPr>
      <w:r>
        <w:rPr/>
        <w:t> </w:t>
      </w:r>
    </w:p>
    <w:tbl>
      <w:tblPr>
        <w:tblW w:w="7812" w:type="dxa"/>
        <w:jc w:val="left"/>
        <w:tblInd w:w="0" w:type="dxa"/>
        <w:tblLayout w:type="fixed"/>
        <w:tblCellMar>
          <w:top w:w="28" w:type="dxa"/>
          <w:left w:w="28" w:type="dxa"/>
          <w:bottom w:w="28" w:type="dxa"/>
          <w:right w:w="28" w:type="dxa"/>
        </w:tblCellMar>
      </w:tblPr>
      <w:tblGrid>
        <w:gridCol w:w="161"/>
        <w:gridCol w:w="109"/>
        <w:gridCol w:w="146"/>
        <w:gridCol w:w="73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tc>
      </w:tr>
    </w:tbl>
    <w:p>
      <w:pPr>
        <w:pStyle w:val="TextBody"/>
        <w:bidi w:val="0"/>
        <w:jc w:val="left"/>
        <w:rPr/>
      </w:pPr>
      <w:r>
        <w:rPr/>
        <w:t> </w:t>
      </w:r>
    </w:p>
    <w:tbl>
      <w:tblPr>
        <w:tblW w:w="4842" w:type="dxa"/>
        <w:jc w:val="left"/>
        <w:tblInd w:w="0" w:type="dxa"/>
        <w:tblLayout w:type="fixed"/>
        <w:tblCellMar>
          <w:top w:w="28" w:type="dxa"/>
          <w:left w:w="28" w:type="dxa"/>
          <w:bottom w:w="28" w:type="dxa"/>
          <w:right w:w="28" w:type="dxa"/>
        </w:tblCellMar>
      </w:tblPr>
      <w:tblGrid>
        <w:gridCol w:w="161"/>
        <w:gridCol w:w="109"/>
        <w:gridCol w:w="146"/>
        <w:gridCol w:w="44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growth rates of the markets in which we compete.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i_item1"/>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fin120843_2"/>
      <w:bookmarkEnd w:id="5"/>
      <w:r>
        <w:rPr>
          <w:rFonts w:ascii="Times New Roman" w:hAnsi="Times New Roman"/>
          <w:color w:val="000000"/>
          <w:sz w:val="20"/>
        </w:rPr>
        <w:t xml:space="preserve">Condensed Consolidated </w:t>
      </w:r>
      <w:bookmarkStart w:id="6" w:name="balance_sheet"/>
      <w:bookmarkEnd w:id="6"/>
      <w:r>
        <w:rPr>
          <w:rFonts w:ascii="Times New Roman" w:hAnsi="Times New Roman"/>
          <w:color w:val="000000"/>
          <w:sz w:val="20"/>
        </w:rPr>
        <w:t>Balance Sheets (Unaudited)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98"/>
        <w:gridCol w:w="146"/>
        <w:gridCol w:w="196"/>
        <w:gridCol w:w="751"/>
        <w:gridCol w:w="166"/>
        <w:gridCol w:w="146"/>
        <w:gridCol w:w="208"/>
        <w:gridCol w:w="801"/>
        <w:gridCol w:w="593"/>
      </w:tblGrid>
      <w:tr>
        <w:trPr/>
        <w:tc>
          <w:tcPr>
            <w:tcW w:w="7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1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8" w:type="dxa"/>
            <w:gridSpan w:val="6"/>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719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19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53,424</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Marketable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208,078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215,352</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Accounts receivable, less allowance for credit losses of $2.4</w:t>
            </w:r>
            <w:r>
              <w:rPr>
                <w:rFonts w:ascii="Times New Roman" w:hAnsi="Times New Roman"/>
                <w:color w:val="000000"/>
                <w:sz w:val="20"/>
              </w:rPr>
              <w:t> </w:t>
            </w:r>
            <w:r>
              <w:rPr>
                <w:rFonts w:ascii="Times New Roman" w:hAnsi="Times New Roman"/>
                <w:color w:val="000000"/>
                <w:sz w:val="16"/>
              </w:rPr>
              <w:t>million and $2.4</w:t>
            </w:r>
            <w:r>
              <w:rPr>
                <w:rFonts w:ascii="Times New Roman" w:hAnsi="Times New Roman"/>
                <w:color w:val="000000"/>
                <w:sz w:val="20"/>
              </w:rPr>
              <w:t> </w:t>
            </w:r>
            <w:r>
              <w:rPr>
                <w:rFonts w:ascii="Times New Roman" w:hAnsi="Times New Roman"/>
                <w:color w:val="000000"/>
                <w:sz w:val="16"/>
              </w:rPr>
              <w:t>million as of March 31, 2024 and December 31, 2023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70,102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8"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356,231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35,637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Investment in unconsolidated joint venture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262,915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8"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707,387</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19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24,710</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41,845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Contract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liabilities, current portion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8"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83,195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Convertible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282,234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281,769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10,951</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8"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376,968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6"/>
              </w:rPr>
              <w:t>Commitments and contingencies</w:t>
            </w:r>
            <w:r>
              <w:rPr>
                <w:rFonts w:ascii="Times New Roman" w:hAnsi="Times New Roman"/>
                <w:color w:val="000000"/>
                <w:sz w:val="20"/>
              </w:rPr>
              <w:t> </w:t>
            </w:r>
            <w:r>
              <w:rPr>
                <w:rFonts w:ascii="Times New Roman" w:hAnsi="Times New Roman"/>
                <w:b/>
                <w:color w:val="000000"/>
                <w:sz w:val="16"/>
              </w:rPr>
              <w:t>(Note 13)</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19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Preferred stock, $0.000001</w:t>
            </w:r>
            <w:r>
              <w:rPr>
                <w:rFonts w:ascii="Times New Roman" w:hAnsi="Times New Roman"/>
                <w:color w:val="000000"/>
                <w:sz w:val="20"/>
              </w:rPr>
              <w:t> </w:t>
            </w:r>
            <w:r>
              <w:rPr>
                <w:rFonts w:ascii="Times New Roman" w:hAnsi="Times New Roman"/>
                <w:color w:val="000000"/>
                <w:sz w:val="16"/>
              </w:rPr>
              <w:t>par value. Authorized; 50,000,000</w:t>
            </w:r>
            <w:r>
              <w:rPr>
                <w:rFonts w:ascii="Times New Roman" w:hAnsi="Times New Roman"/>
                <w:color w:val="000000"/>
                <w:sz w:val="20"/>
              </w:rPr>
              <w:t> </w:t>
            </w:r>
            <w:r>
              <w:rPr>
                <w:rFonts w:ascii="Times New Roman" w:hAnsi="Times New Roman"/>
                <w:color w:val="000000"/>
                <w:sz w:val="16"/>
              </w:rPr>
              <w:t>shares; zero</w:t>
            </w:r>
            <w:r>
              <w:rPr>
                <w:rFonts w:ascii="Times New Roman" w:hAnsi="Times New Roman"/>
                <w:color w:val="000000"/>
                <w:sz w:val="20"/>
              </w:rPr>
              <w:t> </w:t>
            </w:r>
            <w:r>
              <w:rPr>
                <w:rFonts w:ascii="Times New Roman" w:hAnsi="Times New Roman"/>
                <w:color w:val="000000"/>
                <w:sz w:val="16"/>
              </w:rPr>
              <w:t>shares issued and outstanding as of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Class A Common stock, $0.000001</w:t>
            </w:r>
            <w:r>
              <w:rPr>
                <w:rFonts w:ascii="Times New Roman" w:hAnsi="Times New Roman"/>
                <w:color w:val="000000"/>
                <w:sz w:val="20"/>
              </w:rPr>
              <w:t> </w:t>
            </w:r>
            <w:r>
              <w:rPr>
                <w:rFonts w:ascii="Times New Roman" w:hAnsi="Times New Roman"/>
                <w:color w:val="000000"/>
                <w:sz w:val="16"/>
              </w:rPr>
              <w:t>par value. Authorized; 750,000,000</w:t>
            </w:r>
            <w:r>
              <w:rPr>
                <w:rFonts w:ascii="Times New Roman" w:hAnsi="Times New Roman"/>
                <w:color w:val="000000"/>
                <w:sz w:val="20"/>
              </w:rPr>
              <w:t> </w:t>
            </w:r>
            <w:r>
              <w:rPr>
                <w:rFonts w:ascii="Times New Roman" w:hAnsi="Times New Roman"/>
                <w:color w:val="000000"/>
                <w:sz w:val="16"/>
              </w:rPr>
              <w:t>shares; 46,010,987</w:t>
            </w:r>
            <w:r>
              <w:rPr>
                <w:rFonts w:ascii="Times New Roman" w:hAnsi="Times New Roman"/>
                <w:color w:val="000000"/>
                <w:sz w:val="20"/>
              </w:rPr>
              <w:t> </w:t>
            </w:r>
            <w:r>
              <w:rPr>
                <w:rFonts w:ascii="Times New Roman" w:hAnsi="Times New Roman"/>
                <w:color w:val="000000"/>
                <w:sz w:val="16"/>
              </w:rPr>
              <w:t>shares and 45,489,379</w:t>
            </w:r>
            <w:r>
              <w:rPr>
                <w:rFonts w:ascii="Times New Roman" w:hAnsi="Times New Roman"/>
                <w:color w:val="000000"/>
                <w:sz w:val="20"/>
              </w:rPr>
              <w:t> </w:t>
            </w:r>
            <w:r>
              <w:rPr>
                <w:rFonts w:ascii="Times New Roman" w:hAnsi="Times New Roman"/>
                <w:color w:val="000000"/>
                <w:sz w:val="16"/>
              </w:rPr>
              <w:t>shares issued and outstanding as of March 31,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color w:val="000000"/>
              </w:rPr>
            </w:pPr>
            <w:r>
              <w:rPr>
                <w:color w:val="000000"/>
              </w:rPr>
              <w:t>—</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Class B Common stock, $0.000001</w:t>
            </w:r>
            <w:r>
              <w:rPr>
                <w:rFonts w:ascii="Times New Roman" w:hAnsi="Times New Roman"/>
                <w:color w:val="000000"/>
                <w:sz w:val="20"/>
              </w:rPr>
              <w:t> </w:t>
            </w:r>
            <w:r>
              <w:rPr>
                <w:rFonts w:ascii="Times New Roman" w:hAnsi="Times New Roman"/>
                <w:color w:val="000000"/>
                <w:sz w:val="16"/>
              </w:rPr>
              <w:t>par value. Authorized; 5,000,000</w:t>
            </w:r>
            <w:r>
              <w:rPr>
                <w:rFonts w:ascii="Times New Roman" w:hAnsi="Times New Roman"/>
                <w:color w:val="000000"/>
                <w:sz w:val="20"/>
              </w:rPr>
              <w:t> </w:t>
            </w:r>
            <w:r>
              <w:rPr>
                <w:rFonts w:ascii="Times New Roman" w:hAnsi="Times New Roman"/>
                <w:color w:val="000000"/>
                <w:sz w:val="16"/>
              </w:rPr>
              <w:t>shares; 2,676,154</w:t>
            </w:r>
            <w:r>
              <w:rPr>
                <w:rFonts w:ascii="Times New Roman" w:hAnsi="Times New Roman"/>
                <w:color w:val="000000"/>
                <w:sz w:val="20"/>
              </w:rPr>
              <w:t> </w:t>
            </w:r>
            <w:r>
              <w:rPr>
                <w:rFonts w:ascii="Times New Roman" w:hAnsi="Times New Roman"/>
                <w:color w:val="000000"/>
                <w:sz w:val="16"/>
              </w:rPr>
              <w:t>shares issued and outstanding as of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656,554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648,317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other comprehensive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(319,872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19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329,300</w:t>
            </w:r>
          </w:p>
        </w:tc>
        <w:tc>
          <w:tcPr>
            <w:tcW w:w="593" w:type="dxa"/>
            <w:tcBorders/>
            <w:shd w:fill="FFFFFF" w:val="clear"/>
            <w:vAlign w:val="center"/>
          </w:tcPr>
          <w:p>
            <w:pPr>
              <w:pStyle w:val="TableContents"/>
              <w:bidi w:val="0"/>
              <w:spacing w:before="0" w:after="283"/>
              <w:ind w:left="0" w:right="0" w:firstLine="400"/>
              <w:jc w:val="left"/>
              <w:rPr/>
            </w:pPr>
            <w:r>
              <w:rPr/>
              <w:t> </w:t>
            </w:r>
          </w:p>
        </w:tc>
      </w:tr>
      <w:tr>
        <w:trPr/>
        <w:tc>
          <w:tcPr>
            <w:tcW w:w="7198"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8"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330,419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707,387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fin120843_3"/>
      <w:bookmarkEnd w:id="7"/>
      <w:r>
        <w:rPr>
          <w:rFonts w:ascii="Times New Roman" w:hAnsi="Times New Roman"/>
          <w:color w:val="000000"/>
          <w:sz w:val="20"/>
        </w:rPr>
        <w:t>Condensed Consolidated St</w:t>
      </w:r>
      <w:bookmarkStart w:id="8" w:name="statement_of_operations"/>
      <w:bookmarkEnd w:id="8"/>
      <w:r>
        <w:rPr>
          <w:rFonts w:ascii="Times New Roman" w:hAnsi="Times New Roman"/>
          <w:color w:val="000000"/>
          <w:sz w:val="20"/>
        </w:rPr>
        <w:t xml:space="preserve">atements of Operations and Comprehensive Loss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tbl>
      <w:tblPr>
        <w:tblW w:w="8674" w:type="dxa"/>
        <w:jc w:val="left"/>
        <w:tblInd w:w="0" w:type="dxa"/>
        <w:tblLayout w:type="fixed"/>
        <w:tblCellMar>
          <w:top w:w="28" w:type="dxa"/>
          <w:left w:w="28" w:type="dxa"/>
          <w:bottom w:w="28" w:type="dxa"/>
          <w:right w:w="28" w:type="dxa"/>
        </w:tblCellMar>
      </w:tblPr>
      <w:tblGrid>
        <w:gridCol w:w="5401"/>
        <w:gridCol w:w="146"/>
        <w:gridCol w:w="196"/>
        <w:gridCol w:w="916"/>
        <w:gridCol w:w="166"/>
        <w:gridCol w:w="146"/>
        <w:gridCol w:w="196"/>
        <w:gridCol w:w="916"/>
        <w:gridCol w:w="59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54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105,326</w:t>
            </w:r>
          </w:p>
        </w:tc>
        <w:tc>
          <w:tcPr>
            <w:tcW w:w="591" w:type="dxa"/>
            <w:tcBorders/>
            <w:shd w:fill="CFF0FC" w:val="cle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Gross profit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22,439</w:t>
            </w:r>
          </w:p>
        </w:tc>
        <w:tc>
          <w:tcPr>
            <w:tcW w:w="591" w:type="dxa"/>
            <w:tcBorders/>
            <w:shd w:fill="FFFFFF" w:val="clear"/>
            <w:vAlign w:val="center"/>
          </w:tcPr>
          <w:p>
            <w:pPr>
              <w:pStyle w:val="TableContents"/>
              <w:bidi w:val="0"/>
              <w:spacing w:before="0" w:after="283"/>
              <w:jc w:val="left"/>
              <w:rPr/>
            </w:pPr>
            <w:r>
              <w:rPr/>
              <w:t> </w:t>
            </w:r>
          </w:p>
        </w:tc>
      </w:tr>
      <w:tr>
        <w:trPr/>
        <w:tc>
          <w:tcPr>
            <w:tcW w:w="54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Operations and support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12,608</w:t>
            </w:r>
          </w:p>
        </w:tc>
        <w:tc>
          <w:tcPr>
            <w:tcW w:w="591" w:type="dxa"/>
            <w:tcBorders/>
            <w:shd w:fill="CFF0FC" w:val="cle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w:t>
            </w:r>
          </w:p>
        </w:tc>
        <w:tc>
          <w:tcPr>
            <w:tcW w:w="591" w:type="dxa"/>
            <w:tcBorders/>
            <w:shd w:fill="FFFFFF" w:val="clear"/>
            <w:vAlign w:val="center"/>
          </w:tcPr>
          <w:p>
            <w:pPr>
              <w:pStyle w:val="TableContents"/>
              <w:bidi w:val="0"/>
              <w:spacing w:before="0" w:after="283"/>
              <w:jc w:val="left"/>
              <w:rPr/>
            </w:pPr>
            <w:r>
              <w:rPr/>
              <w:t> </w:t>
            </w:r>
          </w:p>
        </w:tc>
      </w:tr>
      <w:tr>
        <w:trPr/>
        <w:tc>
          <w:tcPr>
            <w:tcW w:w="54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15,957</w:t>
            </w:r>
          </w:p>
        </w:tc>
        <w:tc>
          <w:tcPr>
            <w:tcW w:w="591" w:type="dxa"/>
            <w:tcBorders/>
            <w:shd w:fill="CFF0FC" w:val="cle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Impairment of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Loss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(19,787</w:t>
            </w:r>
          </w:p>
        </w:tc>
        <w:tc>
          <w:tcPr>
            <w:tcW w:w="5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0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income (expenses)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5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dividend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w:t>
            </w:r>
          </w:p>
        </w:tc>
        <w:tc>
          <w:tcPr>
            <w:tcW w:w="591" w:type="dxa"/>
            <w:tcBorders/>
            <w:shd w:fill="CFF0FC" w:val="cle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(expenses)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591" w:type="dxa"/>
            <w:tcBorders/>
            <w:shd w:fill="FFFFFF" w:val="clear"/>
            <w:vAlign w:val="center"/>
          </w:tcPr>
          <w:p>
            <w:pPr>
              <w:pStyle w:val="TableContents"/>
              <w:bidi w:val="0"/>
              <w:spacing w:before="0" w:after="283"/>
              <w:jc w:val="left"/>
              <w:rPr/>
            </w:pPr>
            <w:r>
              <w:rPr/>
              <w:t> </w:t>
            </w:r>
          </w:p>
        </w:tc>
      </w:tr>
      <w:tr>
        <w:trPr/>
        <w:tc>
          <w:tcPr>
            <w:tcW w:w="54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unconsolidated joint venture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Loss before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(18,207</w:t>
            </w:r>
          </w:p>
        </w:tc>
        <w:tc>
          <w:tcPr>
            <w:tcW w:w="5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0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(18,343</w:t>
            </w:r>
          </w:p>
        </w:tc>
        <w:tc>
          <w:tcPr>
            <w:tcW w:w="5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 of Class A and Class B common stock</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Weighted-average number of shares outstanding used to compute </w:t>
              <w:br/>
              <w:t>   net loss per share, basic and diluted, of Class A and Class B common stock</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48,577,980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47,699,561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5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(18,343</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Comprehensive loss: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54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other comprehensive (loss) income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Comprehensive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(18,208</w:t>
            </w:r>
          </w:p>
        </w:tc>
        <w:tc>
          <w:tcPr>
            <w:tcW w:w="5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XOMETRY, INC. AND SUBSIDIARIES</w:t>
      </w:r>
    </w:p>
    <w:p>
      <w:pPr>
        <w:pStyle w:val="TextBody"/>
        <w:bidi w:val="0"/>
        <w:jc w:val="center"/>
        <w:rPr>
          <w:rFonts w:ascii="Times New Roman" w:hAnsi="Times New Roman"/>
          <w:color w:val="000000"/>
          <w:sz w:val="20"/>
        </w:rPr>
      </w:pPr>
      <w:bookmarkStart w:id="9" w:name="equity_statement_new"/>
      <w:bookmarkEnd w:id="9"/>
      <w:r>
        <w:rPr>
          <w:rFonts w:ascii="Times New Roman" w:hAnsi="Times New Roman"/>
          <w:color w:val="000000"/>
          <w:sz w:val="20"/>
        </w:rPr>
        <w:t xml:space="preserve">Condensed Consolidated Statements of Changes in Stockholders’ Equity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Three months ended March 31, 2024 and 2023</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tbl>
      <w:tblPr>
        <w:tblW w:w="11812" w:type="dxa"/>
        <w:jc w:val="left"/>
        <w:tblInd w:w="0" w:type="dxa"/>
        <w:tblLayout w:type="fixed"/>
        <w:tblCellMar>
          <w:top w:w="28" w:type="dxa"/>
          <w:left w:w="28" w:type="dxa"/>
          <w:bottom w:w="28" w:type="dxa"/>
          <w:right w:w="28" w:type="dxa"/>
        </w:tblCellMar>
      </w:tblPr>
      <w:tblGrid>
        <w:gridCol w:w="1201"/>
        <w:gridCol w:w="146"/>
        <w:gridCol w:w="916"/>
        <w:gridCol w:w="146"/>
        <w:gridCol w:w="206"/>
        <w:gridCol w:w="365"/>
        <w:gridCol w:w="146"/>
        <w:gridCol w:w="146"/>
        <w:gridCol w:w="826"/>
        <w:gridCol w:w="146"/>
        <w:gridCol w:w="206"/>
        <w:gridCol w:w="365"/>
        <w:gridCol w:w="146"/>
        <w:gridCol w:w="196"/>
        <w:gridCol w:w="691"/>
        <w:gridCol w:w="146"/>
        <w:gridCol w:w="316"/>
        <w:gridCol w:w="705"/>
        <w:gridCol w:w="166"/>
        <w:gridCol w:w="196"/>
        <w:gridCol w:w="751"/>
        <w:gridCol w:w="166"/>
        <w:gridCol w:w="196"/>
        <w:gridCol w:w="691"/>
        <w:gridCol w:w="166"/>
        <w:gridCol w:w="283"/>
        <w:gridCol w:w="738"/>
        <w:gridCol w:w="146"/>
        <w:gridCol w:w="196"/>
        <w:gridCol w:w="691"/>
        <w:gridCol w:w="4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center"/>
              <w:rPr/>
            </w:pPr>
            <w:r>
              <w:rPr/>
              <w:t> </w:t>
            </w:r>
          </w:p>
        </w:tc>
        <w:tc>
          <w:tcPr>
            <w:tcW w:w="1779"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89"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779" w:type="dxa"/>
            <w:gridSpan w:val="5"/>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 Common Stock</w:t>
            </w:r>
          </w:p>
        </w:tc>
        <w:tc>
          <w:tcPr>
            <w:tcW w:w="146" w:type="dxa"/>
            <w:tcBorders/>
            <w:shd w:fill="FFFFFF" w:val="clear"/>
            <w:vAlign w:val="center"/>
          </w:tcPr>
          <w:p>
            <w:pPr>
              <w:pStyle w:val="TableContents"/>
              <w:bidi w:val="0"/>
              <w:spacing w:before="0" w:after="283"/>
              <w:jc w:val="center"/>
              <w:rPr/>
            </w:pPr>
            <w:r>
              <w:rPr/>
              <w:t> </w:t>
            </w:r>
          </w:p>
        </w:tc>
        <w:tc>
          <w:tcPr>
            <w:tcW w:w="1689" w:type="dxa"/>
            <w:gridSpan w:val="5"/>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 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45,489,379</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648,317</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(319,872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329,300</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330,419</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120,481</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359,911</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Shared issued in business combination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21,083</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20,133</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6,036</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6,036</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6,036</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1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bookmarkStart w:id="10" w:name="equity_statement"/>
            <w:bookmarkEnd w:id="10"/>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46,010,987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44,822,264</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623,081</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(249,366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373,743</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374,833</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82,909</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169,446</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Shared issued in business combination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20,133</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4,694</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4,694</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4,694</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1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 (income)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45,098,314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628,808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362,352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1" w:name="fin120843_4"/>
      <w:bookmarkEnd w:id="11"/>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2" w:name="fin120843_5"/>
      <w:bookmarkEnd w:id="12"/>
      <w:r>
        <w:rPr>
          <w:rFonts w:ascii="Times New Roman" w:hAnsi="Times New Roman"/>
          <w:color w:val="000000"/>
          <w:sz w:val="20"/>
        </w:rPr>
        <w:t xml:space="preserve">Condensed Consolidated Statements of </w:t>
      </w:r>
      <w:bookmarkStart w:id="13" w:name="cash_flows"/>
      <w:bookmarkEnd w:id="13"/>
      <w:r>
        <w:rPr>
          <w:rFonts w:ascii="Times New Roman" w:hAnsi="Times New Roman"/>
          <w:color w:val="000000"/>
          <w:sz w:val="20"/>
        </w:rPr>
        <w:t xml:space="preserve">Cash Flows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left"/>
        <w:rPr/>
      </w:pPr>
      <w:r>
        <w:rPr/>
        <w:t> </w:t>
      </w:r>
    </w:p>
    <w:tbl>
      <w:tblPr>
        <w:tblW w:w="8275" w:type="dxa"/>
        <w:jc w:val="left"/>
        <w:tblInd w:w="0" w:type="dxa"/>
        <w:tblLayout w:type="fixed"/>
        <w:tblCellMar>
          <w:top w:w="28" w:type="dxa"/>
          <w:left w:w="28" w:type="dxa"/>
          <w:bottom w:w="28" w:type="dxa"/>
          <w:right w:w="28" w:type="dxa"/>
        </w:tblCellMar>
      </w:tblPr>
      <w:tblGrid>
        <w:gridCol w:w="4731"/>
        <w:gridCol w:w="546"/>
        <w:gridCol w:w="221"/>
        <w:gridCol w:w="699"/>
        <w:gridCol w:w="184"/>
        <w:gridCol w:w="178"/>
        <w:gridCol w:w="221"/>
        <w:gridCol w:w="699"/>
        <w:gridCol w:w="796"/>
      </w:tblGrid>
      <w:tr>
        <w:trPr/>
        <w:tc>
          <w:tcPr>
            <w:tcW w:w="47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731"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March 31,</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1"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operating activities:</w:t>
            </w:r>
          </w:p>
        </w:tc>
        <w:tc>
          <w:tcPr>
            <w:tcW w:w="546"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Net loss</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(16,604</w:t>
            </w:r>
          </w:p>
        </w:tc>
        <w:tc>
          <w:tcPr>
            <w:tcW w:w="18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(18,343</w:t>
            </w:r>
          </w:p>
        </w:tc>
        <w:tc>
          <w:tcPr>
            <w:tcW w:w="7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Adjustments to reconcile net loss to net cash used in operating activities:</w:t>
            </w:r>
          </w:p>
        </w:tc>
        <w:tc>
          <w:tcPr>
            <w:tcW w:w="546"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ind w:left="0" w:right="0" w:firstLine="400"/>
              <w:jc w:val="righ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Depreciation and amortization</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3,153</w:t>
            </w:r>
          </w:p>
        </w:tc>
        <w:tc>
          <w:tcPr>
            <w:tcW w:w="184"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2,566</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Impairment of assets</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Reduction in carrying amount of right-of-use asset</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1,096</w:t>
            </w:r>
          </w:p>
        </w:tc>
        <w:tc>
          <w:tcPr>
            <w:tcW w:w="184"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1,935</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Stock based compensation</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6,036</w:t>
            </w:r>
          </w:p>
        </w:tc>
        <w:tc>
          <w:tcPr>
            <w:tcW w:w="184"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4,694</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Revaluation of contingent consideration</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w:t>
            </w:r>
          </w:p>
        </w:tc>
        <w:tc>
          <w:tcPr>
            <w:tcW w:w="184"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color w:val="000000"/>
              </w:rPr>
            </w:pPr>
            <w:r>
              <w:rPr>
                <w:color w:val="000000"/>
              </w:rPr>
              <w:t>—</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Income from unconsolidated joint venture</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w:t>
            </w:r>
          </w:p>
        </w:tc>
        <w:tc>
          <w:tcPr>
            <w:tcW w:w="18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796" w:type="dxa"/>
            <w:tcBorders/>
            <w:shd w:fill="CFF0FC"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Donation of common stock</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w:t>
            </w:r>
          </w:p>
        </w:tc>
        <w:tc>
          <w:tcPr>
            <w:tcW w:w="184"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Loss on sale of property and equipment</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Amortization of deferred costs on convertible notes</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w:t>
            </w:r>
          </w:p>
        </w:tc>
        <w:tc>
          <w:tcPr>
            <w:tcW w:w="184"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466</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Deferred taxes benefit</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796" w:type="dxa"/>
            <w:tcBorders/>
            <w:shd w:fill="CFF0FC"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Changes in other assets and liabilities:</w:t>
            </w:r>
          </w:p>
        </w:tc>
        <w:tc>
          <w:tcPr>
            <w:tcW w:w="546"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right"/>
              <w:rPr/>
            </w:pPr>
            <w:r>
              <w:rPr/>
              <w:t> </w:t>
            </w:r>
          </w:p>
        </w:tc>
        <w:tc>
          <w:tcPr>
            <w:tcW w:w="920" w:type="dxa"/>
            <w:gridSpan w:val="2"/>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ind w:left="0" w:right="0" w:firstLine="600"/>
              <w:jc w:val="right"/>
              <w:rPr/>
            </w:pPr>
            <w:r>
              <w:rPr/>
              <w:t> </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Accounts receivable, net</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w:t>
            </w:r>
          </w:p>
        </w:tc>
        <w:tc>
          <w:tcPr>
            <w:tcW w:w="184"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(2,804</w:t>
            </w:r>
          </w:p>
        </w:tc>
        <w:tc>
          <w:tcPr>
            <w:tcW w:w="7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Inventory</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18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w:t>
            </w:r>
          </w:p>
        </w:tc>
        <w:tc>
          <w:tcPr>
            <w:tcW w:w="796" w:type="dxa"/>
            <w:tcBorders/>
            <w:shd w:fill="FFFFFF" w:val="clear"/>
            <w:vAlign w:val="center"/>
          </w:tcPr>
          <w:p>
            <w:pPr>
              <w:pStyle w:val="TableContents"/>
              <w:bidi w:val="0"/>
              <w:spacing w:before="0" w:after="283"/>
              <w:ind w:left="0" w:right="0" w:firstLine="600"/>
              <w:jc w:val="left"/>
              <w:rPr/>
            </w:pPr>
            <w:r>
              <w:rPr/>
              <w:t> </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Prepaid expenses</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(433</w:t>
            </w:r>
          </w:p>
        </w:tc>
        <w:tc>
          <w:tcPr>
            <w:tcW w:w="18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w:t>
            </w:r>
          </w:p>
        </w:tc>
        <w:tc>
          <w:tcPr>
            <w:tcW w:w="796" w:type="dxa"/>
            <w:tcBorders/>
            <w:shd w:fill="CFF0FC" w:val="clear"/>
            <w:vAlign w:val="center"/>
          </w:tcPr>
          <w:p>
            <w:pPr>
              <w:pStyle w:val="TableContents"/>
              <w:bidi w:val="0"/>
              <w:spacing w:before="0" w:after="283"/>
              <w:ind w:left="0" w:right="0" w:firstLine="600"/>
              <w:jc w:val="left"/>
              <w:rPr/>
            </w:pPr>
            <w:r>
              <w:rPr/>
              <w:t> </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Other assets</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w:t>
            </w:r>
          </w:p>
        </w:tc>
        <w:tc>
          <w:tcPr>
            <w:tcW w:w="18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(3,687</w:t>
            </w:r>
          </w:p>
        </w:tc>
        <w:tc>
          <w:tcPr>
            <w:tcW w:w="7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Accounts payable</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(10,649</w:t>
            </w:r>
          </w:p>
        </w:tc>
        <w:tc>
          <w:tcPr>
            <w:tcW w:w="18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(503</w:t>
            </w:r>
          </w:p>
        </w:tc>
        <w:tc>
          <w:tcPr>
            <w:tcW w:w="7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Accrued expenses</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4,440</w:t>
            </w:r>
          </w:p>
        </w:tc>
        <w:tc>
          <w:tcPr>
            <w:tcW w:w="184"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(2,119</w:t>
            </w:r>
          </w:p>
        </w:tc>
        <w:tc>
          <w:tcPr>
            <w:tcW w:w="7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Contract liabilities</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2,277</w:t>
            </w:r>
          </w:p>
        </w:tc>
        <w:tc>
          <w:tcPr>
            <w:tcW w:w="184"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1,436</w:t>
            </w:r>
          </w:p>
        </w:tc>
        <w:tc>
          <w:tcPr>
            <w:tcW w:w="796" w:type="dxa"/>
            <w:tcBorders/>
            <w:shd w:fill="CFF0FC" w:val="clear"/>
            <w:vAlign w:val="center"/>
          </w:tcPr>
          <w:p>
            <w:pPr>
              <w:pStyle w:val="TableContents"/>
              <w:bidi w:val="0"/>
              <w:spacing w:before="0" w:after="283"/>
              <w:ind w:left="0" w:right="0" w:firstLine="600"/>
              <w:jc w:val="left"/>
              <w:rPr/>
            </w:pPr>
            <w:r>
              <w:rPr/>
              <w:t> </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Lease liabilities</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(1,671</w:t>
            </w:r>
          </w:p>
        </w:tc>
        <w:tc>
          <w:tcPr>
            <w:tcW w:w="18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w:t>
            </w:r>
          </w:p>
        </w:tc>
        <w:tc>
          <w:tcPr>
            <w:tcW w:w="7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Income taxes payable</w:t>
            </w:r>
          </w:p>
        </w:tc>
        <w:tc>
          <w:tcPr>
            <w:tcW w:w="5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Net cash used in operating activities</w:t>
            </w:r>
          </w:p>
        </w:tc>
        <w:tc>
          <w:tcPr>
            <w:tcW w:w="5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(11,734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(16,455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investing activities:</w:t>
            </w:r>
          </w:p>
        </w:tc>
        <w:tc>
          <w:tcPr>
            <w:tcW w:w="546"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ind w:left="0" w:right="0" w:firstLine="200"/>
              <w:jc w:val="right"/>
              <w:rPr/>
            </w:pPr>
            <w:r>
              <w:rPr/>
              <w:t> </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Purchases of marketable securities</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(2,726</w:t>
            </w:r>
          </w:p>
        </w:tc>
        <w:tc>
          <w:tcPr>
            <w:tcW w:w="18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(2,688</w:t>
            </w:r>
          </w:p>
        </w:tc>
        <w:tc>
          <w:tcPr>
            <w:tcW w:w="7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Proceeds from sale of marketable securities</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w:t>
            </w:r>
          </w:p>
        </w:tc>
        <w:tc>
          <w:tcPr>
            <w:tcW w:w="184"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color w:val="000000"/>
              </w:rPr>
            </w:pPr>
            <w:r>
              <w:rPr>
                <w:color w:val="000000"/>
              </w:rPr>
              <w:t>—</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Purchases of property and equipment</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(4,347</w:t>
            </w:r>
          </w:p>
        </w:tc>
        <w:tc>
          <w:tcPr>
            <w:tcW w:w="18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(4,186</w:t>
            </w:r>
          </w:p>
        </w:tc>
        <w:tc>
          <w:tcPr>
            <w:tcW w:w="7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Proceeds from sale of property and equipment</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 paid for business combination, net of cash acquired</w:t>
            </w:r>
          </w:p>
        </w:tc>
        <w:tc>
          <w:tcPr>
            <w:tcW w:w="5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(3,349</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Net cash provided by (used in) investing activities</w:t>
            </w:r>
          </w:p>
        </w:tc>
        <w:tc>
          <w:tcPr>
            <w:tcW w:w="5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2,927</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financing activities:</w:t>
            </w:r>
          </w:p>
        </w:tc>
        <w:tc>
          <w:tcPr>
            <w:tcW w:w="546"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ind w:left="0" w:right="0" w:firstLine="200"/>
              <w:jc w:val="righ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Proceeds from stock options exercised</w:t>
            </w:r>
          </w:p>
        </w:tc>
        <w:tc>
          <w:tcPr>
            <w:tcW w:w="5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Net cash provided by financing activities</w:t>
            </w:r>
          </w:p>
        </w:tc>
        <w:tc>
          <w:tcPr>
            <w:tcW w:w="5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Effect of foreign currency translation on cash and cash equivalents</w:t>
            </w:r>
          </w:p>
        </w:tc>
        <w:tc>
          <w:tcPr>
            <w:tcW w:w="5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CFF0FC" w:val="cle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Net decrease in cash and cash equivalents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(7,723</w:t>
            </w:r>
          </w:p>
        </w:tc>
        <w:tc>
          <w:tcPr>
            <w:tcW w:w="18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8"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(25,957</w:t>
            </w:r>
          </w:p>
        </w:tc>
        <w:tc>
          <w:tcPr>
            <w:tcW w:w="7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 at beginning of the period</w:t>
            </w:r>
          </w:p>
        </w:tc>
        <w:tc>
          <w:tcPr>
            <w:tcW w:w="5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53,424</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65,662</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 at end of the period</w:t>
            </w:r>
          </w:p>
        </w:tc>
        <w:tc>
          <w:tcPr>
            <w:tcW w:w="5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45,701</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39,705</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cash flow information:</w:t>
            </w:r>
          </w:p>
        </w:tc>
        <w:tc>
          <w:tcPr>
            <w:tcW w:w="546"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r>
      <w:tr>
        <w:trPr/>
        <w:tc>
          <w:tcPr>
            <w:tcW w:w="473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paid for interest</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1,438</w:t>
            </w:r>
          </w:p>
        </w:tc>
        <w:tc>
          <w:tcPr>
            <w:tcW w:w="184"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1,438</w:t>
            </w:r>
          </w:p>
        </w:tc>
        <w:tc>
          <w:tcPr>
            <w:tcW w:w="796" w:type="dxa"/>
            <w:tcBorders/>
            <w:shd w:fill="FFFFFF" w:val="clear"/>
            <w:vAlign w:val="center"/>
          </w:tcPr>
          <w:p>
            <w:pPr>
              <w:pStyle w:val="TableContents"/>
              <w:bidi w:val="0"/>
              <w:spacing w:before="0" w:after="283"/>
              <w:jc w:val="left"/>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Non-cash investing and financing activities:</w:t>
            </w:r>
          </w:p>
        </w:tc>
        <w:tc>
          <w:tcPr>
            <w:tcW w:w="546"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r>
      <w:tr>
        <w:trPr/>
        <w:tc>
          <w:tcPr>
            <w:tcW w:w="473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Non-cash purchase of property and equipment</w:t>
            </w:r>
          </w:p>
        </w:tc>
        <w:tc>
          <w:tcPr>
            <w:tcW w:w="5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color w:val="000000"/>
              </w:rPr>
            </w:pPr>
            <w:r>
              <w:rPr>
                <w:color w:val="000000"/>
              </w:rPr>
              <w:t>—</w:t>
            </w:r>
          </w:p>
        </w:tc>
        <w:tc>
          <w:tcPr>
            <w:tcW w:w="184"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w:t>
            </w:r>
          </w:p>
        </w:tc>
        <w:tc>
          <w:tcPr>
            <w:tcW w:w="796" w:type="dxa"/>
            <w:tcBorders/>
            <w:shd w:fill="FFFFFF" w:val="clear"/>
            <w:vAlign w:val="center"/>
          </w:tcPr>
          <w:p>
            <w:pPr>
              <w:pStyle w:val="TableContents"/>
              <w:bidi w:val="0"/>
              <w:spacing w:before="0" w:after="283"/>
              <w:jc w:val="left"/>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Non-cash consideration in connection with business combination</w:t>
            </w:r>
          </w:p>
        </w:tc>
        <w:tc>
          <w:tcPr>
            <w:tcW w:w="5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1,593</w:t>
            </w:r>
          </w:p>
        </w:tc>
        <w:tc>
          <w:tcPr>
            <w:tcW w:w="796"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4" w:name="notes_to_financial_statements"/>
      <w:bookmarkEnd w:id="14"/>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15" w:name="fin120843_6"/>
      <w:bookmarkEnd w:id="15"/>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12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Organization and Description of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Xometry, Inc. (“Xometry”, the “Company”, “we”, or “our”) was incorporated in the State of Delaware in May 2013. Xometry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 Xometry's corporate headquarters is located in North Bethesda, Maryland. </w:t>
      </w:r>
    </w:p>
    <w:p>
      <w:pPr>
        <w:pStyle w:val="TextBody"/>
        <w:bidi w:val="0"/>
        <w:jc w:val="left"/>
        <w:rPr>
          <w:rFonts w:ascii="Times New Roman" w:hAnsi="Times New Roman"/>
          <w:color w:val="000000"/>
          <w:sz w:val="20"/>
        </w:rPr>
      </w:pPr>
      <w:r>
        <w:rPr>
          <w:rFonts w:ascii="Times New Roman" w:hAnsi="Times New Roman"/>
          <w:color w:val="000000"/>
          <w:sz w:val="20"/>
        </w:rPr>
        <w:t xml:space="preserve">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t>
      </w:r>
    </w:p>
    <w:p>
      <w:pPr>
        <w:pStyle w:val="TextBody"/>
        <w:bidi w:val="0"/>
        <w:jc w:val="left"/>
        <w:rPr>
          <w:rFonts w:ascii="Times New Roman" w:hAnsi="Times New Roman"/>
          <w:color w:val="000000"/>
          <w:sz w:val="20"/>
        </w:rPr>
      </w:pPr>
      <w:r>
        <w:rPr>
          <w:rFonts w:ascii="Times New Roman" w:hAnsi="Times New Roman"/>
          <w:color w:val="000000"/>
          <w:sz w:val="20"/>
        </w:rPr>
        <w:t xml:space="preserve">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 services and data solutions. In addition, our suite of supplier services includes financial service products to stabilize and enhance cash flow and a cloud-based manufacturing execution system to help suppliers optimize their productivity.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Basis of Presentation and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29,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balance sheet as of December 31, 2023,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2023 or any future period. The Company has two reporting segments which are referred to as: (1) the United States (“U.S.”) and (2) International.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i/>
          <w:color w:val="000000"/>
          <w:sz w:val="20"/>
        </w:rPr>
        <w:t>Foreign Operations and 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as a separate component of equity.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66.67% ownership in Incom Co., LTD. As we have a controlling interest in Incom Co., LTD, we have consolidated Incom Co., LTD into our unaudited condensed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(loss) income attributable to the noncontrolling interests in net loss in our Condensed Consolidated Statements of Operations and Comprehensive Loss.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Use of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Combinations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w:t>
      </w:r>
    </w:p>
    <w:p>
      <w:pPr>
        <w:pStyle w:val="TextBody"/>
        <w:bidi w:val="0"/>
        <w:spacing w:before="120" w:after="283"/>
        <w:jc w:val="left"/>
        <w:rPr>
          <w:rFonts w:ascii="Times New Roman" w:hAnsi="Times New Roman"/>
          <w:sz w:val="20"/>
        </w:rPr>
      </w:pPr>
      <w:r>
        <w:rPr>
          <w:rFonts w:ascii="Times New Roman" w:hAnsi="Times New Roman"/>
          <w:b/>
          <w:i/>
          <w:color w:val="000000"/>
          <w:sz w:val="20"/>
        </w:rPr>
        <w:t>Fair Value Measurements and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Observable inputs that reflect quoted prices (unadjusted) for identical assets or liabilities in active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reflecting the Company’s own assumptions incorporated in valuation techniques used to determine fair value. These assumptions are required to be consistent with market participant assumptions that are reasonably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consist of cash held in checking accounts. These investments are stated at cost, which approximates fair value.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Marketable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its marketable securities at fair value. The Company's marketable securities represent our investments in a short term money market fund. These marketable securities have maturities of three months or less. As of March 31, 2024 and December 31, 2023, the Company's marketable securities of $208.1 million and $215.4 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w:t>
      </w:r>
    </w:p>
    <w:p>
      <w:pPr>
        <w:pStyle w:val="TextBody"/>
        <w:bidi w:val="0"/>
        <w:spacing w:before="120" w:after="283"/>
        <w:jc w:val="left"/>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are stated at the amount the Company expects to collect from outstanding balances. The Company's accounts receivable do not bear interest. Amounts collected on accounts receivable are included in net cash used in operating activities in the Condensed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credit losses related to accounts receivable and changes were as follows (in thousands):</w:t>
      </w:r>
    </w:p>
    <w:p>
      <w:pPr>
        <w:pStyle w:val="TextBody"/>
        <w:bidi w:val="0"/>
        <w:spacing w:before="120" w:after="283"/>
        <w:jc w:val="left"/>
        <w:rPr/>
      </w:pPr>
      <w:r>
        <w:rPr/>
        <w:t> </w:t>
      </w:r>
    </w:p>
    <w:tbl>
      <w:tblPr>
        <w:tblW w:w="7589" w:type="dxa"/>
        <w:jc w:val="left"/>
        <w:tblInd w:w="0" w:type="dxa"/>
        <w:tblLayout w:type="fixed"/>
        <w:tblCellMar>
          <w:top w:w="28" w:type="dxa"/>
          <w:left w:w="28" w:type="dxa"/>
          <w:bottom w:w="28" w:type="dxa"/>
          <w:right w:w="28" w:type="dxa"/>
        </w:tblCellMar>
      </w:tblPr>
      <w:tblGrid>
        <w:gridCol w:w="5296"/>
        <w:gridCol w:w="146"/>
        <w:gridCol w:w="211"/>
        <w:gridCol w:w="571"/>
        <w:gridCol w:w="166"/>
        <w:gridCol w:w="146"/>
        <w:gridCol w:w="211"/>
        <w:gridCol w:w="631"/>
        <w:gridCol w:w="21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5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 January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21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to provision accounts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211" w:type="dxa"/>
            <w:tcBorders/>
            <w:shd w:fill="CFF0FC" w:val="cle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or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period end, March 31 and December 31,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and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Depreciation is calculated on the straight-line method over the estimated useful life of the assets, which range from two to nine years, or in the case of leasehold improvements, over the shorter of the remaining lease term or the useful life of the asset.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$4.0 million for the three months ended March 31, 2024 and $19.7 million for the year ended December 31, 2023.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w:t>
      </w:r>
    </w:p>
    <w:p>
      <w:pPr>
        <w:pStyle w:val="TextBody"/>
        <w:bidi w:val="0"/>
        <w:spacing w:before="120" w:after="283"/>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Goodwill represents the excess purchase price over the estimated fair value of net assets acquired in a business combination. As of March 31, 2024 and December 31, 2023,</w:t>
      </w:r>
      <w:r>
        <w:rPr>
          <w:rFonts w:ascii="Times New Roman" w:hAnsi="Times New Roman"/>
          <w:color w:val="CC0000"/>
          <w:sz w:val="20"/>
        </w:rPr>
        <w:t xml:space="preserve"> </w:t>
      </w:r>
      <w:r>
        <w:rPr>
          <w:rFonts w:ascii="Times New Roman" w:hAnsi="Times New Roman"/>
          <w:color w:val="000000"/>
          <w:sz w:val="20"/>
        </w:rPr>
        <w:t xml:space="preserve">the Company's goodwill is attributable to both the U.S. and International reporting units. Goodwill is not amortized. The Company tests goodwill for impairment annually in the fourth quarter, or more frequently, if events or changes in circumstances indicate that the carrying value of a reporting unit, including goodwill, might be impaired.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Revenue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derives the majority of its marketplace revenue in the U.S. and Europe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 w:hAnsi="Times New Roman"/>
          <w:i/>
          <w:color w:val="000000"/>
          <w:sz w:val="20"/>
        </w:rPr>
        <w:t>Topic 606, Revenue from Contracts with Customers</w:t>
      </w:r>
      <w:r>
        <w:rPr>
          <w:rFonts w:ascii="Times New Roman" w:hAnsi="Times New Roman"/>
          <w:color w:val="000000"/>
          <w:sz w:val="20"/>
        </w:rPr>
        <w:t xml:space="preserve"> (“ASC 606”).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 </w:t>
      </w:r>
    </w:p>
    <w:p>
      <w:pPr>
        <w:pStyle w:val="TextBody"/>
        <w:bidi w:val="0"/>
        <w:jc w:val="left"/>
        <w:rPr>
          <w:rFonts w:ascii="Times New Roman" w:hAnsi="Times New Roman"/>
          <w:color w:val="000000"/>
          <w:sz w:val="20"/>
        </w:rPr>
      </w:pPr>
      <w:r>
        <w:rPr>
          <w:rFonts w:ascii="Times New Roman" w:hAnsi="Times New Roman"/>
          <w:color w:val="000000"/>
          <w:sz w:val="20"/>
        </w:rPr>
        <w:t xml:space="preserve">Xometry also derives revenue from its supplier services which is a suite of services offered to our suppliers. Revenue also includes the sale of marketing services which includes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shown net of estimated returns, refunds, and allowances. At March 31, 2024 and December 31, 2023, the Company has a provision for estimated returns, refunds or allowances of $0.04 million and $0.1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tax and, if applicable, duties and/or tariffs collected from customers and remitted to governmental authorities is excluded from revenue.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i/>
          <w:color w:val="000000"/>
          <w:sz w:val="20"/>
        </w:rPr>
        <w:t>Contract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contract liabilities as of December 31, 2023 and March 31, 2024 (in thousands): </w:t>
      </w:r>
    </w:p>
    <w:p>
      <w:pPr>
        <w:pStyle w:val="TextBody"/>
        <w:bidi w:val="0"/>
        <w:spacing w:before="120" w:after="283"/>
        <w:jc w:val="left"/>
        <w:rPr/>
      </w:pPr>
      <w:r>
        <w:rPr/>
        <w:t> </w:t>
      </w:r>
    </w:p>
    <w:tbl>
      <w:tblPr>
        <w:tblW w:w="4770" w:type="dxa"/>
        <w:jc w:val="left"/>
        <w:tblInd w:w="0" w:type="dxa"/>
        <w:tblLayout w:type="fixed"/>
        <w:tblCellMar>
          <w:top w:w="28" w:type="dxa"/>
          <w:left w:w="28" w:type="dxa"/>
          <w:bottom w:w="28" w:type="dxa"/>
          <w:right w:w="28" w:type="dxa"/>
        </w:tblCellMar>
      </w:tblPr>
      <w:tblGrid>
        <w:gridCol w:w="3466"/>
        <w:gridCol w:w="146"/>
        <w:gridCol w:w="211"/>
        <w:gridCol w:w="73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Rollforward of contract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w:t>
            </w:r>
          </w:p>
        </w:tc>
        <w:tc>
          <w:tcPr>
            <w:tcW w:w="21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 in advance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March 31,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the Company recognized approximately $5.6 million of revenue related to its contract liabilities as of December 31, 2023. </w:t>
      </w:r>
    </w:p>
    <w:p>
      <w:pPr>
        <w:pStyle w:val="TextBody"/>
        <w:bidi w:val="0"/>
        <w:spacing w:before="120" w:after="283"/>
        <w:jc w:val="left"/>
        <w:rPr>
          <w:rFonts w:ascii="Times New Roman" w:hAnsi="Times New Roman"/>
          <w:sz w:val="20"/>
        </w:rPr>
      </w:pPr>
      <w:r>
        <w:rPr>
          <w:rFonts w:ascii="Times New Roman" w:hAnsi="Times New Roman"/>
          <w:i/>
          <w:color w:val="000000"/>
          <w:sz w:val="20"/>
        </w:rPr>
        <w:t>Sales Contract Acquisition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incremental costs to obtain a contract may include a sales commission which is generally determined on a per order basis. For marketplace contracts, the Company recognizes costs over a period of one year or less. For supplier service contracts in excess of one year, the Company amortizes such costs on a straight-line basis over the average customer life of two years for new customers and over the renewal period for existing customers which is generally one year. Sales commissions are included in the Company's sales and marketing expenses in the Condensed Consolidated Statements of Operations and Comprehensive Loss. For the three months ended March 31, 2024 and 2023, the Company recognized approximately $2.6 million and $2.0 million, respectively of amortization related to deferred sales commissions. As of March 31, 2024 and December 31, 2023, the Company had deferred sales contract acquisition costs of $2.2 million and $3.1 million, respectively which is classified in other current assets on the Condensed Consolidated Balance Sheets.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rFonts w:ascii="Times New Roman" w:hAnsi="Times New Roman"/>
          <w:color w:val="000000"/>
          <w:sz w:val="20"/>
        </w:rPr>
      </w:pPr>
      <w:r>
        <w:rPr>
          <w:rFonts w:ascii="Times New Roman" w:hAnsi="Times New Roman"/>
          <w:color w:val="000000"/>
          <w:sz w:val="20"/>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revenue for supplier services primarily consists of internal and external production costs and website hosting.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if an arrangement contains a lease and the classification of that lease, if applicable, at its inception. Operating leases are included in operating lease right-of-use ("ROU") assets, operating lease liabilities, current portion and operating lease liabilities, net of current portion in the Condensed Consolidated Balance Sheets.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expense is recognized on a straight-line basis over the term of the lease.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Sales and Marketing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months ended March 31, 2024 and 2023, the Company's advertising cost were $8.3 million and $8.1 million, respectively.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Operations and Support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t>
      </w:r>
    </w:p>
    <w:p>
      <w:pPr>
        <w:pStyle w:val="TextBody"/>
        <w:bidi w:val="0"/>
        <w:spacing w:before="120" w:after="283"/>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costs which are not eligible for capitalization are expensed as incurred. This account also includes compensation expenses, including stock-based compensation to the Company’s employees performing these functions and certain depreciation and amortization expense.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primarily consist of compensation expenses, including stock-based compensation expenses, for executive, finance, legal and other administrative personnel, professional service fees and certain depreciation and amortization expense.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(q)</w:t>
      </w:r>
    </w:p>
    <w:p>
      <w:pPr>
        <w:pStyle w:val="TextBody"/>
        <w:bidi w:val="0"/>
        <w:spacing w:before="120" w:after="283"/>
        <w:jc w:val="left"/>
        <w:rPr>
          <w:rFonts w:ascii="Times New Roman" w:hAnsi="Times New Roman"/>
          <w:sz w:val="20"/>
        </w:rPr>
      </w:pPr>
      <w:r>
        <w:rPr>
          <w:rFonts w:ascii="Times New Roman" w:hAnsi="Times New Roman"/>
          <w:b/>
          <w:i/>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stock-based compensation, including stock options, restricted stock units and performance restricted stock units (“PRSUs”), are measured at the grant date fair value of the award. The Company estimates grant date fair value of stock options using the Black-Scholes option-pricing model. The fair value of stock options, performance restricted stock units and restricted stock units is recognized as compensation expense on a straight-line basis over the requisite service period, which is typically three to four years. The fair value of the restricted stock units and PRSUs is determined using the fair value of the Company's Class A common stock on the date of grant. Forfeitures are recorded in the period in which they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Black-Scholes model considers several variables and assumptions in estimating the fair value of stock-based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variables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annual dividend yield;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volatility over the expected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free interest 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share value of the underlying common stock;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exercise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shared proportionately in the Company’s net losses.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Recently Issued Accounting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We expect this ASU to only impact our disclosures with no impacts to our results of operations, cash flows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only impact our disclosures with no impacts to our results of operations, cash flows,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currently no other accounting standards that have been issued, but not yet adopted, that are expected to have a significant impact on the Company’s consolidated financial position, results of operations or cash flows upon adoption. </w:t>
      </w:r>
    </w:p>
    <w:p>
      <w:pPr>
        <w:pStyle w:val="TextBody"/>
        <w:bidi w:val="0"/>
        <w:spacing w:before="12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Credit Concentrations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which potentially subject the Company to concentrations of credit risk consist primarily of cash and cash equivalents, marketable securities and accounts receivable. The Company maintains its cash and cash equivalents and marketable securities which at times may exceed federally insured limits, in deposit accounts at major financial institutions. A majority of the Company’s buyers are located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2024 and 2023, no single buyer accounted for more than 10% of the Company's revenue. As of March 31, 2024, and December 31, 2023, no single buyer accounted for more than 10% of the Company’s accounts receivable. </w:t>
      </w:r>
    </w:p>
    <w:p>
      <w:pPr>
        <w:pStyle w:val="TextBody"/>
        <w:bidi w:val="0"/>
        <w:spacing w:before="12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Inventory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Inventory consists of raw materials, work-in-process and finished goods. Raw materials (plastics and metals) become manufactured products in the additive and subtractive manufacturing processes. Work-in-progress represents manufacturing costs associated with customer orders that are not yet complete. Finished goods represents product awaiting shipment. Inventory consists of the following as of March 31, 2024 and December 31, 2023 (in thousands): </w:t>
      </w:r>
    </w:p>
    <w:p>
      <w:pPr>
        <w:pStyle w:val="TextBody"/>
        <w:bidi w:val="0"/>
        <w:jc w:val="left"/>
        <w:rPr/>
      </w:pPr>
      <w:r>
        <w:rPr/>
        <w:t> </w:t>
      </w:r>
    </w:p>
    <w:tbl>
      <w:tblPr>
        <w:tblW w:w="4110" w:type="dxa"/>
        <w:jc w:val="left"/>
        <w:tblInd w:w="0" w:type="dxa"/>
        <w:tblLayout w:type="fixed"/>
        <w:tblCellMar>
          <w:top w:w="28" w:type="dxa"/>
          <w:left w:w="28" w:type="dxa"/>
          <w:bottom w:w="28" w:type="dxa"/>
          <w:right w:w="28" w:type="dxa"/>
        </w:tblCellMar>
      </w:tblPr>
      <w:tblGrid>
        <w:gridCol w:w="1531"/>
        <w:gridCol w:w="146"/>
        <w:gridCol w:w="230"/>
        <w:gridCol w:w="625"/>
        <w:gridCol w:w="146"/>
        <w:gridCol w:w="146"/>
        <w:gridCol w:w="294"/>
        <w:gridCol w:w="80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Property and Equipment and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consist of the following as of March 31, 2024 and December 31, 2023 (in thousands): </w:t>
      </w:r>
    </w:p>
    <w:p>
      <w:pPr>
        <w:pStyle w:val="TextBody"/>
        <w:bidi w:val="0"/>
        <w:spacing w:before="120" w:after="283"/>
        <w:jc w:val="left"/>
        <w:rPr/>
      </w:pPr>
      <w:r>
        <w:rPr/>
        <w:t> </w:t>
      </w:r>
    </w:p>
    <w:tbl>
      <w:tblPr>
        <w:tblW w:w="7194" w:type="dxa"/>
        <w:jc w:val="left"/>
        <w:tblInd w:w="0" w:type="dxa"/>
        <w:tblLayout w:type="fixed"/>
        <w:tblCellMar>
          <w:top w:w="28" w:type="dxa"/>
          <w:left w:w="28" w:type="dxa"/>
          <w:bottom w:w="28" w:type="dxa"/>
          <w:right w:w="28" w:type="dxa"/>
        </w:tblCellMar>
      </w:tblPr>
      <w:tblGrid>
        <w:gridCol w:w="2896"/>
        <w:gridCol w:w="146"/>
        <w:gridCol w:w="1441"/>
        <w:gridCol w:w="146"/>
        <w:gridCol w:w="211"/>
        <w:gridCol w:w="736"/>
        <w:gridCol w:w="166"/>
        <w:gridCol w:w="146"/>
        <w:gridCol w:w="244"/>
        <w:gridCol w:w="85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hardware</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2 - 9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44,004</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Shorter of useful</w:t>
              <w:br/>
              <w:t>life or lease term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right"/>
              <w:rPr/>
            </w:pPr>
            <w:r>
              <w:rPr/>
              <w:t> </w:t>
            </w:r>
          </w:p>
        </w:tc>
        <w:tc>
          <w:tcPr>
            <w:tcW w:w="1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56,836</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and amortization expense for the three months ended March 31, 2024 and 2023 was as follows (in thousands): </w:t>
      </w:r>
    </w:p>
    <w:p>
      <w:pPr>
        <w:pStyle w:val="TextBody"/>
        <w:bidi w:val="0"/>
        <w:jc w:val="left"/>
        <w:rPr/>
      </w:pPr>
      <w:r>
        <w:rPr/>
        <w:t> </w:t>
      </w:r>
    </w:p>
    <w:tbl>
      <w:tblPr>
        <w:tblW w:w="4913" w:type="dxa"/>
        <w:jc w:val="left"/>
        <w:tblInd w:w="0" w:type="dxa"/>
        <w:tblLayout w:type="fixed"/>
        <w:tblCellMar>
          <w:top w:w="28" w:type="dxa"/>
          <w:left w:w="28" w:type="dxa"/>
          <w:bottom w:w="28" w:type="dxa"/>
          <w:right w:w="28" w:type="dxa"/>
        </w:tblCellMar>
      </w:tblPr>
      <w:tblGrid>
        <w:gridCol w:w="2326"/>
        <w:gridCol w:w="272"/>
        <w:gridCol w:w="738"/>
        <w:gridCol w:w="188"/>
        <w:gridCol w:w="188"/>
        <w:gridCol w:w="272"/>
        <w:gridCol w:w="738"/>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88"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CFF0FC"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72"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8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272"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88"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72"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8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91" w:type="dxa"/>
            <w:tcBorders/>
            <w:shd w:fill="FFFFFF" w:val="clear"/>
            <w:vAlign w:val="center"/>
          </w:tcPr>
          <w:p>
            <w:pPr>
              <w:pStyle w:val="TableContents"/>
              <w:bidi w:val="0"/>
              <w:spacing w:before="0" w:after="283"/>
              <w:jc w:val="left"/>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depreciation expense</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lease expense for the three months ended March 31, 2024 and 2023 was as follows (in thousands): </w:t>
      </w:r>
    </w:p>
    <w:tbl>
      <w:tblPr>
        <w:tblW w:w="5269" w:type="dxa"/>
        <w:jc w:val="left"/>
        <w:tblInd w:w="0" w:type="dxa"/>
        <w:tblLayout w:type="fixed"/>
        <w:tblCellMar>
          <w:top w:w="28" w:type="dxa"/>
          <w:left w:w="28" w:type="dxa"/>
          <w:bottom w:w="28" w:type="dxa"/>
          <w:right w:w="28" w:type="dxa"/>
        </w:tblCellMar>
      </w:tblPr>
      <w:tblGrid>
        <w:gridCol w:w="2536"/>
        <w:gridCol w:w="146"/>
        <w:gridCol w:w="272"/>
        <w:gridCol w:w="738"/>
        <w:gridCol w:w="188"/>
        <w:gridCol w:w="188"/>
        <w:gridCol w:w="272"/>
        <w:gridCol w:w="738"/>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6" w:type="dxa"/>
            <w:gridSpan w:val="6"/>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88"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righ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expense</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Acquisition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Tridi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 2023, the Company acquired Tridi Teknoloj A.S. (“Tridi”) located in Istanbul, Türkiye pursuant to a Share Purchase Agreement. The acquisition of Tridi extends the Company's marketplace capabilities in Europe and provides the Company with access to the Turkish market. The Company accounted for the acquisition as a business combination. The goodwill of $4.8 million arising from the acquisition of Tridi related to expected synergies including access to the Turkish market and an established supplier network. The goodwill is included in our International reporting segment and is not deductible for tax purposes. The aggregate non-contingent portion of the purchase price was approximately $3.8 million in cash, of which approximately $0.4 million was withheld and paid during the first quarter of 2024. In addition, the purchase price included a contingent consideration arrangement to the former owner of Tridi up to a maximum amount of $1.25 million (undiscounted) in shares of the Company’s Class A common stock in two installments on the first and second anniversary of the acquisition. The contingent consideration arrangement is tied to the achievement of revenue thresholds. The initial fair value of the contingent consideration of $0.9 million was estimated by applying an income valuation approach. The measurement is based on inputs that are not observable in the market (Level 3 inputs). Key assumptions made include (a) discount rate and (b) probability weighted assumptions about achieving revenue thresholds. As of March 31, 2024 and December 31, 2023, the total contingent consideration had a fair value of $0.6 million and $1.1 million,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respectively. During the quarter ended March 31, 2024, the Company recorded an approximate $0.1 million increase to the contingent consideration liability with a corresponding expense recognized in general and administrative expense on our Condensed Consolidated Statements of Operations and Comprehensive Loss. In February 2024, the Company issued 21,083 shares of Class A common stock with a value of $0.6 million to the former owners of Tridi wih respect to the first installment.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(in thousands) summarizes the consideration paid for Tridi and the final fair value of the assets acquired and liabilities assumed on the acquisition date: </w:t>
      </w:r>
    </w:p>
    <w:tbl>
      <w:tblPr>
        <w:tblW w:w="7795" w:type="dxa"/>
        <w:jc w:val="left"/>
        <w:tblInd w:w="0" w:type="dxa"/>
        <w:tblLayout w:type="fixed"/>
        <w:tblCellMar>
          <w:top w:w="28" w:type="dxa"/>
          <w:left w:w="28" w:type="dxa"/>
          <w:bottom w:w="28" w:type="dxa"/>
          <w:right w:w="28" w:type="dxa"/>
        </w:tblCellMar>
      </w:tblPr>
      <w:tblGrid>
        <w:gridCol w:w="6256"/>
        <w:gridCol w:w="146"/>
        <w:gridCol w:w="211"/>
        <w:gridCol w:w="571"/>
        <w:gridCol w:w="61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Settlement of preexisting relationship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amounts of identifiable assets acquired and liabilities assumed:</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identifiable net assets assumed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the intangible asset acquired was determined by the Company. The Company engaged a third</w:t>
        <w:noBreakHyphen/>
        <w:t xml:space="preserve">party expert to assist with the valuation analysis. The Company used a cost method to estimate the fair value of the vendor relationship using Level 3 inputs. The useful life of the vendor relationship is 10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Tridi’s results of operations were included in the Company's consolidated financial statements from the date of acquisition, January 2, 2023. </w:t>
      </w:r>
    </w:p>
    <w:p>
      <w:pPr>
        <w:pStyle w:val="TextBody"/>
        <w:bidi w:val="0"/>
        <w:spacing w:before="120" w:after="283"/>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Disaggregated Revenue and Cost of Revenue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our revenue and cost of revenue disaggregated by line of business. Revenue from our marketplace primarily reflects the sales of parts and assemblies on our platform. Revenue from supplier services primarily includes the sale of digital advertising and marketing services, and to a lesser extent financial service products, SaaS products and tools and materials (“our tools and materials business, which we previously referred to as our supplies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and cost of revenue is presented in the following tables for the three months ended March 31, 2024 and 2023, respectively (in thousands):</w:t>
      </w:r>
    </w:p>
    <w:p>
      <w:pPr>
        <w:pStyle w:val="TextBody"/>
        <w:bidi w:val="0"/>
        <w:spacing w:before="120" w:after="283"/>
        <w:jc w:val="left"/>
        <w:rPr/>
      </w:pPr>
      <w:r>
        <w:rPr/>
        <w:t> </w:t>
      </w:r>
    </w:p>
    <w:tbl>
      <w:tblPr>
        <w:tblW w:w="4717" w:type="dxa"/>
        <w:jc w:val="left"/>
        <w:tblInd w:w="0" w:type="dxa"/>
        <w:tblLayout w:type="fixed"/>
        <w:tblCellMar>
          <w:top w:w="28" w:type="dxa"/>
          <w:left w:w="28" w:type="dxa"/>
          <w:bottom w:w="28" w:type="dxa"/>
          <w:right w:w="28" w:type="dxa"/>
        </w:tblCellMar>
      </w:tblPr>
      <w:tblGrid>
        <w:gridCol w:w="1591"/>
        <w:gridCol w:w="146"/>
        <w:gridCol w:w="271"/>
        <w:gridCol w:w="1004"/>
        <w:gridCol w:w="187"/>
        <w:gridCol w:w="187"/>
        <w:gridCol w:w="271"/>
        <w:gridCol w:w="869"/>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107,186</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86,680</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34,279</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Supplier Services</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15,504</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18,646</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13,623</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Investment in Unconsolidated Joint Venture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receives dividends from IM, LLC, which are recorded as a reduction to the Company's investment in unconsolidated joint venture on our Condensed Consolidated Balance Sheets. For the three months ended March 31, 2024 and 2023 the Company received no dividends from IM, LLC. During the three months ended March 31, 2024 and 2023, the Company did not pay material amounts to IM, LLC.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there were 6,472,739 shares available for the Company to grant under the 2021 Equity Incentive Plan.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stock option activity and the changes during the three months ended March 31, 2024, are as follows (in millions, except share and per share amounts): </w:t>
      </w:r>
    </w:p>
    <w:p>
      <w:pPr>
        <w:pStyle w:val="TextBody"/>
        <w:bidi w:val="0"/>
        <w:jc w:val="left"/>
        <w:rPr/>
      </w:pPr>
      <w:r>
        <w:rPr/>
        <w:t> </w:t>
      </w:r>
    </w:p>
    <w:tbl>
      <w:tblPr>
        <w:tblW w:w="8618" w:type="dxa"/>
        <w:jc w:val="left"/>
        <w:tblInd w:w="0" w:type="dxa"/>
        <w:tblLayout w:type="fixed"/>
        <w:tblCellMar>
          <w:top w:w="28" w:type="dxa"/>
          <w:left w:w="28" w:type="dxa"/>
          <w:bottom w:w="28" w:type="dxa"/>
          <w:right w:w="28" w:type="dxa"/>
        </w:tblCellMar>
      </w:tblPr>
      <w:tblGrid>
        <w:gridCol w:w="3121"/>
        <w:gridCol w:w="146"/>
        <w:gridCol w:w="146"/>
        <w:gridCol w:w="931"/>
        <w:gridCol w:w="166"/>
        <w:gridCol w:w="146"/>
        <w:gridCol w:w="229"/>
        <w:gridCol w:w="896"/>
        <w:gridCol w:w="146"/>
        <w:gridCol w:w="146"/>
        <w:gridCol w:w="285"/>
        <w:gridCol w:w="706"/>
        <w:gridCol w:w="146"/>
        <w:gridCol w:w="146"/>
        <w:gridCol w:w="207"/>
        <w:gridCol w:w="664"/>
        <w:gridCol w:w="3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1,859,740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2,714,370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1,974,760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options were granted during the first quarter of 2024. The total intrinsic value of options exercised during the three months ended March 31, 2024 and 2023, was $2.0 million and $1.3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March 31, 2024, there was approximately $11.7 million of total unrecognized compensation cost related to unvested stock options. That cost is expected to be recognized over a weighted average period of approximately two years as of March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uses authorized and unissued shares to satisfy share award exercises.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status of the Company’s restricted stock unit activity and the changes during the three months ended March 31, 2024 are as follows (in millions, except share and per share amounts): </w:t>
      </w:r>
    </w:p>
    <w:p>
      <w:pPr>
        <w:pStyle w:val="TextBody"/>
        <w:bidi w:val="0"/>
        <w:spacing w:before="120" w:after="283"/>
        <w:jc w:val="left"/>
        <w:rPr/>
      </w:pPr>
      <w:r>
        <w:rPr/>
        <w:t> </w:t>
      </w:r>
    </w:p>
    <w:tbl>
      <w:tblPr>
        <w:tblW w:w="8845" w:type="dxa"/>
        <w:jc w:val="left"/>
        <w:tblInd w:w="0" w:type="dxa"/>
        <w:tblLayout w:type="fixed"/>
        <w:tblCellMar>
          <w:top w:w="28" w:type="dxa"/>
          <w:left w:w="28" w:type="dxa"/>
          <w:bottom w:w="28" w:type="dxa"/>
          <w:right w:w="28" w:type="dxa"/>
        </w:tblCellMar>
      </w:tblPr>
      <w:tblGrid>
        <w:gridCol w:w="3421"/>
        <w:gridCol w:w="146"/>
        <w:gridCol w:w="146"/>
        <w:gridCol w:w="931"/>
        <w:gridCol w:w="166"/>
        <w:gridCol w:w="146"/>
        <w:gridCol w:w="516"/>
        <w:gridCol w:w="2019"/>
        <w:gridCol w:w="146"/>
        <w:gridCol w:w="146"/>
        <w:gridCol w:w="207"/>
        <w:gridCol w:w="664"/>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31, 2024, there was approximately $55.4 million of total unrecognized compensation cost related to unvested restricted stock units granted under the 2021 Equity Incentive Plan. That cost is expected to be recognized over a weighted average period of approximately three years as of March 31, 2024.</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status of the Company's performance restricted stock unit activity and the changes during the three months ended March 31, 2024 are as follows (in millions, except share and per share amounts):</w:t>
      </w:r>
    </w:p>
    <w:tbl>
      <w:tblPr>
        <w:tblW w:w="8780" w:type="dxa"/>
        <w:jc w:val="left"/>
        <w:tblInd w:w="0" w:type="dxa"/>
        <w:tblLayout w:type="fixed"/>
        <w:tblCellMar>
          <w:top w:w="28" w:type="dxa"/>
          <w:left w:w="28" w:type="dxa"/>
          <w:bottom w:w="28" w:type="dxa"/>
          <w:right w:w="28" w:type="dxa"/>
        </w:tblCellMar>
      </w:tblPr>
      <w:tblGrid>
        <w:gridCol w:w="3526"/>
        <w:gridCol w:w="146"/>
        <w:gridCol w:w="146"/>
        <w:gridCol w:w="781"/>
        <w:gridCol w:w="146"/>
        <w:gridCol w:w="146"/>
        <w:gridCol w:w="516"/>
        <w:gridCol w:w="2019"/>
        <w:gridCol w:w="146"/>
        <w:gridCol w:w="146"/>
        <w:gridCol w:w="250"/>
        <w:gridCol w:w="621"/>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31, 2024, there was approximately $5.2 million of total unrecognized compensation cost related to unvested performance restricted stock units granted under the 2021 Equity Incentive Plan. That cost is expected to be recognized over a weighted average period of approximately three years as of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stock-based compensation cost for the three months ended March 31, 2024 and 2023 were as follows (in thousands): </w:t>
      </w:r>
    </w:p>
    <w:tbl>
      <w:tblPr>
        <w:tblW w:w="5513" w:type="dxa"/>
        <w:jc w:val="left"/>
        <w:tblInd w:w="0" w:type="dxa"/>
        <w:tblLayout w:type="fixed"/>
        <w:tblCellMar>
          <w:top w:w="28" w:type="dxa"/>
          <w:left w:w="28" w:type="dxa"/>
          <w:bottom w:w="28" w:type="dxa"/>
          <w:right w:w="28" w:type="dxa"/>
        </w:tblCellMar>
      </w:tblPr>
      <w:tblGrid>
        <w:gridCol w:w="2926"/>
        <w:gridCol w:w="146"/>
        <w:gridCol w:w="235"/>
        <w:gridCol w:w="636"/>
        <w:gridCol w:w="162"/>
        <w:gridCol w:w="162"/>
        <w:gridCol w:w="235"/>
        <w:gridCol w:w="636"/>
        <w:gridCol w:w="162"/>
        <w:gridCol w:w="213"/>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62"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2"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compensation expense</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full valuation allowance has been established against our net U.S. federal and state deferred tax assets and foreign deferred tax assets, including net operating loss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no provision for income taxes for the three months ended March 31, 2024, as compared to $0.1 million income tax expense in the U.S. for the three months ended March 31, 2023. This estimated annual effective tax rate of 0.0%, differs from the U.S. federal statutory rate primarily due to the effects of certain permanent items, foreign tax rate differences, and increases in the valuation allowance against deferred tax assets.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42"/>
        <w:gridCol w:w="146"/>
        <w:gridCol w:w="211"/>
        <w:gridCol w:w="1036"/>
        <w:gridCol w:w="166"/>
        <w:gridCol w:w="146"/>
        <w:gridCol w:w="211"/>
        <w:gridCol w:w="1036"/>
        <w:gridCol w:w="2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 used to compute net loss per share attributable to common stockholders, basic and diluted, of Class A and Class B common stock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48,577,980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47,699,561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 of Class A and Class B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pStyle w:val="TextBody"/>
        <w:bidi w:val="0"/>
        <w:jc w:val="left"/>
        <w:rPr/>
      </w:pPr>
      <w:r>
        <w:rPr/>
        <w:t> </w:t>
      </w:r>
    </w:p>
    <w:tbl>
      <w:tblPr>
        <w:tblW w:w="6654" w:type="dxa"/>
        <w:jc w:val="left"/>
        <w:tblInd w:w="0" w:type="dxa"/>
        <w:tblLayout w:type="fixed"/>
        <w:tblCellMar>
          <w:top w:w="28" w:type="dxa"/>
          <w:left w:w="28" w:type="dxa"/>
          <w:bottom w:w="28" w:type="dxa"/>
          <w:right w:w="28" w:type="dxa"/>
        </w:tblCellMar>
      </w:tblPr>
      <w:tblGrid>
        <w:gridCol w:w="3661"/>
        <w:gridCol w:w="146"/>
        <w:gridCol w:w="146"/>
        <w:gridCol w:w="1036"/>
        <w:gridCol w:w="146"/>
        <w:gridCol w:w="146"/>
        <w:gridCol w:w="146"/>
        <w:gridCol w:w="1036"/>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3,138,478</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2,854,013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1,851,071</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87,784</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charitable contribution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281,860</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5,123,624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10,482,817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Debt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Notes are unsecured obligations which bear regular interest at 1% per annum and for which the principal balance will not accrete. Interest payments are due on February 1 and August 1 of each year the Notes remain outstanding. The 2027 Notes will mature on February 1, 2027 unless repurchased, redeemed, or converted in accordance with their terms prior to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if the last reported sale price of our Class A common stock for at least 20</w:t>
      </w:r>
      <w:r>
        <w:rPr>
          <w:color w:val="000000"/>
        </w:rPr>
        <w:t xml:space="preserve"> </w:t>
      </w:r>
      <w:r>
        <w:rPr>
          <w:rFonts w:ascii="Times New Roman" w:hAnsi="Times New Roman"/>
          <w:color w:val="000000"/>
          <w:sz w:val="20"/>
        </w:rPr>
        <w:t>trading days (whether or not consecutive) during the period of 30</w:t>
      </w:r>
      <w:r>
        <w:rPr>
          <w:color w:val="000000"/>
        </w:rPr>
        <w:t xml:space="preserve"> </w:t>
      </w:r>
      <w:r>
        <w:rPr>
          <w:rFonts w:ascii="Times New Roman" w:hAnsi="Times New Roman"/>
          <w:color w:val="000000"/>
          <w:sz w:val="20"/>
        </w:rPr>
        <w:t>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in which the trading price per $1,000</w:t>
      </w:r>
      <w:r>
        <w:rPr>
          <w:color w:val="000000"/>
        </w:rPr>
        <w:t xml:space="preserve"> </w:t>
      </w:r>
      <w:r>
        <w:rPr>
          <w:rFonts w:ascii="Times New Roman" w:hAnsi="Times New Roman"/>
          <w:color w:val="000000"/>
          <w:sz w:val="20"/>
        </w:rPr>
        <w:t>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November 1, 2026, the 2027 Notes are convertible at any time until the close of business on the second scheduled trading day immediately preceding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other embedded features require bifurcation and recognition as derivatives.</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outstanding principal amount and carrying value of the 2027 Notes as of the dates indicated (in thousands):</w:t>
      </w:r>
    </w:p>
    <w:p>
      <w:pPr>
        <w:pStyle w:val="TextBody"/>
        <w:bidi w:val="0"/>
        <w:spacing w:before="120" w:after="283"/>
        <w:jc w:val="left"/>
        <w:rPr/>
      </w:pPr>
      <w:r>
        <w:rPr/>
        <w:t> </w:t>
      </w:r>
    </w:p>
    <w:tbl>
      <w:tblPr>
        <w:tblW w:w="5517" w:type="dxa"/>
        <w:jc w:val="left"/>
        <w:tblInd w:w="0" w:type="dxa"/>
        <w:tblLayout w:type="fixed"/>
        <w:tblCellMar>
          <w:top w:w="28" w:type="dxa"/>
          <w:left w:w="28" w:type="dxa"/>
          <w:bottom w:w="28" w:type="dxa"/>
          <w:right w:w="28" w:type="dxa"/>
        </w:tblCellMar>
      </w:tblPr>
      <w:tblGrid>
        <w:gridCol w:w="2761"/>
        <w:gridCol w:w="146"/>
        <w:gridCol w:w="211"/>
        <w:gridCol w:w="781"/>
        <w:gridCol w:w="166"/>
        <w:gridCol w:w="146"/>
        <w:gridCol w:w="172"/>
        <w:gridCol w:w="923"/>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annual effective interest rate for the 2027 Notes was approximately 1.6%. Interest expense related to the 2027 Notes for the periods presented below was as follows (in thousands):</w:t>
      </w:r>
    </w:p>
    <w:p>
      <w:pPr>
        <w:pStyle w:val="TextBody"/>
        <w:bidi w:val="0"/>
        <w:spacing w:before="120" w:after="283"/>
        <w:jc w:val="left"/>
        <w:rPr/>
      </w:pPr>
      <w:r>
        <w:rPr/>
        <w:t> </w:t>
      </w:r>
    </w:p>
    <w:tbl>
      <w:tblPr>
        <w:tblW w:w="6645" w:type="dxa"/>
        <w:jc w:val="left"/>
        <w:tblInd w:w="0" w:type="dxa"/>
        <w:tblLayout w:type="fixed"/>
        <w:tblCellMar>
          <w:top w:w="28" w:type="dxa"/>
          <w:left w:w="28" w:type="dxa"/>
          <w:bottom w:w="28" w:type="dxa"/>
          <w:right w:w="28" w:type="dxa"/>
        </w:tblCellMar>
      </w:tblPr>
      <w:tblGrid>
        <w:gridCol w:w="2806"/>
        <w:gridCol w:w="146"/>
        <w:gridCol w:w="433"/>
        <w:gridCol w:w="1172"/>
        <w:gridCol w:w="146"/>
        <w:gridCol w:w="146"/>
        <w:gridCol w:w="433"/>
        <w:gridCol w:w="1172"/>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Coupon interest</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transaction costs</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carrying value and estimated fair value of the 2027 Notes as of the date indicated (in thousands):</w:t>
      </w:r>
    </w:p>
    <w:p>
      <w:pPr>
        <w:pStyle w:val="TextBody"/>
        <w:bidi w:val="0"/>
        <w:jc w:val="left"/>
        <w:rPr/>
      </w:pPr>
      <w:r>
        <w:rPr/>
        <w:t> </w:t>
      </w:r>
    </w:p>
    <w:tbl>
      <w:tblPr>
        <w:tblW w:w="7349" w:type="dxa"/>
        <w:jc w:val="left"/>
        <w:tblInd w:w="0" w:type="dxa"/>
        <w:tblLayout w:type="fixed"/>
        <w:tblCellMar>
          <w:top w:w="28" w:type="dxa"/>
          <w:left w:w="28" w:type="dxa"/>
          <w:bottom w:w="28" w:type="dxa"/>
          <w:right w:w="28" w:type="dxa"/>
        </w:tblCellMar>
      </w:tblPr>
      <w:tblGrid>
        <w:gridCol w:w="1216"/>
        <w:gridCol w:w="146"/>
        <w:gridCol w:w="306"/>
        <w:gridCol w:w="1134"/>
        <w:gridCol w:w="146"/>
        <w:gridCol w:w="146"/>
        <w:gridCol w:w="217"/>
        <w:gridCol w:w="803"/>
        <w:gridCol w:w="146"/>
        <w:gridCol w:w="146"/>
        <w:gridCol w:w="306"/>
        <w:gridCol w:w="1134"/>
        <w:gridCol w:w="146"/>
        <w:gridCol w:w="146"/>
        <w:gridCol w:w="217"/>
        <w:gridCol w:w="803"/>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2027 Notes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268,554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As of March 31, 2024 and December 31, 2023, the fair value of the 2027 Notes was measured using Level 2 inputs based on the frequency of trading on our debt at the end of the year. </w:t>
      </w:r>
    </w:p>
    <w:p>
      <w:pPr>
        <w:pStyle w:val="TextBody"/>
        <w:bidi w:val="0"/>
        <w:spacing w:before="120" w:after="283"/>
        <w:jc w:val="left"/>
        <w:rPr>
          <w:rFonts w:ascii="Times New Roman" w:hAnsi="Times New Roman"/>
          <w:sz w:val="20"/>
        </w:rPr>
      </w:pPr>
      <w:r>
        <w:rPr>
          <w:rFonts w:ascii="Times New Roman" w:hAnsi="Times New Roman"/>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Defined Contribution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a defined contribution plan for qualifying employees, including a 401(k) Plan in the United States to which it makes matching contributions of 50% of participating employee contributions up to 6% of eligible income. The Company's total matching contribution to the 401(k) Plan was $0.7 million and $0.5 million for the three months ended March 31, 2024 and 2023, respectively.</w:t>
      </w:r>
    </w:p>
    <w:p>
      <w:pPr>
        <w:pStyle w:val="TextBody"/>
        <w:bidi w:val="0"/>
        <w:spacing w:before="120" w:after="283"/>
        <w:jc w:val="left"/>
        <w:rPr>
          <w:rFonts w:ascii="Times New Roman" w:hAnsi="Times New Roman"/>
          <w:sz w:val="20"/>
        </w:rPr>
      </w:pPr>
      <w:r>
        <w:rPr>
          <w:rFonts w:ascii="Times New Roman" w:hAnsi="Times New Roman"/>
          <w:b/>
          <w:color w:val="000000"/>
          <w:sz w:val="20"/>
        </w:rPr>
        <w:t>(14)</w:t>
      </w:r>
      <w:r>
        <w:rPr>
          <w:rFonts w:ascii="Times New Roman" w:hAnsi="Times New Roman"/>
          <w:color w:val="000000"/>
          <w:sz w:val="20"/>
        </w:rPr>
        <w:t xml:space="preserve"> </w:t>
      </w: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Xometry is organized in two segments referred to as: (1) the U.S. and (2) International.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reflect certain segment information for the three months ended March 31, 2024 and 2023 (in thousands): </w:t>
      </w:r>
    </w:p>
    <w:p>
      <w:pPr>
        <w:pStyle w:val="TextBody"/>
        <w:bidi w:val="0"/>
        <w:jc w:val="left"/>
        <w:rPr/>
      </w:pPr>
      <w:r>
        <w:rPr/>
        <w:t> </w:t>
      </w:r>
    </w:p>
    <w:tbl>
      <w:tblPr>
        <w:tblW w:w="4326" w:type="dxa"/>
        <w:jc w:val="left"/>
        <w:tblInd w:w="0" w:type="dxa"/>
        <w:tblLayout w:type="fixed"/>
        <w:tblCellMar>
          <w:top w:w="28" w:type="dxa"/>
          <w:left w:w="28" w:type="dxa"/>
          <w:bottom w:w="28" w:type="dxa"/>
          <w:right w:w="28" w:type="dxa"/>
        </w:tblCellMar>
      </w:tblPr>
      <w:tblGrid>
        <w:gridCol w:w="1591"/>
        <w:gridCol w:w="146"/>
        <w:gridCol w:w="222"/>
        <w:gridCol w:w="823"/>
        <w:gridCol w:w="154"/>
        <w:gridCol w:w="154"/>
        <w:gridCol w:w="222"/>
        <w:gridCol w:w="823"/>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w:t>
            </w:r>
          </w:p>
        </w:tc>
        <w:tc>
          <w:tcPr>
            <w:tcW w:w="146"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center"/>
              <w:rPr/>
            </w:pPr>
            <w:r>
              <w:rPr/>
              <w:t> </w:t>
            </w:r>
          </w:p>
        </w:tc>
        <w:tc>
          <w:tcPr>
            <w:tcW w:w="1045"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103,363</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93,903</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19,327</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122,690</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4166" w:type="dxa"/>
        <w:jc w:val="left"/>
        <w:tblInd w:w="0" w:type="dxa"/>
        <w:tblLayout w:type="fixed"/>
        <w:tblCellMar>
          <w:top w:w="28" w:type="dxa"/>
          <w:left w:w="28" w:type="dxa"/>
          <w:bottom w:w="28" w:type="dxa"/>
          <w:right w:w="28" w:type="dxa"/>
        </w:tblCellMar>
      </w:tblPr>
      <w:tblGrid>
        <w:gridCol w:w="1411"/>
        <w:gridCol w:w="146"/>
        <w:gridCol w:w="229"/>
        <w:gridCol w:w="801"/>
        <w:gridCol w:w="180"/>
        <w:gridCol w:w="158"/>
        <w:gridCol w:w="229"/>
        <w:gridCol w:w="801"/>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Losses</w:t>
            </w:r>
          </w:p>
        </w:tc>
        <w:tc>
          <w:tcPr>
            <w:tcW w:w="146"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center"/>
              <w:rPr/>
            </w:pPr>
            <w:r>
              <w:rPr/>
              <w:t> </w:t>
            </w:r>
          </w:p>
        </w:tc>
        <w:tc>
          <w:tcPr>
            <w:tcW w:w="180" w:type="dxa"/>
            <w:tcBorders/>
            <w:shd w:fill="CFF0FC" w:val="clear"/>
            <w:vAlign w:val="center"/>
          </w:tcPr>
          <w:p>
            <w:pPr>
              <w:pStyle w:val="TableContents"/>
              <w:bidi w:val="0"/>
              <w:spacing w:before="0" w:after="283"/>
              <w:jc w:val="center"/>
              <w:rPr/>
            </w:pPr>
            <w:r>
              <w:rPr/>
              <w:t> </w:t>
            </w:r>
          </w:p>
        </w:tc>
        <w:tc>
          <w:tcPr>
            <w:tcW w:w="158"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center"/>
              <w:rPr/>
            </w:pPr>
            <w:r>
              <w:rPr/>
              <w:t> </w:t>
            </w:r>
          </w:p>
        </w:tc>
      </w:tr>
      <w:tr>
        <w:trPr/>
        <w:tc>
          <w:tcPr>
            <w:tcW w:w="1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(11,818</w:t>
            </w:r>
          </w:p>
        </w:tc>
        <w:tc>
          <w:tcPr>
            <w:tcW w:w="1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(15)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intangible assets (dollars in thousands): </w:t>
      </w:r>
    </w:p>
    <w:p>
      <w:pPr>
        <w:pStyle w:val="TextBody"/>
        <w:bidi w:val="0"/>
        <w:jc w:val="left"/>
        <w:rPr/>
      </w:pPr>
      <w:r>
        <w:rPr/>
        <w:t> </w:t>
      </w:r>
    </w:p>
    <w:tbl>
      <w:tblPr>
        <w:tblW w:w="9255" w:type="dxa"/>
        <w:jc w:val="left"/>
        <w:tblInd w:w="0" w:type="dxa"/>
        <w:tblLayout w:type="fixed"/>
        <w:tblCellMar>
          <w:top w:w="28" w:type="dxa"/>
          <w:left w:w="28" w:type="dxa"/>
          <w:bottom w:w="28" w:type="dxa"/>
          <w:right w:w="28" w:type="dxa"/>
        </w:tblCellMar>
      </w:tblPr>
      <w:tblGrid>
        <w:gridCol w:w="3566"/>
        <w:gridCol w:w="146"/>
        <w:gridCol w:w="332"/>
        <w:gridCol w:w="719"/>
        <w:gridCol w:w="146"/>
        <w:gridCol w:w="146"/>
        <w:gridCol w:w="211"/>
        <w:gridCol w:w="676"/>
        <w:gridCol w:w="146"/>
        <w:gridCol w:w="146"/>
        <w:gridCol w:w="283"/>
        <w:gridCol w:w="768"/>
        <w:gridCol w:w="146"/>
        <w:gridCol w:w="146"/>
        <w:gridCol w:w="211"/>
        <w:gridCol w:w="676"/>
        <w:gridCol w:w="79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52" w:type="dxa"/>
            <w:gridSpan w:val="14"/>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jc w:val="center"/>
              <w:rPr/>
            </w:pPr>
            <w:r>
              <w:rPr/>
              <w:t> </w:t>
            </w:r>
          </w:p>
        </w:tc>
      </w:tr>
      <w:tr>
        <w:trPr/>
        <w:tc>
          <w:tcPr>
            <w:tcW w:w="3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Amortizing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30,960</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Subtotal 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34,228</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In-place Lease Intangible Asset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Above Market Lease Intangible Asset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9255" w:type="dxa"/>
        <w:jc w:val="left"/>
        <w:tblInd w:w="0" w:type="dxa"/>
        <w:tblLayout w:type="fixed"/>
        <w:tblCellMar>
          <w:top w:w="28" w:type="dxa"/>
          <w:left w:w="28" w:type="dxa"/>
          <w:bottom w:w="28" w:type="dxa"/>
          <w:right w:w="28" w:type="dxa"/>
        </w:tblCellMar>
      </w:tblPr>
      <w:tblGrid>
        <w:gridCol w:w="3566"/>
        <w:gridCol w:w="146"/>
        <w:gridCol w:w="332"/>
        <w:gridCol w:w="719"/>
        <w:gridCol w:w="146"/>
        <w:gridCol w:w="146"/>
        <w:gridCol w:w="211"/>
        <w:gridCol w:w="676"/>
        <w:gridCol w:w="146"/>
        <w:gridCol w:w="146"/>
        <w:gridCol w:w="283"/>
        <w:gridCol w:w="768"/>
        <w:gridCol w:w="146"/>
        <w:gridCol w:w="146"/>
        <w:gridCol w:w="211"/>
        <w:gridCol w:w="676"/>
        <w:gridCol w:w="79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Amortizing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31,570</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Subtotal 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35,048</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In-place Lease Intangible Asset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Above Market Lease Intangible Asset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roll forward of the carrying amount of goodwill (in thousands): </w:t>
      </w:r>
    </w:p>
    <w:tbl>
      <w:tblPr>
        <w:tblW w:w="8019" w:type="dxa"/>
        <w:jc w:val="left"/>
        <w:tblInd w:w="0" w:type="dxa"/>
        <w:tblLayout w:type="fixed"/>
        <w:tblCellMar>
          <w:top w:w="28" w:type="dxa"/>
          <w:left w:w="28" w:type="dxa"/>
          <w:bottom w:w="28" w:type="dxa"/>
          <w:right w:w="28" w:type="dxa"/>
        </w:tblCellMar>
      </w:tblPr>
      <w:tblGrid>
        <w:gridCol w:w="5166"/>
        <w:gridCol w:w="146"/>
        <w:gridCol w:w="211"/>
        <w:gridCol w:w="781"/>
        <w:gridCol w:w="166"/>
        <w:gridCol w:w="146"/>
        <w:gridCol w:w="211"/>
        <w:gridCol w:w="781"/>
        <w:gridCol w:w="411"/>
      </w:tblGrid>
      <w:tr>
        <w:trPr/>
        <w:tc>
          <w:tcPr>
            <w:tcW w:w="5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5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261,110</w:t>
            </w:r>
          </w:p>
        </w:tc>
        <w:tc>
          <w:tcPr>
            <w:tcW w:w="411" w:type="dxa"/>
            <w:tcBorders/>
            <w:shd w:fill="FFFFFF" w:val="clear"/>
            <w:vAlign w:val="center"/>
          </w:tcPr>
          <w:p>
            <w:pPr>
              <w:pStyle w:val="TableContents"/>
              <w:bidi w:val="0"/>
              <w:spacing w:before="0" w:after="283"/>
              <w:jc w:val="left"/>
              <w:rPr/>
            </w:pPr>
            <w:r>
              <w:rPr/>
              <w:t> </w:t>
            </w:r>
          </w:p>
        </w:tc>
      </w:tr>
      <w:tr>
        <w:trPr/>
        <w:tc>
          <w:tcPr>
            <w:tcW w:w="5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impairments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goodwill as of January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258,036</w:t>
            </w:r>
          </w:p>
        </w:tc>
        <w:tc>
          <w:tcPr>
            <w:tcW w:w="411" w:type="dxa"/>
            <w:tcBorders/>
            <w:shd w:fill="FFFFFF" w:val="clear"/>
            <w:vAlign w:val="center"/>
          </w:tcPr>
          <w:p>
            <w:pPr>
              <w:pStyle w:val="TableContents"/>
              <w:bidi w:val="0"/>
              <w:spacing w:before="0" w:after="283"/>
              <w:jc w:val="left"/>
              <w:rPr/>
            </w:pPr>
            <w:r>
              <w:rPr/>
              <w:t> </w:t>
            </w:r>
          </w:p>
        </w:tc>
      </w:tr>
      <w:tr>
        <w:trPr/>
        <w:tc>
          <w:tcPr>
            <w:tcW w:w="51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 acquired during the year</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411" w:type="dxa"/>
            <w:tcBorders/>
            <w:shd w:fill="CFF0FC" w:val="clear"/>
            <w:vAlign w:val="center"/>
          </w:tcPr>
          <w:p>
            <w:pPr>
              <w:pStyle w:val="TableContents"/>
              <w:bidi w:val="0"/>
              <w:spacing w:before="0" w:after="283"/>
              <w:jc w:val="left"/>
              <w:rPr/>
            </w:pPr>
            <w:r>
              <w:rPr/>
              <w:t> </w:t>
            </w:r>
          </w:p>
        </w:tc>
      </w:tr>
      <w:tr>
        <w:trPr/>
        <w:tc>
          <w:tcPr>
            <w:tcW w:w="5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foreign exchange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goodwill as of March 31,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262,915</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See Note 7 - Acquisitions.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and December 31, 2023, Xometry had $262.8 million and $262.9 million, respectively of goodwill. As of March 31, 2024, $258.0 million is part of Xometry’s U.S. operating segment and $4.8 million is part of Xometry’s International operating segment. As of December 31, 2023, $258.0 million is part of Xometry's U.S. operating segment and $4.9 million is part of Xometry's International operating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estimated amortization expense for intangible assets for the remainder of 2024 and the next five years is: $2.7 million in 2024, $3.6 million in 2025, $3.2 million in 2026, $2.6 million in 2027, $2.6 million in 2028, $2.6 million in 2029 and $17.6 million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expense for the three months ended March 31, 2024 and 2023 was as follows (in thousands): </w:t>
      </w:r>
    </w:p>
    <w:tbl>
      <w:tblPr>
        <w:tblW w:w="5256" w:type="dxa"/>
        <w:jc w:val="left"/>
        <w:tblInd w:w="0" w:type="dxa"/>
        <w:tblLayout w:type="fixed"/>
        <w:tblCellMar>
          <w:top w:w="28" w:type="dxa"/>
          <w:left w:w="28" w:type="dxa"/>
          <w:bottom w:w="28" w:type="dxa"/>
          <w:right w:w="28" w:type="dxa"/>
        </w:tblCellMar>
      </w:tblPr>
      <w:tblGrid>
        <w:gridCol w:w="2521"/>
        <w:gridCol w:w="146"/>
        <w:gridCol w:w="325"/>
        <w:gridCol w:w="649"/>
        <w:gridCol w:w="225"/>
        <w:gridCol w:w="225"/>
        <w:gridCol w:w="325"/>
        <w:gridCol w:w="649"/>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22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2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2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2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Amortization of the lease related intangible assets is recorded as operating lease expense in general and administrative.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16" w:name="i_item2"/>
      <w:bookmarkEnd w:id="16"/>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2023. Our historical results are not necessarily indicative of the results that may be expected in the future and our current quarterly results are not necessarily indicative of the results expected for the full year or any other period.</w:t>
      </w:r>
      <w:r>
        <w:rPr>
          <w:rFonts w:ascii="Times New Roman" w:hAnsi="Times New Roman"/>
          <w:color w:val="000000"/>
          <w:sz w:val="20"/>
        </w:rPr>
        <w:t xml:space="preserve"> </w:t>
      </w:r>
    </w:p>
    <w:p>
      <w:pPr>
        <w:pStyle w:val="TextBody"/>
        <w:bidi w:val="0"/>
        <w:spacing w:before="300" w:after="283"/>
        <w:jc w:val="center"/>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Xometry Inc. (“Xometry”, “Company”, “our” or “we”) was incorporated in the State of Delaware in May 2013. Xometry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 Xometry’s corporate headquarters is located in North Bethesda, Maryland.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mission is to accelerate innovation by providing real time, equitable access to global manufacturing capacity and demand. Our vision is to drive efficiency, sustainability and innovation for industries worldwide by lowering the barriers to entry to the manufacturing ecosystem.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benefits from a virtuous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“buyers” as individuals who have placed an order to purchase custom-manufactured, on-demand parts or assemblies on our marketplace. Our buyers include engineers, product designers, procurement and supply chain personnel, inventors, entrepreneurs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tools and materials (“our tools and materials business, which we previously referred to as our supplies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Healthcare, Robotics, Industrial, Defense, Energy, Automotive, Government, Education and Consumer Goods.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services and data solutions. In addition, our suite of supplier services includes financial service products to stabilize and enhance cash flow and a cloud-based manufacturing execution system (“Workcenter”) to help suppliers optimize their productivity.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2021, we acquired Thomas Publishing Company and its subsidiaries (collectively, “Thomas”) and Fusiform, Inc. (d/b/a FactoryFour), expanding our basket of supplier services to include advertising and marketing services and Workcenter to help suppliers optimize their productivity. Our revenue from Thomas is primarily advertising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 2023, the Company acquired Tridi Teknoloj A.S. (“Tridi”) located in Istanbul, Türkiye pursuant to a Share Purchase Agreement. The acquisition of Tridi extends our marketplace capabilities in Europe and provides us access to the Turkish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the economy both in the United States and abroad may negatively affect the growth of our business and our results of operations. For example, macroeconomic events, fluctuations in inflation,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w:t>
      </w:r>
    </w:p>
    <w:p>
      <w:pPr>
        <w:pStyle w:val="TextBody"/>
        <w:bidi w:val="0"/>
        <w:spacing w:before="360" w:after="283"/>
        <w:jc w:val="center"/>
        <w:rPr>
          <w:rFonts w:ascii="Times New Roman" w:hAnsi="Times New Roman"/>
          <w:sz w:val="20"/>
        </w:rPr>
      </w:pPr>
      <w:r>
        <w:rPr>
          <w:rFonts w:ascii="Times New Roman" w:hAnsi="Times New Roman"/>
          <w:b/>
          <w:color w:val="000000"/>
          <w:sz w:val="20"/>
        </w:rPr>
        <w:t>Key Marketplace Operational and Business Metrics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 </w:t>
      </w:r>
    </w:p>
    <w:p>
      <w:pPr>
        <w:pStyle w:val="TextBody"/>
        <w:bidi w:val="0"/>
        <w:spacing w:before="360" w:after="283"/>
        <w:jc w:val="left"/>
        <w:rPr>
          <w:rFonts w:ascii="Times New Roman" w:hAnsi="Times New Roman"/>
          <w:sz w:val="20"/>
        </w:rPr>
      </w:pPr>
      <w:r>
        <w:rPr>
          <w:rFonts w:ascii="Times New Roman" w:hAnsi="Times New Roman"/>
          <w:b/>
          <w:i/>
          <w:color w:val="000000"/>
          <w:sz w:val="20"/>
        </w:rPr>
        <w:t>Active Buyers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Active Buyers as the number of buyers who have made at least one purchase on our marketplace during the last twelve months. An increase or decrease in the number of Active Buyers is a key indicator of our ability to attract, retain and engage buyers on our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Active Buyers has consistently grown over time. The number of Active Buyers on our platform reached 58,504 as of March 31, 2024, up 32% from 44,451 as of March 31, 2023. The key drivers of Active Buyer growth are continued account and buyer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engagement and the success of our strategy to attract new buyers. We have adjusted the number of Active Buyers for each quarter of 2023 to reflect an immaterial correction in the calculation of Active Buyers. </w:t>
      </w:r>
    </w:p>
    <w:p>
      <w:pPr>
        <w:pStyle w:val="TextBody"/>
        <w:bidi w:val="0"/>
        <w:jc w:val="center"/>
        <w:rPr/>
      </w:pPr>
      <w:r>
        <w:rPr/>
        <w:t> </w:t>
      </w:r>
    </w:p>
    <w:p>
      <w:pPr>
        <w:pStyle w:val="TextBody"/>
        <w:bidi w:val="0"/>
        <w:jc w:val="center"/>
        <w:rPr/>
      </w:pPr>
      <w:r>
        <w:rPr/>
        <w:drawing>
          <wp:inline distT="0" distB="0" distL="0" distR="0">
            <wp:extent cx="3152775" cy="3276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52775" cy="3276600"/>
                    </a:xfrm>
                    <a:prstGeom prst="rect">
                      <a:avLst/>
                    </a:prstGeom>
                  </pic:spPr>
                </pic:pic>
              </a:graphicData>
            </a:graphic>
          </wp:inline>
        </w:drawing>
      </w: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Percentage of Revenue from Existing Accounts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quarter ended March 31, 2024, 95% of our revenue was generated from existing accounts. We believe the repeat purchase activity from existing accounts reflects the underlying strength of our business and provides us with substantial revenue visibility and predictability. </w:t>
      </w:r>
    </w:p>
    <w:p>
      <w:pPr>
        <w:pStyle w:val="TextBody"/>
        <w:bidi w:val="0"/>
        <w:jc w:val="center"/>
        <w:rPr/>
      </w:pPr>
      <w:r>
        <w:rPr/>
        <w:drawing>
          <wp:inline distT="0" distB="0" distL="0" distR="0">
            <wp:extent cx="4610100" cy="2438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610100" cy="2438400"/>
                    </a:xfrm>
                    <a:prstGeom prst="rect">
                      <a:avLst/>
                    </a:prstGeom>
                  </pic:spPr>
                </pic:pic>
              </a:graphicData>
            </a:graphic>
          </wp:inline>
        </w:drawing>
      </w:r>
      <w:r>
        <w:rPr/>
        <w:t> </w:t>
      </w:r>
    </w:p>
    <w:p>
      <w:pPr>
        <w:pStyle w:val="TextBody"/>
        <w:bidi w:val="0"/>
        <w:spacing w:before="36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Accounts with Last Twelve-Month Spend of At Least $50,000</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1,381 as of March 31, 2024, up 25%</w:t>
      </w:r>
      <w:r>
        <w:rPr>
          <w:rFonts w:ascii="Times New Roman" w:hAnsi="Times New Roman"/>
          <w:color w:val="FF0000"/>
          <w:sz w:val="20"/>
        </w:rPr>
        <w:t xml:space="preserve"> </w:t>
      </w:r>
      <w:r>
        <w:rPr>
          <w:rFonts w:ascii="Times New Roman" w:hAnsi="Times New Roman"/>
          <w:color w:val="000000"/>
          <w:sz w:val="20"/>
        </w:rPr>
        <w:t>from 1,109 as of March 31, 2023.</w:t>
      </w:r>
    </w:p>
    <w:p>
      <w:pPr>
        <w:pStyle w:val="TextBody"/>
        <w:bidi w:val="0"/>
        <w:jc w:val="center"/>
        <w:rPr/>
      </w:pPr>
      <w:r>
        <w:rPr/>
        <w:drawing>
          <wp:inline distT="0" distB="0" distL="0" distR="0">
            <wp:extent cx="3019425" cy="417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19425" cy="4171950"/>
                    </a:xfrm>
                    <a:prstGeom prst="rect">
                      <a:avLst/>
                    </a:prstGeom>
                  </pic:spPr>
                </pic:pic>
              </a:graphicData>
            </a:graphic>
          </wp:inline>
        </w:drawing>
      </w:r>
      <w:r>
        <w:rPr/>
        <w:t> </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Active Paying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Active Paying Suppliers as individuals or businesses who have purchased one or more of our supplier services, including digital marketing services, data services, financial services or tools and materials on our platforms during the last twelve months. An increase or decrease in the number of Active Paying Suppliers is a key indicator of our ability to engage suppliers on our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Active Paying Suppliers has changed over time. The number of Active Paying Suppliers on our platform was 7,159 as of March 31, 2024, down 6% from 7,621 as of March 31, 2023. The key drivers of Active Paying Suppliers are continued supplier engagement and the success of our strategy to attract new suppliers. The decline during the quarter ended March 31, 2024 is primarily due to our exit from the tools and materials business. Excluding the tools and materials business, Active Paying Suppliers on our platform reached 7,147 as of March 31, 2024, down 2% from 7,295 as of March 31, 2023. </w:t>
      </w:r>
    </w:p>
    <w:p>
      <w:pPr>
        <w:pStyle w:val="TextBody"/>
        <w:bidi w:val="0"/>
        <w:spacing w:before="360" w:after="283"/>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Adjusted EBITDA as net loss, adjusted for interest expense, interest and dividend income and other (expenses) income, provision for income taxes, and certain other non-cash or non-recurring items impacting net loss from time to time, principally comprised of depreciation and amortization, amortization of lease intangible, stock-based compensation, charitable contributions of common stock, income from an unconsolidated joint venture, impairment of assets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2024, Adjusted EBITDA loss was $(7.5) million, as compared to Adjusted EBITDA loss of $(11.8) million for the same quarter in 2023. For the quarter ended March 31, 2024, Adjusted EBITDA Margin was (6.1)% of revenue, as compared to (11.2)% of revenue for the same quarter in 2023, driven primarily by increased operating efficiencies as we continue to grow our revenue and margins faster than our expenses. </w:t>
      </w:r>
    </w:p>
    <w:p>
      <w:pPr>
        <w:pStyle w:val="TextBody"/>
        <w:bidi w:val="0"/>
        <w:spacing w:before="240" w:after="283"/>
        <w:jc w:val="left"/>
        <w:rPr/>
      </w:pPr>
      <w:r>
        <w:rPr/>
        <w:t> </w:t>
      </w:r>
    </w:p>
    <w:tbl>
      <w:tblPr>
        <w:tblW w:w="8996" w:type="dxa"/>
        <w:jc w:val="left"/>
        <w:tblInd w:w="0" w:type="dxa"/>
        <w:tblLayout w:type="fixed"/>
        <w:tblCellMar>
          <w:top w:w="28" w:type="dxa"/>
          <w:left w:w="28" w:type="dxa"/>
          <w:bottom w:w="28" w:type="dxa"/>
          <w:right w:w="28" w:type="dxa"/>
        </w:tblCellMar>
      </w:tblPr>
      <w:tblGrid>
        <w:gridCol w:w="6241"/>
        <w:gridCol w:w="146"/>
        <w:gridCol w:w="229"/>
        <w:gridCol w:w="801"/>
        <w:gridCol w:w="180"/>
        <w:gridCol w:w="158"/>
        <w:gridCol w:w="229"/>
        <w:gridCol w:w="801"/>
        <w:gridCol w:w="21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interest and dividend income and other (expenses) income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211" w:type="dxa"/>
            <w:tcBorders/>
            <w:shd w:fill="FFFFFF" w:val="clear"/>
            <w:vAlign w:val="center"/>
          </w:tcPr>
          <w:p>
            <w:pPr>
              <w:pStyle w:val="TableContents"/>
              <w:bidi w:val="0"/>
              <w:spacing w:before="0" w:after="283"/>
              <w:jc w:val="left"/>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11" w:type="dxa"/>
            <w:tcBorders/>
            <w:shd w:fill="CFF0FC" w:val="cle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1" w:type="dxa"/>
            <w:tcBorders/>
            <w:shd w:fill="FFFFFF" w:val="clear"/>
            <w:vAlign w:val="center"/>
          </w:tcPr>
          <w:p>
            <w:pPr>
              <w:pStyle w:val="TableContents"/>
              <w:bidi w:val="0"/>
              <w:spacing w:before="0" w:after="283"/>
              <w:jc w:val="left"/>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211" w:type="dxa"/>
            <w:tcBorders/>
            <w:shd w:fill="CFF0FC" w:val="cle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FFFFFF" w:val="clear"/>
            <w:vAlign w:val="center"/>
          </w:tcPr>
          <w:p>
            <w:pPr>
              <w:pStyle w:val="TableContents"/>
              <w:bidi w:val="0"/>
              <w:spacing w:before="0" w:after="283"/>
              <w:jc w:val="left"/>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1" w:type="dxa"/>
            <w:tcBorders/>
            <w:shd w:fill="CFF0FC" w:val="cle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color w:val="000000"/>
              </w:rPr>
            </w:pPr>
            <w:r>
              <w:rPr>
                <w:color w:val="000000"/>
              </w:rPr>
              <w:t>—</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shd w:fill="CFF0FC" w:val="cle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(7,459</w:t>
            </w:r>
          </w:p>
        </w:tc>
        <w:tc>
          <w:tcPr>
            <w:tcW w:w="1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(11,767</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Non-GAAP Net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Non-GAAP net loss, as net loss adjusted for depreciation and amortization, stock-based compensation, amortization of lease intangible, amortization of deferred costs on convertible notes, loss on sale of property and equipment, charitable contributions of common stock, impairment of assets, and acquisition and other adjustments not reflective of our ongoing business, such as adjustments related to purchase accounting, the revaluation of contingent consideration, transaction costs and executive severance. </w:t>
      </w:r>
    </w:p>
    <w:tbl>
      <w:tblPr>
        <w:tblW w:w="6839" w:type="dxa"/>
        <w:jc w:val="left"/>
        <w:tblInd w:w="0" w:type="dxa"/>
        <w:tblLayout w:type="fixed"/>
        <w:tblCellMar>
          <w:top w:w="28" w:type="dxa"/>
          <w:left w:w="28" w:type="dxa"/>
          <w:bottom w:w="28" w:type="dxa"/>
          <w:right w:w="28" w:type="dxa"/>
        </w:tblCellMar>
      </w:tblPr>
      <w:tblGrid>
        <w:gridCol w:w="4276"/>
        <w:gridCol w:w="146"/>
        <w:gridCol w:w="211"/>
        <w:gridCol w:w="736"/>
        <w:gridCol w:w="166"/>
        <w:gridCol w:w="146"/>
        <w:gridCol w:w="211"/>
        <w:gridCol w:w="736"/>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Non-GAAP Net Loss: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21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21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1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costs on convertible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1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sale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Net Loss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(9,766</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2024, Non-GAAP net loss was $(5.7) million, as compared to Non-GAAP net loss of $(9.8) million for the same quarter in 2023. For the quarter ended March 31, 2024, Non-GAAP net loss was (4.7)% of revenue, as compared to (9.3)% of revenue for the same quarter in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 </w:t>
      </w:r>
    </w:p>
    <w:p>
      <w:pPr>
        <w:pStyle w:val="TextBody"/>
        <w:bidi w:val="0"/>
        <w:spacing w:before="360" w:after="283"/>
        <w:jc w:val="center"/>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marketplace revenue is primarily comprised of sales of parts and assemblies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Supplier services revenue includes the sale of marketing and advertising services, and to a lesser extent financial service products, SaaS-based solutions and the sale of tools and materials which was discontinued during the second quarter of 2023. </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for supplier services primarily consists of internal and external production costs and website hosting.</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sales and marketing, operations and support, product development and general and administrative functions.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Operations and Support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costs that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primarily consist of compensation expenses, including stock-based compensation expenses, for executive, finance, legal and other administrative personnel, professional service fees and certain depreciation and amortization expense. We expect general and administrative expenses to fluctuate as a result of operating as a public company.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of interest incurred on our outstanding borrowings under our outstanding convertible notes or other borrowings.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dividend income consists of interest and dividends on our cash, cash equivalents and marketable securities. </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(Expenses)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Other expenses consist primarily of realized foreign exchange gains and/or losses and other expenses.</w:t>
      </w:r>
      <w:r>
        <w:rPr>
          <w:rFonts w:ascii="Times New Roman" w:hAnsi="Times New Roman"/>
          <w:color w:val="FF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from unconsolidated joint venture consists of our share of the joint venture's income.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Comparison of the Three Months Ended March 31, 2024 and 2023</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our unaudited statements of operations data for the periods indicated: </w:t>
      </w:r>
    </w:p>
    <w:tbl>
      <w:tblPr>
        <w:tblW w:w="7525" w:type="dxa"/>
        <w:jc w:val="left"/>
        <w:tblInd w:w="0" w:type="dxa"/>
        <w:tblLayout w:type="fixed"/>
        <w:tblCellMar>
          <w:top w:w="28" w:type="dxa"/>
          <w:left w:w="28" w:type="dxa"/>
          <w:bottom w:w="28" w:type="dxa"/>
          <w:right w:w="28" w:type="dxa"/>
        </w:tblCellMar>
      </w:tblPr>
      <w:tblGrid>
        <w:gridCol w:w="4371"/>
        <w:gridCol w:w="146"/>
        <w:gridCol w:w="220"/>
        <w:gridCol w:w="816"/>
        <w:gridCol w:w="173"/>
        <w:gridCol w:w="152"/>
        <w:gridCol w:w="220"/>
        <w:gridCol w:w="816"/>
        <w:gridCol w:w="6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122,690</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105,326</w:t>
            </w:r>
          </w:p>
        </w:tc>
        <w:tc>
          <w:tcPr>
            <w:tcW w:w="611" w:type="dxa"/>
            <w:tcBorders/>
            <w:shd w:fill="CFF0FC" w:val="cle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74,788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47,902</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39,369</w:t>
            </w:r>
          </w:p>
        </w:tc>
        <w:tc>
          <w:tcPr>
            <w:tcW w:w="611" w:type="dxa"/>
            <w:tcBorders/>
            <w:shd w:fill="CFF0FC" w:val="cle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27,200</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14,047</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14,922</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(17,857</w:t>
            </w:r>
          </w:p>
        </w:tc>
        <w:tc>
          <w:tcPr>
            <w:tcW w:w="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(19,787</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our unaudited statements of operations data expressed as a percentage of total revenue for the periods indicated: </w:t>
      </w:r>
    </w:p>
    <w:tbl>
      <w:tblPr>
        <w:tblW w:w="7691" w:type="dxa"/>
        <w:jc w:val="left"/>
        <w:tblInd w:w="0" w:type="dxa"/>
        <w:tblLayout w:type="fixed"/>
        <w:tblCellMar>
          <w:top w:w="28" w:type="dxa"/>
          <w:left w:w="28" w:type="dxa"/>
          <w:bottom w:w="28" w:type="dxa"/>
          <w:right w:w="28" w:type="dxa"/>
        </w:tblCellMar>
      </w:tblPr>
      <w:tblGrid>
        <w:gridCol w:w="4371"/>
        <w:gridCol w:w="146"/>
        <w:gridCol w:w="183"/>
        <w:gridCol w:w="717"/>
        <w:gridCol w:w="415"/>
        <w:gridCol w:w="183"/>
        <w:gridCol w:w="183"/>
        <w:gridCol w:w="717"/>
        <w:gridCol w:w="776"/>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center"/>
              <w:rPr/>
            </w:pPr>
            <w:r>
              <w:rPr/>
              <w:t> </w:t>
            </w:r>
          </w:p>
        </w:tc>
        <w:tc>
          <w:tcPr>
            <w:tcW w:w="415" w:type="dxa"/>
            <w:tcBorders/>
            <w:shd w:fill="FFFFFF" w:val="cle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center"/>
              <w:rPr/>
            </w:pPr>
            <w:r>
              <w:rPr/>
              <w:t> </w:t>
            </w:r>
          </w:p>
        </w:tc>
        <w:tc>
          <w:tcPr>
            <w:tcW w:w="776" w:type="dxa"/>
            <w:tcBorders/>
            <w:shd w:fill="FFFFFF" w:val="cle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color w:val="000000"/>
              </w:rPr>
            </w:pPr>
            <w:r>
              <w:rPr>
                <w:color w:val="000000"/>
              </w:rPr>
              <w:t>—</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tools and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and cost of revenue is presented in the following tables for the three months ended March 31, 2024 and 2023 (in thousands):</w:t>
      </w:r>
    </w:p>
    <w:tbl>
      <w:tblPr>
        <w:tblW w:w="4319" w:type="dxa"/>
        <w:jc w:val="left"/>
        <w:tblInd w:w="0" w:type="dxa"/>
        <w:tblLayout w:type="fixed"/>
        <w:tblCellMar>
          <w:top w:w="28" w:type="dxa"/>
          <w:left w:w="28" w:type="dxa"/>
          <w:bottom w:w="28" w:type="dxa"/>
          <w:right w:w="28" w:type="dxa"/>
        </w:tblCellMar>
      </w:tblPr>
      <w:tblGrid>
        <w:gridCol w:w="1561"/>
        <w:gridCol w:w="146"/>
        <w:gridCol w:w="211"/>
        <w:gridCol w:w="781"/>
        <w:gridCol w:w="271"/>
        <w:gridCol w:w="146"/>
        <w:gridCol w:w="211"/>
        <w:gridCol w:w="676"/>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March 31,</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86,680</w:t>
            </w:r>
          </w:p>
        </w:tc>
        <w:tc>
          <w:tcPr>
            <w:tcW w:w="316" w:type="dxa"/>
            <w:tcBorders/>
            <w:shd w:fill="FFFFFF" w:val="cle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Supplier services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18,646</w:t>
            </w:r>
          </w:p>
        </w:tc>
        <w:tc>
          <w:tcPr>
            <w:tcW w:w="316" w:type="dxa"/>
            <w:tcBorders/>
            <w:shd w:fill="CFF0FC"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revenue increased $17.4 million, or 16%, from $105.3 million for the three months ended March 31, 2023 to $122.7 million for the three months ended March 31, 2024. This growth was a result of an increase in marketplace revenue, partially offset by a decrease in supplier services revenue. Total revenue from marketplace and supplier services for the three months ended March 31, 2024 was $107.2 million and $15.5 million, respectively, as compared to $86.7 million and $18.6 million, respectively, for the three months ended March 31, 2023. Marketplace revenue increased $20.5 million, or 24% from $86.7 million for the three months ended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March 31, 2023 to $107.2 million for the three months ended March 31, 2024. The increase in marketplace revenue was primarily due increased buyer activity on the platform for the three months ended March 31, 2024, as compared to the prior 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Supplier services revenue decreased $3.1 million, or 17% from $18.6 million for the three months ended March 31, 2023 to $15.5 million for the three months ended March 31, 2024. The decrease in revenue was due to our exit from the tools and materials business in the U.S. during the second quarter of 2023 and, to a lesser extent, a decrease in Thomas advertising and marketing services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for the three months ended March 31, 2024 and 2023, was $103.4 million and $93.9 million, respectively, for the U.S. operating segment, and $19.3 million and $11.4 million, respectively, for the International operating segment.</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cost of revenue increased $8.8 million, or 13%, from $66.0 million for the three months ended March 31, 2023 to $74.8 million for the three months ended March 31, 2024. This increase was the result of an increase in marketplace cost of revenue offset by a decrease in supplier services costs of revenue. Total cost of revenue from marketplace and supplier services for the three months ended March 31, 2024 was $72.9 million and $1.9 million, respectively, as compared to $61.7 million and $4.2 million, respectively for the three months ended March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Marketplace cost of revenue was driven by order growth and increased activity on our marketplace.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 and Margin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profit increased $8.5 million, or 22%, from $39.4 million for the three months ended March 31, 2023 to $47.9 million for the three months ended March 31, 2024. The increase in gross profit was primarily due to increases in revenue from marketplace and improved marketplace gross margins as compared to the prior 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margin for marketplace was 32.0% for the three months ended March 31, 2024, as compared to 28.8% for the three months ended March 31, 2023. The improvement over the prior year period was due in part to our AI-driven platform and increasing supplier selection.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was 87.9% for the three months ended March 31, 2024, as compared to 77.4% for the three months ended March 31, 2023. The increase in gross margin for supplier services is primarily due to a higher mix of marketing services revenue and the exit from the lower margin tools and materials business. As marketplace revenue continues to grow faster than supplier services, our aggregate gross margin will fluctuate.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 increased $4.8 million, or 21%, from $22.4 million for the three months ended March 31, 2023 to $27.2 million for the three months ended March 31, 2024, primarily due to increases in commissions expense and additional sales and marketing employees and their compensation costs, including stock-based compensation. As a percent of total revenue, sales and marketing expenses increased to 22.2% for the three months ended March 31, 2024 from 21.3% for the three months ended March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expense increased 2%, from $8.1 million for the three months ended March 31, 2023 to $8.3 million for the three months ended March 31, 2024. </w:t>
      </w:r>
    </w:p>
    <w:p>
      <w:pPr>
        <w:pStyle w:val="TextBody"/>
        <w:bidi w:val="0"/>
        <w:spacing w:before="120" w:after="283"/>
        <w:jc w:val="left"/>
        <w:rPr>
          <w:rFonts w:ascii="Times New Roman" w:hAnsi="Times New Roman"/>
          <w:sz w:val="20"/>
        </w:rPr>
      </w:pPr>
      <w:r>
        <w:rPr>
          <w:rFonts w:ascii="Times New Roman" w:hAnsi="Times New Roman"/>
          <w:i/>
          <w:color w:val="000000"/>
          <w:sz w:val="20"/>
        </w:rPr>
        <w:t>Operations and Support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support expense increased $1.4 million, or 11%, from $12.6 million for the three months ended March 31, 2023 to $14.0 million for the three months ended March 31, 2024, due to hiring additional operations and support employees and their compensation costs, including stock-based compensation and the cost of additional consultants. As a percent of total revenue, operations and support expenses decreased to 11.4% for the three months ended March 31, 2024 from 12.0% for the three months ended March 31, 2023. </w:t>
      </w:r>
    </w:p>
    <w:p>
      <w:pPr>
        <w:pStyle w:val="TextBody"/>
        <w:bidi w:val="0"/>
        <w:spacing w:before="12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expense increased $1.5 million, or 18%, from $8.1 million for the three months ended March 31, 2023 to $9.6 million for the three months ended March 31, 2024, primarily as result of increases in software costs, amortization expense related to capitalized internal-use software development costs, hiring additional product development employees and their compensation, including stock-based compensation, offset by a decrease in consulting expenses. As a percent of total revenue, product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expenses increased to 7.8% for the three months ended March 31, 2024 as compared to 7.7% for the three months ended March 31, 2023.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 decreased $1.0 million, or 6% from $16.0 million for the three months ended March 31, 2023 to $14.9 million for the three months ended March 31, 2024. The decrease is due to a lower facility cost due to the abandonment of leased offices in the second quarter of 2023 and decrease in professional fees, software and maintenance costs, consulting and insurance costs, offset by severance expense. As a percent of total revenue, general and administrative expenses decreased to 12.2% for the for the three months ended March 31, 2024 from 15.2% for the three months ended March 31, 2023.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(Expenses)</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remained flat at $1.2 million for the three months ended March 31, 2024 and 2023. Interest expense is primarily due to the interest on the 2027 convertible notes issued in February 2022.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120" w:after="283"/>
        <w:jc w:val="left"/>
        <w:rPr>
          <w:rFonts w:ascii="Times New Roman" w:hAnsi="Times New Roman"/>
          <w:sz w:val="20"/>
        </w:rPr>
      </w:pPr>
      <w:r>
        <w:rPr>
          <w:rFonts w:ascii="Times New Roman" w:hAnsi="Times New Roman"/>
          <w:color w:val="000000"/>
          <w:sz w:val="20"/>
        </w:rPr>
        <w:t>Interest and dividend income remained flat at $2.7 million for the three months ended March 31, 2024 and 2023, and is primarily due to dividend income from our marketable securities</w:t>
      </w:r>
      <w:r>
        <w:rPr>
          <w:rFonts w:ascii="Times New Roman" w:hAnsi="Times New Roman"/>
          <w:color w:val="FF0000"/>
          <w:sz w:val="20"/>
        </w:rPr>
        <w:t>.</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(Expenses) Income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expenses increased by $0.4 million, primarily to foreign exchange losses.</w:t>
      </w:r>
    </w:p>
    <w:p>
      <w:pPr>
        <w:pStyle w:val="TextBody"/>
        <w:bidi w:val="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from unconsolidated joint venture remained flat at $0.1 million for the three months ended March 31, 2024 and 2023. </w:t>
      </w:r>
    </w:p>
    <w:p>
      <w:pPr>
        <w:pStyle w:val="TextBody"/>
        <w:bidi w:val="0"/>
        <w:spacing w:before="120" w:after="283"/>
        <w:jc w:val="left"/>
        <w:rPr>
          <w:rFonts w:ascii="Times New Roman" w:hAnsi="Times New Roman"/>
          <w:sz w:val="20"/>
        </w:rPr>
      </w:pPr>
      <w:r>
        <w:rPr>
          <w:rFonts w:ascii="Times New Roman" w:hAnsi="Times New Roman"/>
          <w:i/>
          <w:color w:val="000000"/>
          <w:sz w:val="20"/>
        </w:rPr>
        <w:t>Additional Segment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segment loss from our U.S. operating segment for the three months ended March 31, 2024 and 2023, was $11.8 million and $12.9 million, respectively. Total segment loss from our International operating segment for the three months ended March 31, 2024 and 2023, was $4.8 million and $5.4 million, respectively.</w:t>
      </w:r>
    </w:p>
    <w:p>
      <w:pPr>
        <w:pStyle w:val="TextBody"/>
        <w:bidi w:val="0"/>
        <w:spacing w:before="120" w:after="283"/>
        <w:jc w:val="left"/>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financed our operations primarily through sales of our equity securities and borrowings under our convertible notes. As of March 31, 2024, our cash and cash equivalents and marketable securities totaled $253.8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capital expenditures consist primarily of internal-use software costs, manufacturing equipment, computers and peripheral equipment, furniture and fixtures and leasehold improvements and patents.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Notes due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Notes are unsecured obligations which bear regular interest at 1% per annum and for which the principal balance will not accrete. Interest payments are due on February 1 and August 1 of each year the Notes remain outstanding. The 2027 Notes will mature on February 1, 2027 unless repurchased, redeemed, or converted in accordance with their terms prior to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November 1, 2026, the 2027 Notes are convertible at any time until the close of business on the second scheduled trading day immediately preceding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other embedded features require bifurcation and recognition as 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the 2027 Notes have a carrying value of $282.2 million with an effective annual interest rate of 1.6%.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repurchase our convertible senior notes using cash on hand, either on the open market or in privately negotiated transactions.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a summary of our cash flows from operating, investing, and financing activities for the three months ended March 31, 2024 and 2023. </w:t>
      </w:r>
    </w:p>
    <w:tbl>
      <w:tblPr>
        <w:tblW w:w="6956" w:type="dxa"/>
        <w:jc w:val="left"/>
        <w:tblInd w:w="0" w:type="dxa"/>
        <w:tblLayout w:type="fixed"/>
        <w:tblCellMar>
          <w:top w:w="28" w:type="dxa"/>
          <w:left w:w="28" w:type="dxa"/>
          <w:bottom w:w="28" w:type="dxa"/>
          <w:right w:w="28" w:type="dxa"/>
        </w:tblCellMar>
      </w:tblPr>
      <w:tblGrid>
        <w:gridCol w:w="4201"/>
        <w:gridCol w:w="146"/>
        <w:gridCol w:w="229"/>
        <w:gridCol w:w="801"/>
        <w:gridCol w:w="180"/>
        <w:gridCol w:w="158"/>
        <w:gridCol w:w="229"/>
        <w:gridCol w:w="80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(11,734</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21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2024, net cash used in operating activities was $11.7 million, primarily due to a net loss of $(16.6) million adjusted for non-cash charges of $11.1 million and a net decrease in our operating assets and liabilities of $(6.3) million. The non-cash adjustments primarily relate to stock-based compensation of $6.0 million, depreciation and amortization of $3.2 million, and $1.1 million of reduction to our right of use lease assets. The net decrease in operating assets and liabilities is primarily driven by changes in accounts payable of $10.6 million due to the timing of payments and lease liabilities of $1.7 million, offset by changes in accrued expenses of $4.4 million and contract liabilities of $2.3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2023, net cash used in operating activities was $16.5 million, primarily due to a net loss of $(18.3) million adjusted for non-cash charges of $10.1 million and a net decrease in our operating assets and liabilities of $(8.2) million. The non-cash adjustments primarily relate to stock-based compensation of $4.7 million, depreciation and amortization of $2.6 million, and $1.9 million of reduction to our right of use lease assets. The net decrease in operating assets and liabilities is primarily driven by an increase in accounts receivable of $2.8 million, an increase in other assets of $3.7 million, and a decrease in accrued expenses of $2.1 million. These decreases were offset by an increase in contract liabilities of $1.4 million.</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2024, net cash provided by investing activities was $2.9 million, primarily due to the proceeds from the sale of marketable securities of $10.0 million offset by the purchase of property and equipment (which includes internal-use software development costs) of $4.3 million and $2.7 million for the purchase of marketable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2023, net cash used by investing activities was $10.0 million, primarily due to the purchase of property and equipment (which includes internal-use software development costs) of $4.2 million, $3.3 million for the acquisition of Tridi and $2.7 million for the purchase of marketable securities. </w:t>
      </w:r>
    </w:p>
    <w:p>
      <w:pPr>
        <w:pStyle w:val="TextBody"/>
        <w:bidi w:val="0"/>
        <w:spacing w:before="12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2024, net cash provided by financing activities was $1.2 million, relating to proceeds from the exercise of stock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2023, net cash provided by financing activities was $0.5 million, relating to proceeds from the exercise of stock options.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pPr>
      <w:r>
        <w:rPr>
          <w:rFonts w:ascii="Times New Roman" w:hAnsi="Times New Roman"/>
          <w:color w:val="000000"/>
          <w:sz w:val="20"/>
        </w:rPr>
        <w:t xml:space="preserve">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w:t>
      </w:r>
      <w:hyperlink r:id="rId5">
        <w:r>
          <w:rPr>
            <w:rStyle w:val="InternetLink"/>
            <w:rFonts w:ascii="Times New Roman" w:hAnsi="Times New Roman"/>
            <w:color w:val="0000FF"/>
            <w:sz w:val="20"/>
            <w:u w:val="single"/>
          </w:rPr>
          <w:t>Annual Report on Form 10-K</w:t>
        </w:r>
      </w:hyperlink>
      <w:r>
        <w:rPr>
          <w:rFonts w:ascii="Times New Roman" w:hAnsi="Times New Roman"/>
          <w:color w:val="000000"/>
          <w:sz w:val="20"/>
        </w:rPr>
        <w:t xml:space="preserve"> as well as Note 2 – Basis of Presentation and Summary of Significant Accounting Policies in the notes to the condensed consolidated financial statements included in Part I, Item 1, of this Quarterly Report on Form 10-Q.</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recently adopted accounting pronouncements and recently issued accounting standards not yet adopted, see Note 2 – Basis of Presentation and Summary of Significant Accounting Policies in the notes to the condensed consolidated financial statements included in Part I, Item 1, of this Quarterly Report on Form 10-Q.</w:t>
      </w:r>
    </w:p>
    <w:p>
      <w:pPr>
        <w:pStyle w:val="TextBody"/>
        <w:bidi w:val="0"/>
        <w:spacing w:before="240" w:after="283"/>
        <w:jc w:val="left"/>
        <w:rPr>
          <w:rFonts w:ascii="Times New Roman" w:hAnsi="Times New Roman"/>
          <w:b/>
          <w:color w:val="000000"/>
          <w:sz w:val="20"/>
        </w:rPr>
      </w:pPr>
      <w:bookmarkStart w:id="17" w:name="i_item3"/>
      <w:bookmarkEnd w:id="17"/>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 </w:t>
      </w:r>
    </w:p>
    <w:p>
      <w:pPr>
        <w:pStyle w:val="TextBody"/>
        <w:bidi w:val="0"/>
        <w:spacing w:before="12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 approximately 16% of our revenues, of which a majority is generated in Euros. If the average exchange rate of Euros changed unfavorably by 10%, our revenues for the period ended March 31, 2024 would have decreased by 1.3%. During the three months ended March 31, 2024, our revenues were higher by 0.2% as a result of a 1.32% change in the average exchange rate, as compared to the prior year period. </w:t>
      </w:r>
    </w:p>
    <w:p>
      <w:pPr>
        <w:pStyle w:val="TextBody"/>
        <w:bidi w:val="0"/>
        <w:spacing w:before="12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 </w:t>
      </w:r>
    </w:p>
    <w:p>
      <w:pPr>
        <w:pStyle w:val="TextBody"/>
        <w:bidi w:val="0"/>
        <w:spacing w:before="240" w:after="283"/>
        <w:jc w:val="left"/>
        <w:rPr>
          <w:rFonts w:ascii="Times New Roman" w:hAnsi="Times New Roman"/>
          <w:b/>
          <w:color w:val="000000"/>
          <w:sz w:val="20"/>
        </w:rPr>
      </w:pPr>
      <w:bookmarkStart w:id="18" w:name="i_item4"/>
      <w:bookmarkEnd w:id="18"/>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Rules 13a-15(e) and 15d-15(e) under the Exchange Act, our management, with the participation of our Chief Executive Officer and Chief Financial Officer, performed an evaluation of the effectiveness of our disclosure controls and procedures as of March 31, 2024. Based on such evaluation, our Chief Executive Officer and Chief Financial Officer concluded that our disclosure controls and procedures were effective at a reasonable assurance level as of March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to our internal control over financial reporting identified in connection with the evaluation required by Rule 13a-15(d) and 15d-15(d) of the Exchange Act that occurred during the quarter ended March 31, 2024, that have materially affected, or are reasonably likely to materially affect, our internal control over financial reporting.</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left"/>
        <w:rPr/>
      </w:pPr>
      <w:r>
        <w:rPr/>
        <w:t> </w:t>
      </w:r>
    </w:p>
    <w:p>
      <w:pPr>
        <w:pStyle w:val="TextBody"/>
        <w:bidi w:val="0"/>
        <w:spacing w:before="36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b/>
          <w:color w:val="000000"/>
          <w:sz w:val="20"/>
        </w:rPr>
      </w:pPr>
      <w:bookmarkStart w:id="19" w:name="part_ii"/>
      <w:bookmarkEnd w:id="19"/>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20" w:name="ii_item1"/>
      <w:bookmarkEnd w:id="20"/>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period ending March 31, 2024, there were no material legal proceedings brought against us nor were there any material developments to any ongoing legal proceedings which constituted reportable events.</w:t>
      </w:r>
    </w:p>
    <w:p>
      <w:pPr>
        <w:pStyle w:val="TextBody"/>
        <w:bidi w:val="0"/>
        <w:spacing w:before="360" w:after="283"/>
        <w:jc w:val="left"/>
        <w:rPr>
          <w:rFonts w:ascii="Times New Roman" w:hAnsi="Times New Roman"/>
          <w:b/>
          <w:color w:val="000000"/>
          <w:sz w:val="20"/>
        </w:rPr>
      </w:pPr>
      <w:bookmarkStart w:id="21" w:name="ii_item1a"/>
      <w:bookmarkEnd w:id="21"/>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Investing in our Class A common stock involves a high degree of risk. You should carefully consider the risks and uncertainties described in our Annual Report on Form 10</w:t>
        <w:noBreakHyphen/>
        <w:t>K for the year ended December 31, 2023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material changes to our risk factors as previously disclosed in Item 1A. contained in Part I of our Annual Report on Form 10</w:t>
        <w:noBreakHyphen/>
        <w:t>K for the year ended December 31, 2023.</w:t>
      </w:r>
    </w:p>
    <w:p>
      <w:pPr>
        <w:pStyle w:val="TextBody"/>
        <w:bidi w:val="0"/>
        <w:spacing w:before="360" w:after="283"/>
        <w:jc w:val="left"/>
        <w:rPr>
          <w:rFonts w:ascii="Times New Roman" w:hAnsi="Times New Roman"/>
          <w:b/>
          <w:color w:val="000000"/>
          <w:sz w:val="20"/>
        </w:rPr>
      </w:pPr>
      <w:bookmarkStart w:id="22" w:name="ii_item2"/>
      <w:bookmarkEnd w:id="22"/>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February 2024, pursuant to our January 2023 acquisition of Tridi, we issued 21,083 shares of Class A common stock with a value of $0.6 million as contingent consideration to the former owners of Tridi.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issuance of these shares was exempt from registration under the Securities Act in reliance on Section 4(a)(2) of the Securities Act (and Regulation D or Regulation S promulgated thereunder) as a transaction by an issuer not involving any public offering. The recipient of the securities represented their intention to acquire the securities for investment only and not with a view to, or for sale in connection with, any distribution thereof, and appropriate legends were placed on the share certificates issued. The foregoing did not involve any underwriters, underwriting discounts or commissions, or any public offering.</w:t>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23" w:name="ii_item3"/>
      <w:bookmarkEnd w:id="23"/>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b/>
          <w:color w:val="000000"/>
          <w:sz w:val="20"/>
        </w:rPr>
      </w:pPr>
      <w:bookmarkStart w:id="24" w:name="ii_item4"/>
      <w:bookmarkEnd w:id="24"/>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b/>
          <w:color w:val="000000"/>
          <w:sz w:val="20"/>
        </w:rPr>
      </w:pPr>
      <w:bookmarkStart w:id="25" w:name="ii_item5"/>
      <w:bookmarkEnd w:id="25"/>
      <w:r>
        <w:rPr>
          <w:rFonts w:ascii="Times New Roman" w:hAnsi="Times New Roman"/>
          <w:b/>
          <w:color w:val="000000"/>
          <w:sz w:val="20"/>
        </w:rPr>
        <w:t>Item 5. Other 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During our last fiscal quarter, our directors and officers (as defined in Rule 16a-1(f) under the Securities and Exchange Act of 1934, as amended) adopted or terminated the contracts, instructions or written plans for the purchase or sale of the Company’s securities set forth in the table below.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25"/>
        <w:gridCol w:w="706"/>
        <w:gridCol w:w="1277"/>
        <w:gridCol w:w="661"/>
        <w:gridCol w:w="455"/>
        <w:gridCol w:w="519"/>
        <w:gridCol w:w="146"/>
        <w:gridCol w:w="289"/>
        <w:gridCol w:w="1198"/>
        <w:gridCol w:w="146"/>
        <w:gridCol w:w="146"/>
        <w:gridCol w:w="776"/>
        <w:gridCol w:w="885"/>
        <w:gridCol w:w="146"/>
        <w:gridCol w:w="1030"/>
      </w:tblGrid>
      <w:tr>
        <w:trPr/>
        <w:tc>
          <w:tcPr>
            <w:tcW w:w="182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Type of Trading Arrangement</w:t>
            </w:r>
          </w:p>
        </w:tc>
      </w:tr>
      <w:tr>
        <w:trPr/>
        <w:tc>
          <w:tcPr>
            <w:tcW w:w="1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Name and Position</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Action</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Adoption/Termination Date</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Rule 10b5-1*</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 Shares of Class A Common Stock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 Shares of Class A Common Stock to be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Expiration Date</w:t>
            </w:r>
          </w:p>
        </w:tc>
      </w:tr>
      <w:tr>
        <w:trPr/>
        <w:tc>
          <w:tcPr>
            <w:tcW w:w="1825" w:type="dxa"/>
            <w:tcBorders/>
            <w:shd w:fill="CFF0FC" w:val="cle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Laurence Zuriff</w:t>
            </w:r>
            <w:r>
              <w:rPr>
                <w:rFonts w:ascii="Times New Roman" w:hAnsi="Times New Roman"/>
                <w:color w:val="000000"/>
                <w:sz w:val="11"/>
              </w:rPr>
              <w:t>(1)</w:t>
            </w:r>
            <w:r>
              <w:rPr>
                <w:rFonts w:ascii="Times New Roman" w:hAnsi="Times New Roman"/>
                <w:color w:val="000000"/>
                <w:sz w:val="17"/>
              </w:rPr>
              <w:t xml:space="preserve"> </w:t>
            </w:r>
            <w:r>
              <w:rPr>
                <w:rFonts w:ascii="Times New Roman" w:hAnsi="Times New Roman"/>
                <w:i/>
                <w:color w:val="000000"/>
                <w:sz w:val="17"/>
              </w:rPr>
              <w:t>Director, Managing</w:t>
            </w:r>
            <w:r>
              <w:rPr>
                <w:rFonts w:ascii="Times New Roman" w:hAnsi="Times New Roman"/>
                <w:color w:val="000000"/>
                <w:sz w:val="17"/>
              </w:rPr>
              <w:t> </w:t>
            </w:r>
            <w:r>
              <w:rPr>
                <w:rFonts w:ascii="Times New Roman" w:hAnsi="Times New Roman"/>
                <w:i/>
                <w:color w:val="000000"/>
                <w:sz w:val="17"/>
              </w:rPr>
              <w:t>Director of Donor Advised Fund</w:t>
            </w:r>
          </w:p>
        </w:tc>
        <w:tc>
          <w:tcPr>
            <w:tcW w:w="706" w:type="dxa"/>
            <w:tcBorders/>
            <w:shd w:fill="CFF0FC" w:val="cle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Adopted</w:t>
            </w:r>
          </w:p>
        </w:tc>
        <w:tc>
          <w:tcPr>
            <w:tcW w:w="1277" w:type="dxa"/>
            <w:tcBorders/>
            <w:shd w:fill="CFF0FC" w:val="cle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3/4/2024</w:t>
            </w:r>
          </w:p>
        </w:tc>
        <w:tc>
          <w:tcPr>
            <w:tcW w:w="661" w:type="dxa"/>
            <w:tcBorders/>
            <w:shd w:fill="CFF0FC" w:val="cle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X</w:t>
            </w:r>
          </w:p>
        </w:tc>
        <w:tc>
          <w:tcPr>
            <w:tcW w:w="455"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76"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2/28/2025</w:t>
            </w:r>
          </w:p>
        </w:tc>
      </w:tr>
    </w:tbl>
    <w:p>
      <w:pPr>
        <w:pStyle w:val="TextBody"/>
        <w:bidi w:val="0"/>
        <w:jc w:val="left"/>
        <w:rPr>
          <w:rFonts w:ascii="Times New Roman" w:hAnsi="Times New Roman"/>
          <w:color w:val="000000"/>
          <w:sz w:val="18"/>
        </w:rPr>
      </w:pPr>
      <w:r>
        <w:rPr>
          <w:rFonts w:ascii="Times New Roman" w:hAnsi="Times New Roman"/>
          <w:color w:val="000000"/>
          <w:sz w:val="18"/>
        </w:rPr>
        <w:t>* Contract, instruction or written plan intended to satisfy the affirmative defense conditions of Rule 10b5-1(c) under the Exchange Act.</w:t>
      </w:r>
    </w:p>
    <w:p>
      <w:pPr>
        <w:pStyle w:val="TextBody"/>
        <w:bidi w:val="0"/>
        <w:jc w:val="left"/>
        <w:rPr>
          <w:rFonts w:ascii="Times New Roman" w:hAnsi="Times New Roman"/>
          <w:color w:val="000000"/>
          <w:sz w:val="18"/>
        </w:rPr>
      </w:pPr>
      <w:r>
        <w:rPr>
          <w:rFonts w:ascii="Times New Roman" w:hAnsi="Times New Roman"/>
          <w:color w:val="000000"/>
          <w:sz w:val="18"/>
        </w:rPr>
        <w:t>** “Non-Rule 10b5-1 trading arrangement” as defined in Item 408(c) of Regulation S-K under the Exchange Act.</w:t>
      </w:r>
    </w:p>
    <w:p>
      <w:pPr>
        <w:pStyle w:val="TextBody"/>
        <w:bidi w:val="0"/>
        <w:jc w:val="left"/>
        <w:rPr>
          <w:rFonts w:ascii="Times New Roman" w:hAnsi="Times New Roman"/>
          <w:sz w:val="20"/>
        </w:rPr>
      </w:pPr>
      <w:r>
        <w:rPr>
          <w:rFonts w:ascii="Times New Roman" w:hAnsi="Times New Roman"/>
          <w:color w:val="000000"/>
          <w:sz w:val="18"/>
        </w:rPr>
        <w:t xml:space="preserve">(1) The shares of Class A common stock to be sold pursuant to this plan are held of record by ZFI Capital, LP, </w:t>
      </w:r>
      <w:r>
        <w:rPr>
          <w:rFonts w:ascii="Times New Roman" w:hAnsi="Times New Roman"/>
          <w:color w:val="000000"/>
          <w:sz w:val="20"/>
        </w:rPr>
        <w:t xml:space="preserve">over which Mr. Zuriff may be deemed to exercise voting and dispositive control.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6" w:name="ii_item6"/>
      <w:bookmarkEnd w:id="26"/>
      <w:r>
        <w:rPr>
          <w:rFonts w:ascii="Times New Roman" w:hAnsi="Times New Roman"/>
          <w:b/>
          <w:color w:val="000000"/>
          <w:sz w:val="20"/>
        </w:rPr>
        <w:t>Item 6.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documents listed in the Exhibit Index of this Quarterly Report on Form 10-Q are herein incorporated by reference or are filed with this Quarterly Report on Form 10-Q, in each case as indicated therein (numbered in accordance with Item 601 of Regulation S-K).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6"/>
        <w:gridCol w:w="146"/>
        <w:gridCol w:w="9283"/>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3" w:type="dxa"/>
            <w:tcBorders/>
            <w:vAlign w:val="center"/>
          </w:tcPr>
          <w:p>
            <w:pPr>
              <w:pStyle w:val="TableContents"/>
              <w:bidi w:val="0"/>
              <w:spacing w:before="0" w:after="283"/>
              <w:jc w:val="left"/>
              <w:rPr>
                <w:sz w:val="4"/>
                <w:szCs w:val="4"/>
              </w:rPr>
            </w:pPr>
            <w:r>
              <w:rPr>
                <w:sz w:val="4"/>
                <w:szCs w:val="4"/>
              </w:rPr>
            </w:r>
          </w:p>
        </w:tc>
      </w:tr>
      <w:tr>
        <w:trPr/>
        <w:tc>
          <w:tcPr>
            <w:tcW w:w="77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Certificate of Incorporation of Xometry, Inc., (incorporated herein by reference to Exhibit 3.1 to the Company’s Current Report on Form 8-K (File No. 001-40546), filed with the SEC on July 2, 2021).</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Xometry, Inc., (incorporated herein by reference to Exhibit 3.2 to the Company’s Current Report on Form 8-K (File No. 001-40546), filed with the SEC on July 2, 2021).</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10_20.htm">
              <w:r>
                <w:rPr>
                  <w:rStyle w:val="InternetLink"/>
                  <w:rFonts w:ascii="Times New Roman" w:hAnsi="Times New Roman"/>
                  <w:color w:val="0000FF"/>
                  <w:sz w:val="20"/>
                  <w:u w:val="single"/>
                </w:rPr>
                <w:t>Employment Agreement by and between Xometry, Inc. and James Miln.</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10_21.htm">
              <w:r>
                <w:rPr>
                  <w:rStyle w:val="InternetLink"/>
                  <w:rFonts w:ascii="Times New Roman" w:hAnsi="Times New Roman"/>
                  <w:color w:val="0000FF"/>
                  <w:sz w:val="20"/>
                  <w:u w:val="single"/>
                </w:rPr>
                <w:t>Amended and Restated Employment Agreement by and between Xometry, Inc. and Kathleen Mayerhofer.</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contract or arrangement.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7" w:name="signatures"/>
      <w:bookmarkEnd w:id="2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5407" w:type="dxa"/>
        <w:jc w:val="left"/>
        <w:tblInd w:w="0" w:type="dxa"/>
        <w:tblLayout w:type="fixed"/>
        <w:tblCellMar>
          <w:top w:w="28" w:type="dxa"/>
          <w:left w:w="28" w:type="dxa"/>
          <w:bottom w:w="28" w:type="dxa"/>
          <w:right w:w="28" w:type="dxa"/>
        </w:tblCellMar>
      </w:tblPr>
      <w:tblGrid>
        <w:gridCol w:w="1636"/>
        <w:gridCol w:w="109"/>
        <w:gridCol w:w="406"/>
        <w:gridCol w:w="325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XOMETRY,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8" w:name="xmtr-ex10_20.htm"/>
      <w:bookmarkStart w:id="29" w:name="ksxmtrex10_20"/>
      <w:bookmarkEnd w:id="28"/>
      <w:bookmarkEnd w:id="29"/>
      <w:r>
        <w:rPr>
          <w:rFonts w:ascii="Times New Roman" w:hAnsi="Times New Roman"/>
          <w:b/>
          <w:color w:val="000000"/>
          <w:sz w:val="24"/>
        </w:rPr>
        <w:t>Exhibit 10.20</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smallCaps/>
          <w:color w:val="000000"/>
          <w:sz w:val="24"/>
        </w:rPr>
        <w:t>Employment Agreement</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effective as of December 14, 2023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by and between Xometry,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James Miln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desires to employ Executive, in the capacity of full-time Chief Financial Officer with an anticipated start date of February 19, 2024 (the “Start Date”), pursuant to the terms of this Agreement and, in connection therewith, to compensate Executive for Executive’s personal services to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wishes to be employed by the Company and provide personal services to the Company in return for certain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Accordingly, in consideration of the mutual promises and covenants contained herein, the parties agree to the following:</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both"/>
        <w:rPr/>
      </w:pPr>
      <w:r>
        <w:rPr>
          <w:rFonts w:ascii="Times New Roman" w:hAnsi="Times New Roman"/>
          <w:b/>
          <w:smallCaps/>
          <w:color w:val="000000"/>
          <w:sz w:val="24"/>
          <w:u w:val="single"/>
        </w:rPr>
        <w:t>Employment by the Company</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u w:val="single"/>
        </w:rPr>
        <w:t>At-Will Employment</w:t>
      </w:r>
      <w:r>
        <w:rPr>
          <w:rFonts w:ascii="Times New Roman" w:hAnsi="Times New Roman"/>
          <w:color w:val="000000"/>
          <w:sz w:val="24"/>
        </w:rPr>
        <w:t xml:space="preserve">. Executive shall be employed by the Company on an “at-will” basis, meaning either the Company or Executive may terminate Executive’s employment at any time, with or without cause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compensation following a termination shall be only as set forth in Section 6.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u w:val="single"/>
        </w:rPr>
        <w:t>Position</w:t>
      </w:r>
      <w:r>
        <w:rPr>
          <w:rFonts w:ascii="Times New Roman" w:hAnsi="Times New Roman"/>
          <w:color w:val="000000"/>
          <w:sz w:val="24"/>
        </w:rPr>
        <w:t>. Subject to the terms set forth herein, the Company agrees to employ Executive in the position of Chief Financial Officer, and Executive hereby accepts such employment. During the term of Executive’s employment with the Company, Executive will devote Executive’s best efforts and substantially all of Executive’s business time and attention to the business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u w:val="single"/>
        </w:rPr>
        <w:t>Duties</w:t>
      </w:r>
      <w:r>
        <w:rPr>
          <w:rFonts w:ascii="Times New Roman" w:hAnsi="Times New Roman"/>
          <w:color w:val="000000"/>
          <w:sz w:val="24"/>
        </w:rPr>
        <w:t>. Executive will report to the Chief Executive Officer</w:t>
      </w:r>
      <w:r>
        <w:rPr>
          <w:color w:val="000000"/>
        </w:rPr>
        <w:t xml:space="preserve"> </w:t>
      </w:r>
      <w:r>
        <w:rPr>
          <w:rFonts w:ascii="Times New Roman" w:hAnsi="Times New Roman"/>
          <w:color w:val="000000"/>
          <w:sz w:val="24"/>
        </w:rPr>
        <w:t>performing such duties as are normally associated with Executive’s then-current position and such duties as are assigned to Executive from time to time, subject to the oversight and direction of the Chief Executive Officer. Executive shall perform Executive’s duties under this Agreement principally out of the Executive’s home office in California</w:t>
      </w:r>
      <w:r>
        <w:rPr>
          <w:color w:val="000000"/>
        </w:rPr>
        <w:t xml:space="preserve"> </w:t>
      </w:r>
      <w:r>
        <w:rPr>
          <w:rFonts w:ascii="Times New Roman" w:hAnsi="Times New Roman"/>
          <w:color w:val="000000"/>
          <w:sz w:val="24"/>
        </w:rPr>
        <w:t xml:space="preserve">or such other location as assigned. In addition, Executive shall make such business trips to such places as may be necessary or advisable for the efficient operations of the Company.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u w:val="single"/>
        </w:rPr>
        <w:t>Company Policies and Benefits</w:t>
      </w:r>
      <w:r>
        <w:rPr>
          <w:rFonts w:ascii="Times New Roman" w:hAnsi="Times New Roman"/>
          <w:color w:val="000000"/>
          <w:sz w:val="24"/>
        </w:rPr>
        <w:t xml:space="preserve">. The employment relationship between the parties shall be subject to the Company’s personnel policies and procedures as they may be interpreted, adopted, revised or deleted from time to time in the Company’s sole discretion. Executive will be eligible to participate on the same basis as similarly-situated employees in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240"/>
        <w:jc w:val="both"/>
        <w:rPr/>
      </w:pPr>
      <w:r>
        <w:rPr>
          <w:rFonts w:ascii="Times New Roman" w:hAnsi="Times New Roman"/>
          <w:b/>
          <w:smallCaps/>
          <w:color w:val="000000"/>
          <w:sz w:val="24"/>
          <w:u w:val="single"/>
        </w:rPr>
        <w:t>Compensation</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u w:val="single"/>
        </w:rPr>
        <w:t>Salary</w:t>
      </w:r>
      <w:r>
        <w:rPr>
          <w:rFonts w:ascii="Times New Roman" w:hAnsi="Times New Roman"/>
          <w:color w:val="000000"/>
          <w:sz w:val="24"/>
        </w:rPr>
        <w:t>. Commencing on the Start Date, Executive shall receive for Executive’s services to be rendered hereunder an initial annualized base salary of $425,000, subject to review and adjustment from time to time by the Company in its sole discretion</w:t>
      </w:r>
      <w:r>
        <w:rPr>
          <w:color w:val="000000"/>
        </w:rPr>
        <w:t xml:space="preserve"> </w:t>
      </w:r>
      <w:r>
        <w:rPr>
          <w:rFonts w:ascii="Times New Roman" w:hAnsi="Times New Roman"/>
          <w:color w:val="000000"/>
          <w:sz w:val="24"/>
        </w:rPr>
        <w:t>(“</w:t>
      </w:r>
      <w:r>
        <w:rPr>
          <w:rFonts w:ascii="Times New Roman" w:hAnsi="Times New Roman"/>
          <w:b/>
          <w:i/>
          <w:color w:val="000000"/>
          <w:sz w:val="24"/>
        </w:rPr>
        <w:t>Base Salary</w:t>
      </w:r>
      <w:r>
        <w:rPr>
          <w:color w:val="000000"/>
        </w:rPr>
        <w:t>”</w:t>
      </w:r>
      <w:r>
        <w:rPr>
          <w:rFonts w:ascii="Times New Roman" w:hAnsi="Times New Roman"/>
          <w:color w:val="000000"/>
          <w:sz w:val="24"/>
        </w:rPr>
        <w:t>). The Base Salary is payable subject to standard federal and state payroll withholding requirements in accordance with the Company’s standard payroll practices.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u w:val="single"/>
        </w:rPr>
        <w:t>Sign-On Bonus</w:t>
      </w:r>
      <w:r>
        <w:rPr>
          <w:rFonts w:ascii="Times New Roman" w:hAnsi="Times New Roman"/>
          <w:color w:val="000000"/>
          <w:sz w:val="24"/>
        </w:rPr>
        <w:t>. Executive shall receive a one-time sign-on bonus of $125,000 (the “</w:t>
      </w:r>
      <w:r>
        <w:rPr>
          <w:rFonts w:ascii="Times New Roman" w:hAnsi="Times New Roman"/>
          <w:b/>
          <w:i/>
          <w:color w:val="000000"/>
          <w:sz w:val="24"/>
        </w:rPr>
        <w:t>Sign-On Bonus</w:t>
      </w:r>
      <w:r>
        <w:rPr>
          <w:color w:val="000000"/>
        </w:rPr>
        <w:t>”</w:t>
      </w:r>
      <w:r>
        <w:rPr>
          <w:rFonts w:ascii="Times New Roman" w:hAnsi="Times New Roman"/>
          <w:color w:val="000000"/>
          <w:sz w:val="24"/>
        </w:rPr>
        <w:t>). The Sign-On Bonus will be paid no later than the second payroll date after the Executive’s Start Date. The Sign-On Bonus will be subject to applicable payroll deductions and withholdings. If, within twelve (12) months of Executive’s Start Date, Executive resigns without Good Reason (as defined below) or the Company terminates Executive’s employment for Cause (as defined below), Executive shall repay the Company, on the date of termination, the amount of the Sign-On Bonus paid pursuant to this Section 2.2.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u w:val="single"/>
        </w:rPr>
        <w:t>Annual Bonus</w:t>
      </w:r>
      <w:r>
        <w:rPr>
          <w:rFonts w:ascii="Times New Roman" w:hAnsi="Times New Roman"/>
          <w:color w:val="000000"/>
          <w:sz w:val="24"/>
        </w:rPr>
        <w:t>. Executive shall be eligible to receive an annual performance bonus of up to 65% (the “</w:t>
      </w:r>
      <w:r>
        <w:rPr>
          <w:rFonts w:ascii="Times New Roman" w:hAnsi="Times New Roman"/>
          <w:b/>
          <w:i/>
          <w:color w:val="000000"/>
          <w:sz w:val="24"/>
        </w:rPr>
        <w:t>Target Percentage</w:t>
      </w:r>
      <w:r>
        <w:rPr>
          <w:color w:val="000000"/>
        </w:rPr>
        <w:t>”</w:t>
      </w:r>
      <w:r>
        <w:rPr>
          <w:rFonts w:ascii="Times New Roman" w:hAnsi="Times New Roman"/>
          <w:color w:val="000000"/>
          <w:sz w:val="24"/>
        </w:rPr>
        <w:t>) of Executive’s then-current Base Salary (“</w:t>
      </w:r>
      <w:r>
        <w:rPr>
          <w:rFonts w:ascii="Times New Roman" w:hAnsi="Times New Roman"/>
          <w:b/>
          <w:i/>
          <w:color w:val="000000"/>
          <w:sz w:val="24"/>
        </w:rPr>
        <w:t>Annual Bonus</w:t>
      </w:r>
      <w:r>
        <w:rPr>
          <w:color w:val="000000"/>
        </w:rPr>
        <w:t>”</w:t>
      </w:r>
      <w:r>
        <w:rPr>
          <w:rFonts w:ascii="Times New Roman" w:hAnsi="Times New Roman"/>
          <w:color w:val="000000"/>
          <w:sz w:val="24"/>
        </w:rPr>
        <w:t>) at 100% of targeted goals, with a maximum potential of 150% or such other percentage as determined by the Board of Directors of the Company (the “</w:t>
      </w:r>
      <w:r>
        <w:rPr>
          <w:rFonts w:ascii="Times New Roman" w:hAnsi="Times New Roman"/>
          <w:b/>
          <w:i/>
          <w:color w:val="000000"/>
          <w:sz w:val="24"/>
        </w:rPr>
        <w:t>Board</w:t>
      </w:r>
      <w:r>
        <w:rPr>
          <w:color w:val="000000"/>
        </w:rPr>
        <w:t>”</w:t>
      </w:r>
      <w:r>
        <w:rPr>
          <w:rFonts w:ascii="Times New Roman" w:hAnsi="Times New Roman"/>
          <w:color w:val="000000"/>
          <w:sz w:val="24"/>
        </w:rPr>
        <w:t xml:space="preserve">) (or a committee thereof). The Annual Bonus will be based upon the assessment of the Board (or a committee thereof) of Executive’s performance and the Company’s attainment of targeted goals over the applicable calendar year. The Annual Bonus, if any, will be subject to applicable payroll deductions and withholdings. The annual period over which performance is measured for purposes of the Annual Bonus is January 1 through December 31. Following the close of each calendar year, the Company will determine whether Executive has earned the Annual Bonus, and the amount of any Annual Bonus (which can be less than or more than the Target Percentage), based on the set criteria. No amount of the Annual Bonus is guaranteed, and, except as otherwise stated in Sections 6.1 and 6.2, Executive must be an employee in good standing on the Annual Bonus payment date to be eligible to receive an Annual Bonus and no partial or prorated bonuses will be provided. Executive’s eligibility for an Annual Bonus is subject to change in the discretion of the Board (or any authorized committee thereof). </w:t>
      </w:r>
      <w:r>
        <w:rPr>
          <w:rFonts w:ascii="Times New Roman" w:hAnsi="Times New Roman"/>
          <w:color w:val="000000"/>
          <w:sz w:val="23"/>
        </w:rPr>
        <w:t>Executive’s Annual Bonus, if any, attributable to 2024 shall be prorated for the number of days between the Start Date and December 31, 2024.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u w:val="single"/>
        </w:rPr>
        <w:t>Initial Equity Awards</w:t>
      </w:r>
      <w:r>
        <w:rPr>
          <w:rFonts w:ascii="Times New Roman" w:hAnsi="Times New Roman"/>
          <w:color w:val="000000"/>
          <w:sz w:val="24"/>
        </w:rPr>
        <w:t>. Within 30 days of Executive’s Start Date and subject to the approval of the Board or a committee of the Board, the Company will grant Executive the equity awards listed below. Any equity award will be subject to the terms, definitions, and provisions of any applicable equity plan or arrangement that may be in effect from time to time and any award grant notice or agreement by and between Executive and the Company.</w:t>
      </w:r>
    </w:p>
    <w:p>
      <w:pPr>
        <w:pStyle w:val="TextBody"/>
        <w:bidi w:val="0"/>
        <w:jc w:val="both"/>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Restricted stock units (“</w:t>
      </w:r>
      <w:r>
        <w:rPr>
          <w:rFonts w:ascii="Times New Roman" w:hAnsi="Times New Roman"/>
          <w:b/>
          <w:i/>
          <w:color w:val="000000"/>
          <w:sz w:val="24"/>
        </w:rPr>
        <w:t>RSU</w:t>
      </w:r>
      <w:r>
        <w:rPr>
          <w:color w:val="000000"/>
        </w:rPr>
        <w:t>”</w:t>
      </w:r>
      <w:r>
        <w:rPr>
          <w:rFonts w:ascii="Times New Roman" w:hAnsi="Times New Roman"/>
          <w:color w:val="000000"/>
          <w:sz w:val="24"/>
        </w:rPr>
        <w:t>) of the Company’s Class A common stock with a total value of $1,750,000 as of the grant date. The actual number of RSUs granted to Executive will be determined by dividing the value by the average closing price of the Company's Class A common stock over the 20 trading days prior to the grant date, rounded to the nearest whole number of shares. Provided Executive remains an employee of the Company, 60% of the RSUs will vest on the first anniversary of Executive’s Start Date, with 30% vesting on the second anniversary of such date and 10% vesting on the third anniversary of the Start Date;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A combination of restricted stock units and/or performance stock units (“</w:t>
      </w:r>
      <w:r>
        <w:rPr>
          <w:rFonts w:ascii="Times New Roman" w:hAnsi="Times New Roman"/>
          <w:b/>
          <w:i/>
          <w:color w:val="000000"/>
          <w:sz w:val="24"/>
        </w:rPr>
        <w:t>RSU/PSU</w:t>
      </w:r>
      <w:r>
        <w:rPr>
          <w:color w:val="000000"/>
        </w:rPr>
        <w:t>”</w:t>
      </w:r>
      <w:r>
        <w:rPr>
          <w:rFonts w:ascii="Times New Roman" w:hAnsi="Times New Roman"/>
          <w:color w:val="000000"/>
          <w:sz w:val="24"/>
        </w:rPr>
        <w:t>) of the Company’s Class A common stock with a total value of $1,750,000 as of the grant date and consistent with vesting and other terms for annual equity grants made to other executive officers of the Company. The actual number of RSUs and PSUs granted to Executive will be determined by the Board or a committee of the Board by dividing the value by the average closing price of the Company's Class A common stock over the 20 trading days prior to the grant date, rounded to the nearest whole number of shares.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pPr>
      <w:r>
        <w:rPr>
          <w:rFonts w:ascii="Times New Roman" w:hAnsi="Times New Roman"/>
          <w:b/>
          <w:color w:val="000000"/>
          <w:sz w:val="24"/>
          <w:u w:val="single"/>
        </w:rPr>
        <w:t>Future Equity Awards</w:t>
      </w:r>
      <w:r>
        <w:rPr>
          <w:rFonts w:ascii="Times New Roman" w:hAnsi="Times New Roman"/>
          <w:color w:val="000000"/>
          <w:sz w:val="24"/>
        </w:rPr>
        <w:t xml:space="preserve">. Executive remains eligible to be considered for future equity awards as may be determined by the Board or a committee of the Board in its discretion in accordance with the terms of any applicable equity plan or arrangement that may be in effect from time to time.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2.6</w:t>
      </w:r>
    </w:p>
    <w:p>
      <w:pPr>
        <w:pStyle w:val="TextBody"/>
        <w:bidi w:val="0"/>
        <w:spacing w:before="0" w:after="240"/>
        <w:jc w:val="both"/>
        <w:rPr/>
      </w:pPr>
      <w:r>
        <w:rPr>
          <w:rFonts w:ascii="Times New Roman" w:hAnsi="Times New Roman"/>
          <w:b/>
          <w:color w:val="000000"/>
          <w:sz w:val="24"/>
          <w:u w:val="single"/>
        </w:rPr>
        <w:t>Expense Reimbursement</w:t>
      </w:r>
      <w:r>
        <w:rPr>
          <w:rFonts w:ascii="Times New Roman" w:hAnsi="Times New Roman"/>
          <w:color w:val="000000"/>
          <w:sz w:val="24"/>
        </w:rPr>
        <w:t>. The Company will reimburse Executive for all reasonable, documented business expenses incurred in connection with Executive’s services hereunder, in accordance with the Company’s business expense reimbursement policies and procedures as may be in effect from time to time. For the avoidance of doubt, to the extent that any reimbursements payable to Executive are subject to the provisions of Section 409A (as defined below): (i) any such reimbursements will be paid no later than December 31 of the year following the year in which the expense was incurred, (ii) the amount of expenses reimbursed in one year will not affect the amount eligible for reimbursement in any subsequent year, and (iii) the right to reimbursement under this Agreement will not be subject to liquidation or exchange for another benefit.</w:t>
      </w:r>
    </w:p>
    <w:p>
      <w:pPr>
        <w:pStyle w:val="TextBody"/>
        <w:bidi w:val="0"/>
        <w:spacing w:before="0" w:after="0"/>
        <w:jc w:val="both"/>
        <w:rPr>
          <w:rFonts w:ascii="Times New Roman" w:hAnsi="Times New Roman"/>
          <w:b/>
          <w:caps/>
          <w:color w:val="000000"/>
          <w:sz w:val="24"/>
        </w:rPr>
      </w:pPr>
      <w:r>
        <w:rPr>
          <w:rFonts w:ascii="Times New Roman" w:hAnsi="Times New Roman"/>
          <w:b/>
          <w:caps/>
          <w:color w:val="000000"/>
          <w:sz w:val="24"/>
        </w:rPr>
        <w:t>3.</w:t>
      </w:r>
    </w:p>
    <w:p>
      <w:pPr>
        <w:pStyle w:val="TextBody"/>
        <w:bidi w:val="0"/>
        <w:jc w:val="both"/>
        <w:rPr/>
      </w:pPr>
      <w:r>
        <w:rPr>
          <w:rFonts w:ascii="Times New Roman" w:hAnsi="Times New Roman"/>
          <w:b/>
          <w:smallCaps/>
          <w:color w:val="000000"/>
          <w:sz w:val="24"/>
          <w:u w:val="single"/>
        </w:rPr>
        <w:t>Confidential Information, Inventions, Non-Solicitation, and Non-Competition Obligations</w:t>
      </w:r>
      <w:r>
        <w:rPr>
          <w:rFonts w:ascii="Times New Roman" w:hAnsi="Times New Roman"/>
          <w:b/>
          <w:smallCaps/>
          <w:color w:val="000000"/>
          <w:sz w:val="24"/>
        </w:rPr>
        <w:t>.</w:t>
      </w:r>
      <w:r>
        <w:rPr>
          <w:smallCaps/>
          <w:color w:val="000000"/>
        </w:rPr>
        <w:t xml:space="preserve"> </w:t>
      </w:r>
      <w:r>
        <w:rPr>
          <w:rFonts w:ascii="Times New Roman" w:hAnsi="Times New Roman"/>
          <w:color w:val="000000"/>
          <w:sz w:val="24"/>
        </w:rPr>
        <w:t>In connection with Executive’s continued employment with the Company, Executive will continue to receive and continue to have access to the Company’s confidential information and trade secrets. Accordingly, and in consideration of the benefits that Executive is eligible to receive under this Agreement, Executive agrees to sign the Company’s Employee Confidential Information and Inventions Assignment Agreement (the “</w:t>
      </w:r>
      <w:r>
        <w:rPr>
          <w:rFonts w:ascii="Times New Roman" w:hAnsi="Times New Roman"/>
          <w:b/>
          <w:i/>
          <w:color w:val="000000"/>
          <w:sz w:val="24"/>
        </w:rPr>
        <w:t>Confidential Information Agreement</w:t>
      </w:r>
      <w:r>
        <w:rPr>
          <w:color w:val="000000"/>
        </w:rPr>
        <w:t>”</w:t>
      </w:r>
      <w:r>
        <w:rPr>
          <w:rFonts w:ascii="Times New Roman" w:hAnsi="Times New Roman"/>
          <w:color w:val="000000"/>
          <w:sz w:val="24"/>
        </w:rPr>
        <w:t xml:space="preserve">) attached hereto as </w:t>
      </w:r>
      <w:r>
        <w:rPr>
          <w:rFonts w:ascii="Times New Roman" w:hAnsi="Times New Roman"/>
          <w:b/>
          <w:color w:val="000000"/>
          <w:sz w:val="24"/>
          <w:u w:val="single"/>
        </w:rPr>
        <w:t>Exhibit A</w:t>
      </w:r>
      <w:r>
        <w:rPr>
          <w:rFonts w:ascii="Times New Roman" w:hAnsi="Times New Roman"/>
          <w:color w:val="000000"/>
          <w:sz w:val="24"/>
        </w:rPr>
        <w:t>. The Confidential Information Agreement may be amended by the parties from time to time without regard to this Agreement. The Confidential Information</w:t>
      </w:r>
      <w:r>
        <w:rPr>
          <w:color w:val="000000"/>
        </w:rPr>
        <w:t xml:space="preserve"> </w:t>
      </w:r>
      <w:r>
        <w:rPr>
          <w:rFonts w:ascii="Times New Roman" w:hAnsi="Times New Roman"/>
          <w:color w:val="000000"/>
          <w:sz w:val="24"/>
        </w:rPr>
        <w:t>Agreement contains provisions that are intended by the parties to survive and do survive termination or expiration of this Agreement. Nothing in this Agreement or the Confidential Information Agreement prevents you from discussing or disclosing information about unlawful acts in the workplace, such as harassment or discrimination or any other conduct that you have reason to believe is unlawful.</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both"/>
        <w:rPr/>
      </w:pPr>
      <w:r>
        <w:rPr>
          <w:rFonts w:ascii="Times New Roman" w:hAnsi="Times New Roman"/>
          <w:b/>
          <w:smallCaps/>
          <w:color w:val="000000"/>
          <w:sz w:val="24"/>
          <w:u w:val="single"/>
        </w:rPr>
        <w:t>Outside Activities</w:t>
      </w:r>
      <w:r>
        <w:rPr>
          <w:rFonts w:ascii="Times New Roman" w:hAnsi="Times New Roman"/>
          <w:b/>
          <w:smallCaps/>
          <w:color w:val="000000"/>
          <w:sz w:val="24"/>
        </w:rPr>
        <w:t>.</w:t>
      </w:r>
      <w:r>
        <w:rPr>
          <w:color w:val="000000"/>
        </w:rPr>
        <w:t xml:space="preserve"> </w:t>
      </w:r>
      <w:r>
        <w:rPr>
          <w:rFonts w:ascii="Times New Roman" w:hAnsi="Times New Roman"/>
          <w:color w:val="000000"/>
          <w:sz w:val="24"/>
        </w:rPr>
        <w:t>Except with the prior written consent of the Board,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Executive’s participation in professional and academic activities; and (iv) such other activities as may be specifically approved by the Board. This restriction shall not, however, preclude Executive from managing personal investments or owning less than one percent (1%) of the total outstanding shares of a publicly-traded company.</w:t>
      </w:r>
    </w:p>
    <w:p>
      <w:pPr>
        <w:pStyle w:val="TextBody"/>
        <w:bidi w:val="0"/>
        <w:spacing w:before="0" w:after="0"/>
        <w:jc w:val="both"/>
        <w:rPr>
          <w:rFonts w:ascii="Times New Roman" w:hAnsi="Times New Roman"/>
          <w:b/>
          <w:caps/>
          <w:color w:val="000000"/>
          <w:sz w:val="24"/>
        </w:rPr>
      </w:pPr>
      <w:r>
        <w:rPr>
          <w:rFonts w:ascii="Times New Roman" w:hAnsi="Times New Roman"/>
          <w:b/>
          <w:caps/>
          <w:color w:val="000000"/>
          <w:sz w:val="24"/>
        </w:rPr>
        <w:t>5.</w:t>
      </w:r>
    </w:p>
    <w:p>
      <w:pPr>
        <w:pStyle w:val="TextBody"/>
        <w:bidi w:val="0"/>
        <w:jc w:val="both"/>
        <w:rPr/>
      </w:pPr>
      <w:r>
        <w:rPr>
          <w:rFonts w:ascii="Times New Roman" w:hAnsi="Times New Roman"/>
          <w:b/>
          <w:smallCaps/>
          <w:color w:val="000000"/>
          <w:sz w:val="24"/>
          <w:u w:val="single"/>
        </w:rPr>
        <w:t>No Conflict with Existing Obligations</w:t>
      </w:r>
      <w:r>
        <w:rPr>
          <w:rFonts w:ascii="Times New Roman" w:hAnsi="Times New Roman"/>
          <w:b/>
          <w:color w:val="000000"/>
          <w:sz w:val="24"/>
        </w:rPr>
        <w:t>.</w:t>
      </w:r>
      <w:r>
        <w:rPr>
          <w:color w:val="000000"/>
        </w:rPr>
        <w:t xml:space="preserve"> </w:t>
      </w:r>
      <w:r>
        <w:rPr>
          <w:rFonts w:ascii="Times New Roman" w:hAnsi="Times New Roman"/>
          <w:color w:val="000000"/>
          <w:sz w:val="24"/>
        </w:rPr>
        <w:t>Executive represents that Executive’s continued performance of all the terms of this Agreement and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pStyle w:val="TextBody"/>
        <w:bidi w:val="0"/>
        <w:jc w:val="both"/>
        <w:rPr/>
      </w:pPr>
      <w:r>
        <w:rPr/>
        <w:t> </w:t>
      </w:r>
    </w:p>
    <w:p>
      <w:pPr>
        <w:pStyle w:val="TextBody"/>
        <w:bidi w:val="0"/>
        <w:spacing w:before="0" w:after="0"/>
        <w:jc w:val="both"/>
        <w:rPr>
          <w:rFonts w:ascii="Times New Roman" w:hAnsi="Times New Roman"/>
          <w:b/>
          <w:caps/>
          <w:color w:val="000000"/>
          <w:sz w:val="24"/>
        </w:rPr>
      </w:pPr>
      <w:r>
        <w:rPr>
          <w:rFonts w:ascii="Times New Roman" w:hAnsi="Times New Roman"/>
          <w:b/>
          <w:caps/>
          <w:color w:val="000000"/>
          <w:sz w:val="24"/>
        </w:rPr>
        <w:t>6.</w:t>
      </w:r>
    </w:p>
    <w:p>
      <w:pPr>
        <w:pStyle w:val="TextBody"/>
        <w:bidi w:val="0"/>
        <w:jc w:val="both"/>
        <w:rPr/>
      </w:pPr>
      <w:r>
        <w:rPr>
          <w:rFonts w:ascii="Times New Roman" w:hAnsi="Times New Roman"/>
          <w:b/>
          <w:smallCaps/>
          <w:color w:val="000000"/>
          <w:sz w:val="24"/>
          <w:u w:val="single"/>
        </w:rPr>
        <w:t>Termination Of Employment</w:t>
      </w:r>
      <w:r>
        <w:rPr>
          <w:rFonts w:ascii="Times New Roman" w:hAnsi="Times New Roman"/>
          <w:b/>
          <w:color w:val="000000"/>
          <w:sz w:val="24"/>
        </w:rPr>
        <w:t>.</w:t>
      </w:r>
      <w:r>
        <w:rPr>
          <w:color w:val="000000"/>
        </w:rPr>
        <w:t xml:space="preserve"> </w:t>
      </w:r>
      <w:r>
        <w:rPr>
          <w:rFonts w:ascii="Times New Roman" w:hAnsi="Times New Roman"/>
          <w:color w:val="000000"/>
          <w:sz w:val="24"/>
        </w:rPr>
        <w:t>The parties acknowledge that Executive’s employment relationship with the Company continues to be at-will. Either Executive or the Company may terminate the employment relationship at any time, with or without Cause. The provisions in this Section govern the amount of compensation, if any, to be provided to Executive upon termination of employment and do not alter this at-will status.</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u w:val="single"/>
        </w:rPr>
        <w:t>Termination by the Company Without Cause or Resignation by Executive for Good Reason (not in Connection with a Change in Control)</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the right to terminate Executive’s employment with the Company pursuant to this Section 6.1 at any time without “Cause” (as defined in Section 6.3(a) below) by giving notice as described in Section 6.7 of this Agreement. A termination pursuant to Section 6.5 or 6.6 below is not a termination without “Cause” for purposes of receiving the Non-CIC Severance Benefits described in (and as defined in) this Section 6.1 or the CIC Severance Benefits described in (and as defined in) Section 6.2.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If the Company terminates Executive’s employment at any time without Cause or Executive terminates Executive’s employment with the Company for “Good Reason” (as defined in Section 6.1(g) below), in either case, at any time except during the Change in Control Measurement Period (both “Change in Control” and “Change in Control Measurement Period” as defined in Section 6.2 below), then Executive shall be entitled to receive the Accrued Obligations (defined in 6.1(d) below). If such termination without Cause or for Good Reason not occurring during the Change in Control Measurement Period constitutes a “separation from service” (as defined under Treasury Regulation Section 1.409A-1(h), without regard to any alternative definition thereunder, a “</w:t>
      </w:r>
      <w:r>
        <w:rPr>
          <w:rFonts w:ascii="Times New Roman" w:hAnsi="Times New Roman"/>
          <w:b/>
          <w:i/>
          <w:color w:val="000000"/>
          <w:sz w:val="24"/>
        </w:rPr>
        <w:t>Separation from Service</w:t>
      </w:r>
      <w:r>
        <w:rPr>
          <w:color w:val="000000"/>
        </w:rPr>
        <w:t>”</w:t>
      </w:r>
      <w:r>
        <w:rPr>
          <w:rFonts w:ascii="Times New Roman" w:hAnsi="Times New Roman"/>
          <w:color w:val="000000"/>
          <w:sz w:val="24"/>
        </w:rPr>
        <w:t>), and Executive complies with the obligations in Section 6.1(c) below, Executive shall also be eligible to receive the following “</w:t>
      </w:r>
      <w:r>
        <w:rPr>
          <w:rFonts w:ascii="Times New Roman" w:hAnsi="Times New Roman"/>
          <w:b/>
          <w:i/>
          <w:color w:val="000000"/>
          <w:sz w:val="24"/>
        </w:rPr>
        <w:t>Non-CIC Severance Benefits</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Company will pay Executive severance pay in the form of continuation of Executive’s then-current Base Salary for twelve (12) months (the “</w:t>
      </w:r>
      <w:r>
        <w:rPr>
          <w:rFonts w:ascii="Times New Roman" w:hAnsi="Times New Roman"/>
          <w:b/>
          <w:i/>
          <w:color w:val="000000"/>
          <w:sz w:val="24"/>
        </w:rPr>
        <w:t>Non-CIC Severance</w:t>
      </w:r>
      <w:r>
        <w:rPr>
          <w:color w:val="000000"/>
        </w:rPr>
        <w:t>”</w:t>
      </w:r>
      <w:r>
        <w:rPr>
          <w:rFonts w:ascii="Times New Roman" w:hAnsi="Times New Roman"/>
          <w:color w:val="000000"/>
          <w:sz w:val="24"/>
        </w:rPr>
        <w:t xml:space="preserve">). The Non-CIC Severance will be paid in substantially equal installments on the Company’s regular payroll schedule following the termination date, subject to standard deductions and withholdings;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no portion of the Non-CIC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twelve (12)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4"/>
        </w:rPr>
        <w:t>Non-CIC COBRA Payment Period</w:t>
      </w:r>
      <w:r>
        <w:rPr>
          <w:color w:val="000000"/>
        </w:rPr>
        <w:t>”</w:t>
      </w:r>
      <w:r>
        <w:rPr>
          <w:rFonts w:ascii="Times New Roman" w:hAnsi="Times New Roman"/>
          <w:color w:val="000000"/>
          <w:sz w:val="24"/>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Non-CIC COBRA Payment Period, a fully taxable cash payment equal to the COBRA or state continuation coverage premium for such month, subject to applicable tax withholding, for the remainder of the Non-CIC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The Company will pay Executive an amount equal to the Annual Bonus under Section 2.3 for the calendar year in which Executive’s termination occurs, prorated for the actual time worked in that calendar year through the Executive’s date of Separation of Service,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will be paid all of the Accrued Obligations on the Company’s first administratively feasible payroll date after Executive’s date of termination from employment or earlier if required by law. Executive shall receive the Non-CIC Severance Benefits pursuant to Section 6.1(b) or the CIC Severance Benefits pursuant to Section 6.2(a) of this Agreement if: (i) by the sixtieth (60th) day following the date of Executive’s Separation from </w:t>
      </w:r>
    </w:p>
    <w:p>
      <w:pPr>
        <w:pStyle w:val="TextBody"/>
        <w:bidi w:val="0"/>
        <w:jc w:val="both"/>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Service, Executive has signed and delivered to the Company a separation agreement containing an effective, general release of claims in favor of the Company and its affiliates and representatives, in the form presented by the Company (the “</w:t>
      </w:r>
      <w:r>
        <w:rPr>
          <w:rFonts w:ascii="Times New Roman" w:hAnsi="Times New Roman"/>
          <w:b/>
          <w:i/>
          <w:color w:val="000000"/>
          <w:sz w:val="24"/>
        </w:rPr>
        <w:t>Release</w:t>
      </w:r>
      <w:r>
        <w:rPr>
          <w:color w:val="000000"/>
        </w:rPr>
        <w:t>”</w:t>
      </w:r>
      <w:r>
        <w:rPr>
          <w:rFonts w:ascii="Times New Roman" w:hAnsi="Times New Roman"/>
          <w:color w:val="000000"/>
          <w:sz w:val="24"/>
        </w:rPr>
        <w:t>), which cannot be revoked in whole or part by such date (the date that the Release can no longer be revoked is referred to as the “</w:t>
      </w:r>
      <w:r>
        <w:rPr>
          <w:rFonts w:ascii="Times New Roman" w:hAnsi="Times New Roman"/>
          <w:b/>
          <w:i/>
          <w:color w:val="000000"/>
          <w:sz w:val="24"/>
        </w:rPr>
        <w:t>Release Effective Date</w:t>
      </w:r>
      <w:r>
        <w:rPr>
          <w:color w:val="000000"/>
        </w:rPr>
        <w:t>”</w:t>
      </w:r>
      <w:r>
        <w:rPr>
          <w:rFonts w:ascii="Times New Roman" w:hAnsi="Times New Roman"/>
          <w:color w:val="000000"/>
          <w:sz w:val="24"/>
        </w:rPr>
        <w:t>); and (ii) if Executive holds any other positions with the Company or any Affiliate, including a position on the Board, Executive resigns such position(s) to be effective no later than the date of Executive’s termination date (or such other date as requested by the Board); (iii) Executive returns all Company property; (iv) Executive complies with all post-termination obligations under this Agreement and the Confidential Information Agreement; and (v) Executive complies with the terms of the Release, including without limitation any non-disparagement and confidentiality provisions contained in the Release to the extent permitted by applicable law.</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i/>
          <w:color w:val="000000"/>
          <w:sz w:val="24"/>
        </w:rPr>
        <w:t>Accrued Obligations</w:t>
      </w:r>
      <w:r>
        <w:rPr>
          <w:color w:val="000000"/>
        </w:rPr>
        <w:t xml:space="preserve">” </w:t>
      </w:r>
      <w:r>
        <w:rPr>
          <w:rFonts w:ascii="Times New Roman" w:hAnsi="Times New Roman"/>
          <w:color w:val="000000"/>
          <w:sz w:val="24"/>
        </w:rPr>
        <w:t>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Non-CIC Severance Benefits provided to Executive pursuant to this Section 6.1 are in lieu of, and not in addition to, any benefits to which Executive may otherwise be entitled under any Company severance plan, policy, program, or prior agreement with the Company. For avoidance of doubt, Executive shall not be eligible for both the CIC Severance Benefits and the Non-CIC Severance Benefits.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damages caused by the termination of Executive’s employment without Cause not in connection with a Change in Control would be difficult to ascertain; therefore, the Non-CIC Severance Benefits for which Executive is eligible pursuant to Section 6.1(b) above in exchange for the Release is agreed to by the parties as liquidated damages, to serve as full compensation, and not a penalty.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i/>
          <w:color w:val="000000"/>
          <w:sz w:val="24"/>
        </w:rPr>
        <w:t>Good Reason</w:t>
      </w:r>
      <w:r>
        <w:rPr>
          <w:color w:val="000000"/>
        </w:rPr>
        <w:t xml:space="preserve">” </w:t>
      </w:r>
      <w:r>
        <w:rPr>
          <w:rFonts w:ascii="Times New Roman" w:hAnsi="Times New Roman"/>
          <w:color w:val="000000"/>
          <w:sz w:val="24"/>
        </w:rPr>
        <w:t xml:space="preserve">shall mean the occurrence of any of the following events without Executive’s consent: (i) a material reduction in Executive’s Base Salary of at least 10% unless such reduction is similarly affecting substantially all of the Company’s executive level employees; (ii) a material reduction in Executive’s duties, authority and responsibilities relative to Executive’s duties, authority, and responsibilities in effect immediately prior to such reduction, </w:t>
      </w:r>
      <w:r>
        <w:rPr>
          <w:rFonts w:ascii="Times New Roman" w:hAnsi="Times New Roman"/>
          <w:i/>
          <w:color w:val="000000"/>
          <w:sz w:val="24"/>
        </w:rPr>
        <w:t>provided, however</w:t>
      </w:r>
      <w:r>
        <w:rPr>
          <w:rFonts w:ascii="Times New Roman" w:hAnsi="Times New Roman"/>
          <w:color w:val="000000"/>
          <w:sz w:val="24"/>
        </w:rPr>
        <w:t xml:space="preserve">, that the conversion of the Company to a subsidiary, division or unit of an acquiring entity in connection with a change in control shall not be considered a material reduction under this Section 6.1(g)(ii); or (iii) the relocation of Executive’s principal place of employment, without Executive’s consent, in a manner that lengthens Executive’s one-way commute distance by fifty (50) or more miles from Executive’s then-current principal place of employment immediately prior to such relocation (disregarding, for this purpose, any required or permitted remote work due to the impact of COVID-19 or a similar occurrence); </w:t>
      </w:r>
      <w:r>
        <w:rPr>
          <w:rFonts w:ascii="Times New Roman" w:hAnsi="Times New Roman"/>
          <w:i/>
          <w:color w:val="000000"/>
          <w:sz w:val="24"/>
        </w:rPr>
        <w:t xml:space="preserve">provided, however, </w:t>
      </w:r>
      <w:r>
        <w:rPr>
          <w:rFonts w:ascii="Times New Roman" w:hAnsi="Times New Roman"/>
          <w:color w:val="000000"/>
          <w:sz w:val="24"/>
        </w:rPr>
        <w:t xml:space="preserve">that, any such termination by Executive shall only be deemed for Good Reason pursuant to this definition if: (1) Executive gives the Company written notice of Executive’s intent to terminate for Good Reason within thirty (30) days following the first occurrence of the condition(s) that Executive believes constitute(s) Good Reason, which notice </w:t>
      </w:r>
    </w:p>
    <w:p>
      <w:pPr>
        <w:pStyle w:val="TextBody"/>
        <w:bidi w:val="0"/>
        <w:jc w:val="both"/>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shall describe such condition(s); (2) the Company fails to remedy such condition(s) within thirty (30) days following receipt of the written notice (the “</w:t>
      </w:r>
      <w:r>
        <w:rPr>
          <w:rFonts w:ascii="Times New Roman" w:hAnsi="Times New Roman"/>
          <w:b/>
          <w:i/>
          <w:color w:val="000000"/>
          <w:sz w:val="24"/>
        </w:rPr>
        <w:t>Cure Period</w:t>
      </w:r>
      <w:r>
        <w:rPr>
          <w:color w:val="000000"/>
        </w:rPr>
        <w:t>”</w:t>
      </w:r>
      <w:r>
        <w:rPr>
          <w:rFonts w:ascii="Times New Roman" w:hAnsi="Times New Roman"/>
          <w:color w:val="000000"/>
          <w:sz w:val="24"/>
        </w:rPr>
        <w:t>); (3) the Company has not, prior to receiving such notice from Executive, already informed Executive that Executive’s employment with the Company is being terminated; and (4) Executive voluntarily terminates Executive’s employment within thirty (30) days following the end of the Cure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u w:val="single"/>
        </w:rPr>
        <w:t>Termination by the Company without Cause or Resignation by Executive for Good Reason (in connection with a Change in Control)</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In the event that Executive’s employment is terminated without Cause or Executive resigns for Good Reason, in either case, within three (3) months preceding and twelve (12) months following the effective date of a Change in Control (the “</w:t>
      </w:r>
      <w:r>
        <w:rPr>
          <w:rFonts w:ascii="Times New Roman" w:hAnsi="Times New Roman"/>
          <w:b/>
          <w:i/>
          <w:color w:val="000000"/>
          <w:sz w:val="24"/>
        </w:rPr>
        <w:t>Change in Control Measurement Period</w:t>
      </w:r>
      <w:r>
        <w:rPr>
          <w:color w:val="000000"/>
        </w:rPr>
        <w:t>”</w:t>
      </w:r>
      <w:r>
        <w:rPr>
          <w:rFonts w:ascii="Times New Roman" w:hAnsi="Times New Roman"/>
          <w:color w:val="000000"/>
          <w:sz w:val="24"/>
        </w:rPr>
        <w:t>) of the Company, then Executive shall be entitled to the Accrued Obligations and, subject to Executive’s full compliance with Section 6.1(c) above, including but not limited to the Release requirement and Executive’s continued compliance with obligations to the Company under Executive’s Confidential Information Agreement, then Executive will be eligible for the following “</w:t>
      </w:r>
      <w:r>
        <w:rPr>
          <w:rFonts w:ascii="Times New Roman" w:hAnsi="Times New Roman"/>
          <w:b/>
          <w:i/>
          <w:color w:val="000000"/>
          <w:sz w:val="24"/>
        </w:rPr>
        <w:t>CIC Severance Benefits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Company will pay Executive severance pay in the form of continuation of Executive’s then-current Base Salary for twelve (12) months (the “</w:t>
      </w:r>
      <w:r>
        <w:rPr>
          <w:rFonts w:ascii="Times New Roman" w:hAnsi="Times New Roman"/>
          <w:b/>
          <w:i/>
          <w:color w:val="000000"/>
          <w:sz w:val="24"/>
        </w:rPr>
        <w:t>CIC Severance</w:t>
      </w:r>
      <w:r>
        <w:rPr>
          <w:color w:val="000000"/>
        </w:rPr>
        <w:t>”</w:t>
      </w:r>
      <w:r>
        <w:rPr>
          <w:rFonts w:ascii="Times New Roman" w:hAnsi="Times New Roman"/>
          <w:color w:val="000000"/>
          <w:sz w:val="24"/>
        </w:rPr>
        <w:t xml:space="preserve">). The CIC Severance will be paid in substantially equal installments on the Company’s regular payroll schedule following the termination date, subject to standard deductions and withholdings;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that no portion of the 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twelve (12)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4"/>
        </w:rPr>
        <w:t>CIC COBRA Payment Period</w:t>
      </w:r>
      <w:r>
        <w:rPr>
          <w:color w:val="000000"/>
        </w:rPr>
        <w:t>”</w:t>
      </w:r>
      <w:r>
        <w:rPr>
          <w:rFonts w:ascii="Times New Roman" w:hAnsi="Times New Roman"/>
          <w:color w:val="000000"/>
          <w:sz w:val="24"/>
        </w:rPr>
        <w:t xml:space="preserve">)).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w:t>
      </w:r>
    </w:p>
    <w:p>
      <w:pPr>
        <w:pStyle w:val="TextBody"/>
        <w:bidi w:val="0"/>
        <w:jc w:val="both"/>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deprive Executive of Executive’s rights under COBRA (including the right to a COBRA premium subsidy under the American Rescue Plan Act of 2021, if applicable) or ERISA for benefits under plans and policies arising under Executive’s employment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The Company will make cash payment to Executive in an amount equal to one (1) times</w:t>
      </w:r>
      <w:r>
        <w:rPr>
          <w:color w:val="000000"/>
        </w:rPr>
        <w:t xml:space="preserve"> </w:t>
      </w:r>
      <w:r>
        <w:rPr>
          <w:rFonts w:ascii="Times New Roman" w:hAnsi="Times New Roman"/>
          <w:color w:val="000000"/>
          <w:sz w:val="24"/>
        </w:rPr>
        <w:t>the Target Percentage for the year in which the termination occurs, subject to standard deductions and withholdings, which will be paid in a lump sum on the sixtieth (60th) day following Executive’s date of Separation from Service;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3"/>
        </w:rPr>
        <w:t>The Company will pay Executive an amount equal to the Annual Bonus under Section 2.3 for the calendar year in which Executive’s termination occurs, prorated for the actual time worked in that calendar year through the Executive’s date of Separation of Service,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Effective as of Executive’s termination date, the vesting and exercisability of all outstanding equity awards that are held by Executive immediately prior to the termination date (if any) shall be accelerated in full. Any equity awards with performance-based vesting requirements that are to accelerate, shall be accelerated as if any performance metrics were achieved at 100%.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For purposes of this Agreement, a “</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shall have the meaning set forth in the Company’s 2021 Equity Incentive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CIC Severance Benefits provided to Executive pursuant to this Section 6.2 are in lieu of, and not in addition to, any benefits to which Executive may otherwise be entitled under any Company severance plan, policy or program.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damages caused by the termination of Executive’s employment without Cause during the Change in Control Measurement Period would be difficult to ascertain; therefore, the CIC Severance Benefits for which Executive is eligible pursuant to Section 6.2(a) above in exchange for the Release are agreed to by the parties as liquidated damages, to serve as full compensation, and not a penalty.</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6.3</w:t>
      </w:r>
    </w:p>
    <w:p>
      <w:pPr>
        <w:pStyle w:val="TextBody"/>
        <w:bidi w:val="0"/>
        <w:jc w:val="both"/>
        <w:rPr/>
      </w:pPr>
      <w:r>
        <w:rPr>
          <w:rFonts w:ascii="Times New Roman" w:hAnsi="Times New Roman"/>
          <w:b/>
          <w:color w:val="000000"/>
          <w:sz w:val="24"/>
          <w:u w:val="single"/>
        </w:rPr>
        <w:t>Termination by the Company for Cause</w:t>
      </w: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Subject to Section 6.3(b) below, the Company shall have the right to terminate Executive’s employment with the Company at any time for Cause by giving notice as described in Section 6.7 of this Agreement.</w:t>
      </w:r>
      <w:r>
        <w:rPr>
          <w:rFonts w:ascii="Times New Roman" w:hAnsi="Times New Roman"/>
          <w:color w:val="000000"/>
          <w:sz w:val="20"/>
        </w:rPr>
        <w:t xml:space="preserve">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w:t>
      </w:r>
    </w:p>
    <w:p>
      <w:pPr>
        <w:pStyle w:val="TextBody"/>
        <w:bidi w:val="0"/>
        <w:jc w:val="both"/>
        <w:rPr/>
      </w:pPr>
      <w:r>
        <w:rPr>
          <w:color w:val="000000"/>
        </w:rPr>
        <w:t>“</w:t>
      </w:r>
      <w:r>
        <w:rPr>
          <w:rFonts w:ascii="Times New Roman" w:hAnsi="Times New Roman"/>
          <w:b/>
          <w:i/>
          <w:color w:val="000000"/>
          <w:sz w:val="24"/>
        </w:rPr>
        <w:t>Cause</w:t>
      </w:r>
      <w:r>
        <w:rPr>
          <w:color w:val="000000"/>
        </w:rPr>
        <w:t xml:space="preserve">” </w:t>
      </w:r>
      <w:r>
        <w:rPr>
          <w:rFonts w:ascii="Times New Roman" w:hAnsi="Times New Roman"/>
          <w:color w:val="000000"/>
          <w:sz w:val="24"/>
        </w:rPr>
        <w:t xml:space="preserve">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immoral or disreputable conduct; (iii) any conduct which constitutes a felony under applicable law; (iv) material violation of any Company </w:t>
      </w:r>
    </w:p>
    <w:p>
      <w:pPr>
        <w:pStyle w:val="TextBody"/>
        <w:bidi w:val="0"/>
        <w:jc w:val="both"/>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policy or any act of misconduct; (v) refusal to follow or implement a clear and reasonable directive of the Company; (vi) negligence or incompetence in the performance of Executive’s duties after the expiration of ten (10) days without cure after written notice of such failure; or (vii) breach of fiduciary duty. For the avoidance of doubt, if the Company determines after Executive’s termination date that it would have had a basis to terminate Executive’s employment for Cause prior to Executive’s departure, then any obligation that the Company otherwise had to provide Executive with the Non-CIC Severance Benefits or the CIC Severance Benefits will immediately cease and Executive will be required to repay the Company for any portion of the Non-CIC Severance Benefits or the CIC Severance Benefits provided by the Company as of such date of notice from the Company (net of tax), to be repaid by Executive within thirty (30) days of demand by the Company.</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Executive’s employment is terminated at any time for Cause, Executive will not receive the Non-CIC Severance Benefits, the CIC Severance Benefits, or any other severance compensation or benefit, except that, consistent with the Company’s standard payroll policies, the Company shall provide to Executive the Accrued Obligations.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6.4</w:t>
      </w:r>
    </w:p>
    <w:p>
      <w:pPr>
        <w:pStyle w:val="TextBody"/>
        <w:bidi w:val="0"/>
        <w:spacing w:before="0" w:after="240"/>
        <w:jc w:val="both"/>
        <w:rPr/>
      </w:pPr>
      <w:r>
        <w:rPr>
          <w:rFonts w:ascii="Times New Roman" w:hAnsi="Times New Roman"/>
          <w:b/>
          <w:color w:val="000000"/>
          <w:sz w:val="24"/>
          <w:u w:val="single"/>
        </w:rPr>
        <w:t>Resignation by Executive (other than for Good Reason)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may resign for any reason from Executive’s employment with the Company at any time by giving notice as described in Section 6.7.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Executive resigns from Executive’s employment with the Company (other than for Good Reason), Executive will not receive the Non-CIC Severance Benefits, the CIC Severance Benefits, or any other severance compensation or benefit, except that, consistent with the Company’s standard payroll policies, the Company shall provide to Executive the Accrued Obligations.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6.5</w:t>
      </w:r>
    </w:p>
    <w:p>
      <w:pPr>
        <w:pStyle w:val="TextBody"/>
        <w:bidi w:val="0"/>
        <w:spacing w:before="0" w:after="240"/>
        <w:jc w:val="both"/>
        <w:rPr/>
      </w:pPr>
      <w:r>
        <w:rPr>
          <w:rFonts w:ascii="Times New Roman" w:hAnsi="Times New Roman"/>
          <w:b/>
          <w:color w:val="000000"/>
          <w:sz w:val="24"/>
          <w:u w:val="single"/>
        </w:rPr>
        <w:t>Termination by Virtue of Death or Disability of Executive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be eligible for the Non-CIC Severance Benefits, the CIC Severance Benefits, or any other severance compensation or benefit.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Subject to applicable state and federal law, the Company shall at all times have the right, upon written notice to the Executive, to terminate this Agreement based on Executive’s Disability (as defined below). Termination by the Company of Executive’s employment based on “</w:t>
      </w:r>
      <w:r>
        <w:rPr>
          <w:rFonts w:ascii="Times New Roman" w:hAnsi="Times New Roman"/>
          <w:b/>
          <w:i/>
          <w:color w:val="000000"/>
          <w:sz w:val="24"/>
        </w:rPr>
        <w:t>Disability</w:t>
      </w:r>
      <w:r>
        <w:rPr>
          <w:color w:val="000000"/>
        </w:rPr>
        <w:t xml:space="preserve">” </w:t>
      </w:r>
      <w:r>
        <w:rPr>
          <w:rFonts w:ascii="Times New Roman" w:hAnsi="Times New Roman"/>
          <w:color w:val="000000"/>
          <w:sz w:val="24"/>
        </w:rPr>
        <w:t xml:space="preserve">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w:t>
      </w:r>
    </w:p>
    <w:p>
      <w:pPr>
        <w:pStyle w:val="TextBody"/>
        <w:bidi w:val="0"/>
        <w:jc w:val="both"/>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Disability, Executive will not receive the Non-CIC Severance Benefits, the CIC Severance Benefits, or any other severance compensation or benefit, except that, pursuant to the Company’s standard payroll policies, the Company shall provide to Executive the Accrued Obligations.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6.6</w:t>
      </w:r>
    </w:p>
    <w:p>
      <w:pPr>
        <w:pStyle w:val="TextBody"/>
        <w:bidi w:val="0"/>
        <w:spacing w:before="0" w:after="240"/>
        <w:jc w:val="both"/>
        <w:rPr/>
      </w:pPr>
      <w:r>
        <w:rPr>
          <w:rFonts w:ascii="Times New Roman" w:hAnsi="Times New Roman"/>
          <w:b/>
          <w:color w:val="000000"/>
          <w:sz w:val="24"/>
          <w:u w:val="single"/>
        </w:rPr>
        <w:t>Notice; Effective Date of Termination</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Termination of Executive’s employment pursuant to this Agreement shall be effective on the earliest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after the Company gives notice to Executive of Executive’s termination, with or without Cause, unless pursuant to Section 6.3(a)(vi) in which case ten (10) days after notice if not cured, or unless the Company specifies a later date, in which case, termination shall be effective as of such later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upon Executive’s death;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immediately after the Company gives written notice to Executive of Executive’s termination on account of Executive’s Disability, unless the Company specifies a later separation date, in which case, termination shall be effective as of such later separation date,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Executive has not returned to the full-time performance of Executive’s duties prior to such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except as addressed by Section 6.7(a)(v), thirty (30) days after Executive gives written notice to the Company of Executive’s resignation for any reason, </w:t>
      </w:r>
      <w:r>
        <w:rPr>
          <w:rFonts w:ascii="Times New Roman" w:hAnsi="Times New Roman"/>
          <w:i/>
          <w:color w:val="000000"/>
          <w:sz w:val="24"/>
        </w:rPr>
        <w:t xml:space="preserve">provided </w:t>
      </w:r>
      <w:r>
        <w:rPr>
          <w:rFonts w:ascii="Times New Roman" w:hAnsi="Times New Roman"/>
          <w:color w:val="000000"/>
          <w:sz w:val="24"/>
        </w:rPr>
        <w:t>that the Company may set a separation date at any time between the date of notice and the date of resignation, in which case Executive’s resignation shall be effective as of such other date. Executive will receive compensation through any required notice period;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 termination for Good Reason, immediately upon Executive’s full satisfaction of the requirements of Section 6.1(g).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notice of a termination under subsection (a)(i)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6.7</w:t>
      </w:r>
    </w:p>
    <w:p>
      <w:pPr>
        <w:pStyle w:val="TextBody"/>
        <w:bidi w:val="0"/>
        <w:spacing w:before="0" w:after="240"/>
        <w:jc w:val="both"/>
        <w:rPr/>
      </w:pPr>
      <w:r>
        <w:rPr>
          <w:rFonts w:ascii="Times New Roman" w:hAnsi="Times New Roman"/>
          <w:b/>
          <w:color w:val="000000"/>
          <w:sz w:val="24"/>
          <w:u w:val="single"/>
        </w:rPr>
        <w:t>Cooperation With Company After Termination of Employment</w:t>
      </w:r>
      <w:r>
        <w:rPr>
          <w:rFonts w:ascii="Times New Roman" w:hAnsi="Times New Roman"/>
          <w:color w:val="000000"/>
          <w:sz w:val="24"/>
        </w:rPr>
        <w:t>. Following termination of 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6.8</w:t>
      </w:r>
    </w:p>
    <w:p>
      <w:pPr>
        <w:pStyle w:val="TextBody"/>
        <w:bidi w:val="0"/>
        <w:spacing w:before="0" w:after="240"/>
        <w:jc w:val="both"/>
        <w:rPr/>
      </w:pPr>
      <w:r>
        <w:rPr>
          <w:rFonts w:ascii="Times New Roman" w:hAnsi="Times New Roman"/>
          <w:b/>
          <w:color w:val="000000"/>
          <w:sz w:val="24"/>
          <w:u w:val="single"/>
        </w:rPr>
        <w:t>Effect of Termination</w:t>
      </w:r>
      <w:r>
        <w:rPr>
          <w:rFonts w:ascii="Times New Roman" w:hAnsi="Times New Roman"/>
          <w:color w:val="000000"/>
          <w:sz w:val="24"/>
        </w:rPr>
        <w:t>. Executive agrees that should Executive’s employment be terminated for any reason, Executive shall be deemed to have resigned from any and all positions with the Company and its subsidiaries.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6.9</w:t>
      </w:r>
    </w:p>
    <w:p>
      <w:pPr>
        <w:pStyle w:val="TextBody"/>
        <w:bidi w:val="0"/>
        <w:spacing w:before="0" w:after="240"/>
        <w:jc w:val="both"/>
        <w:rPr/>
      </w:pPr>
      <w:r>
        <w:rPr>
          <w:rFonts w:ascii="Times New Roman" w:hAnsi="Times New Roman"/>
          <w:b/>
          <w:color w:val="000000"/>
          <w:sz w:val="24"/>
          <w:u w:val="single"/>
        </w:rPr>
        <w:t>Application of Section 409A</w:t>
      </w:r>
      <w:r>
        <w:rPr>
          <w:rFonts w:ascii="Times New Roman" w:hAnsi="Times New Roman"/>
          <w:color w:val="000000"/>
          <w:sz w:val="24"/>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It is intended that all of the compensation payable under this Agreement, to the greatest extent possible, either complies with the requirements of Section 409A of the Internal Revenue Code of 1986, as amended (the “</w:t>
      </w:r>
      <w:r>
        <w:rPr>
          <w:rFonts w:ascii="Times New Roman" w:hAnsi="Times New Roman"/>
          <w:b/>
          <w:i/>
          <w:color w:val="000000"/>
          <w:sz w:val="24"/>
        </w:rPr>
        <w:t>Code</w:t>
      </w:r>
      <w:r>
        <w:rPr>
          <w:color w:val="000000"/>
        </w:rPr>
        <w:t>”</w:t>
      </w:r>
      <w:r>
        <w:rPr>
          <w:rFonts w:ascii="Times New Roman" w:hAnsi="Times New Roman"/>
          <w:color w:val="000000"/>
          <w:sz w:val="24"/>
        </w:rPr>
        <w:t>) and the regulations and other guidance thereunder and any state law of similar effect (collectively, “</w:t>
      </w:r>
      <w:r>
        <w:rPr>
          <w:rFonts w:ascii="Times New Roman" w:hAnsi="Times New Roman"/>
          <w:b/>
          <w:i/>
          <w:color w:val="000000"/>
          <w:sz w:val="24"/>
        </w:rPr>
        <w:t>Section 409A</w:t>
      </w:r>
      <w:r>
        <w:rPr>
          <w:color w:val="000000"/>
        </w:rPr>
        <w:t>”</w:t>
      </w:r>
      <w:r>
        <w:rPr>
          <w:rFonts w:ascii="Times New Roman" w:hAnsi="Times New Roman"/>
          <w:color w:val="000000"/>
          <w:sz w:val="24"/>
        </w:rPr>
        <w:t xml:space="preserve">) or satisfies one or more of the exemptions from the application of Section 409A, and this Agreement will be construed in a manner consistent with such intention, incorporating by reference all required definitions and payment terms.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severance payments will be made under this Agreement unless Executive’s termination of employment constitutes a Separation from Service.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that any severance payments are deferred compensation under Section 409A, and are not otherwise exempt from the application of Section 409A, then, to the extent required to comply with Section 409A, if the period during which Executive may consider and sign the Release spans two calendar years, the severance payments 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6.10(c); and (ii) commence paying the balance of the severance benefits in accordance with the applicable payment schedule set forth in Sections 6.1 and 6.2. No interest shall be due on any amounts deferred pursuant to this Section 6.10(c).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pStyle w:val="TextBody"/>
        <w:bidi w:val="0"/>
        <w:jc w:val="both"/>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6.10</w:t>
      </w:r>
    </w:p>
    <w:p>
      <w:pPr>
        <w:pStyle w:val="TextBody"/>
        <w:bidi w:val="0"/>
        <w:spacing w:before="0" w:after="240"/>
        <w:jc w:val="both"/>
        <w:rPr/>
      </w:pPr>
      <w:r>
        <w:rPr>
          <w:rFonts w:ascii="Times New Roman" w:hAnsi="Times New Roman"/>
          <w:b/>
          <w:color w:val="000000"/>
          <w:sz w:val="24"/>
          <w:u w:val="single"/>
        </w:rPr>
        <w:t>Excise Tax Adjustment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If any payment or benefit Executive will or may receive from the Company or otherwise (a “</w:t>
      </w:r>
      <w:r>
        <w:rPr>
          <w:rFonts w:ascii="Times New Roman" w:hAnsi="Times New Roman"/>
          <w:b/>
          <w:i/>
          <w:color w:val="000000"/>
          <w:sz w:val="24"/>
        </w:rPr>
        <w:t>280G Payment</w:t>
      </w:r>
      <w:r>
        <w:rPr>
          <w:color w:val="000000"/>
        </w:rPr>
        <w:t>”</w:t>
      </w:r>
      <w:r>
        <w:rPr>
          <w:rFonts w:ascii="Times New Roman" w:hAnsi="Times New Roman"/>
          <w:color w:val="000000"/>
          <w:sz w:val="24"/>
        </w:rPr>
        <w:t>) would (i) constitute a “parachute payment” within the meaning of Section 280G of the Code, and (ii) but for this Section, be subject to the excise tax imposed by Section 4999 of the Code (the “</w:t>
      </w:r>
      <w:r>
        <w:rPr>
          <w:rFonts w:ascii="Times New Roman" w:hAnsi="Times New Roman"/>
          <w:b/>
          <w:i/>
          <w:color w:val="000000"/>
          <w:sz w:val="24"/>
        </w:rPr>
        <w:t>Excise Tax</w:t>
      </w:r>
      <w:r>
        <w:rPr>
          <w:color w:val="000000"/>
        </w:rPr>
        <w:t>”</w:t>
      </w:r>
      <w:r>
        <w:rPr>
          <w:rFonts w:ascii="Times New Roman" w:hAnsi="Times New Roman"/>
          <w:color w:val="000000"/>
          <w:sz w:val="24"/>
        </w:rPr>
        <w:t>), then any such 280G Payment provided pursuant to this Agreement (a “</w:t>
      </w:r>
      <w:r>
        <w:rPr>
          <w:rFonts w:ascii="Times New Roman" w:hAnsi="Times New Roman"/>
          <w:b/>
          <w:i/>
          <w:color w:val="000000"/>
          <w:sz w:val="24"/>
        </w:rPr>
        <w:t>Payment</w:t>
      </w:r>
      <w:r>
        <w:rPr>
          <w:color w:val="000000"/>
        </w:rPr>
        <w:t>”</w:t>
      </w:r>
      <w:r>
        <w:rPr>
          <w:rFonts w:ascii="Times New Roman" w:hAnsi="Times New Roman"/>
          <w:color w:val="000000"/>
          <w:sz w:val="24"/>
        </w:rPr>
        <w:t>) shall be equal to the Reduced Amount. The “</w:t>
      </w:r>
      <w:r>
        <w:rPr>
          <w:rFonts w:ascii="Times New Roman" w:hAnsi="Times New Roman"/>
          <w:b/>
          <w:i/>
          <w:color w:val="000000"/>
          <w:sz w:val="24"/>
        </w:rPr>
        <w:t>Reduced Amount</w:t>
      </w:r>
      <w:r>
        <w:rPr>
          <w:color w:val="000000"/>
        </w:rPr>
        <w:t xml:space="preserve">” </w:t>
      </w:r>
      <w:r>
        <w:rPr>
          <w:rFonts w:ascii="Times New Roman" w:hAnsi="Times New Roman"/>
          <w:color w:val="000000"/>
          <w:sz w:val="24"/>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color w:val="000000"/>
          <w:sz w:val="24"/>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b/>
          <w:i/>
          <w:color w:val="000000"/>
          <w:sz w:val="24"/>
        </w:rPr>
        <w:t>Pro Rata Reduction Method</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Notwithstanding any provision of this Section 6.11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hAnsi="Times New Roman"/>
          <w:i/>
          <w:color w:val="000000"/>
          <w:sz w:val="24"/>
        </w:rPr>
        <w:t>e.g.</w:t>
      </w:r>
      <w:r>
        <w:rPr>
          <w:rFonts w:ascii="Times New Roman" w:hAnsi="Times New Roman"/>
          <w:color w:val="000000"/>
          <w:sz w:val="24"/>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6.11.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pStyle w:val="TextBody"/>
        <w:bidi w:val="0"/>
        <w:jc w:val="both"/>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Executive receives a Payment for which the Reduced Amount was determined pursuant to clause (x) of Section 6.11(a) and the Internal Revenue Service determines thereafter that some portion of the Payment is subject to the Excise Tax, Executive agrees to promptly return to the Company a sufficient amount of the Payment (after reduction pursuant to clause (x) of Section 6.11(a)) so that no portion of the remaining Payment is subject to the Excise Tax. For the avoidance of doubt, if the Reduced Amount was determined pursuant to clause (y) of Section 6.11(a), Executive shall have no obligation to return any portion of the Payment pursuant to the preceding sentence.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both"/>
        <w:rPr/>
      </w:pPr>
      <w:r>
        <w:rPr>
          <w:rFonts w:ascii="Times New Roman" w:hAnsi="Times New Roman"/>
          <w:b/>
          <w:smallCaps/>
          <w:color w:val="000000"/>
          <w:sz w:val="24"/>
          <w:u w:val="single"/>
        </w:rPr>
        <w:t>General Provisions</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pPr>
      <w:r>
        <w:rPr>
          <w:rFonts w:ascii="Times New Roman" w:hAnsi="Times New Roman"/>
          <w:b/>
          <w:color w:val="000000"/>
          <w:sz w:val="24"/>
          <w:u w:val="single"/>
        </w:rPr>
        <w:t>Notices</w:t>
      </w:r>
      <w:r>
        <w:rPr>
          <w:rFonts w:ascii="Times New Roman" w:hAnsi="Times New Roman"/>
          <w:color w:val="000000"/>
          <w:sz w:val="24"/>
        </w:rPr>
        <w:t>. Any notices required hereunder to be in writing shall be deemed effectively given: (a) upon personal delivery to the party to be notified, (b) when sent by electronic mail, telex or confirmed facsimile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Executive at Executive’s address as listed on the Company payroll or Executive’s Company-provided email address, or at such other address as the Company or Executive may designate by ten (10) days’ advance written notice to the other.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u w:val="single"/>
        </w:rPr>
        <w:t>Severability</w:t>
      </w:r>
      <w:r>
        <w:rPr>
          <w:rFonts w:ascii="Times New Roman" w:hAnsi="Times New Roman"/>
          <w:color w:val="000000"/>
          <w:sz w:val="24"/>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pPr>
      <w:r>
        <w:rPr>
          <w:rFonts w:ascii="Times New Roman" w:hAnsi="Times New Roman"/>
          <w:b/>
          <w:color w:val="000000"/>
          <w:sz w:val="24"/>
          <w:u w:val="single"/>
        </w:rPr>
        <w:t>Waiver</w:t>
      </w:r>
      <w:r>
        <w:rPr>
          <w:rFonts w:ascii="Times New Roman" w:hAnsi="Times New Roman"/>
          <w:color w:val="000000"/>
          <w:sz w:val="24"/>
        </w:rPr>
        <w:t>. If either party should waive any breach of any provisions of this Agreement, Executive or it shall not thereby be deemed to have waived any preceding or succeeding breach of the same or any other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0" w:after="240"/>
        <w:jc w:val="both"/>
        <w:rPr/>
      </w:pPr>
      <w:r>
        <w:rPr>
          <w:rFonts w:ascii="Times New Roman" w:hAnsi="Times New Roman"/>
          <w:b/>
          <w:color w:val="000000"/>
          <w:sz w:val="24"/>
          <w:u w:val="single"/>
        </w:rPr>
        <w:t>Complete Agreement</w:t>
      </w:r>
      <w:r>
        <w:rPr>
          <w:rFonts w:ascii="Times New Roman" w:hAnsi="Times New Roman"/>
          <w:color w:val="000000"/>
          <w:sz w:val="24"/>
        </w:rPr>
        <w:t>. This Agreement constitutes the entire agreement between Executive and the Company with regard to the 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or are entering into a separate Confidential Information Agreement in connection herewith and have or may enter into separate agreements related to equity awards.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pStyle w:val="TextBody"/>
        <w:bidi w:val="0"/>
        <w:jc w:val="both"/>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0" w:after="240"/>
        <w:jc w:val="both"/>
        <w:rPr/>
      </w:pPr>
      <w:r>
        <w:rPr>
          <w:rFonts w:ascii="Times New Roman" w:hAnsi="Times New Roman"/>
          <w:b/>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but all of which taken together will constitute one and the same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7.6</w:t>
      </w:r>
    </w:p>
    <w:p>
      <w:pPr>
        <w:pStyle w:val="TextBody"/>
        <w:bidi w:val="0"/>
        <w:spacing w:before="0" w:after="240"/>
        <w:jc w:val="both"/>
        <w:rPr/>
      </w:pPr>
      <w:r>
        <w:rPr>
          <w:rFonts w:ascii="Times New Roman" w:hAnsi="Times New Roman"/>
          <w:b/>
          <w:color w:val="000000"/>
          <w:sz w:val="24"/>
          <w:u w:val="single"/>
        </w:rPr>
        <w:t>Headings</w:t>
      </w:r>
      <w:r>
        <w:rPr>
          <w:rFonts w:ascii="Times New Roman" w:hAnsi="Times New Roman"/>
          <w:color w:val="000000"/>
          <w:sz w:val="24"/>
        </w:rPr>
        <w:t>. The headings of the sections hereof are inserted for convenience only and shall not be deemed to constitute a part hereof nor to affect the meaning thereof.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7.7</w:t>
      </w:r>
    </w:p>
    <w:p>
      <w:pPr>
        <w:pStyle w:val="TextBody"/>
        <w:bidi w:val="0"/>
        <w:spacing w:before="0" w:after="240"/>
        <w:jc w:val="both"/>
        <w:rPr/>
      </w:pPr>
      <w:r>
        <w:rPr>
          <w:rFonts w:ascii="Times New Roman" w:hAnsi="Times New Roman"/>
          <w:b/>
          <w:color w:val="000000"/>
          <w:sz w:val="24"/>
          <w:u w:val="single"/>
        </w:rPr>
        <w:t>Successors and Assigns</w:t>
      </w:r>
      <w:r>
        <w:rPr>
          <w:rFonts w:ascii="Times New Roman" w:hAnsi="Times New Roman"/>
          <w:color w:val="000000"/>
          <w:sz w:val="24"/>
        </w:rPr>
        <w:t xml:space="preserve">.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7.8</w:t>
      </w:r>
    </w:p>
    <w:p>
      <w:pPr>
        <w:pStyle w:val="TextBody"/>
        <w:bidi w:val="0"/>
        <w:spacing w:before="0" w:after="240"/>
        <w:jc w:val="both"/>
        <w:rPr/>
      </w:pPr>
      <w:r>
        <w:rPr>
          <w:rFonts w:ascii="Times New Roman" w:hAnsi="Times New Roman"/>
          <w:b/>
          <w:color w:val="000000"/>
          <w:sz w:val="24"/>
          <w:u w:val="single"/>
        </w:rPr>
        <w:t>Choice of Law</w:t>
      </w:r>
      <w:r>
        <w:rPr>
          <w:rFonts w:ascii="Times New Roman" w:hAnsi="Times New Roman"/>
          <w:color w:val="000000"/>
          <w:sz w:val="24"/>
        </w:rPr>
        <w:t>. All questions concerning the construction, validity and interpretation of this Agreement will be governed by the law of the State of California.</w:t>
      </w:r>
    </w:p>
    <w:p>
      <w:pPr>
        <w:pStyle w:val="TextBody"/>
        <w:bidi w:val="0"/>
        <w:spacing w:before="0" w:after="120"/>
        <w:jc w:val="center"/>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have executed this Employment Agreement on the day and year first written above.</w:t>
      </w:r>
    </w:p>
    <w:p>
      <w:pPr>
        <w:pStyle w:val="TextBody"/>
        <w:bidi w:val="0"/>
        <w:jc w:val="both"/>
        <w:rPr>
          <w:rFonts w:ascii="Times New Roman" w:hAnsi="Times New Roman"/>
          <w:sz w:val="20"/>
        </w:rPr>
      </w:pPr>
      <w:r>
        <w:rPr>
          <w:rFonts w:ascii="Times New Roman" w:hAnsi="Times New Roman"/>
          <w:b/>
          <w:smallCaps/>
          <w:color w:val="000000"/>
          <w:sz w:val="24"/>
        </w:rPr>
        <w:t>Xometry, Inc.</w:t>
      </w:r>
      <w:r>
        <w:rPr>
          <w:rFonts w:ascii="Times New Roman" w:hAnsi="Times New Roman"/>
          <w:smallCaps/>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jc w:val="both"/>
        <w:rPr>
          <w:rFonts w:ascii="Times New Roman" w:hAnsi="Times New Roman"/>
          <w:color w:val="000000"/>
          <w:sz w:val="24"/>
        </w:rPr>
      </w:pPr>
      <w:r>
        <w:rPr>
          <w:rFonts w:ascii="Times New Roman" w:hAnsi="Times New Roman"/>
          <w:color w:val="000000"/>
          <w:sz w:val="24"/>
        </w:rPr>
        <w:t>Name: Randy Altschuler</w:t>
      </w:r>
    </w:p>
    <w:p>
      <w:pPr>
        <w:pStyle w:val="TextBody"/>
        <w:bidi w:val="0"/>
        <w:jc w:val="both"/>
        <w:rPr>
          <w:rFonts w:ascii="Times New Roman" w:hAnsi="Times New Roman"/>
          <w:color w:val="000000"/>
          <w:sz w:val="24"/>
        </w:rPr>
      </w:pPr>
      <w:r>
        <w:rPr>
          <w:rFonts w:ascii="Times New Roman" w:hAnsi="Times New Roman"/>
          <w:color w:val="000000"/>
          <w:sz w:val="24"/>
        </w:rPr>
        <w:t>Title: CEO</w:t>
      </w:r>
    </w:p>
    <w:p>
      <w:pPr>
        <w:pStyle w:val="TextBody"/>
        <w:bidi w:val="0"/>
        <w:spacing w:before="0" w:after="36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Executive:</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James Miln</w:t>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rFonts w:ascii="Times New Roman" w:hAnsi="Times New Roman"/>
          <w:b/>
          <w:caps/>
          <w:color w:val="000000"/>
          <w:sz w:val="24"/>
        </w:rPr>
      </w:pPr>
      <w:r>
        <w:rPr>
          <w:rFonts w:ascii="Times New Roman" w:hAnsi="Times New Roman"/>
          <w:b/>
          <w:caps/>
          <w:color w:val="000000"/>
          <w:sz w:val="24"/>
        </w:rPr>
        <w:t>Employee Confidential Information AND INVENTIONS Agreement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HorizontalLine"/>
        <w:pBdr>
          <w:bottom w:val="double" w:sz="2" w:space="0" w:color="808080"/>
        </w:pBdr>
        <w:bidi w:val="0"/>
        <w:spacing w:before="0" w:after="283"/>
        <w:jc w:val="left"/>
        <w:rPr/>
      </w:pPr>
      <w:r>
        <w:rPr/>
      </w:r>
    </w:p>
    <w:p>
      <w:pPr>
        <w:pStyle w:val="TextBody"/>
        <w:bidi w:val="0"/>
        <w:jc w:val="both"/>
        <w:rPr/>
      </w:pPr>
      <w:bookmarkStart w:id="30" w:name="xmtr-ex10_21.htm"/>
      <w:bookmarkStart w:id="31" w:name="ksxmtrex10_21"/>
      <w:bookmarkEnd w:id="30"/>
      <w:bookmarkEnd w:id="31"/>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10.21</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EMPLOYMENT AGREEMENT</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smallCaps/>
          <w:color w:val="000000"/>
          <w:sz w:val="24"/>
        </w:rPr>
        <w:t>Amended And Restated Employment Agreement</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effective as of, and contingent upon, the closing of the Company’s initial public offering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by and between Xometry,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Kathleen Mayerhofer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This Agreement amends, restates, and supersedes in its entirety any agreement between the Company and Executive that existed with regard to the employment terms detailed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desires to continue to employ Executive, in the capacity of full-time Chief Sales Officer pursuant to the terms of this Agreement and, in connection therewith, to compensate Executive for Executive’s personal services to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wishes to continue to be employed by the Company and provide personal services to the Company in return for certain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Accordingly, in consideration of the mutual promises and covenants contained herein, the parties agree to the following:</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both"/>
        <w:rPr/>
      </w:pPr>
      <w:r>
        <w:rPr>
          <w:rFonts w:ascii="Times New Roman" w:hAnsi="Times New Roman"/>
          <w:b/>
          <w:smallCaps/>
          <w:color w:val="000000"/>
          <w:sz w:val="24"/>
          <w:u w:val="single"/>
        </w:rPr>
        <w:t>Employment by the Company</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u w:val="single"/>
        </w:rPr>
        <w:t>At-Will Employment</w:t>
      </w:r>
      <w:r>
        <w:rPr>
          <w:rFonts w:ascii="Times New Roman" w:hAnsi="Times New Roman"/>
          <w:color w:val="000000"/>
          <w:sz w:val="24"/>
        </w:rPr>
        <w:t xml:space="preserve">. Executive shall continue to be employed by the Company on an “at-will” basis, meaning either the Company or Executive may terminate Executive’s employment at any time, with or without cause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compensation following a termination shall be only as set forth in Section 6.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u w:val="single"/>
        </w:rPr>
        <w:t>Position</w:t>
      </w:r>
      <w:r>
        <w:rPr>
          <w:rFonts w:ascii="Times New Roman" w:hAnsi="Times New Roman"/>
          <w:color w:val="000000"/>
          <w:sz w:val="24"/>
        </w:rPr>
        <w:t>. Subject to the terms set forth herein, the Company agrees to continue to employ Executive in the position of Chief Sales Officer, and Executive hereby accepts such continued employment. During the term of Executive’s employment with the Company, Executive will devote Executive’s best efforts and substantially all of Executive’s business time and attention to the business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u w:val="single"/>
        </w:rPr>
        <w:t>Duties</w:t>
      </w:r>
      <w:r>
        <w:rPr>
          <w:rFonts w:ascii="Times New Roman" w:hAnsi="Times New Roman"/>
          <w:color w:val="000000"/>
          <w:sz w:val="24"/>
        </w:rPr>
        <w:t>. Executive will report to the Chief Revenue Officer</w:t>
      </w:r>
      <w:r>
        <w:rPr>
          <w:color w:val="000000"/>
        </w:rPr>
        <w:t xml:space="preserve"> </w:t>
      </w:r>
      <w:r>
        <w:rPr>
          <w:rFonts w:ascii="Times New Roman" w:hAnsi="Times New Roman"/>
          <w:color w:val="000000"/>
          <w:sz w:val="24"/>
        </w:rPr>
        <w:t>performing such duties as are normally associated with Executive’s then-current position and such duties as are assigned to Executive from time to time, subject to the oversight and direction of the Chief Revenue Officer. Executive shall perform Executive’s duties under this Agreement principally out of the Company’s office in the Rockville, Maryland area</w:t>
      </w:r>
      <w:r>
        <w:rPr>
          <w:color w:val="000000"/>
        </w:rPr>
        <w:t xml:space="preserve"> </w:t>
      </w:r>
      <w:r>
        <w:rPr>
          <w:rFonts w:ascii="Times New Roman" w:hAnsi="Times New Roman"/>
          <w:color w:val="000000"/>
          <w:sz w:val="24"/>
        </w:rPr>
        <w:t xml:space="preserve">or such other location as assigned. In addition, Executive shall make such business trips to such places as may be necessary or advisable for the efficient operations of the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u w:val="single"/>
        </w:rPr>
        <w:t>Company Policies and Benefits</w:t>
      </w:r>
      <w:r>
        <w:rPr>
          <w:rFonts w:ascii="Times New Roman" w:hAnsi="Times New Roman"/>
          <w:color w:val="000000"/>
          <w:sz w:val="24"/>
        </w:rPr>
        <w:t>. The employment relationship between the parties shall also continue to be subject to the Company’s personnel policies and procedures as they may be interpreted, adopted, revised or deleted from time to time in the Company’s sole discretion. Executive will be eligible to participate on the same basis as similarly-situated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240"/>
        <w:jc w:val="both"/>
        <w:rPr/>
      </w:pPr>
      <w:r>
        <w:rPr>
          <w:rFonts w:ascii="Times New Roman" w:hAnsi="Times New Roman"/>
          <w:b/>
          <w:smallCaps/>
          <w:color w:val="000000"/>
          <w:sz w:val="24"/>
          <w:u w:val="single"/>
        </w:rPr>
        <w:t>Compensation</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u w:val="single"/>
        </w:rPr>
        <w:t>Salary</w:t>
      </w:r>
      <w:r>
        <w:rPr>
          <w:rFonts w:ascii="Times New Roman" w:hAnsi="Times New Roman"/>
          <w:color w:val="000000"/>
          <w:sz w:val="24"/>
        </w:rPr>
        <w:t>. Commencing on July 1, 2021, Executive shall receive for Executive’s services to be rendered hereunder an initial annualized base salary of $275,000, subject to review and adjustment from time to time by the Company in its sole discretion</w:t>
      </w:r>
      <w:r>
        <w:rPr>
          <w:color w:val="000000"/>
        </w:rPr>
        <w:t xml:space="preserve"> </w:t>
      </w:r>
      <w:r>
        <w:rPr>
          <w:rFonts w:ascii="Times New Roman" w:hAnsi="Times New Roman"/>
          <w:color w:val="000000"/>
          <w:sz w:val="24"/>
        </w:rPr>
        <w:t>(“</w:t>
      </w:r>
      <w:r>
        <w:rPr>
          <w:rFonts w:ascii="Times New Roman" w:hAnsi="Times New Roman"/>
          <w:b/>
          <w:i/>
          <w:color w:val="000000"/>
          <w:sz w:val="24"/>
        </w:rPr>
        <w:t>Base Salary</w:t>
      </w:r>
      <w:r>
        <w:rPr>
          <w:color w:val="000000"/>
        </w:rPr>
        <w:t>”</w:t>
      </w:r>
      <w:r>
        <w:rPr>
          <w:rFonts w:ascii="Times New Roman" w:hAnsi="Times New Roman"/>
          <w:color w:val="000000"/>
          <w:sz w:val="24"/>
        </w:rPr>
        <w:t>). The Base Salary is payable subject to standard federal and state payroll withholding requirements in accordance with the Company’s standard payroll practices.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u w:val="single"/>
        </w:rPr>
        <w:t>Annual Bonus</w:t>
      </w:r>
      <w:r>
        <w:rPr>
          <w:rFonts w:ascii="Times New Roman" w:hAnsi="Times New Roman"/>
          <w:color w:val="000000"/>
          <w:sz w:val="24"/>
        </w:rPr>
        <w:t>. Commencing as of the Effective Date, Executive shall be eligible to receive an annual performance bonus under this Section 2.2 of up to 35% (the “</w:t>
      </w:r>
      <w:r>
        <w:rPr>
          <w:rFonts w:ascii="Times New Roman" w:hAnsi="Times New Roman"/>
          <w:b/>
          <w:i/>
          <w:color w:val="000000"/>
          <w:sz w:val="24"/>
        </w:rPr>
        <w:t>Target Percentage</w:t>
      </w:r>
      <w:r>
        <w:rPr>
          <w:color w:val="000000"/>
        </w:rPr>
        <w:t>”</w:t>
      </w:r>
      <w:r>
        <w:rPr>
          <w:rFonts w:ascii="Times New Roman" w:hAnsi="Times New Roman"/>
          <w:color w:val="000000"/>
          <w:sz w:val="24"/>
        </w:rPr>
        <w:t>) of Executive’s then-current Base Salary (“</w:t>
      </w:r>
      <w:r>
        <w:rPr>
          <w:rFonts w:ascii="Times New Roman" w:hAnsi="Times New Roman"/>
          <w:b/>
          <w:i/>
          <w:color w:val="000000"/>
          <w:sz w:val="24"/>
        </w:rPr>
        <w:t>Annual Bonus</w:t>
      </w:r>
      <w:r>
        <w:rPr>
          <w:color w:val="000000"/>
        </w:rPr>
        <w:t>”</w:t>
      </w:r>
      <w:r>
        <w:rPr>
          <w:rFonts w:ascii="Times New Roman" w:hAnsi="Times New Roman"/>
          <w:color w:val="000000"/>
          <w:sz w:val="24"/>
        </w:rPr>
        <w:t>). The Annual Bonus will be based upon the assessment of the Board of Directors of the Company (the “</w:t>
      </w:r>
      <w:r>
        <w:rPr>
          <w:rFonts w:ascii="Times New Roman" w:hAnsi="Times New Roman"/>
          <w:b/>
          <w:i/>
          <w:color w:val="000000"/>
          <w:sz w:val="24"/>
        </w:rPr>
        <w:t>Board</w:t>
      </w:r>
      <w:r>
        <w:rPr>
          <w:color w:val="000000"/>
        </w:rPr>
        <w:t>”</w:t>
      </w:r>
      <w:r>
        <w:rPr>
          <w:rFonts w:ascii="Times New Roman" w:hAnsi="Times New Roman"/>
          <w:color w:val="000000"/>
          <w:sz w:val="24"/>
        </w:rPr>
        <w:t>) (or a committee thereof) of Executive’s performance and the Company’s attainment of targeted goals over the applicable calendar year. The Annual Bonus, if any, will be subject to applicable payroll deductions and withholdings. Except as stated herein for the Annual Bonus attributable to 2021, the annual period over which performance is measured for purposes of the Annual Bonus is January 1 through December 31. Following the close of each calendar year, the Company will determine whether Executive has earned the Annual Bonus, and the amount of any Annual Bonus (which can be less than the Target Percentage), based on the set criteria. No amount of the Annual Bonus is guaranteed, and, except as otherwise stated in Sections 6.2, Executive must be an employee in good standing on the Annual Bonus payment date to be eligible to receive an Annual Bonus and no partial or prorated bonuses will be provided. Executive’s eligibility for an Annual Bonus is subject to change in the discretion of the Board (or any authorized committee thereof). Executive’s Annual Bonus, if any, attributable to 2021 under this Section 2.2 shall be prorated for number of days between the Effective Date and December 31, 2021. For the avoidance of doubt, Executive’s eligibility for any annual bonus for the portion of 2021 prior to the Effective Date remains subject to the terms in effect for such time period and is not affected by this Agreement.</w:t>
      </w:r>
      <w:r>
        <w:rPr>
          <w:color w:val="000000"/>
        </w:rPr>
        <w:t xml:space="preserve"> </w:t>
      </w:r>
      <w:r>
        <w:rPr>
          <w:rFonts w:ascii="Times New Roman" w:hAnsi="Times New Roman"/>
          <w:color w:val="000000"/>
          <w:sz w:val="24"/>
        </w:rPr>
        <w:t>In addition to the Annual Bonus, the Executive is also eligible to participate each calendar year in an Executive Sales Plan (the “</w:t>
      </w:r>
      <w:r>
        <w:rPr>
          <w:rFonts w:ascii="Times New Roman" w:hAnsi="Times New Roman"/>
          <w:b/>
          <w:i/>
          <w:color w:val="000000"/>
          <w:sz w:val="24"/>
        </w:rPr>
        <w:t>Sales Plan</w:t>
      </w:r>
      <w:r>
        <w:rPr>
          <w:color w:val="000000"/>
        </w:rPr>
        <w:t>”</w:t>
      </w:r>
      <w:r>
        <w:rPr>
          <w:rFonts w:ascii="Times New Roman" w:hAnsi="Times New Roman"/>
          <w:color w:val="000000"/>
          <w:sz w:val="24"/>
        </w:rPr>
        <w:t>) under which Executive will be eligible to earn a Sales Bonus of up to 35% of Executive’s then-current Base Salary in accordance with the terms of the Sales Plan. For avoidance of doubt, Executive’s total bonus eligibility for the combined Annual Bonus and Sales Bonus is 70% of Executive’s then current Base Salary.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u w:val="single"/>
        </w:rPr>
        <w:t>Future Equity Awards</w:t>
      </w:r>
      <w:r>
        <w:rPr>
          <w:rFonts w:ascii="Times New Roman" w:hAnsi="Times New Roman"/>
          <w:color w:val="000000"/>
          <w:sz w:val="24"/>
        </w:rPr>
        <w:t xml:space="preserve">. Executive remains eligible to be considered for future equity awards as may be determined by the Board or a committee of the Board in its </w:t>
      </w:r>
    </w:p>
    <w:p>
      <w:pPr>
        <w:pStyle w:val="TextBody"/>
        <w:bidi w:val="0"/>
        <w:jc w:val="both"/>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4"/>
        </w:rPr>
        <w:t>discretion in accordance with the terms of any applicable equity plan or arrangement that may be in effect from time to time.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u w:val="single"/>
        </w:rPr>
        <w:t>Expense Reimbursement</w:t>
      </w:r>
      <w:r>
        <w:rPr>
          <w:rFonts w:ascii="Times New Roman" w:hAnsi="Times New Roman"/>
          <w:color w:val="000000"/>
          <w:sz w:val="24"/>
        </w:rPr>
        <w:t>. The Company will reimburse Executive for all reasonable, documented business expenses incurred in connection with Executive’s services hereunder, in accordance with the Company’s business expense reimbursement policies and procedures as may be in effect from time to time. For the avoidance of doubt, to the extent that any reimbursements payable to Executive are subject to the provisions of Section 409A (as defined below): (i) any such reimbursements will be paid no later than December 31 of the year following the year in which the expense was incurred, (ii) the amount of expenses reimbursed in one year will not affect the amount eligible for reimbursement in any subsequent year, and (iii) the right to reimbursement under this Agreement will not be subject to liquidation or exchange for another benefit.</w:t>
      </w:r>
    </w:p>
    <w:p>
      <w:pPr>
        <w:pStyle w:val="TextBody"/>
        <w:bidi w:val="0"/>
        <w:spacing w:before="0" w:after="0"/>
        <w:jc w:val="both"/>
        <w:rPr>
          <w:rFonts w:ascii="Times New Roman" w:hAnsi="Times New Roman"/>
          <w:b/>
          <w:caps/>
          <w:color w:val="000000"/>
          <w:sz w:val="24"/>
        </w:rPr>
      </w:pPr>
      <w:r>
        <w:rPr>
          <w:rFonts w:ascii="Times New Roman" w:hAnsi="Times New Roman"/>
          <w:b/>
          <w:caps/>
          <w:color w:val="000000"/>
          <w:sz w:val="24"/>
        </w:rPr>
        <w:t>3.</w:t>
      </w:r>
    </w:p>
    <w:p>
      <w:pPr>
        <w:pStyle w:val="TextBody"/>
        <w:bidi w:val="0"/>
        <w:jc w:val="both"/>
        <w:rPr/>
      </w:pPr>
      <w:r>
        <w:rPr>
          <w:rFonts w:ascii="Times New Roman" w:hAnsi="Times New Roman"/>
          <w:b/>
          <w:smallCaps/>
          <w:color w:val="000000"/>
          <w:sz w:val="24"/>
          <w:u w:val="single"/>
        </w:rPr>
        <w:t>Confidential Information, Inventions, Non-Solicitation, and Non-Competition Obligations</w:t>
      </w:r>
      <w:r>
        <w:rPr>
          <w:rFonts w:ascii="Times New Roman" w:hAnsi="Times New Roman"/>
          <w:b/>
          <w:smallCaps/>
          <w:color w:val="000000"/>
          <w:sz w:val="24"/>
        </w:rPr>
        <w:t>.</w:t>
      </w:r>
      <w:r>
        <w:rPr>
          <w:smallCaps/>
          <w:color w:val="000000"/>
        </w:rPr>
        <w:t xml:space="preserve"> </w:t>
      </w:r>
      <w:r>
        <w:rPr>
          <w:rFonts w:ascii="Times New Roman" w:hAnsi="Times New Roman"/>
          <w:color w:val="000000"/>
          <w:sz w:val="24"/>
        </w:rPr>
        <w:t>In connection with Executive’s continued employment with the Company, Executive will continue to receive and continue to have access to the Company’s confidential information and trade secrets. Accordingly, and in consideration of the benefits that Executive is eligible to receive under this Agreement, Executive agrees to sign the Company’s Employee Confidential Information, Inventions, Non-Solicitation and Non-Competition Agreement (the “</w:t>
      </w:r>
      <w:r>
        <w:rPr>
          <w:rFonts w:ascii="Times New Roman" w:hAnsi="Times New Roman"/>
          <w:b/>
          <w:i/>
          <w:color w:val="000000"/>
          <w:sz w:val="24"/>
        </w:rPr>
        <w:t>Confidential Information Agreement</w:t>
      </w:r>
      <w:r>
        <w:rPr>
          <w:color w:val="000000"/>
        </w:rPr>
        <w:t>”</w:t>
      </w:r>
      <w:r>
        <w:rPr>
          <w:rFonts w:ascii="Times New Roman" w:hAnsi="Times New Roman"/>
          <w:color w:val="000000"/>
          <w:sz w:val="24"/>
        </w:rPr>
        <w:t xml:space="preserve">) attached hereto as </w:t>
      </w:r>
      <w:r>
        <w:rPr>
          <w:rFonts w:ascii="Times New Roman" w:hAnsi="Times New Roman"/>
          <w:b/>
          <w:color w:val="000000"/>
          <w:sz w:val="24"/>
          <w:u w:val="single"/>
        </w:rPr>
        <w:t>Exhibit A</w:t>
      </w:r>
      <w:r>
        <w:rPr>
          <w:rFonts w:ascii="Times New Roman" w:hAnsi="Times New Roman"/>
          <w:color w:val="000000"/>
          <w:sz w:val="24"/>
        </w:rPr>
        <w:t>. The Confidential Information Agreement may be amended by the parties from time to time without regard to this Agreement. The Confidential Information</w:t>
      </w:r>
      <w:r>
        <w:rPr>
          <w:color w:val="000000"/>
        </w:rPr>
        <w:t xml:space="preserve"> </w:t>
      </w:r>
      <w:r>
        <w:rPr>
          <w:rFonts w:ascii="Times New Roman" w:hAnsi="Times New Roman"/>
          <w:color w:val="000000"/>
          <w:sz w:val="24"/>
        </w:rPr>
        <w:t xml:space="preserve">Agreement contains provisions that are intended by the parties to survive and do survive termination or expiration of this Agreement. </w:t>
      </w:r>
    </w:p>
    <w:p>
      <w:pPr>
        <w:pStyle w:val="TextBody"/>
        <w:bidi w:val="0"/>
        <w:jc w:val="both"/>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both"/>
        <w:rPr/>
      </w:pPr>
      <w:r>
        <w:rPr>
          <w:rFonts w:ascii="Times New Roman" w:hAnsi="Times New Roman"/>
          <w:b/>
          <w:smallCaps/>
          <w:color w:val="000000"/>
          <w:sz w:val="24"/>
          <w:u w:val="single"/>
        </w:rPr>
        <w:t>Outside Activities</w:t>
      </w:r>
      <w:r>
        <w:rPr>
          <w:rFonts w:ascii="Times New Roman" w:hAnsi="Times New Roman"/>
          <w:b/>
          <w:smallCaps/>
          <w:color w:val="000000"/>
          <w:sz w:val="24"/>
        </w:rPr>
        <w:t>.</w:t>
      </w:r>
      <w:r>
        <w:rPr>
          <w:color w:val="000000"/>
        </w:rPr>
        <w:t xml:space="preserve"> </w:t>
      </w:r>
      <w:r>
        <w:rPr>
          <w:rFonts w:ascii="Times New Roman" w:hAnsi="Times New Roman"/>
          <w:color w:val="000000"/>
          <w:sz w:val="24"/>
        </w:rPr>
        <w:t>Except with the prior written consent of the Board,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Executive’s participation in professional and academic activities; and (iv) such other activities as may be specifically approved by the Board. This restriction shall not, however, preclude Executive from managing personal investments or owning less than one percent (1%) of the total outstanding shares of a publicly-traded company.</w:t>
      </w:r>
    </w:p>
    <w:p>
      <w:pPr>
        <w:pStyle w:val="TextBody"/>
        <w:bidi w:val="0"/>
        <w:spacing w:before="0" w:after="0"/>
        <w:jc w:val="both"/>
        <w:rPr>
          <w:rFonts w:ascii="Times New Roman" w:hAnsi="Times New Roman"/>
          <w:b/>
          <w:caps/>
          <w:color w:val="000000"/>
          <w:sz w:val="24"/>
        </w:rPr>
      </w:pPr>
      <w:r>
        <w:rPr>
          <w:rFonts w:ascii="Times New Roman" w:hAnsi="Times New Roman"/>
          <w:b/>
          <w:caps/>
          <w:color w:val="000000"/>
          <w:sz w:val="24"/>
        </w:rPr>
        <w:t>5.</w:t>
      </w:r>
    </w:p>
    <w:p>
      <w:pPr>
        <w:pStyle w:val="TextBody"/>
        <w:bidi w:val="0"/>
        <w:jc w:val="both"/>
        <w:rPr/>
      </w:pPr>
      <w:r>
        <w:rPr>
          <w:rFonts w:ascii="Times New Roman" w:hAnsi="Times New Roman"/>
          <w:b/>
          <w:smallCaps/>
          <w:color w:val="000000"/>
          <w:sz w:val="24"/>
          <w:u w:val="single"/>
        </w:rPr>
        <w:t>No Conflict with Existing Obligations</w:t>
      </w:r>
      <w:r>
        <w:rPr>
          <w:rFonts w:ascii="Times New Roman" w:hAnsi="Times New Roman"/>
          <w:b/>
          <w:color w:val="000000"/>
          <w:sz w:val="24"/>
        </w:rPr>
        <w:t>.</w:t>
      </w:r>
      <w:r>
        <w:rPr>
          <w:color w:val="000000"/>
        </w:rPr>
        <w:t xml:space="preserve"> </w:t>
      </w:r>
      <w:r>
        <w:rPr>
          <w:rFonts w:ascii="Times New Roman" w:hAnsi="Times New Roman"/>
          <w:color w:val="000000"/>
          <w:sz w:val="24"/>
        </w:rPr>
        <w:t>Executive represents that Executive’s continued performance of all the terms of this Agreement and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b/>
          <w:caps/>
          <w:color w:val="000000"/>
          <w:sz w:val="24"/>
        </w:rPr>
      </w:pPr>
      <w:r>
        <w:rPr>
          <w:rFonts w:ascii="Times New Roman" w:hAnsi="Times New Roman"/>
          <w:b/>
          <w:caps/>
          <w:color w:val="000000"/>
          <w:sz w:val="24"/>
        </w:rPr>
        <w:t>6.</w:t>
      </w:r>
    </w:p>
    <w:p>
      <w:pPr>
        <w:pStyle w:val="TextBody"/>
        <w:bidi w:val="0"/>
        <w:jc w:val="both"/>
        <w:rPr/>
      </w:pPr>
      <w:r>
        <w:rPr>
          <w:rFonts w:ascii="Times New Roman" w:hAnsi="Times New Roman"/>
          <w:b/>
          <w:smallCaps/>
          <w:color w:val="000000"/>
          <w:sz w:val="24"/>
          <w:u w:val="single"/>
        </w:rPr>
        <w:t>Termination Of Employment</w:t>
      </w:r>
      <w:r>
        <w:rPr>
          <w:rFonts w:ascii="Times New Roman" w:hAnsi="Times New Roman"/>
          <w:b/>
          <w:color w:val="000000"/>
          <w:sz w:val="24"/>
        </w:rPr>
        <w:t>.</w:t>
      </w:r>
      <w:r>
        <w:rPr>
          <w:color w:val="000000"/>
        </w:rPr>
        <w:t xml:space="preserve"> </w:t>
      </w:r>
      <w:r>
        <w:rPr>
          <w:rFonts w:ascii="Times New Roman" w:hAnsi="Times New Roman"/>
          <w:color w:val="000000"/>
          <w:sz w:val="24"/>
        </w:rPr>
        <w:t>The parties acknowledge that Executive’s employment relationship with the Company continues to be at-will. Either Executive or the Company may terminate the employment relationship at any time, with or without Cause. The provisions in this Section govern the amount of compensation, if any, to be provided to Executive upon termination of employment and do not alter this at-will status.</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u w:val="single"/>
        </w:rPr>
        <w:t>Termination by the Company Without Cause or Resignation by Executive for Good Reason (not in Connection with a Change in Control)</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the right to terminate Executive’s employment with the Company pursuant to this Section 6.1 at any time without “Cause” (as defined in Section 6.3(a) below) by giving notice as described in Section 6.7 of this Agreement. A termination pursuant to Section 6.5 or 6.6 below is not a termination without “Cause” for purposes of receiving the Non-CIC Severance Benefits described in (and as defined in) this Section 6.1 or the CIC Severance Benefits described in (and as defined in) Section 6.2.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If the Company terminates Executive’s employment at any time without Cause or Executive terminates Executive’s employment with the Company for “Good Reason” (as defined in Section 6.1(g) below), in either case, at any time except during the Change in Control Measurement Period (both “Change in Control” and “Change in Control Measurement Period” as defined in Section 6.2 below), then Executive shall be entitled to receive the Accrued Obligations (defined in 6.1(d) below). If such termination without Cause or for Good Reason not occurring during the Change in Control Measurement Period constitutes a “separation from service” (as defined under Treasury Regulation Section 1.409A-1(h), without regard to any alternative definition thereunder, a “</w:t>
      </w:r>
      <w:r>
        <w:rPr>
          <w:rFonts w:ascii="Times New Roman" w:hAnsi="Times New Roman"/>
          <w:b/>
          <w:i/>
          <w:color w:val="000000"/>
          <w:sz w:val="24"/>
        </w:rPr>
        <w:t>Separation from Service</w:t>
      </w:r>
      <w:r>
        <w:rPr>
          <w:color w:val="000000"/>
        </w:rPr>
        <w:t>”</w:t>
      </w:r>
      <w:r>
        <w:rPr>
          <w:rFonts w:ascii="Times New Roman" w:hAnsi="Times New Roman"/>
          <w:color w:val="000000"/>
          <w:sz w:val="24"/>
        </w:rPr>
        <w:t>), and Executive complies with the obligations in Section 6.1(c) below, Executive shall also be eligible to receive the following “</w:t>
      </w:r>
      <w:r>
        <w:rPr>
          <w:rFonts w:ascii="Times New Roman" w:hAnsi="Times New Roman"/>
          <w:b/>
          <w:i/>
          <w:color w:val="000000"/>
          <w:sz w:val="24"/>
        </w:rPr>
        <w:t>Non-CIC Severance Benefits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Company will pay Executive severance pay in the form of continuation of Executive’s then-current Base Salary for six (6) months (the “</w:t>
      </w:r>
      <w:r>
        <w:rPr>
          <w:rFonts w:ascii="Times New Roman" w:hAnsi="Times New Roman"/>
          <w:b/>
          <w:i/>
          <w:color w:val="000000"/>
          <w:sz w:val="24"/>
        </w:rPr>
        <w:t>Non-CIC Severance</w:t>
      </w:r>
      <w:r>
        <w:rPr>
          <w:color w:val="000000"/>
        </w:rPr>
        <w:t>”</w:t>
      </w:r>
      <w:r>
        <w:rPr>
          <w:rFonts w:ascii="Times New Roman" w:hAnsi="Times New Roman"/>
          <w:color w:val="000000"/>
          <w:sz w:val="24"/>
        </w:rPr>
        <w:t xml:space="preserve">). The Non-CIC Severance will be paid in substantially equal installments on the Company’s regular payroll schedule following the termination date, subject to standard deductions and withholdings;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that no portion of the Non-CIC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six (6) months following the termination date; (2) the date when Executive becomes eligible for substantially equivalent health insurance coverage in </w:t>
      </w:r>
    </w:p>
    <w:p>
      <w:pPr>
        <w:pStyle w:val="TextBody"/>
        <w:bidi w:val="0"/>
        <w:jc w:val="both"/>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4"/>
        </w:rPr>
        <w:t>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4"/>
        </w:rPr>
        <w:t>Non-CIC COBRA Payment Period</w:t>
      </w:r>
      <w:r>
        <w:rPr>
          <w:color w:val="000000"/>
        </w:rPr>
        <w:t>”</w:t>
      </w:r>
      <w:r>
        <w:rPr>
          <w:rFonts w:ascii="Times New Roman" w:hAnsi="Times New Roman"/>
          <w:color w:val="000000"/>
          <w:sz w:val="24"/>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Non-CIC COBRA Payment Period, a fully taxable cash payment equal to the COBRA or state continuation coverage premium for such month, subject to applicable tax withholding, for the remainder of the Non-CIC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will pay Executive an amount equal to the Annual Bonus under Section 2.2 for the calendar year in which Executive’s termination occurs, prorated for the actual time worked in that calendar year through the Executive’s date of Separation of Service,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Executive will be paid all of the Accrued Obligations on the Company’s first administratively feasible payroll date after Executive’s date of termination from employment or earlier if required by law. Executive shall receive the Non-CIC Severance Benefits pursuant to Section 6.1(b) or the CIC Severance Benefits pursuant to Section 6.2(a) of this Agreement if: (i) by the sixtieth (60th) day following the date of Executive’s Separation from Service, Executive has signed and delivered to the Company a separation agreement containing an effective, general release of claims in favor of the Company and its affiliates and representatives, in the form presented by the Company (the “</w:t>
      </w:r>
      <w:r>
        <w:rPr>
          <w:rFonts w:ascii="Times New Roman" w:hAnsi="Times New Roman"/>
          <w:b/>
          <w:i/>
          <w:color w:val="000000"/>
          <w:sz w:val="24"/>
        </w:rPr>
        <w:t>Release</w:t>
      </w:r>
      <w:r>
        <w:rPr>
          <w:color w:val="000000"/>
        </w:rPr>
        <w:t>”</w:t>
      </w:r>
      <w:r>
        <w:rPr>
          <w:rFonts w:ascii="Times New Roman" w:hAnsi="Times New Roman"/>
          <w:color w:val="000000"/>
          <w:sz w:val="24"/>
        </w:rPr>
        <w:t>), which cannot be revoked in whole or part by such date (the date that the Release can no longer be revoked is referred to as the “</w:t>
      </w:r>
      <w:r>
        <w:rPr>
          <w:rFonts w:ascii="Times New Roman" w:hAnsi="Times New Roman"/>
          <w:b/>
          <w:i/>
          <w:color w:val="000000"/>
          <w:sz w:val="24"/>
        </w:rPr>
        <w:t>Release Effective Date</w:t>
      </w:r>
      <w:r>
        <w:rPr>
          <w:color w:val="000000"/>
        </w:rPr>
        <w:t>”</w:t>
      </w:r>
      <w:r>
        <w:rPr>
          <w:rFonts w:ascii="Times New Roman" w:hAnsi="Times New Roman"/>
          <w:color w:val="000000"/>
          <w:sz w:val="24"/>
        </w:rPr>
        <w:t xml:space="preserve">); and (ii) if Executive holds any other positions with the Company or any Affiliate, including a position on the Board, Executive resigns such position(s) to be effective no later than the date of Executive’s termination date (or such other date as requested by the Board); (iii) Executive returns all Company property; (iv) Executive complies with all post-termination obligations under this Agreement and the Confidential Information Agreement; and (v) Executive complies with the terms of the Release, including without limitation any non-disparagement and confidentiality provisions contained in the Release.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i/>
          <w:color w:val="000000"/>
          <w:sz w:val="24"/>
        </w:rPr>
        <w:t>Accrued Obligations</w:t>
      </w:r>
      <w:r>
        <w:rPr>
          <w:color w:val="000000"/>
        </w:rPr>
        <w:t xml:space="preserve">” </w:t>
      </w:r>
      <w:r>
        <w:rPr>
          <w:rFonts w:ascii="Times New Roman" w:hAnsi="Times New Roman"/>
          <w:color w:val="000000"/>
          <w:sz w:val="24"/>
        </w:rPr>
        <w:t xml:space="preserve">are (i) Executive’s accrued but unpaid salary through the date of termination, (ii) any unreimbursed business expenses incurred by Executive payable in accordance with the Company’s standard expense reimbursement policies, and (iii) benefits owed to Executive under any qualified </w:t>
      </w:r>
    </w:p>
    <w:p>
      <w:pPr>
        <w:pStyle w:val="TextBody"/>
        <w:bidi w:val="0"/>
        <w:jc w:val="both"/>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retirement plan or health and welfare benefit plan in which Executive was a participant in accordance with applicable law and the provisions of such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Non-CIC Severance Benefits provided to Executive pursuant to this Section 6.1 are in lieu of, and not in addition to, any benefits to which Executive may otherwise be entitled under any Company severance plan, policy, program, or prior agreement with the Company. For avoidance of doubt, Executive shall not be eligible for both the CIC Severance Benefits and the Non-CIC Severance Benefits.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damages caused by the termination of Executive’s employment without Cause not in connection with a Change in Control would be difficult to ascertain; therefore, the Non-CIC Severance Benefits for which Executive is eligible pursuant to Section 6.1(b) above in exchange for the Release is agreed to by the parties as liquidated damages, to serve as full compensation, and not a penalty.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i/>
          <w:color w:val="000000"/>
          <w:sz w:val="24"/>
        </w:rPr>
        <w:t>Good Reason</w:t>
      </w:r>
      <w:r>
        <w:rPr>
          <w:color w:val="000000"/>
        </w:rPr>
        <w:t xml:space="preserve">” </w:t>
      </w:r>
      <w:r>
        <w:rPr>
          <w:rFonts w:ascii="Times New Roman" w:hAnsi="Times New Roman"/>
          <w:color w:val="000000"/>
          <w:sz w:val="24"/>
        </w:rPr>
        <w:t xml:space="preserve">shall mean the occurrence of any of the following events without Executive’s consent: (i) a material reduction in Executive’s Base Salary of at least 10%; or (ii) a material reduction in Executive’s duties, authority and responsibilities relative to Executive’s duties, authority, and responsibilities in effect immediately prior to such reduction, </w:t>
      </w:r>
      <w:r>
        <w:rPr>
          <w:rFonts w:ascii="Times New Roman" w:hAnsi="Times New Roman"/>
          <w:i/>
          <w:color w:val="000000"/>
          <w:sz w:val="24"/>
        </w:rPr>
        <w:t>provided, however</w:t>
      </w:r>
      <w:r>
        <w:rPr>
          <w:rFonts w:ascii="Times New Roman" w:hAnsi="Times New Roman"/>
          <w:color w:val="000000"/>
          <w:sz w:val="24"/>
        </w:rPr>
        <w:t xml:space="preserve">, that neither the conversion of the Company to a subsidiary, division or unit of an acquiring entity in connection with a change in control, nor a change in title or Executive’s reporting relationships will be deemed a “material reduction” in and of itself; </w:t>
      </w:r>
      <w:r>
        <w:rPr>
          <w:rFonts w:ascii="Times New Roman" w:hAnsi="Times New Roman"/>
          <w:i/>
          <w:color w:val="000000"/>
          <w:sz w:val="24"/>
        </w:rPr>
        <w:t xml:space="preserve">provided, however, </w:t>
      </w:r>
      <w:r>
        <w:rPr>
          <w:rFonts w:ascii="Times New Roman" w:hAnsi="Times New Roman"/>
          <w:color w:val="000000"/>
          <w:sz w:val="24"/>
        </w:rPr>
        <w:t>that, any such termination by Executive shall only be deemed for Good Reason pursuant to this definition if: (1) Executive gives the Company written notice of Executive’s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hAnsi="Times New Roman"/>
          <w:b/>
          <w:i/>
          <w:color w:val="000000"/>
          <w:sz w:val="24"/>
        </w:rPr>
        <w:t>Cure Period</w:t>
      </w:r>
      <w:r>
        <w:rPr>
          <w:color w:val="000000"/>
        </w:rPr>
        <w:t>”</w:t>
      </w:r>
      <w:r>
        <w:rPr>
          <w:rFonts w:ascii="Times New Roman" w:hAnsi="Times New Roman"/>
          <w:color w:val="000000"/>
          <w:sz w:val="24"/>
        </w:rPr>
        <w:t>); (3) the Company has not, prior to receiving such notice from Executive, already informed Executive that Executive’s employment with the Company is being terminated; and (4) Executive voluntarily terminates Executive’s employment within thirty (30) days following the end of the Cure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u w:val="single"/>
        </w:rPr>
        <w:t>Termination by the Company without Cause or Resignation by Executive for Good Reason (in connection with a Change in Control)</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In the event that Executive’s employment is terminated without Cause or Executive resigns for Good Reason, in either case, within three (3) months preceding and twelve (12) months following the effective date of a Change in Control (the “</w:t>
      </w:r>
      <w:r>
        <w:rPr>
          <w:rFonts w:ascii="Times New Roman" w:hAnsi="Times New Roman"/>
          <w:b/>
          <w:i/>
          <w:color w:val="000000"/>
          <w:sz w:val="24"/>
        </w:rPr>
        <w:t>Change in Control Measurement Period</w:t>
      </w:r>
      <w:r>
        <w:rPr>
          <w:color w:val="000000"/>
        </w:rPr>
        <w:t>”</w:t>
      </w:r>
      <w:r>
        <w:rPr>
          <w:rFonts w:ascii="Times New Roman" w:hAnsi="Times New Roman"/>
          <w:color w:val="000000"/>
          <w:sz w:val="24"/>
        </w:rPr>
        <w:t>) of the Company, then Executive shall be entitled to the Accrued Obligations and, subject to Executive’s full compliance with Section 6.1(c) above, including but not limited to the Release requirement and Executive’s continued compliance with obligations to the Company under Executive’s Confidential Information Agreement, then Executive will be eligible for the following “</w:t>
      </w:r>
      <w:r>
        <w:rPr>
          <w:rFonts w:ascii="Times New Roman" w:hAnsi="Times New Roman"/>
          <w:b/>
          <w:i/>
          <w:color w:val="000000"/>
          <w:sz w:val="24"/>
        </w:rPr>
        <w:t>CIC Severance Benefits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Company will pay Executive severance pay in the form of continuation of Executive’s then-current Base Salary for six (6) months (the “</w:t>
      </w:r>
      <w:r>
        <w:rPr>
          <w:rFonts w:ascii="Times New Roman" w:hAnsi="Times New Roman"/>
          <w:b/>
          <w:i/>
          <w:color w:val="000000"/>
          <w:sz w:val="24"/>
        </w:rPr>
        <w:t>CIC Severance</w:t>
      </w:r>
      <w:r>
        <w:rPr>
          <w:color w:val="000000"/>
        </w:rPr>
        <w:t>”</w:t>
      </w:r>
      <w:r>
        <w:rPr>
          <w:rFonts w:ascii="Times New Roman" w:hAnsi="Times New Roman"/>
          <w:color w:val="000000"/>
          <w:sz w:val="24"/>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4"/>
        </w:rPr>
        <w:t xml:space="preserve">The CIC Severance will be paid in substantially equal installments on the Company’s regular payroll schedule following the termination date, subject to standard deductions and withholdings;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no portion of the 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six (6)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4"/>
        </w:rPr>
        <w:t>CIC COBRA Payment Period</w:t>
      </w:r>
      <w:r>
        <w:rPr>
          <w:color w:val="000000"/>
        </w:rPr>
        <w:t>”</w:t>
      </w:r>
      <w:r>
        <w:rPr>
          <w:rFonts w:ascii="Times New Roman" w:hAnsi="Times New Roman"/>
          <w:color w:val="000000"/>
          <w:sz w:val="24"/>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make a cash payment to Executive in an amount equal to 50% of the Target Percentage for the year in which the termination occurs, subject to standard deductions and withholdings, which will be paid in a lump sum on the sixtieth (60th) day following Executive’s date of Separation from Service;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pay Executive an amount equal to the Annual Bonus and Sales Bonus under Section 2.2 for the calendar year in which Executive’s termination occurs,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 and</w:t>
      </w:r>
    </w:p>
    <w:p>
      <w:pPr>
        <w:pStyle w:val="TextBody"/>
        <w:bidi w:val="0"/>
        <w:jc w:val="both"/>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Effective as of Executive’s termination date, the vesting and exercisability of all outstanding equity awards subject only to a time-based vesting schedule that are held by Executive immediately prior to the termination date (if any) shall be accelerated in full.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For purposes of this Agreement, a “</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shall have the meaning set forth in the Company’s 2021 Equity Incentive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CIC Severance Benefits provided to Executive pursuant to this Section 6.2 are in lieu of, and not in addition to, any benefits to which Executive may otherwise be entitled under any Company severance plan, policy or program.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damages caused by the termination of Executive’s employment without Cause during the Change in Control Measurement Period would be difficult to ascertain; therefore, the CIC Severance Benefits for which Executive is eligible pursuant to Section 6.2(a) above in exchange for the Release are agreed to by the parties as liquidated damages, to serve as full compensation, and not a penalty.</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6.3</w:t>
      </w:r>
    </w:p>
    <w:p>
      <w:pPr>
        <w:pStyle w:val="TextBody"/>
        <w:bidi w:val="0"/>
        <w:jc w:val="both"/>
        <w:rPr/>
      </w:pPr>
      <w:r>
        <w:rPr>
          <w:rFonts w:ascii="Times New Roman" w:hAnsi="Times New Roman"/>
          <w:b/>
          <w:color w:val="000000"/>
          <w:sz w:val="24"/>
          <w:u w:val="single"/>
        </w:rPr>
        <w:t>Termination by the Company for Cause</w:t>
      </w: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Subject to Section 6.3(b) below, the Company shall have the right to terminate Executive’s employment with the Company at any time for Cause by giving notice as described in Section 6.7 of this Agreement.</w:t>
      </w:r>
      <w:r>
        <w:rPr>
          <w:rFonts w:ascii="Times New Roman" w:hAnsi="Times New Roman"/>
          <w:color w:val="000000"/>
          <w:sz w:val="20"/>
        </w:rPr>
        <w:t xml:space="preserve">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w:t>
      </w:r>
    </w:p>
    <w:p>
      <w:pPr>
        <w:pStyle w:val="TextBody"/>
        <w:bidi w:val="0"/>
        <w:jc w:val="both"/>
        <w:rPr/>
      </w:pPr>
      <w:r>
        <w:rPr>
          <w:color w:val="000000"/>
        </w:rPr>
        <w:t>“</w:t>
      </w:r>
      <w:r>
        <w:rPr>
          <w:rFonts w:ascii="Times New Roman" w:hAnsi="Times New Roman"/>
          <w:b/>
          <w:i/>
          <w:color w:val="000000"/>
          <w:sz w:val="24"/>
        </w:rPr>
        <w:t>Cause</w:t>
      </w:r>
      <w:r>
        <w:rPr>
          <w:color w:val="000000"/>
        </w:rPr>
        <w:t xml:space="preserve">” </w:t>
      </w:r>
      <w:r>
        <w:rPr>
          <w:rFonts w:ascii="Times New Roman" w:hAnsi="Times New Roman"/>
          <w:color w:val="000000"/>
          <w:sz w:val="24"/>
        </w:rPr>
        <w:t>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immoral or disreputable conduct; (iii) any conduct which constitutes a felony under applicable law; (iv) material violation of any Company policy or any act of misconduct; (v) refusal to follow or implement a clear and reasonable directive of the Company; (vi) negligence or incompetence in the performance of Executive’s duties after the expiration of ten (10) days without cure after written notice of such failure; or (vii) breach of fiduciary duty. For the avoidance of doubt, if the Company determines after Executive’s termination date that it would have had a basis to terminate Executive’s employment for Cause prior to Executive’s departure, then any obligation that the Company otherwise had to provide Executive with the Non-CIC Severance Benefits or the CIC Severance Benefits will immediately cease and Executive will be required to repay the Company for any portion of the Non-CIC Severance Benefits or the CIC Severance Benefits provided by the Company as of such date of notice from the Company (net of tax), to be repaid by Executive within thirty (30) days of demand by the Company.</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Executive’s employment is terminated at any time for Cause, Executive will not receive the Non-CIC Severance Benefits, the CIC Severance Benefits, or any other severance compensation or benefit, except that, consistent with the Company’s standard payroll policies, the Company shall provide to Executive the Accrued Obligations. </w:t>
      </w:r>
    </w:p>
    <w:p>
      <w:pPr>
        <w:pStyle w:val="TextBody"/>
        <w:bidi w:val="0"/>
        <w:jc w:val="both"/>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6.4</w:t>
      </w:r>
    </w:p>
    <w:p>
      <w:pPr>
        <w:pStyle w:val="TextBody"/>
        <w:bidi w:val="0"/>
        <w:spacing w:before="0" w:after="240"/>
        <w:jc w:val="both"/>
        <w:rPr/>
      </w:pPr>
      <w:r>
        <w:rPr>
          <w:rFonts w:ascii="Times New Roman" w:hAnsi="Times New Roman"/>
          <w:b/>
          <w:color w:val="000000"/>
          <w:sz w:val="24"/>
          <w:u w:val="single"/>
        </w:rPr>
        <w:t>Resignation by Executive (other than for Good Reason)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may resign for any reason from Executive’s employment with the Company at any time by giving notice as described in Section 6.7.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Executive resigns from Executive’s employment with the Company (other than for Good Reason), Executive will not receive the Non-CIC Severance Benefits, the CIC Severance Benefits, or any other severance compensation or benefit, except that, consistent with the Company’s standard payroll policies, the Company shall provide to Executive the Accrued Obligations.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6.5</w:t>
      </w:r>
    </w:p>
    <w:p>
      <w:pPr>
        <w:pStyle w:val="TextBody"/>
        <w:bidi w:val="0"/>
        <w:spacing w:before="0" w:after="240"/>
        <w:jc w:val="both"/>
        <w:rPr/>
      </w:pPr>
      <w:r>
        <w:rPr>
          <w:rFonts w:ascii="Times New Roman" w:hAnsi="Times New Roman"/>
          <w:b/>
          <w:color w:val="000000"/>
          <w:sz w:val="24"/>
          <w:u w:val="single"/>
        </w:rPr>
        <w:t>Termination by Virtue of Death or Disability of Executive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be eligible for the Non-CIC Severance Benefits, the CIC Severance Benefits, or any other severance compensation or benefit.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Subject to applicable state and federal law, the Company shall at all times have the right, upon written notice to the Executive, to terminate this Agreement based on Executive’s Disability (as defined below). Termination by the Company of Executive’s employment based on “</w:t>
      </w:r>
      <w:r>
        <w:rPr>
          <w:rFonts w:ascii="Times New Roman" w:hAnsi="Times New Roman"/>
          <w:b/>
          <w:i/>
          <w:color w:val="000000"/>
          <w:sz w:val="24"/>
        </w:rPr>
        <w:t>Disability</w:t>
      </w:r>
      <w:r>
        <w:rPr>
          <w:color w:val="000000"/>
        </w:rPr>
        <w:t xml:space="preserve">” </w:t>
      </w:r>
      <w:r>
        <w:rPr>
          <w:rFonts w:ascii="Times New Roman" w:hAnsi="Times New Roman"/>
          <w:color w:val="000000"/>
          <w:sz w:val="24"/>
        </w:rPr>
        <w:t xml:space="preserve">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Non-CIC Severance Benefits, the CIC Severance Benefits, or any other severance compensation or benefit, except that, pursuant to the Company’s standard payroll policies, the Company shall provide to Executive the Accrued Obligations.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6.6</w:t>
      </w:r>
    </w:p>
    <w:p>
      <w:pPr>
        <w:pStyle w:val="TextBody"/>
        <w:bidi w:val="0"/>
        <w:spacing w:before="0" w:after="240"/>
        <w:jc w:val="both"/>
        <w:rPr/>
      </w:pPr>
      <w:r>
        <w:rPr>
          <w:rFonts w:ascii="Times New Roman" w:hAnsi="Times New Roman"/>
          <w:b/>
          <w:color w:val="000000"/>
          <w:sz w:val="24"/>
          <w:u w:val="single"/>
        </w:rPr>
        <w:t>Notice; Effective Date of Termination</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Termination of Executive’s employment pursuant to this Agreement shall be effective on the earliest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after the Company gives notice to Executive of Executive’s termination, with or without Cause, unless pursuant to Section 6.3(a)(vi) in which case ten (10) days after notice if not cured, or unless the Company specifies a later date, in which case, termination shall be effective as of such later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upon Executive’s death; </w:t>
      </w:r>
    </w:p>
    <w:p>
      <w:pPr>
        <w:pStyle w:val="TextBody"/>
        <w:bidi w:val="0"/>
        <w:jc w:val="both"/>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immediately after the Company gives written notice to Executive of Executive’s termination on account of Executive’s Disability, unless the Company specifies a later separation date, in which case, termination shall be effective as of such later separation date,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Executive has not returned to the full-time performance of Executive’s duties prior to such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except as addressed by Section 6.7(a)(v), thirty (30) days after Executive gives written notice to the Company of Executive’s resignation for any reason, </w:t>
      </w:r>
      <w:r>
        <w:rPr>
          <w:rFonts w:ascii="Times New Roman" w:hAnsi="Times New Roman"/>
          <w:i/>
          <w:color w:val="000000"/>
          <w:sz w:val="24"/>
        </w:rPr>
        <w:t xml:space="preserve">provided </w:t>
      </w:r>
      <w:r>
        <w:rPr>
          <w:rFonts w:ascii="Times New Roman" w:hAnsi="Times New Roman"/>
          <w:color w:val="000000"/>
          <w:sz w:val="24"/>
        </w:rPr>
        <w:t>that the Company may set a separation date at any time between the date of notice and the date of resignation, in which case Executive’s resignation shall be effective as of such other date. Executive will receive compensation through any required notice period;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 termination for Good Reason, immediately upon Executive’s full satisfaction of the requirements of Section 6.1(g).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notice of a termination under subsection (a)(i)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6.7</w:t>
      </w:r>
    </w:p>
    <w:p>
      <w:pPr>
        <w:pStyle w:val="TextBody"/>
        <w:bidi w:val="0"/>
        <w:spacing w:before="0" w:after="240"/>
        <w:jc w:val="both"/>
        <w:rPr/>
      </w:pPr>
      <w:r>
        <w:rPr>
          <w:rFonts w:ascii="Times New Roman" w:hAnsi="Times New Roman"/>
          <w:b/>
          <w:color w:val="000000"/>
          <w:sz w:val="24"/>
          <w:u w:val="single"/>
        </w:rPr>
        <w:t>Cooperation With Company After Termination of Employment</w:t>
      </w:r>
      <w:r>
        <w:rPr>
          <w:rFonts w:ascii="Times New Roman" w:hAnsi="Times New Roman"/>
          <w:color w:val="000000"/>
          <w:sz w:val="24"/>
        </w:rPr>
        <w:t>. Following termination of 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6.8</w:t>
      </w:r>
    </w:p>
    <w:p>
      <w:pPr>
        <w:pStyle w:val="TextBody"/>
        <w:bidi w:val="0"/>
        <w:spacing w:before="0" w:after="240"/>
        <w:jc w:val="both"/>
        <w:rPr/>
      </w:pPr>
      <w:r>
        <w:rPr>
          <w:rFonts w:ascii="Times New Roman" w:hAnsi="Times New Roman"/>
          <w:b/>
          <w:color w:val="000000"/>
          <w:sz w:val="24"/>
          <w:u w:val="single"/>
        </w:rPr>
        <w:t>Effect of Termination</w:t>
      </w:r>
      <w:r>
        <w:rPr>
          <w:rFonts w:ascii="Times New Roman" w:hAnsi="Times New Roman"/>
          <w:color w:val="000000"/>
          <w:sz w:val="24"/>
        </w:rPr>
        <w:t>. Executive agrees that should Executive’s employment be terminated for any reason, Executive shall be deemed to have resigned from any and all positions with the Company and its subsidiaries.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6.9</w:t>
      </w:r>
    </w:p>
    <w:p>
      <w:pPr>
        <w:pStyle w:val="TextBody"/>
        <w:bidi w:val="0"/>
        <w:spacing w:before="0" w:after="240"/>
        <w:jc w:val="both"/>
        <w:rPr/>
      </w:pPr>
      <w:r>
        <w:rPr>
          <w:rFonts w:ascii="Times New Roman" w:hAnsi="Times New Roman"/>
          <w:b/>
          <w:color w:val="000000"/>
          <w:sz w:val="24"/>
          <w:u w:val="single"/>
        </w:rPr>
        <w:t>Application of Section 409A</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It is intended that all of the compensation payable under this Agreement, to the greatest extent possible, either complies with the requirements of Section 409A of the Internal Revenue Code of 1986, as amended (the “</w:t>
      </w:r>
      <w:r>
        <w:rPr>
          <w:rFonts w:ascii="Times New Roman" w:hAnsi="Times New Roman"/>
          <w:b/>
          <w:i/>
          <w:color w:val="000000"/>
          <w:sz w:val="24"/>
        </w:rPr>
        <w:t>Code</w:t>
      </w:r>
      <w:r>
        <w:rPr>
          <w:color w:val="000000"/>
        </w:rPr>
        <w:t>”</w:t>
      </w:r>
      <w:r>
        <w:rPr>
          <w:rFonts w:ascii="Times New Roman" w:hAnsi="Times New Roman"/>
          <w:color w:val="000000"/>
          <w:sz w:val="24"/>
        </w:rPr>
        <w:t>) and the regulations and other guidance thereunder and any state law of similar effect (collectively, “</w:t>
      </w:r>
      <w:r>
        <w:rPr>
          <w:rFonts w:ascii="Times New Roman" w:hAnsi="Times New Roman"/>
          <w:b/>
          <w:i/>
          <w:color w:val="000000"/>
          <w:sz w:val="24"/>
        </w:rPr>
        <w:t>Section 409A</w:t>
      </w:r>
      <w:r>
        <w:rPr>
          <w:color w:val="000000"/>
        </w:rPr>
        <w:t>”</w:t>
      </w:r>
      <w:r>
        <w:rPr>
          <w:rFonts w:ascii="Times New Roman" w:hAnsi="Times New Roman"/>
          <w:color w:val="000000"/>
          <w:sz w:val="24"/>
        </w:rPr>
        <w:t xml:space="preserve">) or satisfies one or more of the exemptions from the application of Section 409A, and this Agreement will be construed in a manner consistent with such intention, incorporating by reference all required definitions and payment terms.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severance payments will be made under this Agreement unless Executive’s termination of employment constitutes a Separation from Service.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w:t>
      </w:r>
    </w:p>
    <w:p>
      <w:pPr>
        <w:pStyle w:val="TextBody"/>
        <w:bidi w:val="0"/>
        <w:jc w:val="both"/>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4"/>
        </w:rPr>
        <w:t>payments and, accordingly, each installment payment hereunder shall at all times be considered a separate and distinct payment.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that any severance payments are deferred compensation under Section 409A, and are not otherwise exempt from the application of Section 409A, then, to the extent required to comply with Section 409A, if the period during which Executive may consider and sign the Release spans two calendar years, the severance payments 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6.10(c); and (ii) commence paying the balance of the severance benefits in accordance with the applicable payment schedule set forth in Sections 6.1 and 6.2. No interest shall be due on any amounts deferred pursuant to this Section 6.10(c).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6.10</w:t>
      </w:r>
    </w:p>
    <w:p>
      <w:pPr>
        <w:pStyle w:val="TextBody"/>
        <w:bidi w:val="0"/>
        <w:spacing w:before="0" w:after="240"/>
        <w:jc w:val="both"/>
        <w:rPr/>
      </w:pPr>
      <w:r>
        <w:rPr>
          <w:rFonts w:ascii="Times New Roman" w:hAnsi="Times New Roman"/>
          <w:b/>
          <w:color w:val="000000"/>
          <w:sz w:val="24"/>
          <w:u w:val="single"/>
        </w:rPr>
        <w:t>Excise Tax Adjustment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If any payment or benefit Executive will or may receive from the Company or otherwise (a “</w:t>
      </w:r>
      <w:r>
        <w:rPr>
          <w:rFonts w:ascii="Times New Roman" w:hAnsi="Times New Roman"/>
          <w:b/>
          <w:i/>
          <w:color w:val="000000"/>
          <w:sz w:val="24"/>
        </w:rPr>
        <w:t>280G Payment</w:t>
      </w:r>
      <w:r>
        <w:rPr>
          <w:color w:val="000000"/>
        </w:rPr>
        <w:t>”</w:t>
      </w:r>
      <w:r>
        <w:rPr>
          <w:rFonts w:ascii="Times New Roman" w:hAnsi="Times New Roman"/>
          <w:color w:val="000000"/>
          <w:sz w:val="24"/>
        </w:rPr>
        <w:t>) would (i) constitute a “parachute payment” within the meaning of Section 280G of the Code, and (ii) but for this Section, be subject to the excise tax imposed by Section 4999 of the Code (the “</w:t>
      </w:r>
      <w:r>
        <w:rPr>
          <w:rFonts w:ascii="Times New Roman" w:hAnsi="Times New Roman"/>
          <w:b/>
          <w:i/>
          <w:color w:val="000000"/>
          <w:sz w:val="24"/>
        </w:rPr>
        <w:t>Excise Tax</w:t>
      </w:r>
      <w:r>
        <w:rPr>
          <w:color w:val="000000"/>
        </w:rPr>
        <w:t>”</w:t>
      </w:r>
      <w:r>
        <w:rPr>
          <w:rFonts w:ascii="Times New Roman" w:hAnsi="Times New Roman"/>
          <w:color w:val="000000"/>
          <w:sz w:val="24"/>
        </w:rPr>
        <w:t>), then any such 280G Payment provided pursuant to this Agreement (a “</w:t>
      </w:r>
      <w:r>
        <w:rPr>
          <w:rFonts w:ascii="Times New Roman" w:hAnsi="Times New Roman"/>
          <w:b/>
          <w:i/>
          <w:color w:val="000000"/>
          <w:sz w:val="24"/>
        </w:rPr>
        <w:t>Payment</w:t>
      </w:r>
      <w:r>
        <w:rPr>
          <w:color w:val="000000"/>
        </w:rPr>
        <w:t>”</w:t>
      </w:r>
      <w:r>
        <w:rPr>
          <w:rFonts w:ascii="Times New Roman" w:hAnsi="Times New Roman"/>
          <w:color w:val="000000"/>
          <w:sz w:val="24"/>
        </w:rPr>
        <w:t>) shall be equal to the Reduced Amount. The “</w:t>
      </w:r>
      <w:r>
        <w:rPr>
          <w:rFonts w:ascii="Times New Roman" w:hAnsi="Times New Roman"/>
          <w:b/>
          <w:i/>
          <w:color w:val="000000"/>
          <w:sz w:val="24"/>
        </w:rPr>
        <w:t>Reduced Amount</w:t>
      </w:r>
      <w:r>
        <w:rPr>
          <w:color w:val="000000"/>
        </w:rPr>
        <w:t xml:space="preserve">” </w:t>
      </w:r>
      <w:r>
        <w:rPr>
          <w:rFonts w:ascii="Times New Roman" w:hAnsi="Times New Roman"/>
          <w:color w:val="000000"/>
          <w:sz w:val="24"/>
        </w:rPr>
        <w:t xml:space="preserve">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w:t>
      </w:r>
    </w:p>
    <w:p>
      <w:pPr>
        <w:pStyle w:val="TextBody"/>
        <w:bidi w:val="0"/>
        <w:jc w:val="both"/>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4"/>
        </w:rPr>
        <w:t>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color w:val="000000"/>
          <w:sz w:val="24"/>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b/>
          <w:i/>
          <w:color w:val="000000"/>
          <w:sz w:val="24"/>
        </w:rPr>
        <w:t>Pro Rata Reduction Method</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Notwithstanding any provision of this Section 6.11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hAnsi="Times New Roman"/>
          <w:i/>
          <w:color w:val="000000"/>
          <w:sz w:val="24"/>
        </w:rPr>
        <w:t>e.g.</w:t>
      </w:r>
      <w:r>
        <w:rPr>
          <w:rFonts w:ascii="Times New Roman" w:hAnsi="Times New Roman"/>
          <w:color w:val="000000"/>
          <w:sz w:val="24"/>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6.11.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Executive receives a Payment for which the Reduced Amount was determined pursuant to clause (x) of Section 6.11(a) and the Internal Revenue Service determines thereafter that some portion of the Payment is subject to the Excise Tax, Executive agrees to promptly return to the Company a sufficient amount of the Payment (after reduction pursuant to clause (x) of Section 6.11(a)) so that no portion of the remaining Payment is subject to the Excise Tax. For the avoidance of doubt, if the Reduced Amount was determined pursuant to clause (y) of Section 6.11(a), Executive shall have no obligation to return any portion of the Payment pursuant to the preceding sentence. </w:t>
      </w:r>
    </w:p>
    <w:p>
      <w:pPr>
        <w:pStyle w:val="TextBody"/>
        <w:bidi w:val="0"/>
        <w:jc w:val="both"/>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both"/>
        <w:rPr/>
      </w:pPr>
      <w:r>
        <w:rPr>
          <w:rFonts w:ascii="Times New Roman" w:hAnsi="Times New Roman"/>
          <w:b/>
          <w:smallCaps/>
          <w:color w:val="000000"/>
          <w:sz w:val="24"/>
          <w:u w:val="single"/>
        </w:rPr>
        <w:t>General Provisions</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pPr>
      <w:r>
        <w:rPr>
          <w:rFonts w:ascii="Times New Roman" w:hAnsi="Times New Roman"/>
          <w:b/>
          <w:color w:val="000000"/>
          <w:sz w:val="24"/>
          <w:u w:val="single"/>
        </w:rPr>
        <w:t>Notices</w:t>
      </w:r>
      <w:r>
        <w:rPr>
          <w:rFonts w:ascii="Times New Roman" w:hAnsi="Times New Roman"/>
          <w:color w:val="000000"/>
          <w:sz w:val="24"/>
        </w:rPr>
        <w:t>. Any notices required hereunder to be in writing shall be deemed effectively given: (a) upon personal delivery to the party to be notified, (b) when sent by electronic mail, telex or confirmed facsimile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Executive at Executive’s address as listed on the Company payroll or Executive’s Company-provided email address, or at such other address as the Company or Executive may designate by ten (10) days’ advance written notice to the other.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u w:val="single"/>
        </w:rPr>
        <w:t>Severability</w:t>
      </w:r>
      <w:r>
        <w:rPr>
          <w:rFonts w:ascii="Times New Roman" w:hAnsi="Times New Roman"/>
          <w:color w:val="000000"/>
          <w:sz w:val="24"/>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pPr>
      <w:r>
        <w:rPr>
          <w:rFonts w:ascii="Times New Roman" w:hAnsi="Times New Roman"/>
          <w:b/>
          <w:color w:val="000000"/>
          <w:sz w:val="24"/>
          <w:u w:val="single"/>
        </w:rPr>
        <w:t>Waiver</w:t>
      </w:r>
      <w:r>
        <w:rPr>
          <w:rFonts w:ascii="Times New Roman" w:hAnsi="Times New Roman"/>
          <w:color w:val="000000"/>
          <w:sz w:val="24"/>
        </w:rPr>
        <w:t>. If either party should waive any breach of any provisions of this Agreement, Executive or it shall not thereby be deemed to have waived any preceding or succeeding breach of the same or any other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0" w:after="240"/>
        <w:jc w:val="both"/>
        <w:rPr/>
      </w:pPr>
      <w:r>
        <w:rPr>
          <w:rFonts w:ascii="Times New Roman" w:hAnsi="Times New Roman"/>
          <w:b/>
          <w:color w:val="000000"/>
          <w:sz w:val="24"/>
          <w:u w:val="single"/>
        </w:rPr>
        <w:t>Complete Agreement</w:t>
      </w:r>
      <w:r>
        <w:rPr>
          <w:rFonts w:ascii="Times New Roman" w:hAnsi="Times New Roman"/>
          <w:color w:val="000000"/>
          <w:sz w:val="24"/>
        </w:rPr>
        <w:t>. This Agreement constitutes the entire agreement between Executive and the Company with regard to the 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or are entering into a separate Confidential Information Agreement in connection herewith and have or may enter into separate agreements related to equity awards.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0" w:after="240"/>
        <w:jc w:val="both"/>
        <w:rPr/>
      </w:pPr>
      <w:r>
        <w:rPr>
          <w:rFonts w:ascii="Times New Roman" w:hAnsi="Times New Roman"/>
          <w:b/>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but all of which taken together will constitute one and the same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7.6</w:t>
      </w:r>
    </w:p>
    <w:p>
      <w:pPr>
        <w:pStyle w:val="TextBody"/>
        <w:bidi w:val="0"/>
        <w:spacing w:before="0" w:after="240"/>
        <w:jc w:val="both"/>
        <w:rPr/>
      </w:pPr>
      <w:r>
        <w:rPr>
          <w:rFonts w:ascii="Times New Roman" w:hAnsi="Times New Roman"/>
          <w:b/>
          <w:color w:val="000000"/>
          <w:sz w:val="24"/>
          <w:u w:val="single"/>
        </w:rPr>
        <w:t>Headings</w:t>
      </w:r>
      <w:r>
        <w:rPr>
          <w:rFonts w:ascii="Times New Roman" w:hAnsi="Times New Roman"/>
          <w:color w:val="000000"/>
          <w:sz w:val="24"/>
        </w:rPr>
        <w:t>. The headings of the sections hereof are inserted for convenience only and shall not be deemed to constitute a part hereof nor to affect the meaning thereof.</w:t>
      </w:r>
    </w:p>
    <w:p>
      <w:pPr>
        <w:pStyle w:val="TextBody"/>
        <w:bidi w:val="0"/>
        <w:jc w:val="both"/>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7.7</w:t>
      </w:r>
    </w:p>
    <w:p>
      <w:pPr>
        <w:pStyle w:val="TextBody"/>
        <w:bidi w:val="0"/>
        <w:spacing w:before="0" w:after="240"/>
        <w:jc w:val="both"/>
        <w:rPr/>
      </w:pPr>
      <w:r>
        <w:rPr>
          <w:rFonts w:ascii="Times New Roman" w:hAnsi="Times New Roman"/>
          <w:b/>
          <w:color w:val="000000"/>
          <w:sz w:val="24"/>
          <w:u w:val="single"/>
        </w:rPr>
        <w:t>Successors and Assigns</w:t>
      </w:r>
      <w:r>
        <w:rPr>
          <w:rFonts w:ascii="Times New Roman" w:hAnsi="Times New Roman"/>
          <w:color w:val="000000"/>
          <w:sz w:val="24"/>
        </w:rPr>
        <w:t xml:space="preserve">.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7.8</w:t>
      </w:r>
    </w:p>
    <w:p>
      <w:pPr>
        <w:pStyle w:val="TextBody"/>
        <w:bidi w:val="0"/>
        <w:spacing w:before="0" w:after="240"/>
        <w:jc w:val="both"/>
        <w:rPr/>
      </w:pPr>
      <w:r>
        <w:rPr>
          <w:rFonts w:ascii="Times New Roman" w:hAnsi="Times New Roman"/>
          <w:b/>
          <w:color w:val="000000"/>
          <w:sz w:val="24"/>
          <w:u w:val="single"/>
        </w:rPr>
        <w:t>Choice of Law</w:t>
      </w:r>
      <w:r>
        <w:rPr>
          <w:rFonts w:ascii="Times New Roman" w:hAnsi="Times New Roman"/>
          <w:color w:val="000000"/>
          <w:sz w:val="24"/>
        </w:rPr>
        <w:t>. All questions concerning the construction, validity and interpretation of this Agreement will be governed by the law of the State of Maryland.</w:t>
      </w:r>
    </w:p>
    <w:p>
      <w:pPr>
        <w:pStyle w:val="TextBody"/>
        <w:bidi w:val="0"/>
        <w:spacing w:before="0" w:after="120"/>
        <w:jc w:val="center"/>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have executed this Amended and Restated Employment Agreement on the day and year first written above.</w:t>
      </w:r>
    </w:p>
    <w:p>
      <w:pPr>
        <w:pStyle w:val="TextBody"/>
        <w:bidi w:val="0"/>
        <w:jc w:val="both"/>
        <w:rPr>
          <w:rFonts w:ascii="Times New Roman" w:hAnsi="Times New Roman"/>
          <w:sz w:val="20"/>
        </w:rPr>
      </w:pPr>
      <w:r>
        <w:rPr>
          <w:rFonts w:ascii="Times New Roman" w:hAnsi="Times New Roman"/>
          <w:b/>
          <w:smallCaps/>
          <w:color w:val="000000"/>
          <w:sz w:val="24"/>
        </w:rPr>
        <w:t>Xometry, Inc.</w:t>
      </w:r>
      <w:r>
        <w:rPr>
          <w:rFonts w:ascii="Times New Roman" w:hAnsi="Times New Roman"/>
          <w:smallCaps/>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jc w:val="both"/>
        <w:rPr>
          <w:rFonts w:ascii="Times New Roman" w:hAnsi="Times New Roman"/>
          <w:color w:val="000000"/>
          <w:sz w:val="24"/>
        </w:rPr>
      </w:pPr>
      <w:r>
        <w:rPr>
          <w:rFonts w:ascii="Times New Roman" w:hAnsi="Times New Roman"/>
          <w:color w:val="000000"/>
          <w:sz w:val="24"/>
        </w:rPr>
        <w:t>Name: Sophia MacDonald</w:t>
      </w:r>
    </w:p>
    <w:p>
      <w:pPr>
        <w:pStyle w:val="TextBody"/>
        <w:bidi w:val="0"/>
        <w:jc w:val="both"/>
        <w:rPr>
          <w:rFonts w:ascii="Times New Roman" w:hAnsi="Times New Roman"/>
          <w:color w:val="000000"/>
          <w:sz w:val="24"/>
        </w:rPr>
      </w:pPr>
      <w:r>
        <w:rPr>
          <w:rFonts w:ascii="Times New Roman" w:hAnsi="Times New Roman"/>
          <w:color w:val="000000"/>
          <w:sz w:val="24"/>
        </w:rPr>
        <w:t>Title: Chief People Officer</w:t>
      </w:r>
    </w:p>
    <w:p>
      <w:pPr>
        <w:pStyle w:val="TextBody"/>
        <w:bidi w:val="0"/>
        <w:spacing w:before="0" w:after="36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Executive:</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Kathleen Mayerhofer</w:t>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rFonts w:ascii="Times New Roman" w:hAnsi="Times New Roman"/>
          <w:b/>
          <w:caps/>
          <w:color w:val="000000"/>
          <w:sz w:val="24"/>
        </w:rPr>
      </w:pPr>
      <w:r>
        <w:rPr>
          <w:rFonts w:ascii="Times New Roman" w:hAnsi="Times New Roman"/>
          <w:b/>
          <w:caps/>
          <w:color w:val="000000"/>
          <w:sz w:val="24"/>
        </w:rPr>
        <w:t>Employee Confidential Information, Inventions, Non-Solicitation and Non-Competition Agreement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HorizontalLine"/>
        <w:pBdr>
          <w:bottom w:val="double" w:sz="2" w:space="0" w:color="808080"/>
        </w:pBdr>
        <w:bidi w:val="0"/>
        <w:spacing w:before="0" w:after="283"/>
        <w:jc w:val="left"/>
        <w:rPr/>
      </w:pPr>
      <w:r>
        <w:rPr/>
      </w:r>
    </w:p>
    <w:p>
      <w:pPr>
        <w:pStyle w:val="TextBody"/>
        <w:bidi w:val="0"/>
        <w:jc w:val="left"/>
        <w:rPr/>
      </w:pPr>
      <w:bookmarkStart w:id="32" w:name="xmtr-ex31_1.htm"/>
      <w:bookmarkStart w:id="33" w:name="ksxmtrex31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Randolph Altschuler,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07" w:type="dxa"/>
        <w:jc w:val="left"/>
        <w:tblInd w:w="0" w:type="dxa"/>
        <w:tblLayout w:type="fixed"/>
        <w:tblCellMar>
          <w:top w:w="28" w:type="dxa"/>
          <w:left w:w="28" w:type="dxa"/>
          <w:bottom w:w="28" w:type="dxa"/>
          <w:right w:w="28" w:type="dxa"/>
        </w:tblCellMar>
      </w:tblPr>
      <w:tblGrid>
        <w:gridCol w:w="1636"/>
        <w:gridCol w:w="109"/>
        <w:gridCol w:w="406"/>
        <w:gridCol w:w="325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xmtr-ex31_2.htm"/>
      <w:bookmarkStart w:id="35" w:name="ksxmtrex31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Miln,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xmtr-ex32_1.htm"/>
      <w:bookmarkStart w:id="37" w:name="ksxmtrex32_1"/>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Xometry, Inc. (the “Company”) on Form 10-Q for the period ending March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5407" w:type="dxa"/>
        <w:jc w:val="left"/>
        <w:tblInd w:w="0" w:type="dxa"/>
        <w:tblLayout w:type="fixed"/>
        <w:tblCellMar>
          <w:top w:w="28" w:type="dxa"/>
          <w:left w:w="28" w:type="dxa"/>
          <w:bottom w:w="28" w:type="dxa"/>
          <w:right w:w="28" w:type="dxa"/>
        </w:tblCellMar>
      </w:tblPr>
      <w:tblGrid>
        <w:gridCol w:w="1636"/>
        <w:gridCol w:w="109"/>
        <w:gridCol w:w="406"/>
        <w:gridCol w:w="325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xmtr-ex32_2.htm"/>
      <w:bookmarkStart w:id="39" w:name="ksxmtrex32_2"/>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Xometry, Inc. (the “Company”) on Form 10-Q for the period ending March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657573/000095017024023214/xmtr-20231231.htm" TargetMode="External"/><Relationship Id="rId6" Type="http://schemas.openxmlformats.org/officeDocument/2006/relationships/hyperlink" Target="https://www.sec.gov/Archives/edgar/data/0001657573/000119312521207643/d184650dex31.htm" TargetMode="External"/><Relationship Id="rId7" Type="http://schemas.openxmlformats.org/officeDocument/2006/relationships/hyperlink" Target="https://www.sec.gov/Archives/edgar/data/0001657573/000119312521207643/d184650dex3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35312</Words>
  <Characters>193325</Characters>
  <CharactersWithSpaces>229413</CharactersWithSpaces>
  <Paragraphs>5829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