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47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470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Sahni Sanjeev Singh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35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52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6"/>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02/24/2026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59,870</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8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123,000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644</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41.4548</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122,356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1,230</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42.6008</w:t>
            </w:r>
            <w:r>
              <w:rPr>
                <w:rFonts w:ascii="Times New Roman" w:cs="Times New Roman" w:eastAsia="Times New Roman" w:hAnsi="Times New Roman"/>
                <w:sz w:val="22"/>
                <w:szCs w:val="22"/>
                <w:color w:val="008000"/>
                <w:w w:val="95"/>
                <w:vertAlign w:val="superscript"/>
              </w:rPr>
              <w:t>(5)</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121,126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5,994</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43.5041</w:t>
            </w:r>
            <w:r>
              <w:rPr>
                <w:rFonts w:ascii="Times New Roman" w:cs="Times New Roman" w:eastAsia="Times New Roman" w:hAnsi="Times New Roman"/>
                <w:sz w:val="22"/>
                <w:szCs w:val="22"/>
                <w:color w:val="008000"/>
                <w:w w:val="95"/>
                <w:vertAlign w:val="superscript"/>
              </w:rPr>
              <w:t>(6)</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115,132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2,110</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44.377</w:t>
            </w:r>
            <w:r>
              <w:rPr>
                <w:rFonts w:ascii="Times New Roman" w:cs="Times New Roman" w:eastAsia="Times New Roman" w:hAnsi="Times New Roman"/>
                <w:sz w:val="22"/>
                <w:szCs w:val="22"/>
                <w:color w:val="008000"/>
                <w:w w:val="95"/>
                <w:vertAlign w:val="superscript"/>
              </w:rPr>
              <w:t>(7)</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113,022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were granted in March 2025 subject to performance-based vesting conditions pertaining to 2025 performance, the achievement of which was certified by the Board on February 24, 2026. Of these RSUs, 1/3rd of the shares vested on February 24, 2026, and the remainder of the shares underlying the RSUs will vest in equal installments on each of February 24, 2027 and February 24, 2028, subject to the reporting person's continuous service.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$40.985 to $41.88,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(4), (5), (6) and (7)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$42.00 to $43.00,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$43.06 to $44.06,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$44.13 to $44.735,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103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2026-02-26T18:18:27Z</dcterms:created>
  <dcterms:modified xsi:type="dcterms:W3CDTF">2026-02-26T18:18:27Z</dcterms:modified>
</cp:coreProperties>
</file>